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54" w:after="283"/>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September 30, 2026</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32"/>
        </w:rPr>
      </w:pPr>
      <w:r>
        <w:rPr>
          <w:rFonts w:ascii="Times New Roman;serif" w:hAnsi="Times New Roman;serif"/>
          <w:b/>
          <w:color w:val="000000"/>
          <w:sz w:val="32"/>
        </w:rPr>
        <w:t>Solana Company</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before="0" w:after="0"/>
        <w:jc w:val="left"/>
        <w:rPr/>
      </w:pPr>
      <w:r>
        <w:rPr/>
      </w:r>
    </w:p>
    <w:tbl>
      <w:tblPr>
        <w:tblW w:w="8667" w:type="dxa"/>
        <w:jc w:val="left"/>
        <w:tblInd w:w="0" w:type="dxa"/>
        <w:tblLayout w:type="fixed"/>
        <w:tblCellMar>
          <w:top w:w="28" w:type="dxa"/>
          <w:left w:w="28" w:type="dxa"/>
          <w:bottom w:w="28" w:type="dxa"/>
          <w:right w:w="28" w:type="dxa"/>
        </w:tblCellMar>
      </w:tblPr>
      <w:tblGrid>
        <w:gridCol w:w="994"/>
        <w:gridCol w:w="874"/>
        <w:gridCol w:w="876"/>
        <w:gridCol w:w="794"/>
        <w:gridCol w:w="794"/>
        <w:gridCol w:w="796"/>
        <w:gridCol w:w="1036"/>
        <w:gridCol w:w="1036"/>
        <w:gridCol w:w="1467"/>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Delaware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(State or other jurisdiction of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incorporation or organization)</w:t>
            </w:r>
          </w:p>
        </w:tc>
        <w:tc>
          <w:tcPr>
            <w:tcW w:w="23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001-38445</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w:t>
            </w:r>
          </w:p>
        </w:tc>
        <w:tc>
          <w:tcPr>
            <w:tcW w:w="35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36-4787690</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(I.R.S. Employer Identification Number)</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1650 Market Street, Suite 3600</w:t>
              <w:br/>
              <w:t>PMB 17139084</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Philadelphia, PA 19103</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and zip code)</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(267) 207-2717</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tc>
      </w:tr>
    </w:tbl>
    <w:p>
      <w:pPr>
        <w:pStyle w:val="TextBody"/>
        <w:bidi w:val="0"/>
        <w:spacing w:lineRule="auto" w:line="288" w:before="54" w:after="12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216"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tbl>
      <w:tblPr>
        <w:tblW w:w="8793" w:type="dxa"/>
        <w:jc w:val="left"/>
        <w:tblInd w:w="0" w:type="dxa"/>
        <w:tblLayout w:type="fixed"/>
        <w:tblCellMar>
          <w:top w:w="28" w:type="dxa"/>
          <w:left w:w="28" w:type="dxa"/>
          <w:bottom w:w="28" w:type="dxa"/>
          <w:right w:w="28" w:type="dxa"/>
        </w:tblCellMar>
      </w:tblPr>
      <w:tblGrid>
        <w:gridCol w:w="1240"/>
        <w:gridCol w:w="1090"/>
        <w:gridCol w:w="1090"/>
        <w:gridCol w:w="516"/>
        <w:gridCol w:w="516"/>
        <w:gridCol w:w="516"/>
        <w:gridCol w:w="1120"/>
        <w:gridCol w:w="1120"/>
        <w:gridCol w:w="1585"/>
      </w:tblGrid>
      <w:tr>
        <w:trPr/>
        <w:tc>
          <w:tcPr>
            <w:tcW w:w="124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r>
      <w:tr>
        <w:trPr/>
        <w:tc>
          <w:tcPr>
            <w:tcW w:w="8793"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c>
      </w:tr>
      <w:tr>
        <w:trPr/>
        <w:tc>
          <w:tcPr>
            <w:tcW w:w="342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54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Trading Symbol</w:t>
            </w:r>
          </w:p>
        </w:tc>
        <w:tc>
          <w:tcPr>
            <w:tcW w:w="38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$0.001</w:t>
            </w:r>
          </w:p>
        </w:tc>
        <w:tc>
          <w:tcPr>
            <w:tcW w:w="15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HSDT</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108"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88" w:before="108" w:after="283"/>
        <w:jc w:val="both"/>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108" w:after="283"/>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8" w:after="283"/>
        <w:jc w:val="left"/>
        <w:rPr>
          <w:rFonts w:ascii="Times New Roman;serif" w:hAnsi="Times New Roman;serif"/>
          <w:b/>
          <w:color w:val="000000"/>
          <w:sz w:val="22"/>
        </w:rPr>
      </w:pPr>
      <w:r>
        <w:rPr>
          <w:rFonts w:ascii="Times New Roman;serif" w:hAnsi="Times New Roman;serif"/>
          <w:b/>
          <w:color w:val="000000"/>
          <w:sz w:val="22"/>
        </w:rPr>
        <w:t>Item 7.01 - Regulation FD Disclosure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September 30, 2026, Solana Company (the “Company”) issued a press release announcing the terms of the Registered Direct Offering (as defined below), a copy of which is furnished as Exhibit 99.1 hereto.</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set forth in this Item 7.01 and contained in the press release furnished as Exhibit 99.1 shall not be deemed “filed” for purposes of Section 18 of the Securities Exchange Act of 1934, as amended (the “Exchange Act”), and is not incorporated by reference into any of the Company’s filings under the Securities Act or the Exchange Act, whether made before or after the date hereof, except as shall be expressly set forth by specific reference in any such filing.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8.01 - Other Events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Registered Direct Offering</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 September 30, 2026, the Company entered into securities purchase agreements (the “RDO Purchase Agreements”) with the purchasers named therein (the “Purchasers”), pursuant to which (i) the Company issued and sold to the Purchasers, in a registered direct offering (the “Registered Direct Offering”), an aggregate of 4,369,356 shares (the “Shares”) of the Company’s Class A common stock, $0.001 par value per share at a purchase price of $3.433 per share and (ii) warrants to purchase up to an aggregate of 4,369,356 shares of Common Stock at an exercise price of $3.776 per share (the “Common Warrants”).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The gross proceeds to the Company from the Registered Direct Offering are expected to be approximately </w:t>
      </w:r>
      <w:r>
        <w:rPr>
          <w:rFonts w:ascii="Times New Roman;serif" w:hAnsi="Times New Roman;serif"/>
          <w:b w:val="false"/>
          <w:color w:val="010302"/>
          <w:sz w:val="20"/>
        </w:rPr>
        <w:t>$15 million</w:t>
      </w:r>
      <w:r>
        <w:rPr>
          <w:rFonts w:ascii="Times New Roman;serif" w:hAnsi="Times New Roman;serif"/>
          <w:b w:val="false"/>
          <w:color w:val="000000"/>
          <w:sz w:val="20"/>
        </w:rPr>
        <w:t>, before deducting placement agent’s fees and other offering expenses. The net proceeds to the Company from the Registered Direct Offering are expected to be approximately $14.3 million. The Company currently plans to use the net proceeds from the Registered Direct Offering for accumulating SOL, working capital and general corporate purposes, business expansion and other strategic initiatives.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Registered Direct Offering is expected to close on or about October 1, 2026, subject to satisfaction of customary closing conditions. The RDO Purchase Agreements contain customary representations, warranties and agreements by the Company, customary conditions to closing, indemnification obligations of the Company, including for liabilities arising under the Securities Act, other obligations of the parties and termination provisions. The representations, warranties and covenants contained in the RDO Purchase Agreements were made only for the purposes of such agreement and as of the specific dates, were solely for the benefit of the parties to such agreement and may be subject to limitations agreed upon by the contracting parties.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Registered Direct Offering was made pursuant to the Company’s effective registration statement on Form S-3 (Registration Statement No. 333-290429), as amended, that became effective on April 8, 2026, and a related base prospectus and prospectus supplement (the “Prospectus Supplement”) thereunder.</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Terms of the Common Warrants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Each Common Warrant is exercisable for one share of Common Stock at an exercise price of $3.776 per share. The Common Warrants will be exercisable upon issuance, and will expire 5.5 years following the date of issuance.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exercise price and the number of shares issuable upon exercise of the Common Warrants are subject to customary adjustments in the case of stock dividends, stock splits, pro rata distributions, and similar events in respect of the Common Stock. A holder (together with its affiliates) of a Common Warrant will not be entitled to exercise any portion of such Common Warrant that, upon giving effect to such exercise would cause the aggregate number of shares of Common Stock beneficially owned by the holder (together with its affiliates) to exceed 4.99% (or, upon election of the holder, 9.99%) of the number of shares of Common Stock outstanding immediately prior to or after giving effect to the exercise, subject to such holder’s rights under the Common Warrants to increase or decrease such percentage to another percentage not in excess of 9.99% upon at least 61 days’ prior notice to the Company.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Placement Agency Agreement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entered into a placement agency agreement (the “Placement Agency Agreement”) with Clear Street (the “Placement Agent”) to act as exclusive placement agent in connection with this offering on a reasonable best efforts basis. The Placement Agent is not purchasing the securities offered by the Company in this offering and is not required to arrange the purchase or sale of any specific number or dollar amount of securities. Pursuant to the Placement Agency Agreement, the Placement Agent will be entitled to a cash fee of 4.0% of the aggregate gross proceeds raised in the Registered Direct Offering and reimbursement of certain expenses incurred by the Placement Agent in connection with the Registered Direct Offering.</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The foregoing descriptions of the terms and conditions of the RDO Purchase Agreements, the Common Warrants and the Placement Agency Agreement,</w:t>
      </w:r>
      <w:r>
        <w:rPr>
          <w:color w:val="000000"/>
        </w:rPr>
        <w:t xml:space="preserve"> </w:t>
      </w:r>
      <w:r>
        <w:rPr>
          <w:rFonts w:ascii="Times New Roman;serif" w:hAnsi="Times New Roman;serif"/>
          <w:b w:val="false"/>
          <w:color w:val="000000"/>
          <w:sz w:val="20"/>
        </w:rPr>
        <w:t>do not purport to be complete and are each qualified in its entirety by the full text of the form of such documents attached as Exhibits 10.1, 4.1 and 10.2, respectively, to this Current Report on Form 8-K, and incorporated herein by reference.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filing of the prospectus supplement for the Registered Direct Offering, the Company is filing a legal opinion of its counsel, Cooley LLP, regarding the validity of the Shares being issued in the Registered Direct Offering, a copy of which is attached as Exhibit 5.1 to this Current Report.</w:t>
      </w:r>
    </w:p>
    <w:p>
      <w:pPr>
        <w:pStyle w:val="TextBody"/>
        <w:bidi w:val="0"/>
        <w:spacing w:before="0" w:after="0"/>
        <w:jc w:val="left"/>
        <w:rPr/>
      </w:pPr>
      <w:r>
        <w:rPr/>
      </w:r>
    </w:p>
    <w:p>
      <w:pPr>
        <w:pStyle w:val="TextBody"/>
        <w:bidi w:val="0"/>
        <w:spacing w:lineRule="auto" w:line="288" w:before="108" w:after="283"/>
        <w:jc w:val="left"/>
        <w:rPr>
          <w:rFonts w:ascii="Times New Roman;serif" w:hAnsi="Times New Roman;serif"/>
          <w:b/>
          <w:color w:val="000000"/>
          <w:sz w:val="22"/>
        </w:rPr>
      </w:pPr>
      <w:r>
        <w:rPr>
          <w:rFonts w:ascii="Times New Roman;serif" w:hAnsi="Times New Roman;serif"/>
          <w:b/>
          <w:color w:val="000000"/>
          <w:sz w:val="22"/>
        </w:rPr>
        <w:t>Item 9.01 - Financial Statements and Exhibits</w:t>
      </w:r>
    </w:p>
    <w:p>
      <w:pPr>
        <w:pStyle w:val="TextBody"/>
        <w:bidi w:val="0"/>
        <w:spacing w:lineRule="auto" w:line="288" w:before="108" w:after="283"/>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367"/>
        <w:gridCol w:w="322"/>
        <w:gridCol w:w="325"/>
        <w:gridCol w:w="109"/>
        <w:gridCol w:w="109"/>
        <w:gridCol w:w="109"/>
        <w:gridCol w:w="2827"/>
        <w:gridCol w:w="2827"/>
        <w:gridCol w:w="2835"/>
        <w:gridCol w:w="109"/>
        <w:gridCol w:w="109"/>
        <w:gridCol w:w="157"/>
      </w:tblGrid>
      <w:tr>
        <w:trPr/>
        <w:tc>
          <w:tcPr>
            <w:tcW w:w="367"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7" w:type="dxa"/>
            <w:tcBorders/>
            <w:vAlign w:val="center"/>
          </w:tcPr>
          <w:p>
            <w:pPr>
              <w:pStyle w:val="TableContents"/>
              <w:bidi w:val="0"/>
              <w:spacing w:before="0" w:after="283"/>
              <w:jc w:val="left"/>
              <w:rPr>
                <w:sz w:val="4"/>
                <w:szCs w:val="4"/>
              </w:rPr>
            </w:pPr>
            <w:r>
              <w:rPr>
                <w:sz w:val="4"/>
                <w:szCs w:val="4"/>
              </w:rPr>
            </w:r>
          </w:p>
        </w:tc>
        <w:tc>
          <w:tcPr>
            <w:tcW w:w="2827" w:type="dxa"/>
            <w:tcBorders/>
            <w:vAlign w:val="center"/>
          </w:tcPr>
          <w:p>
            <w:pPr>
              <w:pStyle w:val="TableContents"/>
              <w:bidi w:val="0"/>
              <w:spacing w:before="0" w:after="283"/>
              <w:jc w:val="left"/>
              <w:rPr>
                <w:sz w:val="4"/>
                <w:szCs w:val="4"/>
              </w:rPr>
            </w:pPr>
            <w:r>
              <w:rPr>
                <w:sz w:val="4"/>
                <w:szCs w:val="4"/>
              </w:rPr>
            </w:r>
          </w:p>
        </w:tc>
        <w:tc>
          <w:tcPr>
            <w:tcW w:w="28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hsdt-formofcommonwarrantse.htm">
              <w:r>
                <w:rPr>
                  <w:rStyle w:val="InternetLink"/>
                  <w:rFonts w:ascii="Times New Roman;serif" w:hAnsi="Times New Roman;serif"/>
                  <w:b w:val="false"/>
                  <w:color w:val="0000FF"/>
                  <w:sz w:val="20"/>
                  <w:u w:val="single"/>
                </w:rPr>
                <w:t>Form of Warrant Agreement, by and among Solana Company and the Purchasers, dated September 30,2026.</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hsdt-securitiespurchaseagr.htm">
              <w:r>
                <w:rPr>
                  <w:rStyle w:val="InternetLink"/>
                  <w:rFonts w:ascii="Times New Roman;serif" w:hAnsi="Times New Roman;serif"/>
                  <w:b w:val="false"/>
                  <w:color w:val="0000FF"/>
                  <w:sz w:val="20"/>
                  <w:u w:val="single"/>
                </w:rPr>
                <w:t>Form of Securities Purchase Agreement, by and among Solana Company and the Purchasers, dated September 30, 2026.</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hsdt-paaexecutionversion.htm">
              <w:r>
                <w:rPr>
                  <w:rStyle w:val="InternetLink"/>
                  <w:rFonts w:ascii="Times New Roman;serif" w:hAnsi="Times New Roman;serif"/>
                  <w:b w:val="false"/>
                  <w:color w:val="0000FF"/>
                  <w:sz w:val="20"/>
                  <w:u w:val="single"/>
                </w:rPr>
                <w:t>Placement Agency Agreement, between the Company and Clear Street LLC, dated September 30, 2026.</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opinionofcooleyllpexhibit51.htm">
              <w:r>
                <w:rPr>
                  <w:rStyle w:val="InternetLink"/>
                  <w:rFonts w:ascii="Times New Roman;serif" w:hAnsi="Times New Roman;serif"/>
                  <w:b w:val="false"/>
                  <w:color w:val="0000FF"/>
                  <w:sz w:val="20"/>
                  <w:u w:val="single"/>
                </w:rPr>
                <w:t>Opinion of Cooley LLP.</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opinionofcooleyllpexhibit51.htm">
              <w:r>
                <w:rPr>
                  <w:rStyle w:val="InternetLink"/>
                  <w:rFonts w:ascii="Times New Roman;serif" w:hAnsi="Times New Roman;serif"/>
                  <w:b w:val="false"/>
                  <w:color w:val="0000FF"/>
                  <w:sz w:val="20"/>
                  <w:u w:val="single"/>
                </w:rPr>
                <w:t>Consent of Cooley LLP (Included in Exhibit 5.1).</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ep2026rdopressreleaseex991.htm">
              <w:r>
                <w:rPr>
                  <w:rStyle w:val="InternetLink"/>
                  <w:rFonts w:ascii="Times New Roman;serif" w:hAnsi="Times New Roman;serif"/>
                  <w:b w:val="false"/>
                  <w:color w:val="000080"/>
                  <w:sz w:val="20"/>
                  <w:u w:val="single"/>
                </w:rPr>
                <w:t>Press Release</w:t>
              </w:r>
            </w:hyperlink>
            <w:hyperlink w:anchor="sep2026rdopressreleaseex991.htm">
              <w:r>
                <w:rPr>
                  <w:rStyle w:val="InternetLink"/>
                  <w:rFonts w:ascii="Times New Roman;serif" w:hAnsi="Times New Roman;serif"/>
                  <w:b w:val="false"/>
                  <w:color w:val="000080"/>
                  <w:sz w:val="20"/>
                  <w:u w:val="single"/>
                </w:rPr>
                <w:t>,</w:t>
              </w:r>
            </w:hyperlink>
            <w:hyperlink w:anchor="sep2026rdopressreleaseex991.htm">
              <w:r>
                <w:rPr>
                  <w:rStyle w:val="InternetLink"/>
                  <w:rFonts w:ascii="Times New Roman;serif" w:hAnsi="Times New Roman;serif"/>
                  <w:b w:val="false"/>
                  <w:color w:val="000080"/>
                  <w:sz w:val="20"/>
                  <w:u w:val="single"/>
                </w:rPr>
                <w:t xml:space="preserve"> dated September 30, 2026.</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Regarding Forward-Looking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Current Report on Form 8-K contains forward-looking statements, including, without limitation, statements relating to the Company’s expectations regarding the proceeds that the Company expects to receive from the Registered Direct Offering and the intended use of proceeds from the Registered Direct Offering. Forward-looking statements are subject to the safe harbor provisions of the Private Securities Litigation Reform Act of 1995, as amended. Forward-looking statements speak only as of the date they are made and, except for the Company’s ongoing obligations under the U.S. federal securities laws, the Company undertakes no obligation to update any forward-looking statement.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Forward-looking statements are subject to known and unknown risks and uncertainties and are based on estimates and assumptions that are subject to change or revision. These statements are only predictions based on current information and expectations and involve a number of risks and uncertainties. Actual events or results may differ materially from those projected in any of such statements due to various factors, including, without limitation, market conditions as well as risks and uncertainties inherent in the Company’s business. For a discussion of these and other factors, please refer to the risk factors included in the Company’s Annual Report on Form 10-K, and the Company’s Quarterly Reports on Form 10-Q and other periodic reports filed from time to time with the SEC.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 on this 30th day of September, 2026.</w:t>
      </w:r>
    </w:p>
    <w:p>
      <w:pPr>
        <w:pStyle w:val="TextBody"/>
        <w:bidi w:val="0"/>
        <w:spacing w:before="0" w:after="0"/>
        <w:jc w:val="left"/>
        <w:rPr/>
      </w:pPr>
      <w:r>
        <w:rPr/>
      </w:r>
    </w:p>
    <w:p>
      <w:pPr>
        <w:pStyle w:val="TextBody"/>
        <w:bidi w:val="0"/>
        <w:spacing w:before="0" w:after="0"/>
        <w:jc w:val="left"/>
        <w:rPr/>
      </w:pPr>
      <w:r>
        <w:rPr/>
      </w:r>
    </w:p>
    <w:tbl>
      <w:tblPr>
        <w:tblW w:w="6935" w:type="dxa"/>
        <w:jc w:val="right"/>
        <w:tblInd w:w="0" w:type="dxa"/>
        <w:tblLayout w:type="fixed"/>
        <w:tblCellMar>
          <w:top w:w="28" w:type="dxa"/>
          <w:left w:w="28" w:type="dxa"/>
          <w:bottom w:w="28" w:type="dxa"/>
          <w:right w:w="28" w:type="dxa"/>
        </w:tblCellMar>
      </w:tblPr>
      <w:tblGrid>
        <w:gridCol w:w="345"/>
        <w:gridCol w:w="303"/>
        <w:gridCol w:w="303"/>
        <w:gridCol w:w="1741"/>
        <w:gridCol w:w="1741"/>
        <w:gridCol w:w="2502"/>
      </w:tblGrid>
      <w:tr>
        <w:trPr/>
        <w:tc>
          <w:tcPr>
            <w:tcW w:w="345"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sz w:val="4"/>
                <w:szCs w:val="4"/>
              </w:rPr>
            </w:pPr>
            <w:r>
              <w:rPr>
                <w:sz w:val="4"/>
                <w:szCs w:val="4"/>
              </w:rPr>
            </w:r>
          </w:p>
        </w:tc>
      </w:tr>
      <w:tr>
        <w:trPr/>
        <w:tc>
          <w:tcPr>
            <w:tcW w:w="693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SOLANA COMPANY</w:t>
            </w:r>
          </w:p>
        </w:tc>
      </w:tr>
      <w:tr>
        <w:trPr/>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Agustina Gani Tjandrasuwita</w:t>
            </w:r>
          </w:p>
        </w:tc>
      </w:tr>
      <w:tr>
        <w:trPr/>
        <w:tc>
          <w:tcPr>
            <w:tcW w:w="95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5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Agustina Gani Tjandrasuwita</w:t>
            </w:r>
          </w:p>
        </w:tc>
      </w:tr>
      <w:tr>
        <w:trPr/>
        <w:tc>
          <w:tcPr>
            <w:tcW w:w="95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5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Chief Operating Officer, Treasurer and Secretary</w:t>
            </w:r>
          </w:p>
        </w:tc>
      </w:tr>
    </w:tbl>
    <w:p>
      <w:pPr>
        <w:pStyle w:val="TextBody"/>
        <w:bidi w:val="0"/>
        <w:spacing w:before="108"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40"/>
        <w:jc w:val="right"/>
        <w:rPr>
          <w:rFonts w:ascii="Times New Roman;serif" w:hAnsi="Times New Roman;serif"/>
          <w:b/>
          <w:color w:val="000000"/>
          <w:sz w:val="22"/>
        </w:rPr>
      </w:pPr>
      <w:r>
        <w:rPr>
          <w:rFonts w:ascii="Times New Roman;serif" w:hAnsi="Times New Roman;serif"/>
          <w:b/>
          <w:color w:val="000000"/>
          <w:sz w:val="22"/>
        </w:rPr>
        <w:t>Exhibit 4.1</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FORM OF COMMON STOCK PURCHASE WARRANT</w:t>
      </w:r>
    </w:p>
    <w:p>
      <w:pPr>
        <w:pStyle w:val="TextBody"/>
        <w:bidi w:val="0"/>
        <w:spacing w:lineRule="auto" w:line="288" w:before="0" w:after="480"/>
        <w:jc w:val="center"/>
        <w:rPr>
          <w:rFonts w:ascii="Times New Roman;serif" w:hAnsi="Times New Roman;serif"/>
          <w:b/>
          <w:color w:val="000000"/>
          <w:sz w:val="22"/>
        </w:rPr>
      </w:pPr>
      <w:r>
        <w:rPr>
          <w:rFonts w:ascii="Times New Roman;serif" w:hAnsi="Times New Roman;serif"/>
          <w:b/>
          <w:color w:val="000000"/>
          <w:sz w:val="22"/>
        </w:rPr>
        <w:t>SOLANA COMPANY</w:t>
      </w:r>
    </w:p>
    <w:p>
      <w:pPr>
        <w:pStyle w:val="TextBody"/>
        <w:bidi w:val="0"/>
        <w:spacing w:lineRule="auto" w:line="288" w:before="0" w:after="240"/>
        <w:jc w:val="both"/>
        <w:rPr/>
      </w:pPr>
      <w:r>
        <w:rPr>
          <w:rFonts w:ascii="Times New Roman;serif" w:hAnsi="Times New Roman;serif"/>
          <w:b w:val="false"/>
          <w:color w:val="000000"/>
          <w:sz w:val="22"/>
        </w:rPr>
        <w:t>Warrant Shares: [</w:t>
      </w:r>
      <w:r>
        <w:rPr>
          <w:color w:val="000000"/>
        </w:rPr>
        <w:t>●</w:t>
      </w:r>
      <w:r>
        <w:rPr>
          <w:rFonts w:ascii="Times New Roman;serif" w:hAnsi="Times New Roman;serif"/>
          <w:b w:val="false"/>
          <w:color w:val="000000"/>
          <w:sz w:val="22"/>
        </w:rPr>
        <w:t>]    Initial Exercise Date: [</w:t>
      </w:r>
      <w:r>
        <w:rPr>
          <w:color w:val="000000"/>
        </w:rPr>
        <w:t>●</w:t>
      </w:r>
      <w:r>
        <w:rPr>
          <w:rFonts w:ascii="Times New Roman;serif" w:hAnsi="Times New Roman;serif"/>
          <w:b w:val="false"/>
          <w:color w:val="000000"/>
          <w:sz w:val="22"/>
        </w:rPr>
        <w:t>], 2026</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This Common Stock Purchase Warrant </w:t>
      </w:r>
      <w:r>
        <w:rPr>
          <w:rFonts w:ascii="Times New Roman;serif" w:hAnsi="Times New Roman;serif"/>
          <w:b w:val="false"/>
          <w:color w:val="000000"/>
          <w:sz w:val="22"/>
        </w:rPr>
        <w:t>(the “</w:t>
      </w:r>
      <w:r>
        <w:rPr>
          <w:rFonts w:ascii="Times New Roman;serif" w:hAnsi="Times New Roman;serif"/>
          <w:b/>
          <w:i/>
          <w:color w:val="000000"/>
          <w:sz w:val="22"/>
        </w:rPr>
        <w:t>Warrant</w:t>
      </w:r>
      <w:r>
        <w:rPr>
          <w:color w:val="000000"/>
        </w:rPr>
        <w:t>”</w:t>
      </w:r>
      <w:r>
        <w:rPr>
          <w:rFonts w:ascii="Times New Roman;serif" w:hAnsi="Times New Roman;serif"/>
          <w:b w:val="false"/>
          <w:color w:val="000000"/>
          <w:sz w:val="22"/>
        </w:rPr>
        <w:t>) certifies that, for value received, [•] or its assigns (the “</w:t>
      </w:r>
      <w:r>
        <w:rPr>
          <w:rFonts w:ascii="Times New Roman;serif" w:hAnsi="Times New Roman;serif"/>
          <w:b/>
          <w:i/>
          <w:color w:val="000000"/>
          <w:sz w:val="22"/>
        </w:rPr>
        <w:t>Holder</w:t>
      </w:r>
      <w:r>
        <w:rPr>
          <w:color w:val="000000"/>
        </w:rPr>
        <w:t>”</w:t>
      </w:r>
      <w:r>
        <w:rPr>
          <w:rFonts w:ascii="Times New Roman;serif" w:hAnsi="Times New Roman;serif"/>
          <w:b w:val="false"/>
          <w:color w:val="000000"/>
          <w:sz w:val="22"/>
        </w:rPr>
        <w:t>) is entitled, upon the terms and subject to the limitations on exercise and the conditions hereinafter set forth, at any time on or after the date hereof (the “</w:t>
      </w:r>
      <w:r>
        <w:rPr>
          <w:rFonts w:ascii="Times New Roman;serif" w:hAnsi="Times New Roman;serif"/>
          <w:b/>
          <w:i/>
          <w:color w:val="000000"/>
          <w:sz w:val="22"/>
        </w:rPr>
        <w:t>Initial Exercise Date</w:t>
      </w:r>
      <w:r>
        <w:rPr>
          <w:color w:val="000000"/>
        </w:rPr>
        <w:t>”</w:t>
      </w:r>
      <w:r>
        <w:rPr>
          <w:rFonts w:ascii="Times New Roman;serif" w:hAnsi="Times New Roman;serif"/>
          <w:b w:val="false"/>
          <w:color w:val="000000"/>
          <w:sz w:val="22"/>
        </w:rPr>
        <w:t>) and on or prior to 5:00 p.m. (New York City time) on April 1, 2032 (the “</w:t>
      </w:r>
      <w:r>
        <w:rPr>
          <w:rFonts w:ascii="Times New Roman;serif" w:hAnsi="Times New Roman;serif"/>
          <w:b/>
          <w:i/>
          <w:color w:val="000000"/>
          <w:sz w:val="22"/>
        </w:rPr>
        <w:t>Termination Date</w:t>
      </w:r>
      <w:r>
        <w:rPr>
          <w:color w:val="000000"/>
        </w:rPr>
        <w:t>”</w:t>
      </w:r>
      <w:r>
        <w:rPr>
          <w:rFonts w:ascii="Times New Roman;serif" w:hAnsi="Times New Roman;serif"/>
          <w:b w:val="false"/>
          <w:color w:val="000000"/>
          <w:sz w:val="22"/>
        </w:rPr>
        <w:t>) but not thereafter, to subscribe for and purchase from Solana Company, a Delaware corporation (the “</w:t>
      </w:r>
      <w:r>
        <w:rPr>
          <w:rFonts w:ascii="Times New Roman;serif" w:hAnsi="Times New Roman;serif"/>
          <w:b/>
          <w:i/>
          <w:color w:val="000000"/>
          <w:sz w:val="22"/>
        </w:rPr>
        <w:t>Company</w:t>
      </w:r>
      <w:r>
        <w:rPr>
          <w:color w:val="000000"/>
        </w:rPr>
        <w:t>”</w:t>
      </w:r>
      <w:r>
        <w:rPr>
          <w:rFonts w:ascii="Times New Roman;serif" w:hAnsi="Times New Roman;serif"/>
          <w:b w:val="false"/>
          <w:color w:val="000000"/>
          <w:sz w:val="22"/>
        </w:rPr>
        <w:t>), up to [•] shares of Class A common stock, par value $0.001 per share, of the Company (the “</w:t>
      </w:r>
      <w:r>
        <w:rPr>
          <w:rFonts w:ascii="Times New Roman;serif" w:hAnsi="Times New Roman;serif"/>
          <w:b/>
          <w:i/>
          <w:color w:val="000000"/>
          <w:sz w:val="22"/>
        </w:rPr>
        <w:t>Common Stock</w:t>
      </w:r>
      <w:r>
        <w:rPr>
          <w:color w:val="000000"/>
        </w:rPr>
        <w:t>”</w:t>
      </w:r>
      <w:r>
        <w:rPr>
          <w:rFonts w:ascii="Times New Roman;serif" w:hAnsi="Times New Roman;serif"/>
          <w:b w:val="false"/>
          <w:color w:val="000000"/>
          <w:sz w:val="22"/>
        </w:rPr>
        <w:t>) (as subject to adjustment hereunder, the “</w:t>
      </w:r>
      <w:r>
        <w:rPr>
          <w:rFonts w:ascii="Times New Roman;serif" w:hAnsi="Times New Roman;serif"/>
          <w:b/>
          <w:i/>
          <w:color w:val="000000"/>
          <w:sz w:val="22"/>
        </w:rPr>
        <w:t>Warrant Shares</w:t>
      </w:r>
      <w:r>
        <w:rPr>
          <w:color w:val="000000"/>
        </w:rPr>
        <w:t>”</w:t>
      </w:r>
      <w:r>
        <w:rPr>
          <w:rFonts w:ascii="Times New Roman;serif" w:hAnsi="Times New Roman;serif"/>
          <w:b w:val="false"/>
          <w:color w:val="000000"/>
          <w:sz w:val="22"/>
        </w:rPr>
        <w:t>). The purchase price of one share of Common Stock under this Warrant shall be equal to the Exercise Price, as defined in Section 2(b).</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1.</w:t>
      </w:r>
      <w:r>
        <w:rPr>
          <w:rFonts w:ascii="Times New Roman;serif" w:hAnsi="Times New Roman;serif"/>
          <w:b/>
          <w:color w:val="000000"/>
          <w:sz w:val="22"/>
        </w:rPr>
        <w:t>Definitions</w:t>
      </w:r>
      <w:r>
        <w:rPr>
          <w:rFonts w:ascii="Times New Roman;serif" w:hAnsi="Times New Roman;serif"/>
          <w:b w:val="false"/>
          <w:color w:val="000000"/>
          <w:sz w:val="22"/>
        </w:rPr>
        <w:t>. Capitalized terms used and not otherwise defined herein shall have the meanings set forth in that certain Securities Purchase Agreement (the “</w:t>
      </w:r>
      <w:r>
        <w:rPr>
          <w:rFonts w:ascii="Times New Roman;serif" w:hAnsi="Times New Roman;serif"/>
          <w:b/>
          <w:i/>
          <w:color w:val="000000"/>
          <w:sz w:val="22"/>
        </w:rPr>
        <w:t>Purchase Agreement</w:t>
      </w:r>
      <w:r>
        <w:rPr>
          <w:color w:val="000000"/>
        </w:rPr>
        <w:t>”</w:t>
      </w:r>
      <w:r>
        <w:rPr>
          <w:rFonts w:ascii="Times New Roman;serif" w:hAnsi="Times New Roman;serif"/>
          <w:b w:val="false"/>
          <w:color w:val="000000"/>
          <w:sz w:val="22"/>
        </w:rPr>
        <w:t>), dated September 30, 2026, among the Company and the purchasers signatory thereto.</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2.</w:t>
      </w:r>
      <w:r>
        <w:rPr>
          <w:rFonts w:ascii="Times New Roman;serif" w:hAnsi="Times New Roman;serif"/>
          <w:b/>
          <w:color w:val="000000"/>
          <w:sz w:val="22"/>
        </w:rPr>
        <w:t>Exercise</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color w:val="000000"/>
          <w:sz w:val="22"/>
        </w:rPr>
        <w:t>Exercise of Warrant</w:t>
      </w:r>
      <w:r>
        <w:rPr>
          <w:rFonts w:ascii="Times New Roman;serif" w:hAnsi="Times New Roman;serif"/>
          <w:b w:val="false"/>
          <w:color w:val="000000"/>
          <w:sz w:val="22"/>
        </w:rPr>
        <w:t>.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serif" w:hAnsi="Times New Roman;serif"/>
          <w:b/>
          <w:i/>
          <w:color w:val="000000"/>
          <w:sz w:val="22"/>
        </w:rPr>
        <w:t>Notice of Exercise</w:t>
      </w:r>
      <w:r>
        <w:rPr>
          <w:color w:val="000000"/>
        </w:rPr>
        <w:t>”</w:t>
      </w:r>
      <w:r>
        <w:rPr>
          <w:rFonts w:ascii="Times New Roman;serif" w:hAnsi="Times New Roman;serif"/>
          <w:b w:val="false"/>
          <w:color w:val="000000"/>
          <w:sz w:val="22"/>
        </w:rPr>
        <w:t xml:space="preserve">). Within the earlier of (i) one (1) Trading Day and (ii) the number of Trading Days comprising the Standard Settlement Period (as defined in Section 2(d)(i) herein)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as soon as reasonably practicable after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on the Trading Day of receipt of such notice. </w:t>
      </w:r>
      <w:r>
        <w:rPr>
          <w:rFonts w:ascii="Times New Roman;serif" w:hAnsi="Times New Roman;serif"/>
          <w:b/>
          <w:color w:val="000000"/>
          <w:sz w:val="22"/>
        </w:rPr>
        <w:t>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color w:val="000000"/>
          <w:sz w:val="22"/>
        </w:rPr>
        <w:t>Exercise Price</w:t>
      </w:r>
      <w:r>
        <w:rPr>
          <w:rFonts w:ascii="Times New Roman;serif" w:hAnsi="Times New Roman;serif"/>
          <w:b w:val="false"/>
          <w:color w:val="000000"/>
          <w:sz w:val="22"/>
        </w:rPr>
        <w:t xml:space="preserve">. The exercise price per share of Common Stock under this Warrant shall be </w:t>
      </w:r>
      <w:r>
        <w:rPr>
          <w:rFonts w:ascii="Times New Roman;serif" w:hAnsi="Times New Roman;serif"/>
          <w:b/>
          <w:color w:val="000000"/>
          <w:sz w:val="22"/>
        </w:rPr>
        <w:t>$</w:t>
      </w:r>
      <w:r>
        <w:rPr>
          <w:rFonts w:ascii="Times New Roman;serif" w:hAnsi="Times New Roman;serif"/>
          <w:b w:val="false"/>
          <w:color w:val="000000"/>
          <w:sz w:val="22"/>
        </w:rPr>
        <w:t>3.776, subject to adjustment hereunder (the “</w:t>
      </w:r>
      <w:r>
        <w:rPr>
          <w:rFonts w:ascii="Times New Roman;serif" w:hAnsi="Times New Roman;serif"/>
          <w:b/>
          <w:i/>
          <w:color w:val="000000"/>
          <w:sz w:val="22"/>
        </w:rPr>
        <w:t>Exercise Price</w:t>
      </w:r>
      <w:r>
        <w:rPr>
          <w:color w:val="000000"/>
        </w:rPr>
        <w:t>”</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color w:val="000000"/>
          <w:sz w:val="22"/>
        </w:rPr>
        <w:t>Cashless Exercise</w:t>
      </w:r>
      <w:r>
        <w:rPr>
          <w:rFonts w:ascii="Times New Roman;serif" w:hAnsi="Times New Roman;serif"/>
          <w:b w:val="false"/>
          <w:color w:val="000000"/>
          <w:sz w:val="22"/>
        </w:rPr>
        <w:t>. If at the time of exercise hereof there is no effective registration statement registering, or the prospectus contained therein is not available for the issuance of the Warrant Shares to the Holder, then this Warrant may also be exercised, in whole or in part, by means of a “</w:t>
      </w:r>
      <w:r>
        <w:rPr>
          <w:rFonts w:ascii="Times New Roman;serif" w:hAnsi="Times New Roman;serif"/>
          <w:b/>
          <w:i/>
          <w:color w:val="000000"/>
          <w:sz w:val="22"/>
        </w:rPr>
        <w:t>cashless exercise</w:t>
      </w:r>
      <w:r>
        <w:rPr>
          <w:color w:val="000000"/>
        </w:rPr>
        <w:t xml:space="preserve">” </w:t>
      </w:r>
      <w:r>
        <w:rPr>
          <w:rFonts w:ascii="Times New Roman;serif" w:hAnsi="Times New Roman;serif"/>
          <w:b w:val="false"/>
          <w:color w:val="000000"/>
          <w:sz w:val="22"/>
        </w:rPr>
        <w:t>in which the Holder shall be entitled to receive a number of Warrant Shares equal to the quotient obtained by dividing [(A-B) (X)] by (A), where:</w:t>
      </w:r>
    </w:p>
    <w:p>
      <w:pPr>
        <w:pStyle w:val="TextBody"/>
        <w:bidi w:val="0"/>
        <w:spacing w:lineRule="auto" w:line="240" w:before="0" w:after="240"/>
        <w:ind w:left="0" w:right="0" w:firstLine="2160"/>
        <w:jc w:val="both"/>
        <w:rPr/>
      </w:pPr>
      <w:r>
        <w:rPr>
          <w:rFonts w:ascii="Times New Roman;serif" w:hAnsi="Times New Roman;serif"/>
          <w:b w:val="false"/>
          <w:color w:val="000000"/>
          <w:sz w:val="22"/>
        </w:rPr>
        <w:t>(i)</w:t>
      </w:r>
      <w:r>
        <w:rPr>
          <w:rFonts w:ascii="Times New Roman;serif" w:hAnsi="Times New Roman;serif"/>
          <w:b w:val="false"/>
          <w:color w:val="000000"/>
          <w:sz w:val="22"/>
        </w:rPr>
        <w:t>=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w:t>
      </w:r>
      <w:r>
        <w:rPr>
          <w:rFonts w:ascii="Times New Roman;serif" w:hAnsi="Times New Roman;serif"/>
          <w:b/>
          <w:i/>
          <w:color w:val="000000"/>
          <w:sz w:val="22"/>
        </w:rPr>
        <w:t>regular trading hours</w:t>
      </w:r>
      <w:r>
        <w:rPr>
          <w:color w:val="000000"/>
        </w:rPr>
        <w:t xml:space="preserve">” </w:t>
      </w:r>
      <w:r>
        <w:rPr>
          <w:rFonts w:ascii="Times New Roman;serif" w:hAnsi="Times New Roman;serif"/>
          <w:b w:val="false"/>
          <w:color w:val="000000"/>
          <w:sz w:val="22"/>
        </w:rPr>
        <w:t>(as defined in Rule 600(b) of Regulation NMS promulgated under the federal securities laws) on such Trading Day, (ii) at the option of the Holder, either (x) the VWAP on the Trading Day immediately preceding the date of the applicable Notice of Exercise or (y) the Bid Price of the Common Stock on the principal Trading Market as reported by Bloomberg L.P. (“</w:t>
      </w:r>
      <w:r>
        <w:rPr>
          <w:rFonts w:ascii="Times New Roman;serif" w:hAnsi="Times New Roman;serif"/>
          <w:b/>
          <w:i/>
          <w:color w:val="000000"/>
          <w:sz w:val="22"/>
        </w:rPr>
        <w:t>Bloomberg</w:t>
      </w:r>
      <w:r>
        <w:rPr>
          <w:color w:val="000000"/>
        </w:rPr>
        <w:t>”</w:t>
      </w:r>
      <w:r>
        <w:rPr>
          <w:rFonts w:ascii="Times New Roman;serif" w:hAnsi="Times New Roman;serif"/>
          <w:b w:val="false"/>
          <w:color w:val="000000"/>
          <w:sz w:val="22"/>
        </w:rPr>
        <w:t>) as of the time of the Holder’s execution of the applicable Notice of Exercise if such Notice of Exercise is executed during “</w:t>
      </w:r>
      <w:r>
        <w:rPr>
          <w:rFonts w:ascii="Times New Roman;serif" w:hAnsi="Times New Roman;serif"/>
          <w:b/>
          <w:i/>
          <w:color w:val="000000"/>
          <w:sz w:val="22"/>
        </w:rPr>
        <w:t>regular trading hours</w:t>
      </w:r>
      <w:r>
        <w:rPr>
          <w:color w:val="000000"/>
        </w:rPr>
        <w:t xml:space="preserve">” </w:t>
      </w:r>
      <w:r>
        <w:rPr>
          <w:rFonts w:ascii="Times New Roman;serif" w:hAnsi="Times New Roman;serif"/>
          <w:b w:val="false"/>
          <w:color w:val="000000"/>
          <w:sz w:val="22"/>
        </w:rPr>
        <w:t>on a Trading Day and is delivered within two (2) hours thereafter (including until two (2) hours after the close of “</w:t>
      </w:r>
      <w:r>
        <w:rPr>
          <w:rFonts w:ascii="Times New Roman;serif" w:hAnsi="Times New Roman;serif"/>
          <w:b/>
          <w:i/>
          <w:color w:val="000000"/>
          <w:sz w:val="22"/>
        </w:rPr>
        <w:t>regular trading hours</w:t>
      </w:r>
      <w:r>
        <w:rPr>
          <w:color w:val="000000"/>
        </w:rPr>
        <w:t xml:space="preserve">” </w:t>
      </w:r>
      <w:r>
        <w:rPr>
          <w:rFonts w:ascii="Times New Roman;serif" w:hAnsi="Times New Roman;serif"/>
          <w:b w:val="false"/>
          <w:color w:val="000000"/>
          <w:sz w:val="22"/>
        </w:rPr>
        <w:t>on a Trading Day) pursuant to Section 2(a) hereof or (iii) the VWAP on the date of the applicable Notice of Exercise if the date of such Notice of Exercise is a Trading Day and such Notice of Exercise is both executed and delivered pursuant to Section 2(a) hereof after the close of “</w:t>
      </w:r>
      <w:r>
        <w:rPr>
          <w:rFonts w:ascii="Times New Roman;serif" w:hAnsi="Times New Roman;serif"/>
          <w:b/>
          <w:i/>
          <w:color w:val="000000"/>
          <w:sz w:val="22"/>
        </w:rPr>
        <w:t>regular trading hours</w:t>
      </w:r>
      <w:r>
        <w:rPr>
          <w:color w:val="000000"/>
        </w:rPr>
        <w:t xml:space="preserve">” </w:t>
      </w:r>
      <w:r>
        <w:rPr>
          <w:rFonts w:ascii="Times New Roman;serif" w:hAnsi="Times New Roman;serif"/>
          <w:b w:val="false"/>
          <w:color w:val="000000"/>
          <w:sz w:val="22"/>
        </w:rPr>
        <w:t>on such Trading Day;</w:t>
      </w:r>
    </w:p>
    <w:p>
      <w:pPr>
        <w:pStyle w:val="TextBody"/>
        <w:bidi w:val="0"/>
        <w:spacing w:lineRule="auto" w:line="240" w:before="0" w:after="240"/>
        <w:ind w:left="0" w:right="0" w:firstLine="2160"/>
        <w:jc w:val="both"/>
        <w:rPr/>
      </w:pPr>
      <w:r>
        <w:rPr>
          <w:rFonts w:ascii="Times New Roman;serif" w:hAnsi="Times New Roman;serif"/>
          <w:b w:val="false"/>
          <w:color w:val="000000"/>
          <w:sz w:val="22"/>
        </w:rPr>
        <w:t>(ii)</w:t>
      </w:r>
      <w:r>
        <w:rPr>
          <w:rFonts w:ascii="Times New Roman;serif" w:hAnsi="Times New Roman;serif"/>
          <w:b w:val="false"/>
          <w:color w:val="000000"/>
          <w:sz w:val="22"/>
        </w:rPr>
        <w:t>=     the Exercise Price, as adjusted hereunder; and</w:t>
      </w:r>
    </w:p>
    <w:p>
      <w:pPr>
        <w:pStyle w:val="TextBody"/>
        <w:bidi w:val="0"/>
        <w:spacing w:lineRule="auto" w:line="240" w:before="0" w:after="240"/>
        <w:ind w:left="0" w:right="0" w:firstLine="2160"/>
        <w:jc w:val="both"/>
        <w:rPr/>
      </w:pPr>
      <w:r>
        <w:rPr>
          <w:rFonts w:ascii="Times New Roman;serif" w:hAnsi="Times New Roman;serif"/>
          <w:b w:val="false"/>
          <w:color w:val="000000"/>
          <w:sz w:val="22"/>
        </w:rPr>
        <w:t>(iii)</w:t>
      </w:r>
      <w:r>
        <w:rPr>
          <w:rFonts w:ascii="Times New Roman;serif" w:hAnsi="Times New Roman;serif"/>
          <w:b w:val="false"/>
          <w:color w:val="000000"/>
          <w:sz w:val="22"/>
        </w:rPr>
        <w:t>=    the number of Warrant Shares that would be issuable upon exercise of this Warrant in accordance with the terms of this Warrant if such exercise were by means of a cash exercise rather than a cashless exercise.</w:t>
      </w:r>
    </w:p>
    <w:p>
      <w:pPr>
        <w:pStyle w:val="TextBody"/>
        <w:bidi w:val="0"/>
        <w:spacing w:lineRule="auto" w:line="288" w:before="0" w:after="240"/>
        <w:ind w:left="0" w:right="0" w:firstLine="144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If Warrant Shares are issued in such a cashless exercise, the parties acknowledge and agree that in accordance with Section 3(a)(9) of the Securities Act, the Warrant Shares shall take on the registered characteristics of the Warrants being exercised.  The Company agrees not to take any position contrary to this Section 2(c).</w:t>
      </w:r>
    </w:p>
    <w:p>
      <w:pPr>
        <w:pStyle w:val="TextBody"/>
        <w:bidi w:val="0"/>
        <w:spacing w:lineRule="auto" w:line="288" w:before="0" w:after="240"/>
        <w:ind w:left="0" w:right="0" w:firstLine="1440"/>
        <w:jc w:val="both"/>
        <w:rPr/>
      </w:pPr>
      <w:r>
        <w:rPr>
          <w:color w:val="000000"/>
        </w:rPr>
        <w:t>“</w:t>
      </w:r>
      <w:r>
        <w:rPr>
          <w:rFonts w:ascii="Times New Roman;serif" w:hAnsi="Times New Roman;serif"/>
          <w:b/>
          <w:i/>
          <w:color w:val="000000"/>
          <w:sz w:val="22"/>
        </w:rPr>
        <w:t>Bid Price</w:t>
      </w:r>
      <w:r>
        <w:rPr>
          <w:color w:val="000000"/>
        </w:rPr>
        <w:t xml:space="preserve">” </w:t>
      </w:r>
      <w:r>
        <w:rPr>
          <w:rFonts w:ascii="Times New Roman;serif" w:hAnsi="Times New Roman;serif"/>
          <w:b w:val="false"/>
          <w:color w:val="000000"/>
          <w:sz w:val="22"/>
        </w:rPr>
        <w:t>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 (b) if the Common Stock is not then listed or quoted on a Trading Market and if the Common Stock is listed or quoted for trading on OTCQB Venture Market (“</w:t>
      </w:r>
      <w:r>
        <w:rPr>
          <w:rFonts w:ascii="Times New Roman;serif" w:hAnsi="Times New Roman;serif"/>
          <w:b/>
          <w:i/>
          <w:color w:val="000000"/>
          <w:sz w:val="22"/>
        </w:rPr>
        <w:t>OTCQB</w:t>
      </w:r>
      <w:r>
        <w:rPr>
          <w:color w:val="000000"/>
        </w:rPr>
        <w:t>”</w:t>
      </w:r>
      <w:r>
        <w:rPr>
          <w:rFonts w:ascii="Times New Roman;serif" w:hAnsi="Times New Roman;serif"/>
          <w:b w:val="false"/>
          <w:color w:val="000000"/>
          <w:sz w:val="22"/>
        </w:rPr>
        <w:t>) or the OTCQX Best Market (“</w:t>
      </w:r>
      <w:r>
        <w:rPr>
          <w:rFonts w:ascii="Times New Roman;serif" w:hAnsi="Times New Roman;serif"/>
          <w:b/>
          <w:i/>
          <w:color w:val="000000"/>
          <w:sz w:val="22"/>
        </w:rPr>
        <w:t>OTCQX</w:t>
      </w:r>
      <w:r>
        <w:rPr>
          <w:color w:val="000000"/>
        </w:rPr>
        <w:t>”</w:t>
      </w:r>
      <w:r>
        <w:rPr>
          <w:rFonts w:ascii="Times New Roman;serif" w:hAnsi="Times New Roman;serif"/>
          <w:b w:val="false"/>
          <w:color w:val="000000"/>
          <w:sz w:val="22"/>
        </w:rPr>
        <w:t>), the volume weighted average price of the Common Stock for such date (or the nearest preceding date) on OTCQB or OTCQX as applicable, (c) if the Common Stock is not then listed or quoted for trading on a Trading Market, in OTCQB or OTCQX and if prices for the Common Stock are then reported on The Pink Open Market (“</w:t>
      </w:r>
      <w:r>
        <w:rPr>
          <w:rFonts w:ascii="Times New Roman;serif" w:hAnsi="Times New Roman;serif"/>
          <w:b/>
          <w:i/>
          <w:color w:val="000000"/>
          <w:sz w:val="22"/>
        </w:rPr>
        <w:t>Pink Market</w:t>
      </w:r>
      <w:r>
        <w:rPr>
          <w:color w:val="000000"/>
        </w:rPr>
        <w:t>”</w:t>
      </w:r>
      <w:r>
        <w:rPr>
          <w:rFonts w:ascii="Times New Roman;serif" w:hAnsi="Times New Roman;serif"/>
          <w:b w:val="false"/>
          <w:color w:val="000000"/>
          <w:sz w:val="22"/>
        </w:rPr>
        <w:t>) operated by the OTC Markets,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60655"/>
                <wp:effectExtent l="0" t="0" r="0" b="0"/>
                <wp:wrapNone/>
                <wp:docPr id="6" name="Frame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i/>
          <w:color w:val="000000"/>
          <w:sz w:val="22"/>
        </w:rPr>
        <w:t>VWAP</w:t>
      </w:r>
      <w:r>
        <w:rPr>
          <w:color w:val="000000"/>
        </w:rPr>
        <w:t xml:space="preserve">” </w:t>
      </w:r>
      <w:r>
        <w:rPr>
          <w:rFonts w:ascii="Times New Roman;serif" w:hAnsi="Times New Roman;serif"/>
          <w:b w:val="false"/>
          <w:color w:val="000000"/>
          <w:sz w:val="22"/>
        </w:rPr>
        <w:t>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the Common Stock is not then listed or quoted on a Trading Market and if the Common Stock is then listed or quoted on the OTCQB or the OTCQX, the volume weighted average price of the Common Stock for such date (or the nearest preceding date) on OTCQB or OTCQX as applicable, (c) if the Common Stock is not then listed or quoted for trading on a Trading Market, in OTCQB or OTCQX and if prices for the Common Stock are then reported on the Pink Market operated by the OTC Markets,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color w:val="000000"/>
          <w:sz w:val="22"/>
        </w:rPr>
        <w:t>Mechanics of Exercise</w:t>
      </w:r>
      <w:r>
        <w:rPr>
          <w:rFonts w:ascii="Times New Roman;serif" w:hAnsi="Times New Roman;serif"/>
          <w:b w:val="false"/>
          <w:color w:val="000000"/>
          <w:sz w:val="22"/>
        </w:rPr>
        <w:t>.</w:t>
      </w:r>
    </w:p>
    <w:p>
      <w:pPr>
        <w:pStyle w:val="TextBody"/>
        <w:bidi w:val="0"/>
        <w:spacing w:lineRule="auto" w:line="240" w:before="0" w:after="240"/>
        <w:ind w:left="0" w:right="0" w:firstLine="2160"/>
        <w:jc w:val="both"/>
        <w:rPr/>
      </w:pPr>
      <w:r>
        <w:rPr>
          <w:rFonts w:ascii="Times New Roman;serif" w:hAnsi="Times New Roman;serif"/>
          <w:b w:val="false"/>
          <w:color w:val="000000"/>
          <w:sz w:val="22"/>
        </w:rPr>
        <w:t>(i)</w:t>
      </w:r>
      <w:r>
        <w:rPr>
          <w:rFonts w:ascii="Times New Roman;serif" w:hAnsi="Times New Roman;serif"/>
          <w:b/>
          <w:color w:val="000000"/>
          <w:sz w:val="22"/>
        </w:rPr>
        <w:t>Delivery of Warrant Shares Upon Exercise</w:t>
      </w:r>
      <w:r>
        <w:rPr>
          <w:rFonts w:ascii="Times New Roman;serif" w:hAnsi="Times New Roman;serif"/>
          <w:b w:val="false"/>
          <w:color w:val="000000"/>
          <w:sz w:val="22"/>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serif" w:hAnsi="Times New Roman;serif"/>
          <w:b/>
          <w:i/>
          <w:color w:val="000000"/>
          <w:sz w:val="22"/>
        </w:rPr>
        <w:t>DWAC</w:t>
      </w:r>
      <w:r>
        <w:rPr>
          <w:color w:val="000000"/>
        </w:rPr>
        <w:t>”</w:t>
      </w:r>
      <w:r>
        <w:rPr>
          <w:rFonts w:ascii="Times New Roman;serif" w:hAnsi="Times New Roman;serif"/>
          <w:b w:val="false"/>
          <w:color w:val="000000"/>
          <w:sz w:val="22"/>
        </w:rPr>
        <w:t>) if the Company is then a participant in such system and either (A) there is an effective registration statement permitting the issuance of the Warrant Shares to or resale of the Warrant Shares by the Holder or (B) this Warrant is being exercised via cashless exercise, and otherwise by physical delivery of a certificate or by electronic delivery through books and records maintained by the Company’s transfer agent (at the election of the Holder), registered in the Company’s share register in the name of the Holder or its designee, for the number of Warrant Shares to which the Holder is entitled pursuant to such exercise to the address specified by the Holder in the Notice of Exercise by the date that is the earlier of (i) one (1) Trading Day after the delivery to the Company of the Notice of Exercise and (ii) the number of Trading Days comprising the Standard Settlement Period after the delivery to the Company of the Notice of Exercise (such date, the “</w:t>
      </w:r>
      <w:r>
        <w:rPr>
          <w:rFonts w:ascii="Times New Roman;serif" w:hAnsi="Times New Roman;serif"/>
          <w:b/>
          <w:i/>
          <w:color w:val="000000"/>
          <w:sz w:val="22"/>
        </w:rPr>
        <w:t>Warrant Share Delivery Date</w:t>
      </w:r>
      <w:r>
        <w:rPr>
          <w:color w:val="000000"/>
        </w:rPr>
        <w:t>”</w:t>
      </w:r>
      <w:r>
        <w:rPr>
          <w:rFonts w:ascii="Times New Roman;serif" w:hAnsi="Times New Roman;serif"/>
          <w:b w:val="false"/>
          <w:color w:val="000000"/>
          <w:sz w:val="22"/>
        </w:rPr>
        <w:t xml:space="preserve">). Upon delivery of the Notice of Exercise, the Holder shall be deemed for all corporate purposes to have become the holder of record of the Warrant Shares with respect to which this Warrant has been exercised, irrespective of the date of delivery of the Warrant Shares,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payment of the aggregate Exercise Price (other than in the case of a cashless exercise) is received within the earlier of (i) one (1) Trading Day and (ii) the number of Trading Days comprising the Standard Settlement Period following delivery of the Notice of Exercise.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third (3</w:t>
      </w:r>
      <w:r>
        <w:rPr>
          <w:rFonts w:ascii="Times New Roman;serif" w:hAnsi="Times New Roman;serif"/>
          <w:b w:val="false"/>
          <w:color w:val="000000"/>
          <w:sz w:val="14"/>
        </w:rPr>
        <w:t>rd</w:t>
      </w:r>
      <w:r>
        <w:rPr>
          <w:rFonts w:ascii="Times New Roman;serif" w:hAnsi="Times New Roman;serif"/>
          <w:b w:val="false"/>
          <w:color w:val="000000"/>
          <w:sz w:val="22"/>
        </w:rPr>
        <w:t>) Trading Day after the Warrant Share Delivery Date)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serif" w:hAnsi="Times New Roman;serif"/>
          <w:b/>
          <w:i/>
          <w:color w:val="000000"/>
          <w:sz w:val="22"/>
        </w:rPr>
        <w:t>Standard Settlement Period</w:t>
      </w:r>
      <w:r>
        <w:rPr>
          <w:color w:val="000000"/>
        </w:rPr>
        <w:t xml:space="preserve">” </w:t>
      </w:r>
      <w:r>
        <w:rPr>
          <w:rFonts w:ascii="Times New Roman;serif" w:hAnsi="Times New Roman;serif"/>
          <w:b w:val="false"/>
          <w:color w:val="000000"/>
          <w:sz w:val="22"/>
        </w:rPr>
        <w:t xml:space="preserve">means the standard settlement period, expressed in a number of Trading Days, on the Company’s primary Trading Market with respect to the Common Stock as in effect on the date of delivery of the Notice of Exercise. Notwithstanding the foregoing, with respect to any Notice(s) of Exercise delivered on or prior to 12:00 p.m. (New York City time) on the Initial Exercise Date, which may be delivered at any time after the time of execution of the Purchase Agreement, the Company agrees to deliver, or cause to be delivered, the Warrant Shares subject to such notice(s) by 4:00 p.m. (New York City time) on the Initial Exercise Date and the Initial Exercise Date shall be the Warrant Share Delivery Date for purposes hereunder,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payment of the aggregate Exercise Price (other than in the case of a cashless exercise) is received by such Warrant Share Delivery Date.</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60655"/>
                <wp:effectExtent l="0" t="0" r="0" b="0"/>
                <wp:wrapNone/>
                <wp:docPr id="7" name="Frame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spacing w:lineRule="auto" w:line="240" w:before="0" w:after="240"/>
        <w:ind w:left="0" w:right="0" w:firstLine="2160"/>
        <w:jc w:val="both"/>
        <w:rPr/>
      </w:pPr>
      <w:r>
        <w:rPr>
          <w:rFonts w:ascii="Times New Roman;serif" w:hAnsi="Times New Roman;serif"/>
          <w:b w:val="false"/>
          <w:color w:val="000000"/>
          <w:sz w:val="22"/>
        </w:rPr>
        <w:t>(ii)</w:t>
      </w:r>
      <w:r>
        <w:rPr>
          <w:rFonts w:ascii="Times New Roman;serif" w:hAnsi="Times New Roman;serif"/>
          <w:b/>
          <w:color w:val="000000"/>
          <w:sz w:val="22"/>
        </w:rPr>
        <w:t>Delivery of New Warrants Upon Exercise</w:t>
      </w:r>
      <w:r>
        <w:rPr>
          <w:rFonts w:ascii="Times New Roman;serif" w:hAnsi="Times New Roman;serif"/>
          <w:b w:val="false"/>
          <w:color w:val="000000"/>
          <w:sz w:val="22"/>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pStyle w:val="TextBody"/>
        <w:bidi w:val="0"/>
        <w:spacing w:lineRule="auto" w:line="240" w:before="0" w:after="240"/>
        <w:ind w:left="0" w:right="0" w:firstLine="2160"/>
        <w:jc w:val="both"/>
        <w:rPr/>
      </w:pPr>
      <w:r>
        <w:rPr>
          <w:rFonts w:ascii="Times New Roman;serif" w:hAnsi="Times New Roman;serif"/>
          <w:b w:val="false"/>
          <w:color w:val="000000"/>
          <w:sz w:val="22"/>
        </w:rPr>
        <w:t>(iii)</w:t>
      </w:r>
      <w:r>
        <w:rPr>
          <w:rFonts w:ascii="Times New Roman;serif" w:hAnsi="Times New Roman;serif"/>
          <w:b/>
          <w:color w:val="000000"/>
          <w:sz w:val="22"/>
        </w:rPr>
        <w:t>Rescission Rights</w:t>
      </w:r>
      <w:r>
        <w:rPr>
          <w:rFonts w:ascii="Times New Roman;serif" w:hAnsi="Times New Roman;serif"/>
          <w:b w:val="false"/>
          <w:color w:val="000000"/>
          <w:sz w:val="22"/>
        </w:rPr>
        <w:t>. If the Company fails to cause the Transfer Agent to transmit to the Holder the Warrant Shares pursuant to Section 2(d)(i) by the Warrant Share Delivery Date, then the Holder will have the right to rescind such exercise.</w:t>
      </w:r>
    </w:p>
    <w:p>
      <w:pPr>
        <w:pStyle w:val="TextBody"/>
        <w:bidi w:val="0"/>
        <w:spacing w:lineRule="auto" w:line="240" w:before="0" w:after="240"/>
        <w:ind w:left="0" w:right="0" w:firstLine="2160"/>
        <w:jc w:val="both"/>
        <w:rPr/>
      </w:pPr>
      <w:r>
        <w:rPr>
          <w:rFonts w:ascii="Times New Roman;serif" w:hAnsi="Times New Roman;serif"/>
          <w:b w:val="false"/>
          <w:color w:val="000000"/>
          <w:sz w:val="22"/>
        </w:rPr>
        <w:t>(iv)</w:t>
      </w:r>
      <w:r>
        <w:rPr>
          <w:rFonts w:ascii="Times New Roman;serif" w:hAnsi="Times New Roman;serif"/>
          <w:b/>
          <w:color w:val="000000"/>
          <w:sz w:val="22"/>
        </w:rPr>
        <w:t>Compensation for Buy-In on Failure to Timely Deliver Warrant Shares Upon Exercise</w:t>
      </w:r>
      <w:r>
        <w:rPr>
          <w:rFonts w:ascii="Times New Roman;serif" w:hAnsi="Times New Roman;serif"/>
          <w:b w:val="false"/>
          <w:color w:val="000000"/>
          <w:sz w:val="22"/>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(other than any such failure that is solely due to any action or inaction by the Holder with respect to such exercise),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serif" w:hAnsi="Times New Roman;serif"/>
          <w:b/>
          <w:i/>
          <w:color w:val="000000"/>
          <w:sz w:val="22"/>
        </w:rPr>
        <w:t>Buy-In</w:t>
      </w:r>
      <w:r>
        <w:rPr>
          <w:color w:val="000000"/>
        </w:rPr>
        <w:t>”</w:t>
      </w:r>
      <w:r>
        <w:rPr>
          <w:rFonts w:ascii="Times New Roman;serif" w:hAnsi="Times New Roman;serif"/>
          <w:b w:val="false"/>
          <w:color w:val="000000"/>
          <w:sz w:val="22"/>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but did not timely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shares of Common Stock having a total purchase price of $11,000 to cover a Buy-In with respect to an attempted exercise of Warrants for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pStyle w:val="TextBody"/>
        <w:bidi w:val="0"/>
        <w:spacing w:lineRule="auto" w:line="240" w:before="0" w:after="240"/>
        <w:ind w:left="0" w:right="0" w:firstLine="2160"/>
        <w:jc w:val="both"/>
        <w:rPr/>
      </w:pPr>
      <w:r>
        <w:rPr>
          <w:rFonts w:ascii="Times New Roman;serif" w:hAnsi="Times New Roman;serif"/>
          <w:b w:val="false"/>
          <w:color w:val="000000"/>
          <w:sz w:val="22"/>
        </w:rPr>
        <w:t>(v)</w:t>
      </w:r>
      <w:r>
        <w:rPr>
          <w:rFonts w:ascii="Times New Roman;serif" w:hAnsi="Times New Roman;serif"/>
          <w:b/>
          <w:color w:val="000000"/>
          <w:sz w:val="22"/>
        </w:rPr>
        <w:t>No Fractional Shares or Scrip</w:t>
      </w:r>
      <w:r>
        <w:rPr>
          <w:rFonts w:ascii="Times New Roman;serif" w:hAnsi="Times New Roman;serif"/>
          <w:b w:val="false"/>
          <w:color w:val="000000"/>
          <w:sz w:val="22"/>
        </w:rPr>
        <w:t>. No fractional shares or scrip representing fractional shares shall be issued upon the exercise of this Warrant. As to any fraction of a share which the Holder would otherwise be entitled to purchase upon such exercise, the number of Warrant Shares to be issued shall be rounded down to the nearest whole number and the Company shall pay a cash adjustment in respect of such final fraction in an amount equal to such fraction multiplied by the Exercise Price.</w:t>
      </w:r>
    </w:p>
    <w:p>
      <w:pPr>
        <w:pStyle w:val="TextBody"/>
        <w:bidi w:val="0"/>
        <w:spacing w:lineRule="auto" w:line="240" w:before="0" w:after="240"/>
        <w:ind w:left="0" w:right="0" w:firstLine="2160"/>
        <w:jc w:val="both"/>
        <w:rPr/>
      </w:pPr>
      <w:r>
        <w:rPr>
          <w:rFonts w:ascii="Times New Roman;serif" w:hAnsi="Times New Roman;serif"/>
          <w:b w:val="false"/>
          <w:color w:val="000000"/>
          <w:sz w:val="22"/>
        </w:rPr>
        <w:t>(vi)</w:t>
      </w:r>
      <w:r>
        <w:rPr>
          <w:rFonts w:ascii="Times New Roman;serif" w:hAnsi="Times New Roman;serif"/>
          <w:b/>
          <w:color w:val="000000"/>
          <w:sz w:val="22"/>
        </w:rPr>
        <w:t>Charges, Taxes and Expenses</w:t>
      </w:r>
      <w:r>
        <w:rPr>
          <w:rFonts w:ascii="Times New Roman;serif" w:hAnsi="Times New Roman;serif"/>
          <w:b w:val="false"/>
          <w:color w:val="000000"/>
          <w:sz w:val="22"/>
        </w:rPr>
        <w:t xml:space="preserve">. Issuance and delivery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60655"/>
                <wp:effectExtent l="0" t="0" r="0" b="0"/>
                <wp:wrapNone/>
                <wp:docPr id="8" name="Frame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xbxContent>
                </v:textbox>
                <w10:wrap type="none"/>
              </v:rect>
            </w:pict>
          </mc:Fallback>
        </mc:AlternateContent>
      </w:r>
    </w:p>
    <w:p>
      <w:pPr>
        <w:pStyle w:val="TextBody"/>
        <w:bidi w:val="0"/>
        <w:spacing w:lineRule="auto" w:line="240" w:before="0" w:after="240"/>
        <w:ind w:left="0" w:right="0" w:firstLine="2160"/>
        <w:jc w:val="both"/>
        <w:rPr/>
      </w:pPr>
      <w:r>
        <w:rPr>
          <w:rFonts w:ascii="Times New Roman;serif" w:hAnsi="Times New Roman;serif"/>
          <w:b w:val="false"/>
          <w:color w:val="000000"/>
          <w:sz w:val="22"/>
        </w:rPr>
        <w:t>(vii)</w:t>
      </w:r>
      <w:r>
        <w:rPr>
          <w:rFonts w:ascii="Times New Roman;serif" w:hAnsi="Times New Roman;serif"/>
          <w:b/>
          <w:color w:val="000000"/>
          <w:sz w:val="22"/>
        </w:rPr>
        <w:t>Closing of Books</w:t>
      </w:r>
      <w:r>
        <w:rPr>
          <w:rFonts w:ascii="Times New Roman;serif" w:hAnsi="Times New Roman;serif"/>
          <w:b w:val="false"/>
          <w:color w:val="000000"/>
          <w:sz w:val="22"/>
        </w:rPr>
        <w:t>. The Company will not close its stockholder books or records in any manner which prevents the timely exercise of this Warrant, pursuant to the terms hereof.</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color w:val="000000"/>
          <w:sz w:val="22"/>
        </w:rPr>
        <w:t xml:space="preserve">Holder’s Exercise Limitations. </w:t>
      </w:r>
      <w:r>
        <w:rPr>
          <w:rFonts w:ascii="Times New Roman;serif" w:hAnsi="Times New Roman;serif"/>
          <w:b w:val="false"/>
          <w:color w:val="000000"/>
          <w:sz w:val="22"/>
        </w:rPr>
        <w:t>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any other Persons acting as a group together with the Holder or any of the Holder’s Affiliates, and any other Persons whose beneficial ownership of the shares of Common Stock would or could be aggregated with the Holder’s for the purposes of Section 13(d) of the Exchange Act (such Persons, “</w:t>
      </w:r>
      <w:r>
        <w:rPr>
          <w:rFonts w:ascii="Times New Roman;serif" w:hAnsi="Times New Roman;serif"/>
          <w:b/>
          <w:i/>
          <w:color w:val="000000"/>
          <w:sz w:val="22"/>
        </w:rPr>
        <w:t>Attribution Parties</w:t>
      </w:r>
      <w:r>
        <w:rPr>
          <w:color w:val="000000"/>
        </w:rPr>
        <w:t>”</w:t>
      </w:r>
      <w:r>
        <w:rPr>
          <w:rFonts w:ascii="Times New Roman;serif" w:hAnsi="Times New Roman;serif"/>
          <w:b w:val="false"/>
          <w:color w:val="000000"/>
          <w:sz w:val="22"/>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(other than to the extent that the information on the number of outstanding shares of Common Stock is provided by the Company, either directly or through one or more public filings relied upon by the Holder).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serif" w:hAnsi="Times New Roman;serif"/>
          <w:b/>
          <w:i/>
          <w:color w:val="000000"/>
          <w:sz w:val="22"/>
        </w:rPr>
        <w:t>Beneficial Ownership Limitation</w:t>
      </w:r>
      <w:r>
        <w:rPr>
          <w:color w:val="000000"/>
        </w:rPr>
        <w:t xml:space="preserve">” </w:t>
      </w:r>
      <w:r>
        <w:rPr>
          <w:rFonts w:ascii="Times New Roman;serif" w:hAnsi="Times New Roman;serif"/>
          <w:b w:val="false"/>
          <w:color w:val="000000"/>
          <w:sz w:val="22"/>
        </w:rPr>
        <w:t xml:space="preserve">shall be 4.99% (or, upon election by a Holder prior to the issuance of any Warrants, 9.99%) of the number of shares of Common Stock outstanding immediately after giving effect to the issuance of shares of Common Stock issuable upon exercise of this Warrant. The Holder, upon notice to the Company, may increase or decrease the Beneficial Ownership Limitation provisions of this Section 2(e),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2(e) shall continue to apply. Any increase in the Beneficial Ownership Limitation will not be effective until the 61</w:t>
      </w:r>
      <w:r>
        <w:rPr>
          <w:rFonts w:ascii="Times New Roman;serif" w:hAnsi="Times New Roman;serif"/>
          <w:b w:val="false"/>
          <w:color w:val="000000"/>
          <w:sz w:val="14"/>
        </w:rPr>
        <w:t>st</w:t>
      </w:r>
      <w:r>
        <w:rPr>
          <w:color w:val="000000"/>
        </w:rPr>
        <w:t xml:space="preserve"> </w:t>
      </w:r>
      <w:r>
        <w:rPr>
          <w:rFonts w:ascii="Times New Roman;serif" w:hAnsi="Times New Roman;serif"/>
          <w:b w:val="false"/>
          <w:color w:val="000000"/>
          <w:sz w:val="22"/>
        </w:rPr>
        <w:t xml:space="preserve">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60655"/>
                <wp:effectExtent l="0" t="0" r="0" b="0"/>
                <wp:wrapNone/>
                <wp:docPr id="9" name="Frame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desirable to properly give effect to such limitation. The limitations contained in this paragraph shall apply to a successor holder of this Warrant.</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3.</w:t>
      </w:r>
      <w:r>
        <w:rPr>
          <w:rFonts w:ascii="Times New Roman;serif" w:hAnsi="Times New Roman;serif"/>
          <w:b/>
          <w:color w:val="000000"/>
          <w:sz w:val="22"/>
        </w:rPr>
        <w:t>Certain Adjustments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color w:val="000000"/>
          <w:sz w:val="22"/>
        </w:rPr>
        <w:t>Stock Dividends and Splits</w:t>
      </w:r>
      <w:r>
        <w:rPr>
          <w:rFonts w:ascii="Times New Roman;serif" w:hAnsi="Times New Roman;serif"/>
          <w:b w:val="false"/>
          <w:color w:val="000000"/>
          <w:sz w:val="22"/>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Warrant Shares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color w:val="000000"/>
          <w:sz w:val="22"/>
        </w:rPr>
        <w:t>Subsequent Rights Offerings</w:t>
      </w:r>
      <w:r>
        <w:rPr>
          <w:rFonts w:ascii="Times New Roman;serif" w:hAnsi="Times New Roman;serif"/>
          <w:b w:val="false"/>
          <w:color w:val="000000"/>
          <w:sz w:val="22"/>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Times New Roman;serif" w:hAnsi="Times New Roman;serif"/>
          <w:b/>
          <w:i/>
          <w:color w:val="000000"/>
          <w:sz w:val="22"/>
        </w:rPr>
        <w:t>Purchase Rights</w:t>
      </w:r>
      <w:r>
        <w:rPr>
          <w:color w:val="000000"/>
        </w:rPr>
        <w:t>”</w:t>
      </w:r>
      <w:r>
        <w:rPr>
          <w:rFonts w:ascii="Times New Roman;serif" w:hAnsi="Times New Roman;serif"/>
          <w:b w:val="false"/>
          <w:color w:val="000000"/>
          <w:sz w:val="22"/>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color w:val="000000"/>
          <w:sz w:val="22"/>
        </w:rPr>
        <w:t>Pro Rata Distributions</w:t>
      </w:r>
      <w:r>
        <w:rPr>
          <w:rFonts w:ascii="Times New Roman;serif" w:hAnsi="Times New Roman;serif"/>
          <w:b w:val="false"/>
          <w:color w:val="000000"/>
          <w:sz w:val="22"/>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serif" w:hAnsi="Times New Roman;serif"/>
          <w:b/>
          <w:i/>
          <w:color w:val="000000"/>
          <w:sz w:val="22"/>
        </w:rPr>
        <w:t>Distribution</w:t>
      </w:r>
      <w:r>
        <w:rPr>
          <w:color w:val="000000"/>
        </w:rPr>
        <w:t>”</w:t>
      </w:r>
      <w:r>
        <w:rPr>
          <w:rFonts w:ascii="Times New Roman;serif" w:hAnsi="Times New Roman;serif"/>
          <w:b w:val="false"/>
          <w:color w:val="000000"/>
          <w:sz w:val="22"/>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60655"/>
                <wp:effectExtent l="0" t="0" r="0" b="0"/>
                <wp:wrapNone/>
                <wp:docPr id="10" name="Frame1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color w:val="000000"/>
          <w:sz w:val="22"/>
        </w:rPr>
        <w:t>Fundamental Transaction</w:t>
      </w:r>
      <w:r>
        <w:rPr>
          <w:rFonts w:ascii="Times New Roman;serif" w:hAnsi="Times New Roman;serif"/>
          <w:b w:val="false"/>
          <w:color w:val="000000"/>
          <w:sz w:val="22"/>
        </w:rPr>
        <w:t>. If, at any time while this Warrant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outstanding shares of Common Stock or 50% or more of the voting power of the outstanding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50% or more of the outstanding shares of Common Stock or 50% or more of the voting power of the outstanding common equity of the Company (each a “</w:t>
      </w:r>
      <w:r>
        <w:rPr>
          <w:rFonts w:ascii="Times New Roman;serif" w:hAnsi="Times New Roman;serif"/>
          <w:b/>
          <w:i/>
          <w:color w:val="000000"/>
          <w:sz w:val="22"/>
        </w:rPr>
        <w:t>Fundamental Transaction</w:t>
      </w:r>
      <w:r>
        <w:rPr>
          <w:color w:val="000000"/>
        </w:rPr>
        <w:t>”</w:t>
      </w:r>
      <w:r>
        <w:rPr>
          <w:rFonts w:ascii="Times New Roman;serif" w:hAnsi="Times New Roman;serif"/>
          <w:b w:val="false"/>
          <w:color w:val="000000"/>
          <w:sz w:val="22"/>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Times New Roman;serif" w:hAnsi="Times New Roman;serif"/>
          <w:b/>
          <w:i/>
          <w:color w:val="000000"/>
          <w:sz w:val="22"/>
        </w:rPr>
        <w:t>Alternate Consideration</w:t>
      </w:r>
      <w:r>
        <w:rPr>
          <w:color w:val="000000"/>
        </w:rPr>
        <w:t>”</w:t>
      </w:r>
      <w:r>
        <w:rPr>
          <w:rFonts w:ascii="Times New Roman;serif" w:hAnsi="Times New Roman;serif"/>
          <w:b w:val="false"/>
          <w:color w:val="000000"/>
          <w:sz w:val="22"/>
        </w:rPr>
        <w:t xml:space="preserve">) receivable as a result of such Fundamental Transaction by a holder of the number of shares of Common Stock for which this Warrant is exercisable immediately prior to such Fundamental Transaction (without regard to any limitation in Section 2(e) on the exercise of this Warrant). For the avoidance of doubt, the Holder’s option in the preceding sentence does not entitle the Holder to receive Warrant Shares in lieu of the Alternate Consideration, and nothing in this sentence limits the Holder’s right to receive the Black Scholes Value under this Section 3(d).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fair value of any different components of the Alternate Consideration, as determined in good faith by the Board of Directors of the Company.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thirty (30) days after, the consummation of the Fundamental Transaction (or, if later, the date of the public announcement of the applicable Fundamental Transaction), purchase this Warrant from the Holder by paying to the Holder an amount of cash equal to the Black Scholes Value (as defined below) of the remaining unexercised portion of this Warrant on the date of the consummation of such Fundamental Transaction; </w:t>
      </w:r>
      <w:r>
        <w:rPr>
          <w:rFonts w:ascii="Times New Roman;serif" w:hAnsi="Times New Roman;serif"/>
          <w:b w:val="false"/>
          <w:i/>
          <w:color w:val="000000"/>
          <w:sz w:val="22"/>
        </w:rPr>
        <w:t>provided</w:t>
      </w:r>
      <w:r>
        <w:rPr>
          <w:rFonts w:ascii="Times New Roman;serif" w:hAnsi="Times New Roman;serif"/>
          <w:b w:val="false"/>
          <w:color w:val="000000"/>
          <w:sz w:val="22"/>
        </w:rPr>
        <w:t>,</w:t>
      </w:r>
      <w:r>
        <w:rPr>
          <w:color w:val="000000"/>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xml:space="preserve">, that, if the Fundamental Transaction is not within the Company's control, including not approved by the Company's Board of Directors, the Holder shall only be entitled to receive from the Company or any Successor Entity, as of the date of the consummation of such Fundamental Transaction, the same type or form of consideration (and in the same proportion), valued at the Black Scholes Value of the unexercised portion of this Warrant,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further</w:t>
      </w:r>
      <w:r>
        <w:rPr>
          <w:rFonts w:ascii="Times New Roman;serif" w:hAnsi="Times New Roman;serif"/>
          <w:b w:val="false"/>
          <w:color w:val="000000"/>
          <w:sz w:val="22"/>
        </w:rPr>
        <w:t>, that if holders of Common Stock of the Company are not offered or paid any consideration in such Fundamental Transaction, such holders of Common Stock will be deemed to have received common stock of the Successor Entity (which Successor Entity may be the Company following such Fundamental Transaction) in such Fundamental Transaction. “</w:t>
      </w:r>
      <w:r>
        <w:rPr>
          <w:rFonts w:ascii="Times New Roman;serif" w:hAnsi="Times New Roman;serif"/>
          <w:b/>
          <w:i/>
          <w:color w:val="000000"/>
          <w:sz w:val="22"/>
        </w:rPr>
        <w:t>Black Scholes Value</w:t>
      </w:r>
      <w:r>
        <w:rPr>
          <w:color w:val="000000"/>
        </w:rPr>
        <w:t xml:space="preserve">” </w:t>
      </w:r>
      <w:r>
        <w:rPr>
          <w:rFonts w:ascii="Times New Roman;serif" w:hAnsi="Times New Roman;serif"/>
          <w:b w:val="false"/>
          <w:color w:val="000000"/>
          <w:sz w:val="22"/>
        </w:rPr>
        <w:t>means the value of this Warrant based on the Black-Scholes Option Pricing Model obtained from the “</w:t>
      </w:r>
      <w:r>
        <w:rPr>
          <w:rFonts w:ascii="Times New Roman;serif" w:hAnsi="Times New Roman;serif"/>
          <w:b/>
          <w:i/>
          <w:color w:val="000000"/>
          <w:sz w:val="22"/>
        </w:rPr>
        <w:t>OV</w:t>
      </w:r>
      <w:r>
        <w:rPr>
          <w:color w:val="000000"/>
        </w:rPr>
        <w:t xml:space="preserve">” </w:t>
      </w:r>
      <w:r>
        <w:rPr>
          <w:rFonts w:ascii="Times New Roman;serif" w:hAnsi="Times New Roman;serif"/>
          <w:b w:val="false"/>
          <w:color w:val="000000"/>
          <w:sz w:val="22"/>
        </w:rPr>
        <w:t xml:space="preserve">function on Bloomberg determined as of the day of consummation of the applicable Fundamental Transaction for pricing purposes and reflecting (A) a risk-free interest rate corresponding to the U.S. Treasury rate for a period equal to the time between the date of the public </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60655"/>
                <wp:effectExtent l="0" t="0" r="0" b="0"/>
                <wp:wrapNone/>
                <wp:docPr id="11" name="Frame1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announcement of the applicable Fundamental Transaction and the Termination Date, (B) an expected volatility equal to the greater of (1) 30 day volatility and (2) 100 day volatility, in each case as obtained from the HVT function on Bloomberg (determined utilizing a 365 day annualization factor) as of the Trading Day immediately preceding the public announcement of the applicable Fundamental Transaction, (C) the underlying price per share used in such calculation shall be the sum of the price per share being offered in cash, if any, plus the value of any non-cash consideration, if any, being offered in such Fundamental Transaction (or, if no such consideration is offered, the VWAP on the Trading Day immediately following the public announcement of the applicable Fundamental Transaction (or the consummation of the applicable Fundamental Transaction, if earlier)) pursuant to this Section 3(d) and (D) a remaining option time equal to the time between the date of the public announcement of the applicable Fundamental Transaction and the Termination Date and (E) a zero cost of borrow. The Black Scholes Value shall be determined as of the date of consummation of the Fundamental Transaction, irrespective of the date on which the Holder delivers its election. The payment of the Black Scholes Value will be made by wire transfer of immediately available funds (or such other consideration) within the later of (i) five Business Days of the Holder’s election and (ii) the date of consummation of the Fundamental Transaction. The Company shall cause any successor entity in a Fundamental Transaction in which the Company is not the survivor (the “</w:t>
      </w:r>
      <w:r>
        <w:rPr>
          <w:rFonts w:ascii="Times New Roman;serif" w:hAnsi="Times New Roman;serif"/>
          <w:b/>
          <w:i/>
          <w:color w:val="000000"/>
          <w:sz w:val="22"/>
        </w:rPr>
        <w:t>Successor Entity</w:t>
      </w:r>
      <w:r>
        <w:rPr>
          <w:color w:val="000000"/>
        </w:rPr>
        <w:t>”</w:t>
      </w:r>
      <w:r>
        <w:rPr>
          <w:rFonts w:ascii="Times New Roman;serif" w:hAnsi="Times New Roman;serif"/>
          <w:b w:val="false"/>
          <w:color w:val="000000"/>
          <w:sz w:val="22"/>
        </w:rPr>
        <w:t>) to assume in writing all of the obligations of the Company under this Warrant and the other Transaction Documents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and the other Transaction Documents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and the other Transaction Documents with the same effect as if the Company and such Successor Entity or Successor Entities, jointly and severally, had been named as the Company herein. For the avoidance of doubt, the Holder shall be entitled to the benefits of the provisions of this Section 3(d) regardless of (i) whether the Company has sufficient authorized shares of Common Stock for the issuance of Warrant Shares and/or (ii) whether a Fundamental Transaction occurs prior to the Initial Exercise Date.</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color w:val="000000"/>
          <w:sz w:val="22"/>
        </w:rPr>
        <w:t>Calculations</w:t>
      </w:r>
      <w:r>
        <w:rPr>
          <w:rFonts w:ascii="Times New Roman;serif" w:hAnsi="Times New Roman;serif"/>
          <w:b w:val="false"/>
          <w:color w:val="000000"/>
          <w:sz w:val="22"/>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60655"/>
                <wp:effectExtent l="0" t="0" r="0" b="0"/>
                <wp:wrapNone/>
                <wp:docPr id="12" name="Frame1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rFonts w:ascii="Times New Roman;serif" w:hAnsi="Times New Roman;serif"/>
          <w:b/>
          <w:color w:val="000000"/>
          <w:sz w:val="22"/>
        </w:rPr>
        <w:t>Notice to Holder</w:t>
      </w:r>
      <w:r>
        <w:rPr>
          <w:rFonts w:ascii="Times New Roman;serif" w:hAnsi="Times New Roman;serif"/>
          <w:b w:val="false"/>
          <w:color w:val="000000"/>
          <w:sz w:val="22"/>
        </w:rPr>
        <w:t>.</w:t>
      </w:r>
    </w:p>
    <w:p>
      <w:pPr>
        <w:pStyle w:val="TextBody"/>
        <w:bidi w:val="0"/>
        <w:spacing w:lineRule="auto" w:line="240" w:before="0" w:after="240"/>
        <w:ind w:left="0" w:right="0" w:firstLine="2160"/>
        <w:jc w:val="both"/>
        <w:rPr/>
      </w:pPr>
      <w:r>
        <w:rPr>
          <w:rFonts w:ascii="Times New Roman;serif" w:hAnsi="Times New Roman;serif"/>
          <w:b w:val="false"/>
          <w:color w:val="000000"/>
          <w:sz w:val="22"/>
        </w:rPr>
        <w:t>(i)</w:t>
      </w:r>
      <w:r>
        <w:rPr>
          <w:rFonts w:ascii="Times New Roman;serif" w:hAnsi="Times New Roman;serif"/>
          <w:b/>
          <w:color w:val="000000"/>
          <w:sz w:val="22"/>
        </w:rPr>
        <w:t>Adjustment to Exercise Price</w:t>
      </w:r>
      <w:r>
        <w:rPr>
          <w:rFonts w:ascii="Times New Roman;serif" w:hAnsi="Times New Roman;serif"/>
          <w:b w:val="false"/>
          <w:color w:val="000000"/>
          <w:sz w:val="22"/>
        </w:rPr>
        <w:t>.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 For purposes of clarification, whether or not the Company provides any such notice, each Holder shall only be required to pay the adjusted Exercise Price with respect to such exercise, regardless of whether a Holder accurately refers to such price in any Notice of Exercise If the aggregate Exercise Price paid by the Holder exceeds the amount that should have been paid based on the adjusted Exercise Price, the Company shall promptly return any excess aggregate Exercise Price to the Holder.</w:t>
      </w:r>
    </w:p>
    <w:p>
      <w:pPr>
        <w:pStyle w:val="TextBody"/>
        <w:bidi w:val="0"/>
        <w:spacing w:lineRule="auto" w:line="240" w:before="0" w:after="240"/>
        <w:ind w:left="0" w:right="0" w:firstLine="2160"/>
        <w:jc w:val="both"/>
        <w:rPr/>
      </w:pPr>
      <w:r>
        <w:rPr>
          <w:rFonts w:ascii="Times New Roman;serif" w:hAnsi="Times New Roman;serif"/>
          <w:b w:val="false"/>
          <w:color w:val="000000"/>
          <w:sz w:val="22"/>
        </w:rPr>
        <w:t>(ii)</w:t>
      </w:r>
      <w:r>
        <w:rPr>
          <w:rFonts w:ascii="Times New Roman;serif" w:hAnsi="Times New Roman;serif"/>
          <w:b/>
          <w:color w:val="000000"/>
          <w:sz w:val="22"/>
        </w:rPr>
        <w:t>Notice to Allow Exercise by Holder</w:t>
      </w:r>
      <w:r>
        <w:rPr>
          <w:rFonts w:ascii="Times New Roman;serif" w:hAnsi="Times New Roman;serif"/>
          <w:b w:val="false"/>
          <w:color w:val="000000"/>
          <w:sz w:val="22"/>
        </w:rPr>
        <w:t xml:space="preserve">. If, while the Warrant is outstanding,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(or any of its Subsidiaries) is a party, any sale or transfer of all or substantially all of its assets, or any compulsory share exchange whereby the Common Stock is converted into other securities, cash or property, or any Fundamental Transaction,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pStyle w:val="TextBody"/>
        <w:bidi w:val="0"/>
        <w:spacing w:lineRule="auto" w:line="240" w:before="0" w:after="240"/>
        <w:ind w:left="0" w:right="0" w:firstLine="2160"/>
        <w:jc w:val="both"/>
        <w:rPr/>
      </w:pPr>
      <w:r>
        <w:rPr>
          <w:rFonts w:ascii="Times New Roman;serif" w:hAnsi="Times New Roman;serif"/>
          <w:b w:val="false"/>
          <w:color w:val="000000"/>
          <w:sz w:val="22"/>
        </w:rPr>
        <w:t>(iii)</w:t>
      </w:r>
      <w:r>
        <w:rPr>
          <w:rFonts w:ascii="Times New Roman;serif" w:hAnsi="Times New Roman;serif"/>
          <w:b/>
          <w:color w:val="000000"/>
          <w:sz w:val="22"/>
        </w:rPr>
        <w:t>Voluntary Adjustment By Company</w:t>
      </w:r>
      <w:r>
        <w:rPr>
          <w:rFonts w:ascii="Times New Roman;serif" w:hAnsi="Times New Roman;serif"/>
          <w:b w:val="false"/>
          <w:color w:val="000000"/>
          <w:sz w:val="22"/>
        </w:rPr>
        <w:t>. Subject to the rules and regulations of the Trading Market, the Company may at any time during the term of this Warrant reduce the then current Exercise Price to any amount and for any period of time deemed appropriate by the board of directors of the Company.</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60655"/>
                <wp:effectExtent l="0" t="0" r="0" b="0"/>
                <wp:wrapNone/>
                <wp:docPr id="13" name="Frame1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4.</w:t>
      </w:r>
      <w:r>
        <w:rPr>
          <w:rFonts w:ascii="Times New Roman;serif" w:hAnsi="Times New Roman;serif"/>
          <w:b/>
          <w:color w:val="000000"/>
          <w:sz w:val="22"/>
        </w:rPr>
        <w:t>Transfer of Warrant</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color w:val="000000"/>
          <w:sz w:val="22"/>
        </w:rPr>
        <w:t>Transferability</w:t>
      </w:r>
      <w:r>
        <w:rPr>
          <w:rFonts w:ascii="Times New Roman;serif" w:hAnsi="Times New Roman;serif"/>
          <w:b w:val="false"/>
          <w:color w:val="000000"/>
          <w:sz w:val="22"/>
        </w:rPr>
        <w:t>. Subject to compliance with any applicable securities laws,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color w:val="000000"/>
          <w:sz w:val="22"/>
        </w:rPr>
        <w:t>New Warrants</w:t>
      </w:r>
      <w:r>
        <w:rPr>
          <w:rFonts w:ascii="Times New Roman;serif" w:hAnsi="Times New Roman;serif"/>
          <w:b w:val="false"/>
          <w:color w:val="000000"/>
          <w:sz w:val="22"/>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issuance date of this Warrant and shall be identical with this Warrant except as to the number of Warrant Shares issuable pursuant thereto.</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color w:val="000000"/>
          <w:sz w:val="22"/>
        </w:rPr>
        <w:t>Warrant Register</w:t>
      </w:r>
      <w:r>
        <w:rPr>
          <w:rFonts w:ascii="Times New Roman;serif" w:hAnsi="Times New Roman;serif"/>
          <w:b w:val="false"/>
          <w:color w:val="000000"/>
          <w:sz w:val="22"/>
        </w:rPr>
        <w:t>. The Company shall register this Warrant, upon records to be maintained by the Company for that purpose (the “</w:t>
      </w:r>
      <w:r>
        <w:rPr>
          <w:rFonts w:ascii="Times New Roman;serif" w:hAnsi="Times New Roman;serif"/>
          <w:b/>
          <w:i/>
          <w:color w:val="000000"/>
          <w:sz w:val="22"/>
        </w:rPr>
        <w:t>Warrant Register</w:t>
      </w:r>
      <w:r>
        <w:rPr>
          <w:color w:val="000000"/>
        </w:rPr>
        <w:t>”</w:t>
      </w:r>
      <w:r>
        <w:rPr>
          <w:rFonts w:ascii="Times New Roman;serif" w:hAnsi="Times New Roman;serif"/>
          <w:b w:val="false"/>
          <w:color w:val="000000"/>
          <w:sz w:val="22"/>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5.</w:t>
      </w:r>
      <w:r>
        <w:rPr>
          <w:rFonts w:ascii="Times New Roman;serif" w:hAnsi="Times New Roman;serif"/>
          <w:b/>
          <w:color w:val="000000"/>
          <w:sz w:val="22"/>
        </w:rPr>
        <w:t>Miscellaneous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color w:val="000000"/>
          <w:sz w:val="22"/>
        </w:rPr>
        <w:t>Option for Soft Call.</w:t>
      </w:r>
      <w:r>
        <w:rPr>
          <w:color w:val="000000"/>
        </w:rPr>
        <w:t xml:space="preserve"> </w:t>
      </w:r>
      <w:r>
        <w:rPr>
          <w:rFonts w:ascii="Times New Roman;serif" w:hAnsi="Times New Roman;serif"/>
          <w:b w:val="false"/>
          <w:color w:val="000000"/>
          <w:sz w:val="22"/>
        </w:rPr>
        <w:t>Subject to the Beneficial Ownership Limitation set forth in Section 2(e), the Company may require the Holder of this outstanding Warrant to exercise such Warrant in full, or in part (with any partial exercise to be applied to all outstanding Warrants pro rata), at the option of the Company, upon notice to the Holder of this Warrant as described in Section 5(b) below; provided that, prior to and as of the Soft Call Date (as defined in Section 5(b)) (a) the Reference Value (as defined herein) has exceeded 300% of the Exercise Price (subject to adjustment in compliance with Section 3 hereof) (x) for at least one Measurement Period (as defined below) and (y) for each of the last five (5) consecutive trading days during the Measurement Period; and (b) the Company has an effective registration statement, including any required prospectus or prospectus supplement, registering the resale by the Holder of the Warrant Shares issuable upon exercise of the Warrant. As used in this Warrant, “</w:t>
      </w:r>
      <w:r>
        <w:rPr>
          <w:rFonts w:ascii="Times New Roman;serif" w:hAnsi="Times New Roman;serif"/>
          <w:b/>
          <w:i/>
          <w:color w:val="000000"/>
          <w:sz w:val="22"/>
        </w:rPr>
        <w:t>Reference Value</w:t>
      </w:r>
      <w:r>
        <w:rPr>
          <w:color w:val="000000"/>
        </w:rPr>
        <w:t xml:space="preserve">” </w:t>
      </w:r>
      <w:r>
        <w:rPr>
          <w:rFonts w:ascii="Times New Roman;serif" w:hAnsi="Times New Roman;serif"/>
          <w:b w:val="false"/>
          <w:color w:val="000000"/>
          <w:sz w:val="22"/>
        </w:rPr>
        <w:t>shall mean the daily VWAP (as defined in Section 2 herein) of the Warrant Shares during any twenty (20) trading days within a thirty (30) trading-day period ending on the first trading day prior to the date on which the notice to the Holder of Warrant is given pursuant to Section 5(b) below (the “</w:t>
      </w:r>
      <w:r>
        <w:rPr>
          <w:rFonts w:ascii="Times New Roman;serif" w:hAnsi="Times New Roman;serif"/>
          <w:b/>
          <w:i/>
          <w:color w:val="000000"/>
          <w:sz w:val="22"/>
        </w:rPr>
        <w:t>Measurement Period</w:t>
      </w:r>
      <w:r>
        <w:rPr>
          <w:color w:val="000000"/>
        </w:rPr>
        <w:t>”</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60655"/>
                <wp:effectExtent l="0" t="0" r="0" b="0"/>
                <wp:wrapNone/>
                <wp:docPr id="14" name="Frame1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color w:val="000000"/>
          <w:sz w:val="22"/>
        </w:rPr>
        <w:t>Date for and Notice of Soft Call.</w:t>
      </w:r>
      <w:r>
        <w:rPr>
          <w:color w:val="000000"/>
        </w:rPr>
        <w:t xml:space="preserve"> </w:t>
      </w:r>
      <w:r>
        <w:rPr>
          <w:rFonts w:ascii="Times New Roman;serif" w:hAnsi="Times New Roman;serif"/>
          <w:b w:val="false"/>
          <w:color w:val="000000"/>
          <w:sz w:val="22"/>
        </w:rPr>
        <w:t>In the event that the Company elects to mandate the exercise of the Warrant pursuant to Section 5(a), the Company shall fix a date for the exercise of the Warrant which shall be no earlier than the third (3</w:t>
      </w:r>
      <w:r>
        <w:rPr>
          <w:rFonts w:ascii="Times New Roman;serif" w:hAnsi="Times New Roman;serif"/>
          <w:b w:val="false"/>
          <w:color w:val="000000"/>
          <w:sz w:val="14"/>
        </w:rPr>
        <w:t>rd</w:t>
      </w:r>
      <w:r>
        <w:rPr>
          <w:rFonts w:ascii="Times New Roman;serif" w:hAnsi="Times New Roman;serif"/>
          <w:b w:val="false"/>
          <w:color w:val="000000"/>
          <w:sz w:val="22"/>
        </w:rPr>
        <w:t>) anniversary of the date of this Warrant (the “</w:t>
      </w:r>
      <w:r>
        <w:rPr>
          <w:rFonts w:ascii="Times New Roman;serif" w:hAnsi="Times New Roman;serif"/>
          <w:b/>
          <w:i/>
          <w:color w:val="000000"/>
          <w:sz w:val="22"/>
        </w:rPr>
        <w:t>Soft Call Date</w:t>
      </w:r>
      <w:r>
        <w:rPr>
          <w:color w:val="000000"/>
        </w:rPr>
        <w:t>”</w:t>
      </w:r>
      <w:r>
        <w:rPr>
          <w:rFonts w:ascii="Times New Roman;serif" w:hAnsi="Times New Roman;serif"/>
          <w:b w:val="false"/>
          <w:color w:val="000000"/>
          <w:sz w:val="22"/>
        </w:rPr>
        <w:t>). Notice of Soft Call shall be sent in accordance with Section 5(k) by the Company not less than thirty (30) days prior to the Soft Call Date to the Holder of the Warrant. Such notice shall include a form of Notice of Exercise, and shall state (i) briefly, the events giving rise to such Soft Call (including the Reference Value, the Measurement Period and the manner in which the Reference Value was calculated), (ii) the Soft Call Date, (iii) the applicable Exercise Price, (iv) the procedures the Holder must follow to exercise their Warrant, and (v) the Grace Period (as defined below) and consequences of failure to pay the applicable Exercise Price. Any notice sent in the manner herein provided shall be conclusively presumed to have been duly given whether or not the Holder received such notice. On and after the Soft Call Date, the record holder of the Warrant shall have no further rights except to receive, upon surrender of the Warrant and payment in full of the applicable Exercise Price in cash, the applicable Warrant Shares issuable in connection with the Warrant exercised on the Soft Call Date. Notwithstanding the foregoing, during the Grace Period, the Holder may exercise this Warrant on a cashless basis pursuant to Section 2(c) (notwithstanding the condition in Section 2(c) that there be no effective registration statement).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color w:val="000000"/>
          <w:sz w:val="22"/>
        </w:rPr>
        <w:t>Non-Payment Redemption.</w:t>
      </w:r>
      <w:r>
        <w:rPr>
          <w:color w:val="000000"/>
        </w:rPr>
        <w:t xml:space="preserve"> </w:t>
      </w:r>
      <w:r>
        <w:rPr>
          <w:rFonts w:ascii="Times New Roman;serif" w:hAnsi="Times New Roman;serif"/>
          <w:b w:val="false"/>
          <w:color w:val="000000"/>
          <w:sz w:val="22"/>
        </w:rPr>
        <w:t>In the event that the Company elects to mandate the exercise of the Warrant pursuant to Section 5(a), and the Holder does not pay the applicable Exercise Price in cash within thirty (30) days following the Soft Call Date (the “</w:t>
      </w:r>
      <w:r>
        <w:rPr>
          <w:rFonts w:ascii="Times New Roman;serif" w:hAnsi="Times New Roman;serif"/>
          <w:b/>
          <w:i/>
          <w:color w:val="000000"/>
          <w:sz w:val="22"/>
        </w:rPr>
        <w:t>Grace Period</w:t>
      </w:r>
      <w:r>
        <w:rPr>
          <w:color w:val="000000"/>
        </w:rPr>
        <w:t>”</w:t>
      </w:r>
      <w:r>
        <w:rPr>
          <w:rFonts w:ascii="Times New Roman;serif" w:hAnsi="Times New Roman;serif"/>
          <w:b w:val="false"/>
          <w:color w:val="000000"/>
          <w:sz w:val="22"/>
        </w:rPr>
        <w:t>), then the Company may effect, in its discretion, either (i) a “cashless exercise” pursuant to Section 2(c) (notwithstanding the condition in Section 2(c) that there be no effective registration statement), or (ii) a redemption and subsequent cancellation of the applicable Warrant, in exchange for $0.001 per Warrant. Upon the occurrence of a redemption and cancellation as set forth above, the Company shall have no further obligation to issue Warrant Shares or make any payment to the Holder with respect to such Warrant, and such Warrant shall be deemed null and void.</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color w:val="000000"/>
          <w:sz w:val="22"/>
        </w:rPr>
        <w:t>No Rights as Stockholder Until Exercise; No Settlement in Cash</w:t>
      </w:r>
      <w:r>
        <w:rPr>
          <w:rFonts w:ascii="Times New Roman;serif" w:hAnsi="Times New Roman;serif"/>
          <w:b w:val="false"/>
          <w:color w:val="000000"/>
          <w:sz w:val="22"/>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w:t>
      </w:r>
      <w:r>
        <w:rPr>
          <w:rFonts w:ascii="Times New Roman;serif" w:hAnsi="Times New Roman;serif"/>
          <w:b/>
          <w:i/>
          <w:color w:val="000000"/>
          <w:sz w:val="22"/>
        </w:rPr>
        <w:t>cashless exercise</w:t>
      </w:r>
      <w:r>
        <w:rPr>
          <w:color w:val="000000"/>
        </w:rPr>
        <w:t xml:space="preserve">” </w:t>
      </w:r>
      <w:r>
        <w:rPr>
          <w:rFonts w:ascii="Times New Roman;serif" w:hAnsi="Times New Roman;serif"/>
          <w:b w:val="false"/>
          <w:color w:val="000000"/>
          <w:sz w:val="22"/>
        </w:rPr>
        <w:t>pursuant to Section 2(c) or to receive cash payments pursuant to Section 2(d)(i) and Section 2(d)(iv) herein, in no event shall the Company be required to net cash settle an exercise of this Warrant.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color w:val="000000"/>
          <w:sz w:val="22"/>
        </w:rPr>
        <w:t>Loss, Theft, Destruction or Mutilation of Warrant</w:t>
      </w:r>
      <w:r>
        <w:rPr>
          <w:rFonts w:ascii="Times New Roman;serif" w:hAnsi="Times New Roman;serif"/>
          <w:b w:val="false"/>
          <w:color w:val="000000"/>
          <w:sz w:val="22"/>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rFonts w:ascii="Times New Roman;serif" w:hAnsi="Times New Roman;serif"/>
          <w:b/>
          <w:color w:val="000000"/>
          <w:sz w:val="22"/>
        </w:rPr>
        <w:t>Saturdays, Sundays, Holidays, etc</w:t>
      </w:r>
      <w:r>
        <w:rPr>
          <w:rFonts w:ascii="Times New Roman;serif" w:hAnsi="Times New Roman;serif"/>
          <w:b w:val="false"/>
          <w:color w:val="000000"/>
          <w:sz w:val="22"/>
        </w:rPr>
        <w:t>. If the last or appointed day for the taking of any action or the expiration of any right required or granted herein shall not be a Trading Day, then such action may be taken or such right may be exercised on the next succeeding Trading Day.</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60655"/>
                <wp:effectExtent l="0" t="0" r="0" b="0"/>
                <wp:wrapNone/>
                <wp:docPr id="15" name="Frame1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(g)</w:t>
      </w:r>
      <w:r>
        <w:rPr>
          <w:rFonts w:ascii="Times New Roman;serif" w:hAnsi="Times New Roman;serif"/>
          <w:b/>
          <w:color w:val="000000"/>
          <w:sz w:val="22"/>
        </w:rPr>
        <w:t>Authorized Shares</w:t>
      </w:r>
      <w:r>
        <w:rPr>
          <w:rFonts w:ascii="Times New Roman;serif" w:hAnsi="Times New Roman;serif"/>
          <w:b w:val="false"/>
          <w:color w:val="000000"/>
          <w:sz w:val="22"/>
        </w:rPr>
        <w:t>.</w:t>
      </w:r>
    </w:p>
    <w:p>
      <w:pPr>
        <w:pStyle w:val="TextBody"/>
        <w:bidi w:val="0"/>
        <w:spacing w:lineRule="auto" w:line="288" w:before="0" w:after="240"/>
        <w:ind w:left="0" w:right="0" w:firstLine="2160"/>
        <w:jc w:val="both"/>
        <w:rPr/>
      </w:pPr>
      <w:r>
        <w:rPr>
          <w:rFonts w:ascii="Times New Roman;serif" w:hAnsi="Times New Roman;serif"/>
          <w:b w:val="false"/>
          <w:color w:val="000000"/>
          <w:sz w:val="22"/>
        </w:rPr>
        <w:t>The Company covenants that, during the period that the Warrant is outstanding, it will reserve and keep available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 Notwithstanding anything to the contrary herein, if at any time the number of authorized and unissued shares of Common Stock is insufficient to permit the full exercise of this Warrant or the Holder’s receipt of the benefits to which it is entitled under Section 3(d), the Company shall promptly seek stockholder approval to increase the authorized number of shares of Common Stock to a number sufficient to permit such exercise or receipt of benefits (including, to the extent permitted by applicable law and the Company’s certificate of incorporation and bylaws, by calling a special meeting of stockholders for such purpose), and, in connection therewith, the Company shall (i) promptly set a record date for such stockholder meeting, (ii) promptly commence a broker search, if required, (iii) file a proxy statement with respect to such stockholder meeting within a reasonable time after the authorized share shortfall is identified, (iv) promptly file and mail a definitive proxy statement after the Commission completes its review, if any, of the proxy statement, (v) promptly thereafter call, give notice of, convene and hold such stockholder meeting, with the recommendation of the Board of Directors that such proposal be approved and (vi) if such stockholder</w:t>
      </w:r>
      <w:r>
        <w:rPr>
          <w:color w:val="000000"/>
        </w:rPr>
        <w:t xml:space="preserve"> </w:t>
      </w:r>
      <w:r>
        <w:rPr>
          <w:rFonts w:ascii="Times New Roman;serif" w:hAnsi="Times New Roman;serif"/>
          <w:b w:val="false"/>
          <w:color w:val="000000"/>
          <w:sz w:val="22"/>
        </w:rPr>
        <w:t>approval is not obtained at such meeting, call subsequent stockholder meeting</w:t>
      </w:r>
      <w:r>
        <w:rPr>
          <w:rFonts w:ascii="Arial;sans-serif" w:hAnsi="Arial;sans-serif"/>
          <w:b w:val="false"/>
          <w:color w:val="000000"/>
          <w:sz w:val="20"/>
        </w:rPr>
        <w:t>s</w:t>
      </w:r>
      <w:r>
        <w:rPr>
          <w:color w:val="000000"/>
        </w:rPr>
        <w:t xml:space="preserve"> </w:t>
      </w:r>
      <w:r>
        <w:rPr>
          <w:rFonts w:ascii="Arial;sans-serif" w:hAnsi="Arial;sans-serif"/>
          <w:b w:val="false"/>
          <w:color w:val="000000"/>
          <w:sz w:val="20"/>
        </w:rPr>
        <w:t xml:space="preserve">as promptly as reasonably practical </w:t>
      </w:r>
      <w:r>
        <w:rPr>
          <w:rFonts w:ascii="Times New Roman;serif" w:hAnsi="Times New Roman;serif"/>
          <w:b w:val="false"/>
          <w:color w:val="000000"/>
          <w:sz w:val="22"/>
        </w:rPr>
        <w:t>thereafter until such approval is obtained. Upon obtaining such stockholder approval, the Company shall file any certificate of amendment or other charter document necessary to effect such increase; provided, however, that nothing in this Warrant shall be construed to grant the Holder the right to require net cash settlement of any exercise of this Warrant solely by reason of an insufficiency of authorized shares.</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60655"/>
                <wp:effectExtent l="0" t="0" r="0" b="0"/>
                <wp:wrapNone/>
                <wp:docPr id="16" name="Frame1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p>
                  </w:txbxContent>
                </v:textbox>
                <w10:wrap type="none"/>
              </v:rect>
            </w:pict>
          </mc:Fallback>
        </mc:AlternateConten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pStyle w:val="TextBody"/>
        <w:bidi w:val="0"/>
        <w:spacing w:lineRule="auto" w:line="240" w:before="0" w:after="240"/>
        <w:ind w:left="0" w:right="0" w:firstLine="1440"/>
        <w:jc w:val="both"/>
        <w:rPr/>
      </w:pPr>
      <w:r>
        <w:rPr>
          <w:rFonts w:ascii="Times New Roman;serif" w:hAnsi="Times New Roman;serif"/>
          <w:b w:val="false"/>
          <w:color w:val="000000"/>
          <w:sz w:val="22"/>
        </w:rPr>
        <w:t>(h)</w:t>
      </w:r>
      <w:r>
        <w:rPr>
          <w:rFonts w:ascii="Times New Roman;serif" w:hAnsi="Times New Roman;serif"/>
          <w:b/>
          <w:color w:val="000000"/>
          <w:sz w:val="22"/>
        </w:rPr>
        <w:t>Jurisdiction</w:t>
      </w:r>
      <w:r>
        <w:rPr>
          <w:rFonts w:ascii="Times New Roman;serif" w:hAnsi="Times New Roman;serif"/>
          <w:b w:val="false"/>
          <w:color w:val="000000"/>
          <w:sz w:val="22"/>
        </w:rPr>
        <w:t>. All questions concerning the construction, validity, enforcement and interpretation of this Warrant shall be determined in accordance with the provisions of the Purchase Agreement.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(i)</w:t>
      </w:r>
      <w:r>
        <w:rPr>
          <w:rFonts w:ascii="Times New Roman;serif" w:hAnsi="Times New Roman;serif"/>
          <w:b/>
          <w:color w:val="000000"/>
          <w:sz w:val="22"/>
        </w:rPr>
        <w:t>Restrictions</w:t>
      </w:r>
      <w:r>
        <w:rPr>
          <w:rFonts w:ascii="Times New Roman;serif" w:hAnsi="Times New Roman;serif"/>
          <w:b w:val="false"/>
          <w:color w:val="000000"/>
          <w:sz w:val="22"/>
        </w:rPr>
        <w:t>. The Holder acknowledges that the Warrant Shares acquired upon the exercise of this Warrant, if not registered, and the Holder does not utilize cashless exercise, will have restrictions upon resale imposed by state and federal securities laws.</w:t>
      </w:r>
    </w:p>
    <w:p>
      <w:pPr>
        <w:pStyle w:val="TextBody"/>
        <w:bidi w:val="0"/>
        <w:spacing w:lineRule="auto" w:line="240" w:before="0" w:after="240"/>
        <w:ind w:left="0" w:right="0" w:firstLine="1440"/>
        <w:jc w:val="both"/>
        <w:rPr/>
      </w:pPr>
      <w:r>
        <w:rPr>
          <w:rFonts w:ascii="Times New Roman;serif" w:hAnsi="Times New Roman;serif"/>
          <w:b w:val="false"/>
          <w:color w:val="000000"/>
          <w:sz w:val="22"/>
        </w:rPr>
        <w:t>(j)</w:t>
      </w:r>
      <w:r>
        <w:rPr>
          <w:rFonts w:ascii="Times New Roman;serif" w:hAnsi="Times New Roman;serif"/>
          <w:b/>
          <w:color w:val="000000"/>
          <w:sz w:val="22"/>
        </w:rPr>
        <w:t>Nonwaiver and Expenses</w:t>
      </w:r>
      <w:r>
        <w:rPr>
          <w:rFonts w:ascii="Times New Roman;serif" w:hAnsi="Times New Roman;serif"/>
          <w:b w:val="false"/>
          <w:color w:val="000000"/>
          <w:sz w:val="22"/>
        </w:rPr>
        <w:t>. No course of dealing or any delay or failure to exercise any right hereunder on the part of the Holder shall operate as a waiver of such right or otherwise prejudice the Holder’s rights, powers or remedies, notwithstanding the fact that the right to exercise this Warrant terminates on the Termination Date. Without limiting any other provision of this Warrant or the Purchase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pStyle w:val="TextBody"/>
        <w:bidi w:val="0"/>
        <w:spacing w:lineRule="auto" w:line="240" w:before="0" w:after="240"/>
        <w:ind w:left="0" w:right="0" w:firstLine="1440"/>
        <w:jc w:val="both"/>
        <w:rPr/>
      </w:pPr>
      <w:r>
        <w:rPr>
          <w:rFonts w:ascii="Times New Roman;serif" w:hAnsi="Times New Roman;serif"/>
          <w:b w:val="false"/>
          <w:color w:val="000000"/>
          <w:sz w:val="22"/>
        </w:rPr>
        <w:t>(k)</w:t>
      </w:r>
      <w:r>
        <w:rPr>
          <w:rFonts w:ascii="Times New Roman;serif" w:hAnsi="Times New Roman;serif"/>
          <w:b/>
          <w:color w:val="000000"/>
          <w:sz w:val="22"/>
        </w:rPr>
        <w:t>Notices</w:t>
      </w:r>
      <w:r>
        <w:rPr>
          <w:rFonts w:ascii="Times New Roman;serif" w:hAnsi="Times New Roman;serif"/>
          <w:b w:val="false"/>
          <w:color w:val="000000"/>
          <w:sz w:val="22"/>
        </w:rPr>
        <w:t>. Any notice, request or other document required or permitted to be given or delivered to the Holder by the Company shall be delivered in accordance with the notice provisions of the Purchase Agreement.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(l)</w:t>
      </w:r>
      <w:r>
        <w:rPr>
          <w:rFonts w:ascii="Times New Roman;serif" w:hAnsi="Times New Roman;serif"/>
          <w:b/>
          <w:color w:val="000000"/>
          <w:sz w:val="22"/>
        </w:rPr>
        <w:t>Limitation of Liability</w:t>
      </w:r>
      <w:r>
        <w:rPr>
          <w:rFonts w:ascii="Times New Roman;serif" w:hAnsi="Times New Roman;serif"/>
          <w:b w:val="false"/>
          <w:color w:val="000000"/>
          <w:sz w:val="22"/>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pStyle w:val="TextBody"/>
        <w:bidi w:val="0"/>
        <w:spacing w:lineRule="auto" w:line="240" w:before="0" w:after="240"/>
        <w:ind w:left="0" w:right="0" w:firstLine="1440"/>
        <w:jc w:val="both"/>
        <w:rPr/>
      </w:pPr>
      <w:r>
        <w:rPr>
          <w:rFonts w:ascii="Times New Roman;serif" w:hAnsi="Times New Roman;serif"/>
          <w:b w:val="false"/>
          <w:color w:val="000000"/>
          <w:sz w:val="22"/>
        </w:rPr>
        <w:t>(m)</w:t>
      </w:r>
      <w:r>
        <w:rPr>
          <w:rFonts w:ascii="Times New Roman;serif" w:hAnsi="Times New Roman;serif"/>
          <w:b/>
          <w:color w:val="000000"/>
          <w:sz w:val="22"/>
        </w:rPr>
        <w:t>Remedies</w:t>
      </w:r>
      <w:r>
        <w:rPr>
          <w:rFonts w:ascii="Times New Roman;serif" w:hAnsi="Times New Roman;serif"/>
          <w:b w:val="false"/>
          <w:color w:val="000000"/>
          <w:sz w:val="22"/>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pStyle w:val="TextBody"/>
        <w:bidi w:val="0"/>
        <w:spacing w:lineRule="auto" w:line="240" w:before="0" w:after="240"/>
        <w:ind w:left="0" w:right="0" w:firstLine="1440"/>
        <w:jc w:val="both"/>
        <w:rPr/>
      </w:pPr>
      <w:r>
        <w:rPr>
          <w:rFonts w:ascii="Times New Roman;serif" w:hAnsi="Times New Roman;serif"/>
          <w:b w:val="false"/>
          <w:color w:val="000000"/>
          <w:sz w:val="22"/>
        </w:rPr>
        <w:t>(n)</w:t>
      </w:r>
      <w:r>
        <w:rPr>
          <w:rFonts w:ascii="Times New Roman;serif" w:hAnsi="Times New Roman;serif"/>
          <w:b/>
          <w:color w:val="000000"/>
          <w:sz w:val="22"/>
        </w:rPr>
        <w:t>Successors and Assigns</w:t>
      </w:r>
      <w:r>
        <w:rPr>
          <w:rFonts w:ascii="Times New Roman;serif" w:hAnsi="Times New Roman;serif"/>
          <w:b w:val="false"/>
          <w:color w:val="000000"/>
          <w:sz w:val="22"/>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pStyle w:val="TextBody"/>
        <w:bidi w:val="0"/>
        <w:spacing w:lineRule="auto" w:line="240" w:before="0" w:after="240"/>
        <w:ind w:left="0" w:right="0" w:firstLine="1440"/>
        <w:jc w:val="both"/>
        <w:rPr/>
      </w:pPr>
      <w:r>
        <w:rPr>
          <w:rFonts w:ascii="Times New Roman;serif" w:hAnsi="Times New Roman;serif"/>
          <w:b w:val="false"/>
          <w:color w:val="000000"/>
          <w:sz w:val="22"/>
        </w:rPr>
        <w:t>(o)</w:t>
      </w:r>
      <w:r>
        <w:rPr>
          <w:rFonts w:ascii="Times New Roman;serif" w:hAnsi="Times New Roman;serif"/>
          <w:b/>
          <w:color w:val="000000"/>
          <w:sz w:val="22"/>
        </w:rPr>
        <w:t>Amendment</w:t>
      </w:r>
      <w:r>
        <w:rPr>
          <w:rFonts w:ascii="Times New Roman;serif" w:hAnsi="Times New Roman;serif"/>
          <w:b w:val="false"/>
          <w:color w:val="000000"/>
          <w:sz w:val="22"/>
        </w:rPr>
        <w:t>. This Warrant may be modified or amended or the provisions hereof waived with the written consent of the Company and the Holder (or the beneficial owner of this Warrant).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(p)</w:t>
      </w:r>
      <w:r>
        <w:rPr>
          <w:rFonts w:ascii="Times New Roman;serif" w:hAnsi="Times New Roman;serif"/>
          <w:b/>
          <w:color w:val="000000"/>
          <w:sz w:val="22"/>
        </w:rPr>
        <w:t>Severability</w:t>
      </w:r>
      <w:r>
        <w:rPr>
          <w:rFonts w:ascii="Times New Roman;serif" w:hAnsi="Times New Roman;serif"/>
          <w:b w:val="false"/>
          <w:color w:val="000000"/>
          <w:sz w:val="22"/>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(q)</w:t>
      </w:r>
      <w:r>
        <w:rPr>
          <w:rFonts w:ascii="Times New Roman;serif" w:hAnsi="Times New Roman;serif"/>
          <w:b/>
          <w:color w:val="000000"/>
          <w:sz w:val="22"/>
        </w:rPr>
        <w:t>Headings</w:t>
      </w:r>
      <w:r>
        <w:rPr>
          <w:rFonts w:ascii="Times New Roman;serif" w:hAnsi="Times New Roman;serif"/>
          <w:b w:val="false"/>
          <w:color w:val="000000"/>
          <w:sz w:val="22"/>
        </w:rPr>
        <w:t>. The headings used in this Warrant are for the convenience of reference only and shall not, for any purpose, be deemed a part of this Warrant.</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60655"/>
                <wp:effectExtent l="0" t="0" r="0" b="0"/>
                <wp:wrapNone/>
                <wp:docPr id="17" name="Frame1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w:t>
      </w:r>
    </w:p>
    <w:p>
      <w:pPr>
        <w:pStyle w:val="TextBody"/>
        <w:bidi w:val="0"/>
        <w:spacing w:lineRule="auto" w:line="288" w:before="0" w:after="240"/>
        <w:jc w:val="center"/>
        <w:rPr>
          <w:rFonts w:ascii="Times New Roman;serif" w:hAnsi="Times New Roman;serif"/>
          <w:b w:val="false"/>
          <w:i/>
          <w:color w:val="000000"/>
          <w:sz w:val="22"/>
        </w:rPr>
      </w:pPr>
      <w:r>
        <w:rPr>
          <w:rFonts w:ascii="Times New Roman;serif" w:hAnsi="Times New Roman;serif"/>
          <w:b w:val="false"/>
          <w:i/>
          <w:color w:val="000000"/>
          <w:sz w:val="22"/>
        </w:rPr>
        <w:t>(Signature Page Follows)</w:t>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60655"/>
                <wp:effectExtent l="0" t="0" r="0" b="0"/>
                <wp:wrapNone/>
                <wp:docPr id="18" name="Frame1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2"/>
        </w:rPr>
        <w:t>In Witness Whereof</w:t>
      </w:r>
      <w:r>
        <w:rPr>
          <w:rFonts w:ascii="Times New Roman;serif" w:hAnsi="Times New Roman;serif"/>
          <w:b w:val="false"/>
          <w:color w:val="000000"/>
          <w:sz w:val="22"/>
        </w:rPr>
        <w:t>, the Company has caused this Warrant to be executed by its officer thereunto duly authorized as of the date first above indicated.</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Solana Company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By:____________________________________</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19"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NOTICE OF EXERCISE</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TO: SOLANA COMPANY</w:t>
      </w:r>
    </w:p>
    <w:p>
      <w:pPr>
        <w:pStyle w:val="TextBody"/>
        <w:bidi w:val="0"/>
        <w:spacing w:lineRule="auto" w:line="240"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pStyle w:val="TextBody"/>
        <w:bidi w:val="0"/>
        <w:spacing w:lineRule="auto" w:line="240"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(2)Payment shall take the form of (check applicable box):</w:t>
      </w:r>
    </w:p>
    <w:p>
      <w:pPr>
        <w:pStyle w:val="TextBody"/>
        <w:bidi w:val="0"/>
        <w:spacing w:lineRule="auto" w:line="288" w:before="0" w:after="240"/>
        <w:ind w:left="0" w:right="0" w:hanging="720"/>
        <w:jc w:val="both"/>
        <w:rPr/>
      </w:pPr>
      <w:r>
        <w:rPr>
          <w:color w:val="000000"/>
        </w:rPr>
        <w:t>☐     </w:t>
      </w:r>
      <w:r>
        <w:rPr>
          <w:rFonts w:ascii="Times New Roman;serif" w:hAnsi="Times New Roman;serif"/>
          <w:b w:val="false"/>
          <w:color w:val="000000"/>
          <w:sz w:val="22"/>
        </w:rPr>
        <w:t>in lawful money of the United States; or</w:t>
      </w:r>
    </w:p>
    <w:p>
      <w:pPr>
        <w:pStyle w:val="TextBody"/>
        <w:bidi w:val="0"/>
        <w:spacing w:lineRule="auto" w:line="288" w:before="0" w:after="240"/>
        <w:ind w:left="0" w:right="0" w:hanging="720"/>
        <w:jc w:val="both"/>
        <w:rPr/>
      </w:pPr>
      <w:r>
        <w:rPr>
          <w:color w:val="000000"/>
        </w:rPr>
        <w:t>☐    </w:t>
      </w:r>
      <w:r>
        <w:rPr>
          <w:rFonts w:ascii="Times New Roman;serif" w:hAnsi="Times New Roman;serif"/>
          <w:b w:val="false"/>
          <w:color w:val="000000"/>
          <w:sz w:val="22"/>
        </w:rPr>
        <w:t>the cancellation of such number of Warrant Shares as is necessary, in accordance with the formula set forth in Section 2(c), to exercise this Warrant with respect to the maximum number of Warrant Shares purchasable pursuant to the cashless exercise procedure set forth in Section 2(c).</w:t>
      </w:r>
    </w:p>
    <w:p>
      <w:pPr>
        <w:pStyle w:val="TextBody"/>
        <w:bidi w:val="0"/>
        <w:spacing w:lineRule="auto" w:line="240"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(3)Please issue said Warrant Shares in the name of the undersigned or in such other name as is specified below:</w:t>
      </w:r>
    </w:p>
    <w:p>
      <w:pPr>
        <w:pStyle w:val="TextBody"/>
        <w:bidi w:val="0"/>
        <w:spacing w:lineRule="auto" w:line="288" w:before="0" w:after="0"/>
        <w:ind w:left="0" w:right="0" w:firstLine="720"/>
        <w:jc w:val="left"/>
        <w:rPr>
          <w:color w:val="000000"/>
          <w:u w:val="single"/>
        </w:rPr>
      </w:pPr>
      <w:r>
        <w:rPr>
          <w:color w:val="000000"/>
          <w:u w:val="single"/>
        </w:rPr>
        <w:t>    </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The Warrant Shares shall be delivered to the following DWAC Account Number:</w:t>
      </w:r>
    </w:p>
    <w:p>
      <w:pPr>
        <w:pStyle w:val="TextBody"/>
        <w:bidi w:val="0"/>
        <w:spacing w:lineRule="auto" w:line="288" w:before="0" w:after="0"/>
        <w:jc w:val="left"/>
        <w:rPr>
          <w:color w:val="000000"/>
          <w:u w:val="single"/>
        </w:rPr>
      </w:pPr>
      <w:r>
        <w:rPr>
          <w:color w:val="000000"/>
          <w:u w:val="single"/>
        </w:rPr>
        <w:t>    </w:t>
      </w:r>
    </w:p>
    <w:p>
      <w:pPr>
        <w:pStyle w:val="TextBody"/>
        <w:bidi w:val="0"/>
        <w:spacing w:lineRule="auto" w:line="288" w:before="0" w:after="0"/>
        <w:jc w:val="left"/>
        <w:rPr>
          <w:color w:val="000000"/>
          <w:u w:val="single"/>
        </w:rPr>
      </w:pPr>
      <w:r>
        <w:rPr>
          <w:color w:val="000000"/>
          <w:u w:val="single"/>
        </w:rPr>
        <w:t>    </w:t>
      </w:r>
    </w:p>
    <w:p>
      <w:pPr>
        <w:pStyle w:val="TextBody"/>
        <w:bidi w:val="0"/>
        <w:spacing w:lineRule="auto" w:line="288" w:before="0" w:after="0"/>
        <w:jc w:val="left"/>
        <w:rPr>
          <w:color w:val="000000"/>
          <w:u w:val="single"/>
        </w:rPr>
      </w:pPr>
      <w:r>
        <w:rPr>
          <w:color w:val="000000"/>
          <w:u w:val="single"/>
        </w:rPr>
        <w:t>    </w:t>
      </w:r>
    </w:p>
    <w:p>
      <w:pPr>
        <w:pStyle w:val="TextBody"/>
        <w:bidi w:val="0"/>
        <w:spacing w:lineRule="auto" w:line="288" w:before="240" w:after="240"/>
        <w:jc w:val="left"/>
        <w:rPr>
          <w:rFonts w:ascii="Times New Roman;serif" w:hAnsi="Times New Roman;serif"/>
          <w:b w:val="false"/>
          <w:color w:val="000000"/>
          <w:sz w:val="22"/>
        </w:rPr>
      </w:pPr>
      <w:r>
        <w:rPr>
          <w:rFonts w:ascii="Times New Roman;serif" w:hAnsi="Times New Roman;serif"/>
          <w:b w:val="false"/>
          <w:color w:val="000000"/>
          <w:sz w:val="22"/>
        </w:rPr>
        <w:t>[SIGNATURE OF HOLDER]</w:t>
      </w:r>
    </w:p>
    <w:tbl>
      <w:tblPr>
        <w:tblW w:w="5576" w:type="dxa"/>
        <w:jc w:val="left"/>
        <w:tblInd w:w="0" w:type="dxa"/>
        <w:tblLayout w:type="fixed"/>
        <w:tblCellMar>
          <w:top w:w="28" w:type="dxa"/>
          <w:left w:w="28" w:type="dxa"/>
          <w:bottom w:w="28" w:type="dxa"/>
          <w:right w:w="28" w:type="dxa"/>
        </w:tblCellMar>
      </w:tblPr>
      <w:tblGrid>
        <w:gridCol w:w="1882"/>
        <w:gridCol w:w="1657"/>
        <w:gridCol w:w="1665"/>
        <w:gridCol w:w="109"/>
        <w:gridCol w:w="109"/>
        <w:gridCol w:w="154"/>
      </w:tblGrid>
      <w:tr>
        <w:trPr/>
        <w:tc>
          <w:tcPr>
            <w:tcW w:w="1882"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lineRule="auto" w:line="288" w:before="0" w:after="0"/>
              <w:ind w:left="0" w:right="0" w:hanging="156"/>
              <w:jc w:val="left"/>
              <w:rPr>
                <w:rFonts w:ascii="Times New Roman;serif" w:hAnsi="Times New Roman;serif"/>
                <w:b w:val="false"/>
                <w:color w:val="000000"/>
                <w:sz w:val="22"/>
              </w:rPr>
            </w:pPr>
            <w:r>
              <w:rPr>
                <w:rFonts w:ascii="Times New Roman;serif" w:hAnsi="Times New Roman;serif"/>
                <w:b w:val="false"/>
                <w:color w:val="000000"/>
                <w:sz w:val="22"/>
              </w:rPr>
              <w:t xml:space="preserve">Name of Investing Entity: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lineRule="auto" w:line="288" w:before="0" w:after="0"/>
              <w:ind w:left="0" w:right="0" w:hanging="156"/>
              <w:jc w:val="left"/>
              <w:rPr/>
            </w:pPr>
            <w:r>
              <w:rPr>
                <w:rFonts w:ascii="Times New Roman;serif" w:hAnsi="Times New Roman;serif"/>
                <w:b w:val="false"/>
                <w:i/>
                <w:color w:val="000000"/>
                <w:sz w:val="22"/>
              </w:rPr>
              <w:t>Signature of Authorized Signatory of Investing Entity</w:t>
            </w:r>
            <w:r>
              <w:rPr>
                <w:rFonts w:ascii="Times New Roman;serif" w:hAnsi="Times New Roman;serif"/>
                <w:b w:val="false"/>
                <w:color w:val="000000"/>
                <w:sz w:val="22"/>
              </w:rPr>
              <w:t xml:space="preserve">: </w:t>
            </w:r>
          </w:p>
        </w:tc>
        <w:tc>
          <w:tcPr>
            <w:tcW w:w="3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lineRule="auto" w:line="288" w:before="0" w:after="0"/>
              <w:ind w:left="0" w:right="0" w:hanging="156"/>
              <w:jc w:val="left"/>
              <w:rPr>
                <w:rFonts w:ascii="Times New Roman;serif" w:hAnsi="Times New Roman;serif"/>
                <w:b w:val="false"/>
                <w:color w:val="000000"/>
                <w:sz w:val="22"/>
              </w:rPr>
            </w:pPr>
            <w:r>
              <w:rPr>
                <w:rFonts w:ascii="Times New Roman;serif" w:hAnsi="Times New Roman;serif"/>
                <w:b w:val="false"/>
                <w:color w:val="000000"/>
                <w:sz w:val="22"/>
              </w:rPr>
              <w:t xml:space="preserve">Name of Authorized Signatory: </w:t>
            </w:r>
          </w:p>
        </w:tc>
        <w:tc>
          <w:tcPr>
            <w:tcW w:w="3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lineRule="auto" w:line="288" w:before="0" w:after="0"/>
              <w:ind w:left="0" w:right="0" w:hanging="156"/>
              <w:jc w:val="left"/>
              <w:rPr>
                <w:rFonts w:ascii="Times New Roman;serif" w:hAnsi="Times New Roman;serif"/>
                <w:b w:val="false"/>
                <w:color w:val="000000"/>
                <w:sz w:val="22"/>
              </w:rPr>
            </w:pPr>
            <w:r>
              <w:rPr>
                <w:rFonts w:ascii="Times New Roman;serif" w:hAnsi="Times New Roman;serif"/>
                <w:b w:val="false"/>
                <w:color w:val="000000"/>
                <w:sz w:val="22"/>
              </w:rPr>
              <w:t xml:space="preserve">Title of Authorized Signatory: </w:t>
            </w:r>
          </w:p>
        </w:tc>
        <w:tc>
          <w:tcPr>
            <w:tcW w:w="3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lineRule="auto" w:line="288" w:before="0" w:after="0"/>
              <w:ind w:left="0" w:right="0" w:hanging="156"/>
              <w:jc w:val="left"/>
              <w:rPr>
                <w:rFonts w:ascii="Times New Roman;serif" w:hAnsi="Times New Roman;serif"/>
                <w:b w:val="false"/>
                <w:color w:val="000000"/>
                <w:sz w:val="22"/>
              </w:rPr>
            </w:pPr>
            <w:r>
              <w:rPr>
                <w:rFonts w:ascii="Times New Roman;serif" w:hAnsi="Times New Roman;serif"/>
                <w:b w:val="false"/>
                <w:color w:val="000000"/>
                <w:sz w:val="22"/>
              </w:rPr>
              <w:t xml:space="preserve">Date: </w:t>
            </w:r>
          </w:p>
        </w:tc>
        <w:tc>
          <w:tcPr>
            <w:tcW w:w="372"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pStyle w:val="TextBody"/>
        <w:bidi w:val="0"/>
        <w:spacing w:before="0" w:after="240"/>
        <w:jc w:val="righ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0"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2"/>
        </w:rPr>
      </w:pPr>
      <w:r>
        <w:rPr>
          <w:rFonts w:ascii="Times New Roman;serif" w:hAnsi="Times New Roman;serif"/>
          <w:b/>
          <w:color w:val="000000"/>
          <w:sz w:val="22"/>
        </w:rPr>
        <w:t>EXHIBIT B</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ASSIGNMENT FORM</w:t>
      </w:r>
    </w:p>
    <w:p>
      <w:pPr>
        <w:pStyle w:val="TextBody"/>
        <w:bidi w:val="0"/>
        <w:spacing w:lineRule="auto" w:line="288" w:before="0" w:after="240"/>
        <w:jc w:val="both"/>
        <w:rPr>
          <w:rFonts w:ascii="Times New Roman;serif" w:hAnsi="Times New Roman;serif"/>
          <w:b w:val="false"/>
          <w:i/>
          <w:color w:val="000000"/>
          <w:sz w:val="22"/>
        </w:rPr>
      </w:pPr>
      <w:r>
        <w:rPr>
          <w:rFonts w:ascii="Times New Roman;serif" w:hAnsi="Times New Roman;serif"/>
          <w:b w:val="false"/>
          <w:i/>
          <w:color w:val="000000"/>
          <w:sz w:val="22"/>
        </w:rPr>
        <w:t>(To assign the foregoing Warrant, execute this form and supply required information. Do not use this form to purchase shares.)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FOR VALUE RECEIVED, the foregoing Warrant and all rights evidenced thereby are hereby assigned to</w:t>
      </w:r>
    </w:p>
    <w:tbl>
      <w:tblPr>
        <w:tblW w:w="3435" w:type="dxa"/>
        <w:jc w:val="left"/>
        <w:tblInd w:w="0" w:type="dxa"/>
        <w:tblLayout w:type="fixed"/>
        <w:tblCellMar>
          <w:top w:w="28" w:type="dxa"/>
          <w:left w:w="28" w:type="dxa"/>
          <w:bottom w:w="28" w:type="dxa"/>
          <w:right w:w="28" w:type="dxa"/>
        </w:tblCellMar>
      </w:tblPr>
      <w:tblGrid>
        <w:gridCol w:w="722"/>
        <w:gridCol w:w="634"/>
        <w:gridCol w:w="639"/>
        <w:gridCol w:w="421"/>
        <w:gridCol w:w="421"/>
        <w:gridCol w:w="598"/>
      </w:tblGrid>
      <w:tr>
        <w:trPr/>
        <w:tc>
          <w:tcPr>
            <w:tcW w:w="722"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Name: </w:t>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(Please Print)</w:t>
            </w:r>
          </w:p>
          <w:p>
            <w:pPr>
              <w:pStyle w:val="TableContents"/>
              <w:bidi w:val="0"/>
              <w:spacing w:lineRule="auto" w:line="288" w:before="0" w:after="0"/>
              <w:jc w:val="left"/>
              <w:rPr>
                <w:color w:val="000000"/>
              </w:rPr>
            </w:pPr>
            <w:r>
              <w:rPr>
                <w:color w:val="000000"/>
              </w:rPr>
              <w:t> </w:t>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Address: </w:t>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(Please Print) </w:t>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Phone Number: </w:t>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Email Address: </w:t>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Dated:</w:t>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Holder’s Signature: </w:t>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Holder’s Address: </w:t>
            </w:r>
          </w:p>
        </w:tc>
        <w:tc>
          <w:tcPr>
            <w:tcW w:w="1440"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firstLine="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1"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5.1</w:t>
      </w:r>
    </w:p>
    <w:p>
      <w:pPr>
        <w:pStyle w:val="TextBody"/>
        <w:bidi w:val="0"/>
        <w:spacing w:lineRule="auto" w:line="288" w:before="0" w:after="0"/>
        <w:jc w:val="left"/>
        <w:rPr/>
      </w:pPr>
      <w:r>
        <w:rPr/>
        <w:drawing>
          <wp:inline distT="0" distB="0" distL="0" distR="0">
            <wp:extent cx="1447800" cy="609600"/>
            <wp:effectExtent l="0" t="0" r="0" b="0"/>
            <wp:docPr id="2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 descr=""/>
                    <pic:cNvPicPr>
                      <a:picLocks noChangeAspect="1" noChangeArrowheads="1"/>
                    </pic:cNvPicPr>
                  </pic:nvPicPr>
                  <pic:blipFill>
                    <a:blip r:embed="rId2"/>
                    <a:stretch>
                      <a:fillRect/>
                    </a:stretch>
                  </pic:blipFill>
                  <pic:spPr bwMode="auto">
                    <a:xfrm>
                      <a:off x="0" y="0"/>
                      <a:ext cx="1447800" cy="609600"/>
                    </a:xfrm>
                    <a:prstGeom prst="rect">
                      <a:avLst/>
                    </a:prstGeom>
                  </pic:spPr>
                </pic:pic>
              </a:graphicData>
            </a:graphic>
          </wp:inline>
        </w:drawing>
      </w:r>
      <w:r>
        <w:rPr>
          <w:color w:val="000000"/>
        </w:rPr>
        <w:t xml:space="preserve">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Jason Kent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+1 212 479 6044</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jkent@cooley.com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September 30,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Solana Company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1650 Market Street, Suite 3600, PMB 17139084</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Philadelphia, Pennsylvania 19103</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Ladies and Gentlemen:</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2"/>
        </w:rPr>
        <w:t>We have acted as counsel to Solana Company, a Delaware corporation (the “</w:t>
      </w:r>
      <w:r>
        <w:rPr>
          <w:rFonts w:ascii="Times New Roman;serif" w:hAnsi="Times New Roman;serif"/>
          <w:b/>
          <w:i/>
          <w:color w:val="000000"/>
          <w:sz w:val="22"/>
        </w:rPr>
        <w:t>Company</w:t>
      </w:r>
      <w:r>
        <w:rPr>
          <w:color w:val="000000"/>
        </w:rPr>
        <w:t>”</w:t>
      </w:r>
      <w:r>
        <w:rPr>
          <w:rFonts w:ascii="Times New Roman;serif" w:hAnsi="Times New Roman;serif"/>
          <w:b w:val="false"/>
          <w:color w:val="000000"/>
          <w:sz w:val="22"/>
        </w:rPr>
        <w:t>), in connection with the sale by the Company of (i) 4,369,356 shares (the “</w:t>
      </w:r>
      <w:r>
        <w:rPr>
          <w:rFonts w:ascii="Times New Roman;serif" w:hAnsi="Times New Roman;serif"/>
          <w:b/>
          <w:i/>
          <w:color w:val="000000"/>
          <w:sz w:val="22"/>
        </w:rPr>
        <w:t>Shares</w:t>
      </w:r>
      <w:r>
        <w:rPr>
          <w:color w:val="000000"/>
        </w:rPr>
        <w:t>”</w:t>
      </w:r>
      <w:r>
        <w:rPr>
          <w:rFonts w:ascii="Times New Roman;serif" w:hAnsi="Times New Roman;serif"/>
          <w:b w:val="false"/>
          <w:color w:val="000000"/>
          <w:sz w:val="22"/>
        </w:rPr>
        <w:t>) of Class A common stock, par value $0.001 per share (the “</w:t>
      </w:r>
      <w:r>
        <w:rPr>
          <w:rFonts w:ascii="Times New Roman;serif" w:hAnsi="Times New Roman;serif"/>
          <w:b/>
          <w:i/>
          <w:color w:val="000000"/>
          <w:sz w:val="22"/>
        </w:rPr>
        <w:t>Class A</w:t>
      </w:r>
      <w:r>
        <w:rPr>
          <w:color w:val="000000"/>
        </w:rPr>
        <w:t xml:space="preserve"> </w:t>
      </w:r>
      <w:r>
        <w:rPr>
          <w:rFonts w:ascii="Times New Roman;serif" w:hAnsi="Times New Roman;serif"/>
          <w:b/>
          <w:i/>
          <w:color w:val="000000"/>
          <w:sz w:val="22"/>
        </w:rPr>
        <w:t>Common Stock</w:t>
      </w:r>
      <w:r>
        <w:rPr>
          <w:color w:val="000000"/>
        </w:rPr>
        <w:t>”</w:t>
      </w:r>
      <w:r>
        <w:rPr>
          <w:rFonts w:ascii="Times New Roman;serif" w:hAnsi="Times New Roman;serif"/>
          <w:b w:val="false"/>
          <w:color w:val="000000"/>
          <w:sz w:val="22"/>
        </w:rPr>
        <w:t>) and (ii) common stock warrants (the “</w:t>
      </w:r>
      <w:r>
        <w:rPr>
          <w:rFonts w:ascii="Times New Roman;serif" w:hAnsi="Times New Roman;serif"/>
          <w:b/>
          <w:i/>
          <w:color w:val="000000"/>
          <w:sz w:val="22"/>
        </w:rPr>
        <w:t>Warrants</w:t>
      </w:r>
      <w:r>
        <w:rPr>
          <w:color w:val="000000"/>
        </w:rPr>
        <w:t>”</w:t>
      </w:r>
      <w:r>
        <w:rPr>
          <w:rFonts w:ascii="Times New Roman;serif" w:hAnsi="Times New Roman;serif"/>
          <w:b w:val="false"/>
          <w:color w:val="000000"/>
          <w:sz w:val="22"/>
        </w:rPr>
        <w:t>) to purchase up to 4,369,356 shares of Class A Common Stock (the “</w:t>
      </w:r>
      <w:r>
        <w:rPr>
          <w:rFonts w:ascii="Times New Roman;serif" w:hAnsi="Times New Roman;serif"/>
          <w:b/>
          <w:i/>
          <w:color w:val="000000"/>
          <w:sz w:val="22"/>
        </w:rPr>
        <w:t>Warrant Shares</w:t>
      </w:r>
      <w:r>
        <w:rPr>
          <w:color w:val="000000"/>
        </w:rPr>
        <w:t>”</w:t>
      </w:r>
      <w:r>
        <w:rPr>
          <w:rFonts w:ascii="Times New Roman;serif" w:hAnsi="Times New Roman;serif"/>
          <w:b w:val="false"/>
          <w:color w:val="000000"/>
          <w:sz w:val="22"/>
        </w:rPr>
        <w:t>), pursuant to a Registration Statement on Form S-3 (File No. 333-290429) (the “</w:t>
      </w:r>
      <w:r>
        <w:rPr>
          <w:rFonts w:ascii="Times New Roman;serif" w:hAnsi="Times New Roman;serif"/>
          <w:b/>
          <w:i/>
          <w:color w:val="000000"/>
          <w:sz w:val="22"/>
        </w:rPr>
        <w:t>Registration Statement</w:t>
      </w:r>
      <w:r>
        <w:rPr>
          <w:color w:val="000000"/>
        </w:rPr>
        <w:t>”</w:t>
      </w:r>
      <w:r>
        <w:rPr>
          <w:rFonts w:ascii="Times New Roman;serif" w:hAnsi="Times New Roman;serif"/>
          <w:b w:val="false"/>
          <w:color w:val="000000"/>
          <w:sz w:val="22"/>
        </w:rPr>
        <w:t>) filed with the Securities and Exchange Commission (the “</w:t>
      </w:r>
      <w:r>
        <w:rPr>
          <w:rFonts w:ascii="Times New Roman;serif" w:hAnsi="Times New Roman;serif"/>
          <w:b/>
          <w:i/>
          <w:color w:val="000000"/>
          <w:sz w:val="22"/>
        </w:rPr>
        <w:t>Commission</w:t>
      </w:r>
      <w:r>
        <w:rPr>
          <w:color w:val="000000"/>
        </w:rPr>
        <w:t>”</w:t>
      </w:r>
      <w:r>
        <w:rPr>
          <w:rFonts w:ascii="Times New Roman;serif" w:hAnsi="Times New Roman;serif"/>
          <w:b w:val="false"/>
          <w:color w:val="000000"/>
          <w:sz w:val="22"/>
        </w:rPr>
        <w:t>) under the Securities Act of 1933, as amended (the “Securities Act”), the base prospectus included in the Registration Statement (the “Base Prospectus”), and the prospectus supplement relating to the Shares, the Warrants and the Warrant Shares filed with the Commission pursuant to Rule 424(b) under the Securities Act (together with the Base Prospectus, the “Prospectus”).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In connection with this opinion, we have examined and relied upon (a) the Registration Statement and the Prospectus, (b) the forms of the Warrants to be filed as exhibits to the Company’s Current Report on Form 8-K, (c) the Company’s certificate of incorporation and bylaws, each as currently in effect, and (d) such other records, documents, opinions, certificates, memoranda and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As to certain factual matters, we have relied upon a certificate of an officer of the Company and have not independently verified such matters.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With regard to our opinion as to the Warrants and the Warrant Shares, we have assumed (i) that a sufficient number of shares of Class A Common Stock will be available for issuance under the Company's certificate of incorporation at the time the Warrant Shares are issued and (ii) that the consideration received by the Company upon exercise of the Warrants will be at least equal to the par value of the Warrant Shares.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Our opinion is expressed only with respect to the General Corporation Law of the State of Delaware and, as to the Warrants constituting binding obligations of the Company, the laws of the State of New York. We express no opinion to the extent that any other laws are applicable to the subject matter hereof and express no opinion and provide no assurance as to compliance with any federal or state securities law, rule or regulation.</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3"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Solana Company</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Page 2</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With regard to our opinion concerning the Warrants constituting binding obligations of the Company:</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 Our opinion is subject to, and may be limited by, (a) applicable bankruptcy, reorganization, insolvency, moratorium, fraudulent conveyance, debtor and creditor, and similar laws which relate to or affect creditors’ rights generally, and (b) general principles of equity (including, without limitation, concepts of materiality, reasonableness, good faith and fair dealing) regardless of whether considered in a proceeding in equity or at law;</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 Our opinion is subject to the qualification that (a) the enforceability of provisions for indemnification or limitations on liability may be limited by applicable law and by public policy considerations, and (b) the availability of specific performance, an injunction or other equitable remedies is subject to the discretion of the court before which the request is brought;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 We express no opinion with respect to any provision of the Warrants that: (a) relates to the subject matter jurisdiction of any federal court of the United States of America or any federal appellate court to adjudicate any controversy related to the Warrants; (b) specifies provisions may be waived in writing, to the extent that an oral agreement or implied agreement by trade practice or course of conduct has been created that modifies such provision; (c) contains a waiver of an inconvenient forum; (d) provides for liquidated damages, default interest, late charges, monetary penalties, prepayment or make-whole payments or other economic remedies; (e) relates to advance waivers of claims, defenses, rights granted by law, or notice, opportunity for hearing, evidentiary requirements, statutes of limitations, trial by jury, service of process or procedural rights; (f) restricts non-written modifications and waivers; (g) provides for the payment of legal and other professional fees where such payment is contrary to law or public policy; (h) relates to exclusivity, election or accumulation of rights or remedies; or (i) provides that provisions of the Warrants are severable to the extent an essential part of the agreed exchange is determined to be invalid and unenforceable; and</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(iv) We express no opinion as to whether a state court outside of the State of New York or a federal court of the United States would give effect to the choice of New York law or jurisdiction provided for in the Warrants.</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2"/>
        </w:rPr>
        <w:t xml:space="preserve">On the basis of the foregoing, in reliance thereon and subject to the assumptions, exceptions, limitations and qualifications set forth herein, we are of the opinion that (i) the Shares, when sold and issued against payment therefor as provided in the Registration Statement and the Prospectus, will be validly issued, fully paid and nonassessable, </w:t>
      </w:r>
      <w:r>
        <w:rPr>
          <w:rFonts w:ascii="Arial;sans-serif" w:hAnsi="Arial;sans-serif"/>
          <w:b w:val="false"/>
          <w:color w:val="000000"/>
          <w:sz w:val="20"/>
        </w:rPr>
        <w:t>(ii) the Warrants, when duly executed and delivered by the Company against payment therefor as provided in the Registration Statement and the Prospectus, will be binding obligations of the Company, and (iii) the Warrant Shares, when issued and paid for in accordance with the terms of the Warrants, will be validly issued, fully paid and nonassessable.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This opinion is limited to the matters expressly set forth in this letter, and no opinion has been or should be implied, or may be inferred, beyond the matters expressly stated. This opinion speaks only as to law and facts in effect or existing as of the date hereof, and we have no obligation or responsibility to update or supplement this letter to reflect any facts or circumstances that may hereafter come to our attention or any changes in law that may hereafter occur.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We consent to the reference to our firm under the heading “Legal Matters” in the Prospectus and to the filing of this opinion as an exhibit to the Company’s Current Report on Form 8-K filed with the Commission for incorporation by reference into the Registration Statement. In giving such consents, we do not thereby admit that we are in the category of persons whose consent is required under Section 7 of the Securities Act or the rules and regulations of the Commission thereunder.</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56540"/>
                <wp:effectExtent l="0" t="0" r="0" b="0"/>
                <wp:wrapNone/>
                <wp:docPr id="24" name="Frame23"/>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Cooley LLP 55 Hudson Yards New York, NY 10001-2157</w:t>
                            </w:r>
                            <w:r>
                              <w:br w:type="page"/>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t: (212) 479-6000 f: (212) 479-6275 cooley.com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Cooley LLP 55 Hudson Yards New York, NY 10001-2157</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t: (212) 479-6000 f: (212) 479-6275 cooley.com</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Solana Company</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Page 3</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Very truly yours,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COOLEY LLP</w:t>
      </w:r>
    </w:p>
    <w:p>
      <w:pPr>
        <w:pStyle w:val="TextBody"/>
        <w:bidi w:val="0"/>
        <w:spacing w:before="0" w:after="0"/>
        <w:jc w:val="left"/>
        <w:rPr/>
      </w:pPr>
      <w:r>
        <w:rPr/>
      </w:r>
    </w:p>
    <w:tbl>
      <w:tblPr>
        <w:tblW w:w="2160" w:type="dxa"/>
        <w:jc w:val="left"/>
        <w:tblInd w:w="0" w:type="dxa"/>
        <w:tblLayout w:type="fixed"/>
        <w:tblCellMar>
          <w:top w:w="28" w:type="dxa"/>
          <w:left w:w="28" w:type="dxa"/>
          <w:bottom w:w="28" w:type="dxa"/>
          <w:right w:w="28" w:type="dxa"/>
        </w:tblCellMar>
      </w:tblPr>
      <w:tblGrid>
        <w:gridCol w:w="162"/>
        <w:gridCol w:w="143"/>
        <w:gridCol w:w="145"/>
        <w:gridCol w:w="501"/>
        <w:gridCol w:w="501"/>
        <w:gridCol w:w="708"/>
      </w:tblGrid>
      <w:tr>
        <w:trPr/>
        <w:tc>
          <w:tcPr>
            <w:tcW w:w="16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Jason L. Kent</w:t>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Jason L. Kent</w:t>
            </w:r>
          </w:p>
        </w:tc>
      </w:tr>
    </w:tbl>
    <w:p>
      <w:pPr>
        <w:pStyle w:val="TextBody"/>
        <w:bidi w:val="0"/>
        <w:spacing w:before="0" w:after="0"/>
        <w:jc w:val="center"/>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56540"/>
                <wp:effectExtent l="0" t="0" r="0" b="0"/>
                <wp:wrapNone/>
                <wp:docPr id="25" name="Frame24"/>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Cooley LLP 55 Hudson Yards New York, NY 10001-2157</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t: (212) 479-6000 f: (212) 479-6275 cooley.com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Cooley LLP 55 Hudson Yards New York, NY 10001-2157</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t: (212) 479-6000 f: (212) 479-6275 cooley.com</w:t>
                      </w:r>
                    </w:p>
                  </w:txbxContent>
                </v:textbox>
                <w10:wrap type="none"/>
              </v:rect>
            </w:pict>
          </mc:Fallback>
        </mc:AlternateContent>
      </w:r>
    </w:p>
    <w:p>
      <w:pPr>
        <w:pStyle w:val="TextBody"/>
        <w:bidi w:val="0"/>
        <w:spacing w:lineRule="auto" w:line="288" w:before="0" w:after="240"/>
        <w:ind w:left="0" w:right="0" w:hanging="720"/>
        <w:jc w:val="center"/>
        <w:rPr>
          <w:rFonts w:ascii="Times New Roman;serif" w:hAnsi="Times New Roman;serif"/>
          <w:b/>
          <w:color w:val="000000"/>
          <w:sz w:val="22"/>
        </w:rPr>
      </w:pPr>
      <w:r>
        <w:rPr>
          <w:rFonts w:ascii="Times New Roman;serif" w:hAnsi="Times New Roman;serif"/>
          <w:b/>
          <w:color w:val="000000"/>
          <w:sz w:val="22"/>
        </w:rPr>
        <w:t>SECURITIES PURCHASE AGREEMENT</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This Securities Purchase Agreement </w:t>
      </w:r>
      <w:r>
        <w:rPr>
          <w:rFonts w:ascii="Times New Roman;serif" w:hAnsi="Times New Roman;serif"/>
          <w:b w:val="false"/>
          <w:color w:val="000000"/>
          <w:sz w:val="22"/>
        </w:rPr>
        <w:t>(this “</w:t>
      </w:r>
      <w:r>
        <w:rPr>
          <w:rFonts w:ascii="Times New Roman;serif" w:hAnsi="Times New Roman;serif"/>
          <w:b/>
          <w:i/>
          <w:color w:val="000000"/>
          <w:sz w:val="22"/>
        </w:rPr>
        <w:t>Agreement</w:t>
      </w:r>
      <w:r>
        <w:rPr>
          <w:color w:val="000000"/>
        </w:rPr>
        <w:t>”</w:t>
      </w:r>
      <w:r>
        <w:rPr>
          <w:rFonts w:ascii="Times New Roman;serif" w:hAnsi="Times New Roman;serif"/>
          <w:b w:val="false"/>
          <w:color w:val="000000"/>
          <w:sz w:val="22"/>
        </w:rPr>
        <w:t xml:space="preserve">) is dated as of September 30, 2026, between </w:t>
      </w:r>
      <w:r>
        <w:rPr>
          <w:rFonts w:ascii="Times New Roman;serif" w:hAnsi="Times New Roman;serif"/>
          <w:b/>
          <w:color w:val="000000"/>
          <w:sz w:val="22"/>
        </w:rPr>
        <w:t>Solana Company</w:t>
      </w:r>
      <w:r>
        <w:rPr>
          <w:rFonts w:ascii="Times New Roman;serif" w:hAnsi="Times New Roman;serif"/>
          <w:b w:val="false"/>
          <w:color w:val="000000"/>
          <w:sz w:val="22"/>
        </w:rPr>
        <w:t>, a Delaware corporation (the “</w:t>
      </w:r>
      <w:r>
        <w:rPr>
          <w:rFonts w:ascii="Times New Roman;serif" w:hAnsi="Times New Roman;serif"/>
          <w:b/>
          <w:i/>
          <w:color w:val="000000"/>
          <w:sz w:val="22"/>
        </w:rPr>
        <w:t>Company</w:t>
      </w:r>
      <w:r>
        <w:rPr>
          <w:color w:val="000000"/>
        </w:rPr>
        <w:t>”</w:t>
      </w:r>
      <w:r>
        <w:rPr>
          <w:rFonts w:ascii="Times New Roman;serif" w:hAnsi="Times New Roman;serif"/>
          <w:b w:val="false"/>
          <w:color w:val="000000"/>
          <w:sz w:val="22"/>
        </w:rPr>
        <w:t>), and the purchasers identified on the signature pages hereto (including its successors and assigns, each a “</w:t>
      </w:r>
      <w:r>
        <w:rPr>
          <w:rFonts w:ascii="Times New Roman;serif" w:hAnsi="Times New Roman;serif"/>
          <w:b/>
          <w:i/>
          <w:color w:val="000000"/>
          <w:sz w:val="22"/>
        </w:rPr>
        <w:t>Purchaser</w:t>
      </w:r>
      <w:r>
        <w:rPr>
          <w:color w:val="000000"/>
        </w:rPr>
        <w:t>”</w:t>
      </w:r>
      <w:r>
        <w:rPr>
          <w:rFonts w:ascii="Times New Roman;serif" w:hAnsi="Times New Roman;serif"/>
          <w:b w:val="false"/>
          <w:color w:val="000000"/>
          <w:sz w:val="22"/>
        </w:rPr>
        <w:t>, and collectively the “</w:t>
      </w:r>
      <w:r>
        <w:rPr>
          <w:rFonts w:ascii="Times New Roman;serif" w:hAnsi="Times New Roman;serif"/>
          <w:b/>
          <w:i/>
          <w:color w:val="000000"/>
          <w:sz w:val="22"/>
        </w:rPr>
        <w:t>Purchasers</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color w:val="000000"/>
          <w:sz w:val="22"/>
        </w:rPr>
        <w:t>Whereas</w:t>
      </w:r>
      <w:r>
        <w:rPr>
          <w:rFonts w:ascii="Times New Roman;serif" w:hAnsi="Times New Roman;serif"/>
          <w:b w:val="false"/>
          <w:color w:val="000000"/>
          <w:sz w:val="22"/>
        </w:rPr>
        <w:t>, subject to the terms and conditions set forth in this Agreement and pursuant to an effective registration statement under the Securities Act (as defined below), the Company desires to issue and sell to each Purchaser, and each Purchaser, severally and not jointly, desires to purchase from the Company, securities of the Company as more fully described in this Agreement.</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Now, Therefore, In Consideration </w:t>
      </w:r>
      <w:r>
        <w:rPr>
          <w:rFonts w:ascii="Times New Roman;serif" w:hAnsi="Times New Roman;serif"/>
          <w:b w:val="false"/>
          <w:color w:val="000000"/>
          <w:sz w:val="22"/>
        </w:rPr>
        <w:t>of the mutual covenants contained in this Agreement, and for other good and valuable consideration the receipt and adequacy of which are hereby acknowledged, the Company and each Purchaser agree as follows:</w:t>
      </w:r>
    </w:p>
    <w:p>
      <w:pPr>
        <w:pStyle w:val="TextBody"/>
        <w:bidi w:val="0"/>
        <w:spacing w:lineRule="auto" w:line="240" w:before="0" w:after="240"/>
        <w:jc w:val="center"/>
        <w:rPr/>
      </w:pPr>
      <w:r>
        <w:rPr>
          <w:rFonts w:ascii="Times New Roman;serif" w:hAnsi="Times New Roman;serif"/>
          <w:b/>
          <w:color w:val="000000"/>
          <w:sz w:val="22"/>
        </w:rPr>
        <w:t>Article I</w:t>
      </w:r>
      <w:r>
        <w:rPr>
          <w:rFonts w:ascii="Times New Roman;serif" w:hAnsi="Times New Roman;serif"/>
          <w:b w:val="false"/>
          <w:color w:val="000000"/>
          <w:sz w:val="22"/>
        </w:rPr>
        <w:br/>
        <w:t>D</w:t>
      </w:r>
      <w:r>
        <w:rPr>
          <w:rFonts w:ascii="Times New Roman;serif" w:hAnsi="Times New Roman;serif"/>
          <w:b/>
          <w:color w:val="000000"/>
          <w:sz w:val="22"/>
        </w:rPr>
        <w:t>efinitions</w:t>
      </w:r>
    </w:p>
    <w:p>
      <w:pPr>
        <w:pStyle w:val="TextBody"/>
        <w:bidi w:val="0"/>
        <w:spacing w:lineRule="auto" w:line="240" w:before="0" w:after="240"/>
        <w:ind w:left="0" w:right="0" w:firstLine="720"/>
        <w:jc w:val="both"/>
        <w:rPr/>
      </w:pPr>
      <w:r>
        <w:rPr>
          <w:rFonts w:ascii="Times New Roman;serif" w:hAnsi="Times New Roman;serif"/>
          <w:b w:val="false"/>
          <w:color w:val="000000"/>
          <w:sz w:val="22"/>
        </w:rPr>
        <w:t>1.1</w:t>
      </w:r>
      <w:r>
        <w:rPr>
          <w:rFonts w:ascii="Times New Roman;serif" w:hAnsi="Times New Roman;serif"/>
          <w:b/>
          <w:color w:val="000000"/>
          <w:sz w:val="22"/>
        </w:rPr>
        <w:t>Definitions</w:t>
      </w:r>
      <w:r>
        <w:rPr>
          <w:rFonts w:ascii="Times New Roman;serif" w:hAnsi="Times New Roman;serif"/>
          <w:b w:val="false"/>
          <w:color w:val="000000"/>
          <w:sz w:val="22"/>
        </w:rPr>
        <w:t>. In addition to the terms defined elsewhere in this Agreement, for all purposes of this Agreement, the following terms have the meanings set forth in this Section 1.1:</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Acquiring Person</w:t>
      </w:r>
      <w:r>
        <w:rPr>
          <w:color w:val="000000"/>
        </w:rPr>
        <w:t xml:space="preserve">” </w:t>
      </w:r>
      <w:r>
        <w:rPr>
          <w:rFonts w:ascii="Times New Roman;serif" w:hAnsi="Times New Roman;serif"/>
          <w:b w:val="false"/>
          <w:color w:val="000000"/>
          <w:sz w:val="22"/>
        </w:rPr>
        <w:t>shall have the meaning ascribed to such term in Section 4.5.</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Action</w:t>
      </w:r>
      <w:r>
        <w:rPr>
          <w:color w:val="000000"/>
        </w:rPr>
        <w:t xml:space="preserve">” </w:t>
      </w:r>
      <w:r>
        <w:rPr>
          <w:rFonts w:ascii="Times New Roman;serif" w:hAnsi="Times New Roman;serif"/>
          <w:b w:val="false"/>
          <w:color w:val="000000"/>
          <w:sz w:val="22"/>
        </w:rPr>
        <w:t>shall have the meaning ascribed to such term in Section 3.1(j).</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Affiliate</w:t>
      </w:r>
      <w:r>
        <w:rPr>
          <w:color w:val="000000"/>
        </w:rPr>
        <w:t xml:space="preserve">” </w:t>
      </w:r>
      <w:r>
        <w:rPr>
          <w:rFonts w:ascii="Times New Roman;serif" w:hAnsi="Times New Roman;serif"/>
          <w:b w:val="false"/>
          <w:color w:val="000000"/>
          <w:sz w:val="22"/>
        </w:rPr>
        <w:t>means any Person that, directly or indirectly through one or more intermediaries, controls or is controlled by or is under common control with a Person as such terms are used in and construed under Rule 405 under the Securities Act.</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Base Prospectus</w:t>
      </w:r>
      <w:r>
        <w:rPr>
          <w:color w:val="000000"/>
        </w:rPr>
        <w:t xml:space="preserve">” </w:t>
      </w:r>
      <w:r>
        <w:rPr>
          <w:rFonts w:ascii="Times New Roman;serif" w:hAnsi="Times New Roman;serif"/>
          <w:b w:val="false"/>
          <w:color w:val="000000"/>
          <w:sz w:val="22"/>
        </w:rPr>
        <w:t>means the prospectus included in the Registration Statement at the time it became effective, including documents incorporated therein by reference.</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Board of Directors</w:t>
      </w:r>
      <w:r>
        <w:rPr>
          <w:color w:val="000000"/>
        </w:rPr>
        <w:t xml:space="preserve">” </w:t>
      </w:r>
      <w:r>
        <w:rPr>
          <w:rFonts w:ascii="Times New Roman;serif" w:hAnsi="Times New Roman;serif"/>
          <w:b w:val="false"/>
          <w:color w:val="000000"/>
          <w:sz w:val="22"/>
        </w:rPr>
        <w:t>means the board of directors of the Company.</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Business Day</w:t>
      </w:r>
      <w:r>
        <w:rPr>
          <w:color w:val="000000"/>
        </w:rPr>
        <w:t xml:space="preserve">” </w:t>
      </w:r>
      <w:r>
        <w:rPr>
          <w:rFonts w:ascii="Times New Roman;serif" w:hAnsi="Times New Roman;serif"/>
          <w:b w:val="false"/>
          <w:color w:val="000000"/>
          <w:sz w:val="22"/>
        </w:rPr>
        <w:t>means any day except any Saturday, any Sunday, any day which is a federal legal holiday in the United States or any day on which banking institutions in the State of New York are authorized or required by law or other governmental action to close.</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Closing</w:t>
      </w:r>
      <w:r>
        <w:rPr>
          <w:color w:val="000000"/>
        </w:rPr>
        <w:t xml:space="preserve">” </w:t>
      </w:r>
      <w:r>
        <w:rPr>
          <w:rFonts w:ascii="Times New Roman;serif" w:hAnsi="Times New Roman;serif"/>
          <w:b w:val="false"/>
          <w:color w:val="000000"/>
          <w:sz w:val="22"/>
        </w:rPr>
        <w:t>means the closing of the purchase and sale of the Securities pursuant to Section 2.1.</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Closing Date</w:t>
      </w:r>
      <w:r>
        <w:rPr>
          <w:color w:val="000000"/>
        </w:rPr>
        <w:t xml:space="preserve">” </w:t>
      </w:r>
      <w:r>
        <w:rPr>
          <w:rFonts w:ascii="Times New Roman;serif" w:hAnsi="Times New Roman;serif"/>
          <w:b w:val="false"/>
          <w:color w:val="000000"/>
          <w:sz w:val="22"/>
        </w:rPr>
        <w:t>means the Trading Day on which all of the Transaction Documents have been executed and delivered by the applicable parties thereto, and all conditions precedent to (i) the Purchasers’ obligations to pay the Subscription Amount and (ii) the Company’s obligations to deliver the Securities, in each case, have been satisfied or waived, but in no event later than the first (1</w:t>
      </w:r>
      <w:r>
        <w:rPr>
          <w:rFonts w:ascii="Times New Roman;serif" w:hAnsi="Times New Roman;serif"/>
          <w:b w:val="false"/>
          <w:color w:val="000000"/>
          <w:sz w:val="14"/>
        </w:rPr>
        <w:t>st</w:t>
      </w:r>
      <w:r>
        <w:rPr>
          <w:rFonts w:ascii="Times New Roman;serif" w:hAnsi="Times New Roman;serif"/>
          <w:b w:val="false"/>
          <w:color w:val="000000"/>
          <w:sz w:val="22"/>
        </w:rPr>
        <w:t>) Trading Day following the date hereof (or the second (2</w:t>
      </w:r>
      <w:r>
        <w:rPr>
          <w:rFonts w:ascii="Times New Roman;serif" w:hAnsi="Times New Roman;serif"/>
          <w:b w:val="false"/>
          <w:color w:val="000000"/>
          <w:sz w:val="14"/>
        </w:rPr>
        <w:t>nd</w:t>
      </w:r>
      <w:r>
        <w:rPr>
          <w:rFonts w:ascii="Times New Roman;serif" w:hAnsi="Times New Roman;serif"/>
          <w:b w:val="false"/>
          <w:color w:val="000000"/>
          <w:sz w:val="22"/>
        </w:rPr>
        <w:t>) Trading Day following the date hereof if this Agreement is signed on a day that is not a Trading Day or after 4:00 p.m. (New York City time) and before midnight (New York City time) on a Trading Day).</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Commission</w:t>
      </w:r>
      <w:r>
        <w:rPr>
          <w:color w:val="000000"/>
        </w:rPr>
        <w:t xml:space="preserve">” </w:t>
      </w:r>
      <w:r>
        <w:rPr>
          <w:rFonts w:ascii="Times New Roman;serif" w:hAnsi="Times New Roman;serif"/>
          <w:b w:val="false"/>
          <w:color w:val="000000"/>
          <w:sz w:val="22"/>
        </w:rPr>
        <w:t>means the United States Securities and Exchange Commission.</w:t>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6"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Common Stock</w:t>
      </w:r>
      <w:r>
        <w:rPr>
          <w:color w:val="000000"/>
        </w:rPr>
        <w:t xml:space="preserve">” </w:t>
      </w:r>
      <w:r>
        <w:rPr>
          <w:rFonts w:ascii="Times New Roman;serif" w:hAnsi="Times New Roman;serif"/>
          <w:b w:val="false"/>
          <w:color w:val="000000"/>
          <w:sz w:val="22"/>
        </w:rPr>
        <w:t>means the Class A common stock of the Company, par value $0.001 per share, and any other class of securities into which such securities may hereafter be reclassified or changed.</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Common Stock Equivalents</w:t>
      </w:r>
      <w:r>
        <w:rPr>
          <w:color w:val="000000"/>
        </w:rPr>
        <w:t xml:space="preserve">” </w:t>
      </w:r>
      <w:r>
        <w:rPr>
          <w:rFonts w:ascii="Times New Roman;serif" w:hAnsi="Times New Roman;serif"/>
          <w:b w:val="false"/>
          <w:color w:val="000000"/>
          <w:sz w:val="22"/>
        </w:rPr>
        <w:t>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Common Warrants</w:t>
      </w:r>
      <w:r>
        <w:rPr>
          <w:color w:val="000000"/>
        </w:rPr>
        <w:t xml:space="preserve">” </w:t>
      </w:r>
      <w:r>
        <w:rPr>
          <w:rFonts w:ascii="Times New Roman;serif" w:hAnsi="Times New Roman;serif"/>
          <w:b w:val="false"/>
          <w:color w:val="000000"/>
          <w:sz w:val="22"/>
        </w:rPr>
        <w:t>means the Common Stock purchase warrants delivered to the Purchasers at the Closing in accordance with Section 2.2(a) hereof, which Common Warrants shall be exercisable immediately and have a term of exercise equal to 5.5 years, in the form attached hereto as Exhibit A.</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Common Warrant Shares</w:t>
      </w:r>
      <w:r>
        <w:rPr>
          <w:color w:val="000000"/>
        </w:rPr>
        <w:t xml:space="preserve">” </w:t>
      </w:r>
      <w:r>
        <w:rPr>
          <w:rFonts w:ascii="Times New Roman;serif" w:hAnsi="Times New Roman;serif"/>
          <w:b w:val="false"/>
          <w:color w:val="000000"/>
          <w:sz w:val="22"/>
        </w:rPr>
        <w:t>means the shares of Common Stock issuable upon exercise of the Common Warrants.</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Company Counsel</w:t>
      </w:r>
      <w:r>
        <w:rPr>
          <w:color w:val="000000"/>
        </w:rPr>
        <w:t xml:space="preserve">” </w:t>
      </w:r>
      <w:r>
        <w:rPr>
          <w:rFonts w:ascii="Times New Roman;serif" w:hAnsi="Times New Roman;serif"/>
          <w:b w:val="false"/>
          <w:color w:val="000000"/>
          <w:sz w:val="22"/>
        </w:rPr>
        <w:t>means Cooley LLP with offices located at 55 Hudson Yards, New York, New York 10001.</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Disclosure Time</w:t>
      </w:r>
      <w:r>
        <w:rPr>
          <w:color w:val="000000"/>
        </w:rPr>
        <w:t xml:space="preserve">” </w:t>
      </w:r>
      <w:r>
        <w:rPr>
          <w:rFonts w:ascii="Times New Roman;serif" w:hAnsi="Times New Roman;serif"/>
          <w:b w:val="false"/>
          <w:color w:val="000000"/>
          <w:sz w:val="22"/>
        </w:rPr>
        <w:t>means, (i) if this Agreement is signed on a day that is not a Trading Day or after 9:00 a.m. (New York City time) and before midnight (New York City time) on any Trading Day, 9:01 a.m. (New York City time) on the Trading Day immediately following the date hereof, unless otherwise instructed as to an earlier time by the Placement Agent, and (ii) if this Agreement is signed between midnight (New York City time) and 9:00 a.m. (New York City time) on any Trading Day, no later than 9:01 a.m. (New York City time) on the date hereof, unless otherwise instructed as to an earlier time by the Placement Agent.</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Exchange Act</w:t>
      </w:r>
      <w:r>
        <w:rPr>
          <w:color w:val="000000"/>
        </w:rPr>
        <w:t xml:space="preserve">” </w:t>
      </w:r>
      <w:r>
        <w:rPr>
          <w:rFonts w:ascii="Times New Roman;serif" w:hAnsi="Times New Roman;serif"/>
          <w:b w:val="false"/>
          <w:color w:val="000000"/>
          <w:sz w:val="22"/>
        </w:rPr>
        <w:t>means the Securities Exchange Act of 1934, as amended, and the rules and regulations promulgated thereunder.</w:t>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60655"/>
                <wp:effectExtent l="0" t="0" r="0" b="0"/>
                <wp:wrapNone/>
                <wp:docPr id="27" name="Frame2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Exempt Issuance</w:t>
      </w:r>
      <w:r>
        <w:rPr>
          <w:color w:val="000000"/>
        </w:rPr>
        <w:t xml:space="preserve">” </w:t>
      </w:r>
      <w:r>
        <w:rPr>
          <w:rFonts w:ascii="Times New Roman;serif" w:hAnsi="Times New Roman;serif"/>
          <w:b w:val="false"/>
          <w:color w:val="000000"/>
          <w:sz w:val="22"/>
        </w:rPr>
        <w:t xml:space="preserve">means (a) the issuance of Common Stock, options, restricted stock awards, restricted stock units or other equity awards to employees, officers, consultants or directors of the Company pursuant to any share or option plan duly adopted for such purpose, by a majority of the non-employee members of the Board of Directors or the majority of the members of a committee of non-employee directors established for such purpose for services rendered to the Company; </w:t>
      </w:r>
      <w:r>
        <w:rPr>
          <w:rFonts w:ascii="Times New Roman;serif" w:hAnsi="Times New Roman;serif"/>
          <w:b w:val="false"/>
          <w:i/>
          <w:color w:val="000000"/>
          <w:sz w:val="22"/>
        </w:rPr>
        <w:t>provided, however</w:t>
      </w:r>
      <w:r>
        <w:rPr>
          <w:rFonts w:ascii="Times New Roman;serif" w:hAnsi="Times New Roman;serif"/>
          <w:b w:val="false"/>
          <w:color w:val="000000"/>
          <w:sz w:val="22"/>
        </w:rPr>
        <w:t xml:space="preserve">, that any securities issued to consultants under this clause (a) are issued as “restricted securities” (as defined in Rule 144) and carry no registration rights that require or permit the filing of any registration statement in connection therewith during the prohibition period in Section 4.11(a), (b) the issuance of securities upon the exercise or exchange of or conversion of any Securities issued hereunder and/or other securities exercisable or exchangeable for or convertible into Common Stock issued and outstanding on the date of this Agreement,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such securities have not been amended since the date of this Agreement to increase the number of such securities or to decrease the exercise price, exchange price or conversion price of such securities (other than in connection with share splits or combinations) or to extend the term of such securities, (c) the issuance of securities pursuant to acquisitions or strategic transactions approved by a majority of the disinterested directors of the Company,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such securities are issued as “restricted securities” (as defined in Rule 144) and carry no registration rights that require or permit the filing of any registration statement in connection therewith during the prohibition period in Section 4.11(a), and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any such issuance shall only be to a Person (or to the equityholders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 (d) facilitating the establishment of a trading plan on behalf of a stockholder, officer, employee or director of the Company pursuant to Rule 10b5-1 under the Exchange Act for the transfer of shares of Common Stock, (e) the filing by the Company of any registration statement on Form S-8 or a successor form thereto relating to any Company stock or option plan, and (f) the filing of any amendments or supplements to any existing resale registration statements.</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FCPA</w:t>
      </w:r>
      <w:r>
        <w:rPr>
          <w:color w:val="000000"/>
        </w:rPr>
        <w:t xml:space="preserve">” </w:t>
      </w:r>
      <w:r>
        <w:rPr>
          <w:rFonts w:ascii="Times New Roman;serif" w:hAnsi="Times New Roman;serif"/>
          <w:b w:val="false"/>
          <w:color w:val="000000"/>
          <w:sz w:val="22"/>
        </w:rPr>
        <w:t>means the Foreign Corrupt Practices Act of 1977, as amended.</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GAAP</w:t>
      </w:r>
      <w:r>
        <w:rPr>
          <w:color w:val="000000"/>
        </w:rPr>
        <w:t xml:space="preserve">” </w:t>
      </w:r>
      <w:r>
        <w:rPr>
          <w:rFonts w:ascii="Times New Roman;serif" w:hAnsi="Times New Roman;serif"/>
          <w:b w:val="false"/>
          <w:color w:val="000000"/>
          <w:sz w:val="22"/>
        </w:rPr>
        <w:t>means U.S. generally accepted accounting principles.</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Indebtedness</w:t>
      </w:r>
      <w:r>
        <w:rPr>
          <w:color w:val="000000"/>
        </w:rPr>
        <w:t xml:space="preserve">” </w:t>
      </w:r>
      <w:r>
        <w:rPr>
          <w:rFonts w:ascii="Times New Roman;serif" w:hAnsi="Times New Roman;serif"/>
          <w:b w:val="false"/>
          <w:color w:val="000000"/>
          <w:sz w:val="22"/>
        </w:rPr>
        <w:t>shall have the meaning ascribed to such term in Section 3.1(z).</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Intellectual Property Rights</w:t>
      </w:r>
      <w:r>
        <w:rPr>
          <w:color w:val="000000"/>
        </w:rPr>
        <w:t xml:space="preserve">” </w:t>
      </w:r>
      <w:r>
        <w:rPr>
          <w:rFonts w:ascii="Times New Roman;serif" w:hAnsi="Times New Roman;serif"/>
          <w:b w:val="false"/>
          <w:color w:val="000000"/>
          <w:sz w:val="22"/>
        </w:rPr>
        <w:t>shall have the meaning ascribed to such term in Section 3.1(o).</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Liens</w:t>
      </w:r>
      <w:r>
        <w:rPr>
          <w:color w:val="000000"/>
        </w:rPr>
        <w:t xml:space="preserve">” </w:t>
      </w:r>
      <w:r>
        <w:rPr>
          <w:rFonts w:ascii="Times New Roman;serif" w:hAnsi="Times New Roman;serif"/>
          <w:b w:val="false"/>
          <w:color w:val="000000"/>
          <w:sz w:val="22"/>
        </w:rPr>
        <w:t>means a lien, charge, pledge, security interest, encumbrance, right of first refusal, preemptive right or other restriction.</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Lock-Up Agreement</w:t>
      </w:r>
      <w:r>
        <w:rPr>
          <w:color w:val="000000"/>
        </w:rPr>
        <w:t xml:space="preserve">” </w:t>
      </w:r>
      <w:r>
        <w:rPr>
          <w:rFonts w:ascii="Times New Roman;serif" w:hAnsi="Times New Roman;serif"/>
          <w:b w:val="false"/>
          <w:color w:val="000000"/>
          <w:sz w:val="22"/>
        </w:rPr>
        <w:t>means, collectively, the lock-up agreements, dated as of the date hereof, by and among the Company and each of the Company’s directors and executive officers, in the form attached hereto as Exhibit B.</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Material Adverse Effect</w:t>
      </w:r>
      <w:r>
        <w:rPr>
          <w:color w:val="000000"/>
        </w:rPr>
        <w:t xml:space="preserve">” </w:t>
      </w:r>
      <w:r>
        <w:rPr>
          <w:rFonts w:ascii="Times New Roman;serif" w:hAnsi="Times New Roman;serif"/>
          <w:b w:val="false"/>
          <w:color w:val="000000"/>
          <w:sz w:val="22"/>
        </w:rPr>
        <w:t>shall have the meaning assigned to such term in Section 3.1(b).</w:t>
      </w:r>
    </w:p>
    <w:p>
      <w:pPr>
        <w:pStyle w:val="TextBody"/>
        <w:bidi w:val="0"/>
        <w:spacing w:lineRule="auto" w:line="288" w:before="0" w:after="240"/>
        <w:ind w:left="0" w:right="0" w:firstLine="720"/>
        <w:jc w:val="left"/>
        <w:rPr/>
      </w:pPr>
      <w:r>
        <w:rPr>
          <w:color w:val="000000"/>
        </w:rPr>
        <w:t>“</w:t>
      </w:r>
      <w:r>
        <w:rPr>
          <w:rFonts w:ascii="Times New Roman;serif" w:hAnsi="Times New Roman;serif"/>
          <w:b/>
          <w:i/>
          <w:color w:val="000000"/>
          <w:sz w:val="22"/>
        </w:rPr>
        <w:t>Material Permits</w:t>
      </w:r>
      <w:r>
        <w:rPr>
          <w:color w:val="000000"/>
        </w:rPr>
        <w:t xml:space="preserve">” </w:t>
      </w:r>
      <w:r>
        <w:rPr>
          <w:rFonts w:ascii="Times New Roman;serif" w:hAnsi="Times New Roman;serif"/>
          <w:b w:val="false"/>
          <w:color w:val="000000"/>
          <w:sz w:val="22"/>
        </w:rPr>
        <w:t>shall have the meaning ascribed to such term in Section 3.1(m).</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Per Share Purchase Price</w:t>
      </w:r>
      <w:r>
        <w:rPr>
          <w:color w:val="000000"/>
        </w:rPr>
        <w:t xml:space="preserve">” </w:t>
      </w:r>
      <w:r>
        <w:rPr>
          <w:rFonts w:ascii="Times New Roman;serif" w:hAnsi="Times New Roman;serif"/>
          <w:b w:val="false"/>
          <w:color w:val="000000"/>
          <w:sz w:val="22"/>
        </w:rPr>
        <w:t>equals $3.433, subject to adjustment for reverse and forward stock splits, stock dividends, stock combinations and other similar transactions of the Common Stock that occur after the date of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60655"/>
                <wp:effectExtent l="0" t="0" r="0" b="0"/>
                <wp:wrapNone/>
                <wp:docPr id="28" name="Frame2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Person</w:t>
      </w:r>
      <w:r>
        <w:rPr>
          <w:color w:val="000000"/>
        </w:rPr>
        <w:t xml:space="preserve">” </w:t>
      </w:r>
      <w:r>
        <w:rPr>
          <w:rFonts w:ascii="Times New Roman;serif" w:hAnsi="Times New Roman;serif"/>
          <w:b w:val="false"/>
          <w:color w:val="000000"/>
          <w:sz w:val="22"/>
        </w:rPr>
        <w:t>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Placement Agency Agreement</w:t>
      </w:r>
      <w:r>
        <w:rPr>
          <w:color w:val="000000"/>
        </w:rPr>
        <w:t xml:space="preserve">” </w:t>
      </w:r>
      <w:r>
        <w:rPr>
          <w:rFonts w:ascii="Times New Roman;serif" w:hAnsi="Times New Roman;serif"/>
          <w:b w:val="false"/>
          <w:color w:val="000000"/>
          <w:sz w:val="22"/>
        </w:rPr>
        <w:t>means the agreement executed on the Closing Date between the Company and the Placement Agent.</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Placement Agent</w:t>
      </w:r>
      <w:r>
        <w:rPr>
          <w:color w:val="000000"/>
        </w:rPr>
        <w:t xml:space="preserve">” </w:t>
      </w:r>
      <w:r>
        <w:rPr>
          <w:rFonts w:ascii="Times New Roman;serif" w:hAnsi="Times New Roman;serif"/>
          <w:b w:val="false"/>
          <w:color w:val="000000"/>
          <w:sz w:val="22"/>
        </w:rPr>
        <w:t>means Clear Street LLC.</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Proceeding</w:t>
      </w:r>
      <w:r>
        <w:rPr>
          <w:color w:val="000000"/>
        </w:rPr>
        <w:t xml:space="preserve">” </w:t>
      </w:r>
      <w:r>
        <w:rPr>
          <w:rFonts w:ascii="Times New Roman;serif" w:hAnsi="Times New Roman;serif"/>
          <w:b w:val="false"/>
          <w:color w:val="000000"/>
          <w:sz w:val="22"/>
        </w:rPr>
        <w:t>means an action, claim, suit, investigation or proceeding (including, without limitation, an informal investigation or partial proceeding, such as a deposition) pending or, to the Company’s knowledge, threatened in writing against the Company, any Subsidiary or any of their respective properties before or by any court, arbitrator, governmental or administrative agency or regulatory authority (federal, state, county, local or foreign).</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Prospectus</w:t>
      </w:r>
      <w:r>
        <w:rPr>
          <w:color w:val="000000"/>
        </w:rPr>
        <w:t xml:space="preserve">” </w:t>
      </w:r>
      <w:r>
        <w:rPr>
          <w:rFonts w:ascii="Times New Roman;serif" w:hAnsi="Times New Roman;serif"/>
          <w:b w:val="false"/>
          <w:color w:val="000000"/>
          <w:sz w:val="22"/>
        </w:rPr>
        <w:t>means the Prospectus Supplement together with the Base Prospectus, including all information, documents and exhibits filed with or incorporated by reference into such prospectus.</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Prospectus Supplement</w:t>
      </w:r>
      <w:r>
        <w:rPr>
          <w:color w:val="000000"/>
        </w:rPr>
        <w:t xml:space="preserve">” </w:t>
      </w:r>
      <w:r>
        <w:rPr>
          <w:rFonts w:ascii="Times New Roman;serif" w:hAnsi="Times New Roman;serif"/>
          <w:b w:val="false"/>
          <w:color w:val="000000"/>
          <w:sz w:val="22"/>
        </w:rPr>
        <w:t>means the supplement to the Base Prospectus complying with Rule 424(b) of the Securities Act including all information, documents and exhibits filed with or incorporated by reference into such prospectus supplement, that is filed with the Commission and delivered by the Company to each Purchaser at the Closing in connection with the Shares.</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Purchaser Party</w:t>
      </w:r>
      <w:r>
        <w:rPr>
          <w:color w:val="000000"/>
        </w:rPr>
        <w:t xml:space="preserve">” </w:t>
      </w:r>
      <w:r>
        <w:rPr>
          <w:rFonts w:ascii="Times New Roman;serif" w:hAnsi="Times New Roman;serif"/>
          <w:b w:val="false"/>
          <w:color w:val="000000"/>
          <w:sz w:val="22"/>
        </w:rPr>
        <w:t>shall have the meaning ascribed to such term in Section 4.8.</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Registration Statement</w:t>
      </w:r>
      <w:r>
        <w:rPr>
          <w:color w:val="000000"/>
        </w:rPr>
        <w:t xml:space="preserve">” </w:t>
      </w:r>
      <w:r>
        <w:rPr>
          <w:rFonts w:ascii="Times New Roman;serif" w:hAnsi="Times New Roman;serif"/>
          <w:b w:val="false"/>
          <w:color w:val="000000"/>
          <w:sz w:val="22"/>
        </w:rPr>
        <w:t>shall mean the effective registration statement on Form S-3 (File No. 333-290429), originally filed with the Commission on Form S-3ASR on September 22, 2025, as amended by Post-Effective Amendment No. 1 thereto filed on March 30, 2026 and Post-Effective Amendment No. 2 thereto on Form S-3 filed on March 31, 2026 and declared effective by the Commission on April 8, 2026, which registers the sale of the Securities, including, without limitation, the documents incorporated by reference therein.</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Required Approvals</w:t>
      </w:r>
      <w:r>
        <w:rPr>
          <w:color w:val="000000"/>
        </w:rPr>
        <w:t xml:space="preserve">” </w:t>
      </w:r>
      <w:r>
        <w:rPr>
          <w:rFonts w:ascii="Times New Roman;serif" w:hAnsi="Times New Roman;serif"/>
          <w:b w:val="false"/>
          <w:color w:val="000000"/>
          <w:sz w:val="22"/>
        </w:rPr>
        <w:t>shall have the meaning ascribed to such term in Section 3.1(e).</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Rule 144</w:t>
      </w:r>
      <w:r>
        <w:rPr>
          <w:color w:val="000000"/>
        </w:rPr>
        <w:t xml:space="preserve">” </w:t>
      </w:r>
      <w:r>
        <w:rPr>
          <w:rFonts w:ascii="Times New Roman;serif" w:hAnsi="Times New Roman;serif"/>
          <w:b w:val="false"/>
          <w:color w:val="000000"/>
          <w:sz w:val="22"/>
        </w:rPr>
        <w:t>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Rule 424</w:t>
      </w:r>
      <w:r>
        <w:rPr>
          <w:color w:val="000000"/>
        </w:rPr>
        <w:t xml:space="preserve">” </w:t>
      </w:r>
      <w:r>
        <w:rPr>
          <w:rFonts w:ascii="Times New Roman;serif" w:hAnsi="Times New Roman;serif"/>
          <w:b w:val="false"/>
          <w:color w:val="000000"/>
          <w:sz w:val="22"/>
        </w:rPr>
        <w:t>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SEC Reports</w:t>
      </w:r>
      <w:r>
        <w:rPr>
          <w:color w:val="000000"/>
        </w:rPr>
        <w:t xml:space="preserve">” </w:t>
      </w:r>
      <w:r>
        <w:rPr>
          <w:rFonts w:ascii="Times New Roman;serif" w:hAnsi="Times New Roman;serif"/>
          <w:b w:val="false"/>
          <w:color w:val="000000"/>
          <w:sz w:val="22"/>
        </w:rPr>
        <w:t>shall have the meaning ascribed to such term in Section 3.1(h).</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Securities</w:t>
      </w:r>
      <w:r>
        <w:rPr>
          <w:color w:val="000000"/>
        </w:rPr>
        <w:t xml:space="preserve">” </w:t>
      </w:r>
      <w:r>
        <w:rPr>
          <w:rFonts w:ascii="Times New Roman;serif" w:hAnsi="Times New Roman;serif"/>
          <w:b w:val="false"/>
          <w:color w:val="000000"/>
          <w:sz w:val="22"/>
        </w:rPr>
        <w:t>means the Shares, the Warrants and the Warrant Shares.</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Securities Act</w:t>
      </w:r>
      <w:r>
        <w:rPr>
          <w:color w:val="000000"/>
        </w:rPr>
        <w:t xml:space="preserve">” </w:t>
      </w:r>
      <w:r>
        <w:rPr>
          <w:rFonts w:ascii="Times New Roman;serif" w:hAnsi="Times New Roman;serif"/>
          <w:b w:val="false"/>
          <w:color w:val="000000"/>
          <w:sz w:val="22"/>
        </w:rPr>
        <w:t>means the Securities Act of 1933, as amended, and the rules and regulations promulgated thereunder.</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Shares</w:t>
      </w:r>
      <w:r>
        <w:rPr>
          <w:color w:val="000000"/>
        </w:rPr>
        <w:t xml:space="preserve">” </w:t>
      </w:r>
      <w:r>
        <w:rPr>
          <w:rFonts w:ascii="Times New Roman;serif" w:hAnsi="Times New Roman;serif"/>
          <w:b w:val="false"/>
          <w:color w:val="000000"/>
          <w:sz w:val="22"/>
        </w:rPr>
        <w:t>means the shares of Common Stock issuable pursuant to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60655"/>
                <wp:effectExtent l="0" t="0" r="0" b="0"/>
                <wp:wrapNone/>
                <wp:docPr id="29" name="Frame2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Short Sales</w:t>
      </w:r>
      <w:r>
        <w:rPr>
          <w:color w:val="000000"/>
        </w:rPr>
        <w:t xml:space="preserve">” </w:t>
      </w:r>
      <w:r>
        <w:rPr>
          <w:rFonts w:ascii="Times New Roman;serif" w:hAnsi="Times New Roman;serif"/>
          <w:b w:val="false"/>
          <w:color w:val="000000"/>
          <w:sz w:val="22"/>
        </w:rPr>
        <w:t>means all “</w:t>
      </w:r>
      <w:r>
        <w:rPr>
          <w:rFonts w:ascii="Times New Roman;serif" w:hAnsi="Times New Roman;serif"/>
          <w:b/>
          <w:i/>
          <w:color w:val="000000"/>
          <w:sz w:val="22"/>
        </w:rPr>
        <w:t>short sales</w:t>
      </w:r>
      <w:r>
        <w:rPr>
          <w:color w:val="000000"/>
        </w:rPr>
        <w:t xml:space="preserve">” </w:t>
      </w:r>
      <w:r>
        <w:rPr>
          <w:rFonts w:ascii="Times New Roman;serif" w:hAnsi="Times New Roman;serif"/>
          <w:b w:val="false"/>
          <w:color w:val="000000"/>
          <w:sz w:val="22"/>
        </w:rPr>
        <w:t>as defined in Rule 200 of Regulation SHO under the Exchange Act (but shall not be deemed to include locating and/or borrowing shares of Common Stock).</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Subscription Amount</w:t>
      </w:r>
      <w:r>
        <w:rPr>
          <w:color w:val="000000"/>
        </w:rPr>
        <w:t xml:space="preserve">” </w:t>
      </w:r>
      <w:r>
        <w:rPr>
          <w:rFonts w:ascii="Times New Roman;serif" w:hAnsi="Times New Roman;serif"/>
          <w:b w:val="false"/>
          <w:color w:val="000000"/>
          <w:sz w:val="22"/>
        </w:rPr>
        <w:t>means, as to each Purchaser in respect of the Securities, the aggregate amount to be paid for Securities purchased hereunder as specified below such Purchaser’s name on the signature page of this Agreement and next to the heading “</w:t>
      </w:r>
      <w:r>
        <w:rPr>
          <w:rFonts w:ascii="Times New Roman;serif" w:hAnsi="Times New Roman;serif"/>
          <w:b/>
          <w:i/>
          <w:color w:val="000000"/>
          <w:sz w:val="22"/>
        </w:rPr>
        <w:t>Subscription Amount,</w:t>
      </w:r>
      <w:r>
        <w:rPr>
          <w:color w:val="000000"/>
        </w:rPr>
        <w:t xml:space="preserve">” </w:t>
      </w:r>
      <w:r>
        <w:rPr>
          <w:rFonts w:ascii="Times New Roman;serif" w:hAnsi="Times New Roman;serif"/>
          <w:b w:val="false"/>
          <w:color w:val="000000"/>
          <w:sz w:val="22"/>
        </w:rPr>
        <w:t>in United States dollars and in immediately available funds.</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Subsidiary</w:t>
      </w:r>
      <w:r>
        <w:rPr>
          <w:color w:val="000000"/>
        </w:rPr>
        <w:t xml:space="preserve">” </w:t>
      </w:r>
      <w:r>
        <w:rPr>
          <w:rFonts w:ascii="Times New Roman;serif" w:hAnsi="Times New Roman;serif"/>
          <w:b w:val="false"/>
          <w:color w:val="000000"/>
          <w:sz w:val="22"/>
        </w:rPr>
        <w:t>means any subsidiary of the Company as set forth in the SEC Reports, and shall, where applicable, also include any direct or indirect subsidiary of the Company formed or acquired after the date hereof.</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Trading Day</w:t>
      </w:r>
      <w:r>
        <w:rPr>
          <w:color w:val="000000"/>
        </w:rPr>
        <w:t xml:space="preserve">” </w:t>
      </w:r>
      <w:r>
        <w:rPr>
          <w:rFonts w:ascii="Times New Roman;serif" w:hAnsi="Times New Roman;serif"/>
          <w:b w:val="false"/>
          <w:color w:val="000000"/>
          <w:sz w:val="22"/>
        </w:rPr>
        <w:t>means a day on which the principal Trading Market is open for trading.</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Trading Market</w:t>
      </w:r>
      <w:r>
        <w:rPr>
          <w:color w:val="000000"/>
        </w:rPr>
        <w:t xml:space="preserve">” </w:t>
      </w:r>
      <w:r>
        <w:rPr>
          <w:rFonts w:ascii="Times New Roman;serif" w:hAnsi="Times New Roman;serif"/>
          <w:b w:val="false"/>
          <w:color w:val="000000"/>
          <w:sz w:val="22"/>
        </w:rPr>
        <w:t>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Transaction Documents</w:t>
      </w:r>
      <w:r>
        <w:rPr>
          <w:color w:val="000000"/>
        </w:rPr>
        <w:t xml:space="preserve">” </w:t>
      </w:r>
      <w:r>
        <w:rPr>
          <w:rFonts w:ascii="Times New Roman;serif" w:hAnsi="Times New Roman;serif"/>
          <w:b w:val="false"/>
          <w:color w:val="000000"/>
          <w:sz w:val="22"/>
        </w:rPr>
        <w:t>means this Agreement, the Lock-Up Agreements, the Warrants, all exhibits and schedules thereto and hereto and any other documents or agreements executed in connection with the transactions contemplated hereunder.</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Transfer Agent</w:t>
      </w:r>
      <w:r>
        <w:rPr>
          <w:color w:val="000000"/>
        </w:rPr>
        <w:t xml:space="preserve">” </w:t>
      </w:r>
      <w:r>
        <w:rPr>
          <w:rFonts w:ascii="Times New Roman;serif" w:hAnsi="Times New Roman;serif"/>
          <w:b w:val="false"/>
          <w:color w:val="000000"/>
          <w:sz w:val="22"/>
        </w:rPr>
        <w:t>means Equiniti Trust Company, LLC, the current transfer agent of the Company, with a mailing address of 28 Liberty Street, Floor 53, New York, NY 10005, and any successor transfer agent of the Company.</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Warrant Shares</w:t>
      </w:r>
      <w:r>
        <w:rPr>
          <w:color w:val="000000"/>
        </w:rPr>
        <w:t xml:space="preserve">” </w:t>
      </w:r>
      <w:r>
        <w:rPr>
          <w:rFonts w:ascii="Times New Roman;serif" w:hAnsi="Times New Roman;serif"/>
          <w:b w:val="false"/>
          <w:color w:val="000000"/>
          <w:sz w:val="22"/>
        </w:rPr>
        <w:t>means the Common Warrant Shares.</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Warrants</w:t>
      </w:r>
      <w:r>
        <w:rPr>
          <w:color w:val="000000"/>
        </w:rPr>
        <w:t xml:space="preserve">” </w:t>
      </w:r>
      <w:r>
        <w:rPr>
          <w:rFonts w:ascii="Times New Roman;serif" w:hAnsi="Times New Roman;serif"/>
          <w:b w:val="false"/>
          <w:color w:val="000000"/>
          <w:sz w:val="22"/>
        </w:rPr>
        <w:t>means the Common Warrants.</w:t>
      </w:r>
    </w:p>
    <w:p>
      <w:pPr>
        <w:pStyle w:val="TextBody"/>
        <w:bidi w:val="0"/>
        <w:spacing w:lineRule="auto" w:line="240" w:before="0" w:after="240"/>
        <w:jc w:val="center"/>
        <w:rPr/>
      </w:pPr>
      <w:r>
        <w:rPr>
          <w:rFonts w:ascii="Times New Roman;serif" w:hAnsi="Times New Roman;serif"/>
          <w:b/>
          <w:color w:val="000000"/>
          <w:sz w:val="22"/>
        </w:rPr>
        <w:t>Article II</w:t>
      </w:r>
      <w:r>
        <w:rPr>
          <w:rFonts w:ascii="Times New Roman;serif" w:hAnsi="Times New Roman;serif"/>
          <w:b w:val="false"/>
          <w:color w:val="000000"/>
          <w:sz w:val="22"/>
        </w:rPr>
        <w:br/>
      </w:r>
      <w:r>
        <w:rPr>
          <w:rFonts w:ascii="Times New Roman;serif" w:hAnsi="Times New Roman;serif"/>
          <w:b/>
          <w:color w:val="000000"/>
          <w:sz w:val="22"/>
        </w:rPr>
        <w:t>Purchase and Sale</w:t>
      </w:r>
    </w:p>
    <w:p>
      <w:pPr>
        <w:pStyle w:val="TextBody"/>
        <w:bidi w:val="0"/>
        <w:spacing w:lineRule="auto" w:line="240" w:before="0" w:after="240"/>
        <w:ind w:left="0" w:right="0" w:firstLine="720"/>
        <w:jc w:val="both"/>
        <w:rPr/>
      </w:pPr>
      <w:r>
        <w:rPr>
          <w:rFonts w:ascii="Times New Roman;serif" w:hAnsi="Times New Roman;serif"/>
          <w:b w:val="false"/>
          <w:color w:val="000000"/>
          <w:sz w:val="22"/>
        </w:rPr>
        <w:t>2.1</w:t>
      </w:r>
      <w:r>
        <w:rPr>
          <w:rFonts w:ascii="Times New Roman;serif" w:hAnsi="Times New Roman;serif"/>
          <w:b/>
          <w:color w:val="000000"/>
          <w:sz w:val="22"/>
        </w:rPr>
        <w:t>Closing</w:t>
      </w:r>
      <w:r>
        <w:rPr>
          <w:rFonts w:ascii="Times New Roman;serif" w:hAnsi="Times New Roman;serif"/>
          <w:b w:val="false"/>
          <w:color w:val="000000"/>
          <w:sz w:val="22"/>
        </w:rPr>
        <w:t>. On the Closing Date, upon the terms and subject to the conditions set forth herein, the Company agrees to sell, and the Purchasers, severally and not jointly, agree to purchase, the number of Shares set forth under “</w:t>
      </w:r>
      <w:r>
        <w:rPr>
          <w:rFonts w:ascii="Times New Roman;serif" w:hAnsi="Times New Roman;serif"/>
          <w:b/>
          <w:i/>
          <w:color w:val="000000"/>
          <w:sz w:val="22"/>
        </w:rPr>
        <w:t>Subscription Amount</w:t>
      </w:r>
      <w:r>
        <w:rPr>
          <w:color w:val="000000"/>
        </w:rPr>
        <w:t xml:space="preserve">” </w:t>
      </w:r>
      <w:r>
        <w:rPr>
          <w:rFonts w:ascii="Times New Roman;serif" w:hAnsi="Times New Roman;serif"/>
          <w:b w:val="false"/>
          <w:color w:val="000000"/>
          <w:sz w:val="22"/>
        </w:rPr>
        <w:t>on the Purchaser’s signature page hereto at the Per Share Purchase Price. The “</w:t>
      </w:r>
      <w:r>
        <w:rPr>
          <w:rFonts w:ascii="Times New Roman;serif" w:hAnsi="Times New Roman;serif"/>
          <w:b/>
          <w:i/>
          <w:color w:val="000000"/>
          <w:sz w:val="22"/>
        </w:rPr>
        <w:t>Beneficial Ownership Limitation</w:t>
      </w:r>
      <w:r>
        <w:rPr>
          <w:color w:val="000000"/>
        </w:rPr>
        <w:t xml:space="preserve">” </w:t>
      </w:r>
      <w:r>
        <w:rPr>
          <w:rFonts w:ascii="Times New Roman;serif" w:hAnsi="Times New Roman;serif"/>
          <w:b w:val="false"/>
          <w:color w:val="000000"/>
          <w:sz w:val="22"/>
        </w:rPr>
        <w:t>shall be 4.99% (or, at the election of the Purchaser at the Closing, 9.99%) of the number of shares of the Common Stock outstanding immediately after giving effect to the issuance of the Securities on the Closing Date. Each Purchaser’s Subscription Amount as set forth on the signature page hereto executed by such Purchaser shall be made available for “</w:t>
      </w:r>
      <w:r>
        <w:rPr>
          <w:rFonts w:ascii="Times New Roman;serif" w:hAnsi="Times New Roman;serif"/>
          <w:b/>
          <w:i/>
          <w:color w:val="000000"/>
          <w:sz w:val="22"/>
        </w:rPr>
        <w:t>Delivery Versus Payment</w:t>
      </w:r>
      <w:r>
        <w:rPr>
          <w:color w:val="000000"/>
        </w:rPr>
        <w:t xml:space="preserve">” </w:t>
      </w:r>
      <w:r>
        <w:rPr>
          <w:rFonts w:ascii="Times New Roman;serif" w:hAnsi="Times New Roman;serif"/>
          <w:b w:val="false"/>
          <w:color w:val="000000"/>
          <w:sz w:val="22"/>
        </w:rPr>
        <w:t>settlement with the Company or its designee. The Company shall deliver to each Purchaser its respective Shares and a Common Warrant as determined pursuant to Section 2.2(a), and the Company and each Purchaser shall deliver the other items set forth in Section 2.2 deliverable at the Closing. Upon satisfaction of the covenants and conditions set forth in Sections 2.2 and 2.3, the Closing shall take place remotely by electronic transfer of the Closing documentation. Unless otherwise directed by the Placement Agent, settlement of the Shares shall occur via “</w:t>
      </w:r>
      <w:r>
        <w:rPr>
          <w:rFonts w:ascii="Times New Roman;serif" w:hAnsi="Times New Roman;serif"/>
          <w:b/>
          <w:i/>
          <w:color w:val="000000"/>
          <w:sz w:val="22"/>
        </w:rPr>
        <w:t>Delivery Versus Payment</w:t>
      </w:r>
      <w:r>
        <w:rPr>
          <w:color w:val="000000"/>
        </w:rPr>
        <w:t xml:space="preserve">” </w:t>
      </w:r>
      <w:r>
        <w:rPr>
          <w:rFonts w:ascii="Times New Roman;serif" w:hAnsi="Times New Roman;serif"/>
          <w:b w:val="false"/>
          <w:color w:val="000000"/>
          <w:sz w:val="22"/>
        </w:rPr>
        <w:t>(i.e., on the Closing Date, the Company shall issue the Shares registered in the Purchasers’ names and addresses and released by the Transfer Agent directly to the account(s) at the Placement Agent identified by each Purchaser; upon receipt of such Shares, the Placement Agent shall promptly electronically deliver such Shares to the applicable Purchaser, and payment therefor shall be made by the Placement Agent (or its clearing firm) by wire transfer to the Company).</w:t>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60655"/>
                <wp:effectExtent l="0" t="0" r="0" b="0"/>
                <wp:wrapNone/>
                <wp:docPr id="30" name="Frame2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2.2</w:t>
      </w:r>
      <w:r>
        <w:rPr>
          <w:rFonts w:ascii="Times New Roman;serif" w:hAnsi="Times New Roman;serif"/>
          <w:b/>
          <w:color w:val="000000"/>
          <w:sz w:val="22"/>
        </w:rPr>
        <w:t>Deliveries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On or prior to the Closing Date, the Company shall deliver or cause to be delivered to each Purchaser the following:</w:t>
      </w:r>
    </w:p>
    <w:p>
      <w:pPr>
        <w:pStyle w:val="TextBody"/>
        <w:bidi w:val="0"/>
        <w:spacing w:lineRule="auto" w:line="240" w:before="0" w:after="240"/>
        <w:ind w:left="0" w:right="0" w:firstLine="2160"/>
        <w:jc w:val="both"/>
        <w:rPr/>
      </w:pPr>
      <w:r>
        <w:rPr>
          <w:rFonts w:ascii="Times New Roman;serif" w:hAnsi="Times New Roman;serif"/>
          <w:b w:val="false"/>
          <w:color w:val="000000"/>
          <w:sz w:val="22"/>
        </w:rPr>
        <w:t>(i)</w:t>
      </w:r>
      <w:r>
        <w:rPr>
          <w:rFonts w:ascii="Times New Roman;serif" w:hAnsi="Times New Roman;serif"/>
          <w:b w:val="false"/>
          <w:color w:val="000000"/>
          <w:sz w:val="22"/>
        </w:rPr>
        <w:t>this Agreement duly executed by the Company;</w:t>
      </w:r>
    </w:p>
    <w:p>
      <w:pPr>
        <w:pStyle w:val="TextBody"/>
        <w:bidi w:val="0"/>
        <w:spacing w:lineRule="auto" w:line="240" w:before="0" w:after="240"/>
        <w:ind w:left="0" w:right="0" w:firstLine="2160"/>
        <w:jc w:val="both"/>
        <w:rPr/>
      </w:pPr>
      <w:r>
        <w:rPr>
          <w:rFonts w:ascii="Times New Roman;serif" w:hAnsi="Times New Roman;serif"/>
          <w:b w:val="false"/>
          <w:color w:val="000000"/>
          <w:sz w:val="22"/>
        </w:rPr>
        <w:t>(ii)</w:t>
      </w:r>
      <w:r>
        <w:rPr>
          <w:rFonts w:ascii="Times New Roman;serif" w:hAnsi="Times New Roman;serif"/>
          <w:b w:val="false"/>
          <w:color w:val="000000"/>
          <w:sz w:val="22"/>
        </w:rPr>
        <w:t>a legal opinion of Company Counsel, in form reasonably acceptable to the Placement Agent and each Purchaser;</w:t>
      </w:r>
    </w:p>
    <w:p>
      <w:pPr>
        <w:pStyle w:val="TextBody"/>
        <w:bidi w:val="0"/>
        <w:spacing w:lineRule="auto" w:line="240" w:before="0" w:after="240"/>
        <w:ind w:left="0" w:right="0" w:firstLine="2160"/>
        <w:jc w:val="both"/>
        <w:rPr/>
      </w:pPr>
      <w:r>
        <w:rPr>
          <w:rFonts w:ascii="Times New Roman;serif" w:hAnsi="Times New Roman;serif"/>
          <w:b w:val="false"/>
          <w:color w:val="000000"/>
          <w:sz w:val="22"/>
        </w:rPr>
        <w:t>(iii)</w:t>
      </w:r>
      <w:r>
        <w:rPr>
          <w:rFonts w:ascii="Times New Roman;serif" w:hAnsi="Times New Roman;serif"/>
          <w:b w:val="false"/>
          <w:color w:val="000000"/>
          <w:sz w:val="22"/>
        </w:rPr>
        <w:t>the Company’s wire instructions on Company letterhead and executed by the Company’s Chief Executive Officer or Chief Financial Officer;</w:t>
      </w:r>
    </w:p>
    <w:p>
      <w:pPr>
        <w:pStyle w:val="TextBody"/>
        <w:bidi w:val="0"/>
        <w:spacing w:lineRule="auto" w:line="240" w:before="0" w:after="240"/>
        <w:ind w:left="0" w:right="0" w:firstLine="2160"/>
        <w:jc w:val="both"/>
        <w:rPr/>
      </w:pPr>
      <w:r>
        <w:rPr>
          <w:rFonts w:ascii="Times New Roman;serif" w:hAnsi="Times New Roman;serif"/>
          <w:b w:val="false"/>
          <w:color w:val="000000"/>
          <w:sz w:val="22"/>
        </w:rPr>
        <w:t>(iv)</w:t>
      </w:r>
      <w:r>
        <w:rPr>
          <w:rFonts w:ascii="Times New Roman;serif" w:hAnsi="Times New Roman;serif"/>
          <w:b w:val="false"/>
          <w:color w:val="000000"/>
          <w:sz w:val="22"/>
        </w:rPr>
        <w:t>subject to the last sentence of Section 2.1, a copy of the irrevocable instructions to the Transfer Agent instructing the Transfer Agent to deliver on an expedited basis via The Depository Trust Company Deposit or Withdrawal at Custodian system Shares equal to such Purchaser’s Subscription Amount divided by the Per Share Purchase Price, registered in the name of such Purchaser;</w:t>
      </w:r>
    </w:p>
    <w:p>
      <w:pPr>
        <w:pStyle w:val="TextBody"/>
        <w:bidi w:val="0"/>
        <w:spacing w:lineRule="auto" w:line="240" w:before="0" w:after="240"/>
        <w:ind w:left="0" w:right="0" w:firstLine="2160"/>
        <w:jc w:val="both"/>
        <w:rPr/>
      </w:pPr>
      <w:r>
        <w:rPr>
          <w:rFonts w:ascii="Times New Roman;serif" w:hAnsi="Times New Roman;serif"/>
          <w:b w:val="false"/>
          <w:color w:val="000000"/>
          <w:sz w:val="22"/>
        </w:rPr>
        <w:t>(v)</w:t>
      </w:r>
      <w:r>
        <w:rPr>
          <w:rFonts w:ascii="Times New Roman;serif" w:hAnsi="Times New Roman;serif"/>
          <w:b w:val="false"/>
          <w:color w:val="000000"/>
          <w:sz w:val="22"/>
        </w:rPr>
        <w:t>a duly executed and delivered Officer’s Certificate, in form and substance reasonably satisfactory to the Placement Agent and each Purchaser;</w:t>
      </w:r>
    </w:p>
    <w:p>
      <w:pPr>
        <w:pStyle w:val="TextBody"/>
        <w:bidi w:val="0"/>
        <w:spacing w:lineRule="auto" w:line="240" w:before="0" w:after="240"/>
        <w:ind w:left="0" w:right="0" w:firstLine="2160"/>
        <w:jc w:val="both"/>
        <w:rPr/>
      </w:pPr>
      <w:r>
        <w:rPr>
          <w:rFonts w:ascii="Times New Roman;serif" w:hAnsi="Times New Roman;serif"/>
          <w:b w:val="false"/>
          <w:color w:val="000000"/>
          <w:sz w:val="22"/>
        </w:rPr>
        <w:t>(vi)</w:t>
      </w:r>
      <w:r>
        <w:rPr>
          <w:rFonts w:ascii="Times New Roman;serif" w:hAnsi="Times New Roman;serif"/>
          <w:b w:val="false"/>
          <w:color w:val="000000"/>
          <w:sz w:val="22"/>
        </w:rPr>
        <w:t>the duly executed and delivered Secretary’s Certificate, in form and substance reasonably satisfactory to the Placement Agent and each Purchaser;</w:t>
      </w:r>
    </w:p>
    <w:p>
      <w:pPr>
        <w:pStyle w:val="TextBody"/>
        <w:bidi w:val="0"/>
        <w:spacing w:lineRule="auto" w:line="240" w:before="0" w:after="240"/>
        <w:ind w:left="0" w:right="0" w:firstLine="2160"/>
        <w:jc w:val="both"/>
        <w:rPr/>
      </w:pPr>
      <w:r>
        <w:rPr>
          <w:rFonts w:ascii="Times New Roman;serif" w:hAnsi="Times New Roman;serif"/>
          <w:b w:val="false"/>
          <w:color w:val="000000"/>
          <w:sz w:val="22"/>
        </w:rPr>
        <w:t>(vii)</w:t>
      </w:r>
      <w:r>
        <w:rPr>
          <w:rFonts w:ascii="Times New Roman;serif" w:hAnsi="Times New Roman;serif"/>
          <w:b w:val="false"/>
          <w:color w:val="000000"/>
          <w:sz w:val="22"/>
        </w:rPr>
        <w:t>the Prospectus (which may be delivered in accordance with Rule 172 under the Securities Act);</w:t>
      </w:r>
    </w:p>
    <w:p>
      <w:pPr>
        <w:pStyle w:val="TextBody"/>
        <w:bidi w:val="0"/>
        <w:spacing w:lineRule="auto" w:line="240" w:before="0" w:after="240"/>
        <w:ind w:left="0" w:right="0" w:firstLine="2160"/>
        <w:jc w:val="both"/>
        <w:rPr/>
      </w:pPr>
      <w:r>
        <w:rPr>
          <w:rFonts w:ascii="Times New Roman;serif" w:hAnsi="Times New Roman;serif"/>
          <w:b w:val="false"/>
          <w:color w:val="000000"/>
          <w:sz w:val="22"/>
        </w:rPr>
        <w:t>(viii)</w:t>
      </w:r>
      <w:r>
        <w:rPr>
          <w:rFonts w:ascii="Times New Roman;serif" w:hAnsi="Times New Roman;serif"/>
          <w:b w:val="false"/>
          <w:color w:val="000000"/>
          <w:sz w:val="22"/>
        </w:rPr>
        <w:t>on the date hereof, the duly executed Lock-Up Agreements; and</w:t>
      </w:r>
    </w:p>
    <w:p>
      <w:pPr>
        <w:pStyle w:val="TextBody"/>
        <w:bidi w:val="0"/>
        <w:spacing w:lineRule="auto" w:line="240" w:before="0" w:after="240"/>
        <w:ind w:left="0" w:right="0" w:firstLine="2160"/>
        <w:jc w:val="both"/>
        <w:rPr/>
      </w:pPr>
      <w:r>
        <w:rPr>
          <w:rFonts w:ascii="Times New Roman;serif" w:hAnsi="Times New Roman;serif"/>
          <w:b w:val="false"/>
          <w:color w:val="000000"/>
          <w:sz w:val="22"/>
        </w:rPr>
        <w:t>(ix)</w:t>
      </w:r>
      <w:r>
        <w:rPr>
          <w:rFonts w:ascii="Times New Roman;serif" w:hAnsi="Times New Roman;serif"/>
          <w:b w:val="false"/>
          <w:color w:val="000000"/>
          <w:sz w:val="22"/>
        </w:rPr>
        <w:t>a Common Warrant registered in the name of such Purchaser to purchase up to a number of shares of Common Stock equal to 100% of such Purchaser’s Shares, with an exercise price equal to $3.776, subject to adjustment therein.</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On or prior to the Closing Date, each Purchaser shall deliver or cause to be delivered to the Company, the following:</w:t>
      </w:r>
    </w:p>
    <w:p>
      <w:pPr>
        <w:pStyle w:val="TextBody"/>
        <w:bidi w:val="0"/>
        <w:spacing w:lineRule="auto" w:line="240" w:before="0" w:after="240"/>
        <w:ind w:left="0" w:right="0" w:firstLine="2160"/>
        <w:jc w:val="both"/>
        <w:rPr/>
      </w:pPr>
      <w:r>
        <w:rPr>
          <w:rFonts w:ascii="Times New Roman;serif" w:hAnsi="Times New Roman;serif"/>
          <w:b w:val="false"/>
          <w:color w:val="000000"/>
          <w:sz w:val="22"/>
        </w:rPr>
        <w:t>(i)</w:t>
      </w:r>
      <w:r>
        <w:rPr>
          <w:rFonts w:ascii="Times New Roman;serif" w:hAnsi="Times New Roman;serif"/>
          <w:b w:val="false"/>
          <w:color w:val="000000"/>
          <w:sz w:val="22"/>
        </w:rPr>
        <w:t>this Agreement duly executed by such Purchaser; and</w:t>
      </w:r>
    </w:p>
    <w:p>
      <w:pPr>
        <w:pStyle w:val="TextBody"/>
        <w:bidi w:val="0"/>
        <w:spacing w:lineRule="auto" w:line="240" w:before="0" w:after="240"/>
        <w:ind w:left="0" w:right="0" w:firstLine="2160"/>
        <w:jc w:val="both"/>
        <w:rPr/>
      </w:pPr>
      <w:r>
        <w:rPr>
          <w:rFonts w:ascii="Times New Roman;serif" w:hAnsi="Times New Roman;serif"/>
          <w:b w:val="false"/>
          <w:color w:val="000000"/>
          <w:sz w:val="22"/>
        </w:rPr>
        <w:t>(ii)</w:t>
      </w:r>
      <w:r>
        <w:rPr>
          <w:rFonts w:ascii="Times New Roman;serif" w:hAnsi="Times New Roman;serif"/>
          <w:b w:val="false"/>
          <w:color w:val="000000"/>
          <w:sz w:val="22"/>
        </w:rPr>
        <w:t>such Purchaser’s Subscription Amount, which shall be made available for “</w:t>
      </w:r>
      <w:r>
        <w:rPr>
          <w:rFonts w:ascii="Times New Roman;serif" w:hAnsi="Times New Roman;serif"/>
          <w:b/>
          <w:i/>
          <w:color w:val="000000"/>
          <w:sz w:val="22"/>
        </w:rPr>
        <w:t>Delivery Versus Payment</w:t>
      </w:r>
      <w:r>
        <w:rPr>
          <w:color w:val="000000"/>
        </w:rPr>
        <w:t xml:space="preserve">” </w:t>
      </w:r>
      <w:r>
        <w:rPr>
          <w:rFonts w:ascii="Times New Roman;serif" w:hAnsi="Times New Roman;serif"/>
          <w:b w:val="false"/>
          <w:color w:val="000000"/>
          <w:sz w:val="22"/>
        </w:rPr>
        <w:t>settlement with the Company or its designee.</w:t>
      </w:r>
    </w:p>
    <w:p>
      <w:pPr>
        <w:pStyle w:val="TextBody"/>
        <w:bidi w:val="0"/>
        <w:spacing w:lineRule="auto" w:line="240" w:before="0" w:after="240"/>
        <w:ind w:left="0" w:right="0" w:firstLine="720"/>
        <w:jc w:val="both"/>
        <w:rPr/>
      </w:pPr>
      <w:r>
        <w:rPr>
          <w:rFonts w:ascii="Times New Roman;serif" w:hAnsi="Times New Roman;serif"/>
          <w:b w:val="false"/>
          <w:color w:val="000000"/>
          <w:sz w:val="22"/>
        </w:rPr>
        <w:t>2.3</w:t>
      </w:r>
      <w:r>
        <w:rPr>
          <w:rFonts w:ascii="Times New Roman;serif" w:hAnsi="Times New Roman;serif"/>
          <w:b/>
          <w:color w:val="000000"/>
          <w:sz w:val="22"/>
        </w:rPr>
        <w:t>Closing Conditions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The obligations of the Company hereunder in connection with the Closing with respect to each Purchaser are subject to the following conditions being met:</w:t>
      </w:r>
    </w:p>
    <w:p>
      <w:pPr>
        <w:pStyle w:val="TextBody"/>
        <w:bidi w:val="0"/>
        <w:spacing w:lineRule="auto" w:line="240" w:before="0" w:after="240"/>
        <w:ind w:left="0" w:right="0" w:firstLine="2160"/>
        <w:jc w:val="both"/>
        <w:rPr/>
      </w:pPr>
      <w:r>
        <w:rPr>
          <w:rFonts w:ascii="Times New Roman;serif" w:hAnsi="Times New Roman;serif"/>
          <w:b w:val="false"/>
          <w:color w:val="000000"/>
          <w:sz w:val="22"/>
        </w:rPr>
        <w:t>(i)</w:t>
      </w:r>
      <w:r>
        <w:rPr>
          <w:rFonts w:ascii="Times New Roman;serif" w:hAnsi="Times New Roman;serif"/>
          <w:b w:val="false"/>
          <w:color w:val="000000"/>
          <w:sz w:val="22"/>
        </w:rPr>
        <w:t>the accuracy in all material respects (or, to the extent representations or warranties are qualified by materiality, in all respects) when made and on the Closing Date of the representations and warranties of the Purchasers contained herein (unless as of a specific date therein in which case they shall be accurate in all material respects (or, to the extent representations or warranties are qualified by materiality, in all respects) as of such date);</w:t>
      </w:r>
    </w:p>
    <w:p>
      <w:pPr>
        <w:pStyle w:val="TextBody"/>
        <w:bidi w:val="0"/>
        <w:spacing w:lineRule="auto" w:line="240" w:before="0" w:after="240"/>
        <w:ind w:left="0" w:right="0" w:firstLine="2160"/>
        <w:jc w:val="both"/>
        <w:rPr/>
      </w:pPr>
      <w:r>
        <w:rPr>
          <w:rFonts w:ascii="Times New Roman;serif" w:hAnsi="Times New Roman;serif"/>
          <w:b w:val="false"/>
          <w:color w:val="000000"/>
          <w:sz w:val="22"/>
        </w:rPr>
        <w:t>(ii)</w:t>
      </w:r>
      <w:r>
        <w:rPr>
          <w:rFonts w:ascii="Times New Roman;serif" w:hAnsi="Times New Roman;serif"/>
          <w:b w:val="false"/>
          <w:color w:val="000000"/>
          <w:sz w:val="22"/>
        </w:rPr>
        <w:t>all obligations, covenants and agreements of each Purchaser required to be performed at or prior to the Closing Date shall have been performed in all material respects; and</w:t>
      </w:r>
    </w:p>
    <w:p>
      <w:pPr>
        <w:pStyle w:val="TextBody"/>
        <w:bidi w:val="0"/>
        <w:spacing w:lineRule="auto" w:line="240" w:before="0" w:after="240"/>
        <w:ind w:left="0" w:right="0" w:firstLine="2160"/>
        <w:jc w:val="both"/>
        <w:rPr/>
      </w:pPr>
      <w:r>
        <w:rPr>
          <w:rFonts w:ascii="Times New Roman;serif" w:hAnsi="Times New Roman;serif"/>
          <w:b w:val="false"/>
          <w:color w:val="000000"/>
          <w:sz w:val="22"/>
        </w:rPr>
        <w:t>(iii)</w:t>
      </w:r>
      <w:r>
        <w:rPr>
          <w:rFonts w:ascii="Times New Roman;serif" w:hAnsi="Times New Roman;serif"/>
          <w:b w:val="false"/>
          <w:color w:val="000000"/>
          <w:sz w:val="22"/>
        </w:rPr>
        <w:t>the delivery by each Purchaser of the items set forth in Section 2.2(b) of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60655"/>
                <wp:effectExtent l="0" t="0" r="0" b="0"/>
                <wp:wrapNone/>
                <wp:docPr id="31" name="Frame3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The respective obligations of the Purchasers hereunder in connection with the Closing are subject to the following conditions being met:</w:t>
      </w:r>
    </w:p>
    <w:p>
      <w:pPr>
        <w:pStyle w:val="TextBody"/>
        <w:bidi w:val="0"/>
        <w:spacing w:lineRule="auto" w:line="240" w:before="0" w:after="240"/>
        <w:ind w:left="0" w:right="0" w:firstLine="2160"/>
        <w:jc w:val="both"/>
        <w:rPr/>
      </w:pPr>
      <w:r>
        <w:rPr>
          <w:rFonts w:ascii="Times New Roman;serif" w:hAnsi="Times New Roman;serif"/>
          <w:b w:val="false"/>
          <w:color w:val="000000"/>
          <w:sz w:val="22"/>
        </w:rPr>
        <w:t>(i)</w:t>
      </w:r>
      <w:r>
        <w:rPr>
          <w:rFonts w:ascii="Times New Roman;serif" w:hAnsi="Times New Roman;serif"/>
          <w:b w:val="false"/>
          <w:color w:val="000000"/>
          <w:sz w:val="22"/>
        </w:rPr>
        <w:t>the accuracy in all material respects (or, to the extent representations or warranties are qualified by materiality or Material Adverse Effect, in all respects) when made and on the Closing Date of the representations and warranties of the Company contained herein (unless as of a specific date therein in which case they shall be accurate in all material respects (or, to the extent representations or warranties are qualified by materiality or Material Adverse Effect, in all respects) as of such date);</w:t>
      </w:r>
    </w:p>
    <w:p>
      <w:pPr>
        <w:pStyle w:val="TextBody"/>
        <w:bidi w:val="0"/>
        <w:spacing w:lineRule="auto" w:line="240" w:before="0" w:after="240"/>
        <w:ind w:left="0" w:right="0" w:firstLine="2160"/>
        <w:jc w:val="both"/>
        <w:rPr/>
      </w:pPr>
      <w:r>
        <w:rPr>
          <w:rFonts w:ascii="Times New Roman;serif" w:hAnsi="Times New Roman;serif"/>
          <w:b w:val="false"/>
          <w:color w:val="000000"/>
          <w:sz w:val="22"/>
        </w:rPr>
        <w:t>(ii)</w:t>
      </w:r>
      <w:r>
        <w:rPr>
          <w:rFonts w:ascii="Times New Roman;serif" w:hAnsi="Times New Roman;serif"/>
          <w:b w:val="false"/>
          <w:color w:val="000000"/>
          <w:sz w:val="22"/>
        </w:rPr>
        <w:t>all obligations, covenants and agreements of the Company required to be performed at or prior to the Closing Date shall have been performed;</w:t>
      </w:r>
    </w:p>
    <w:p>
      <w:pPr>
        <w:pStyle w:val="TextBody"/>
        <w:bidi w:val="0"/>
        <w:spacing w:lineRule="auto" w:line="240" w:before="0" w:after="240"/>
        <w:ind w:left="0" w:right="0" w:firstLine="2160"/>
        <w:jc w:val="both"/>
        <w:rPr/>
      </w:pPr>
      <w:r>
        <w:rPr>
          <w:rFonts w:ascii="Times New Roman;serif" w:hAnsi="Times New Roman;serif"/>
          <w:b w:val="false"/>
          <w:color w:val="000000"/>
          <w:sz w:val="22"/>
        </w:rPr>
        <w:t>(iii)</w:t>
      </w:r>
      <w:r>
        <w:rPr>
          <w:rFonts w:ascii="Times New Roman;serif" w:hAnsi="Times New Roman;serif"/>
          <w:b w:val="false"/>
          <w:color w:val="000000"/>
          <w:sz w:val="22"/>
        </w:rPr>
        <w:t>the delivery by the Company of the items set forth in Section 2.2(a) of this Agreement;</w:t>
      </w:r>
    </w:p>
    <w:p>
      <w:pPr>
        <w:pStyle w:val="TextBody"/>
        <w:bidi w:val="0"/>
        <w:spacing w:lineRule="auto" w:line="240" w:before="0" w:after="240"/>
        <w:ind w:left="0" w:right="0" w:firstLine="2160"/>
        <w:jc w:val="both"/>
        <w:rPr/>
      </w:pPr>
      <w:r>
        <w:rPr>
          <w:rFonts w:ascii="Times New Roman;serif" w:hAnsi="Times New Roman;serif"/>
          <w:b w:val="false"/>
          <w:color w:val="000000"/>
          <w:sz w:val="22"/>
        </w:rPr>
        <w:t>(iv)</w:t>
      </w:r>
      <w:r>
        <w:rPr>
          <w:rFonts w:ascii="Times New Roman;serif" w:hAnsi="Times New Roman;serif"/>
          <w:b w:val="false"/>
          <w:color w:val="000000"/>
          <w:sz w:val="22"/>
        </w:rPr>
        <w:t>there shall have been no Material Adverse Effect with respect to the Company;</w:t>
      </w:r>
    </w:p>
    <w:p>
      <w:pPr>
        <w:pStyle w:val="TextBody"/>
        <w:bidi w:val="0"/>
        <w:spacing w:lineRule="auto" w:line="240" w:before="0" w:after="240"/>
        <w:ind w:left="0" w:right="0" w:firstLine="2160"/>
        <w:jc w:val="both"/>
        <w:rPr/>
      </w:pPr>
      <w:r>
        <w:rPr>
          <w:rFonts w:ascii="Times New Roman;serif" w:hAnsi="Times New Roman;serif"/>
          <w:b w:val="false"/>
          <w:color w:val="000000"/>
          <w:sz w:val="22"/>
        </w:rPr>
        <w:t>(v)</w:t>
      </w:r>
      <w:r>
        <w:rPr>
          <w:rFonts w:ascii="Times New Roman;serif" w:hAnsi="Times New Roman;serif"/>
          <w:b w:val="false"/>
          <w:color w:val="000000"/>
          <w:sz w:val="22"/>
        </w:rPr>
        <w:t>from the date hereof to and including the Closing Date, trading in the Company’s securities shall not have been suspended by the Commission or any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Securities at the Closing; and</w:t>
      </w:r>
    </w:p>
    <w:p>
      <w:pPr>
        <w:pStyle w:val="TextBody"/>
        <w:bidi w:val="0"/>
        <w:spacing w:lineRule="auto" w:line="240" w:before="0" w:after="240"/>
        <w:ind w:left="0" w:right="0" w:firstLine="2160"/>
        <w:jc w:val="both"/>
        <w:rPr/>
      </w:pPr>
      <w:r>
        <w:rPr>
          <w:rFonts w:ascii="Times New Roman;serif" w:hAnsi="Times New Roman;serif"/>
          <w:b w:val="false"/>
          <w:color w:val="000000"/>
          <w:sz w:val="22"/>
        </w:rPr>
        <w:t>(vi)</w:t>
      </w:r>
      <w:r>
        <w:rPr>
          <w:rFonts w:ascii="Times New Roman;serif" w:hAnsi="Times New Roman;serif"/>
          <w:b w:val="false"/>
          <w:color w:val="000000"/>
          <w:sz w:val="22"/>
        </w:rPr>
        <w:t>the Company shall have filed an additional listing application with the principal Trading Market with respect to the Shares and the Warrant Shares.</w:t>
      </w:r>
    </w:p>
    <w:p>
      <w:pPr>
        <w:pStyle w:val="TextBody"/>
        <w:bidi w:val="0"/>
        <w:spacing w:lineRule="auto" w:line="240" w:before="0" w:after="240"/>
        <w:jc w:val="center"/>
        <w:rPr/>
      </w:pPr>
      <w:r>
        <w:rPr>
          <w:rFonts w:ascii="Times New Roman;serif" w:hAnsi="Times New Roman;serif"/>
          <w:b/>
          <w:color w:val="000000"/>
          <w:sz w:val="22"/>
        </w:rPr>
        <w:t>Article III</w:t>
      </w:r>
      <w:r>
        <w:rPr>
          <w:rFonts w:ascii="Times New Roman;serif" w:hAnsi="Times New Roman;serif"/>
          <w:b w:val="false"/>
          <w:color w:val="000000"/>
          <w:sz w:val="22"/>
        </w:rPr>
        <w:br/>
      </w:r>
      <w:r>
        <w:rPr>
          <w:rFonts w:ascii="Times New Roman;serif" w:hAnsi="Times New Roman;serif"/>
          <w:b/>
          <w:color w:val="000000"/>
          <w:sz w:val="22"/>
        </w:rPr>
        <w:t>Representations and Warranties</w:t>
      </w:r>
    </w:p>
    <w:p>
      <w:pPr>
        <w:pStyle w:val="TextBody"/>
        <w:bidi w:val="0"/>
        <w:spacing w:lineRule="auto" w:line="240" w:before="0" w:after="240"/>
        <w:ind w:left="0" w:right="0" w:firstLine="720"/>
        <w:jc w:val="both"/>
        <w:rPr/>
      </w:pPr>
      <w:r>
        <w:rPr>
          <w:rFonts w:ascii="Times New Roman;serif" w:hAnsi="Times New Roman;serif"/>
          <w:b w:val="false"/>
          <w:color w:val="000000"/>
          <w:sz w:val="22"/>
        </w:rPr>
        <w:t>3.1</w:t>
      </w:r>
      <w:r>
        <w:rPr>
          <w:rFonts w:ascii="Times New Roman;serif" w:hAnsi="Times New Roman;serif"/>
          <w:b/>
          <w:color w:val="000000"/>
          <w:sz w:val="22"/>
        </w:rPr>
        <w:t>Representations and Warranties of the Company</w:t>
      </w:r>
      <w:r>
        <w:rPr>
          <w:rFonts w:ascii="Times New Roman;serif" w:hAnsi="Times New Roman;serif"/>
          <w:b w:val="false"/>
          <w:color w:val="000000"/>
          <w:sz w:val="22"/>
        </w:rPr>
        <w:t>. Except as set forth in the SEC Reports, the Company hereby makes the following representations and warranties to each Purchaser:</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color w:val="000000"/>
          <w:sz w:val="22"/>
        </w:rPr>
        <w:t>Subsidiaries</w:t>
      </w:r>
      <w:r>
        <w:rPr>
          <w:rFonts w:ascii="Times New Roman;serif" w:hAnsi="Times New Roman;serif"/>
          <w:b w:val="false"/>
          <w:color w:val="000000"/>
          <w:sz w:val="22"/>
        </w:rPr>
        <w:t>. All of the direct and indirect subsidiaries of the Company are set forth in the SEC Reports. The Company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 If the Company has no subsidiaries, all references to the Subsidiaries or any of them in the Transaction Documents shall be disregarded.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capital stock of any Subsidiary, or contracts, commitments, understandings or arrangements by which any Subsidiary is or may become bound to issue capital stock.</w:t>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60655"/>
                <wp:effectExtent l="0" t="0" r="0" b="0"/>
                <wp:wrapNone/>
                <wp:docPr id="32" name="Frame3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color w:val="000000"/>
          <w:sz w:val="22"/>
        </w:rPr>
        <w:t>Organization and Qualification</w:t>
      </w:r>
      <w:r>
        <w:rPr>
          <w:rFonts w:ascii="Times New Roman;serif" w:hAnsi="Times New Roman;serif"/>
          <w:b w:val="false"/>
          <w:color w:val="000000"/>
          <w:sz w:val="22"/>
        </w:rPr>
        <w:t>. The Company and each of the Subsidiaries is an entity duly incorporated or otherwise organized, validly existing, and, if applicable under the laws of the jurisdiction in which they are formed, in good standing (or such similar concept) under the laws of the jurisdiction of its incorporation or organization, with the requisite power and authority to own and use its properties and assets and to carry on its business as currently conducted. The Company and each of the Subsidiaries has all necessary authorizations, approvals, orders, licenses, certificates and permits of and from all governmental regulatory officials and bodies that it needs as of the date hereof to conduct its business purpose in all material respects as described in the SEC Reports and to own or lease its properties. Neither the Company nor any Subsidiary is in violation nor default of any of the provisions of its respective certificate or articles of incorporation, bylaws, memorandum and articles of association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a Material Adverse Effect. The term “</w:t>
      </w:r>
      <w:r>
        <w:rPr>
          <w:rFonts w:ascii="Times New Roman;serif" w:hAnsi="Times New Roman;serif"/>
          <w:b/>
          <w:i/>
          <w:color w:val="000000"/>
          <w:sz w:val="22"/>
        </w:rPr>
        <w:t>Material Adverse Effect</w:t>
      </w:r>
      <w:r>
        <w:rPr>
          <w:color w:val="000000"/>
        </w:rPr>
        <w:t xml:space="preserve">” </w:t>
      </w:r>
      <w:r>
        <w:rPr>
          <w:rFonts w:ascii="Times New Roman;serif" w:hAnsi="Times New Roman;serif"/>
          <w:b w:val="false"/>
          <w:color w:val="000000"/>
          <w:sz w:val="22"/>
        </w:rPr>
        <w:t>means an effect, change, event or occurrence that, alone or in conjunction with any other or others: (i) has or would reasonably be expected to have a material adverse effect on: (A) the business, general affairs, management, condition (financial or otherwise), results of operations, shareholders’ equity, properties or prospects of the Company and the Subsidiaries, taken as a whole, or (B) the legality, validity or enforceability of any Transaction Document, or (ii) the Company’s ability to perform in any material respect on a timely basis its obligations under any Transaction Document. No Proceeding has been instituted in any jurisdiction revoking, limiting or curtailing or seeking to revoke, limit or curtail such power and authority or qualification.</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color w:val="000000"/>
          <w:sz w:val="22"/>
        </w:rPr>
        <w:t>Authorization; Enforcement</w:t>
      </w:r>
      <w:r>
        <w:rPr>
          <w:rFonts w:ascii="Times New Roman;serif" w:hAnsi="Times New Roman;serif"/>
          <w:b w:val="false"/>
          <w:color w:val="000000"/>
          <w:sz w:val="22"/>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60655"/>
                <wp:effectExtent l="0" t="0" r="0" b="0"/>
                <wp:wrapNone/>
                <wp:docPr id="33" name="Frame3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color w:val="000000"/>
          <w:sz w:val="22"/>
        </w:rPr>
        <w:t>No Conflicts</w:t>
      </w:r>
      <w:r>
        <w:rPr>
          <w:rFonts w:ascii="Times New Roman;serif" w:hAnsi="Times New Roman;serif"/>
          <w:b w:val="false"/>
          <w:color w:val="000000"/>
          <w:sz w:val="22"/>
        </w:rPr>
        <w:t>. The execution, delivery and performance by the Company of this Agreement and the other Transaction Documents to which it is a party, the issuance and sale of the Securities (including the Warrant Shares underlying the Warrants) and the consummation by it of the transactions contemplated hereby and thereby do not and will not (i) conflict with or violate any provision of the Company’s or any Subsidiary’s certificate or articles of incorporation, bylaws, memorandum and articles of association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individually or in the aggregate, have or reasonably be expected to result in a Material Adverse Effect.</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color w:val="000000"/>
          <w:sz w:val="22"/>
        </w:rPr>
        <w:t>Filings, Consents and Approvals</w:t>
      </w:r>
      <w:r>
        <w:rPr>
          <w:rFonts w:ascii="Times New Roman;serif" w:hAnsi="Times New Roman;serif"/>
          <w:b w:val="false"/>
          <w:color w:val="000000"/>
          <w:sz w:val="22"/>
        </w:rPr>
        <w:t>. The Company is not required to obtain any consent, waiver, authorization or order of, give any notice to, or make any filing or registration with, any court or other federal, state, local, foreign or other governmental authority or other Person in connection with the execution, delivery and performance by the Company of the Transaction Documents, other than: (i) the filings required pursuant to Section 4.4 of this Agreement, (ii) the filing with the Commission of the Prospectus Supplement, (iii) the notice and/or application(s) to each applicable Trading Market for the listing of the Shares and the Warrant Shares for trading thereon in the time and manner required thereby, and (iv) such filings as are required to be made under applicable state securities laws (collectively, the “</w:t>
      </w:r>
      <w:r>
        <w:rPr>
          <w:rFonts w:ascii="Times New Roman;serif" w:hAnsi="Times New Roman;serif"/>
          <w:b/>
          <w:i/>
          <w:color w:val="000000"/>
          <w:sz w:val="22"/>
        </w:rPr>
        <w:t>Required Approvals</w:t>
      </w:r>
      <w:r>
        <w:rPr>
          <w:color w:val="000000"/>
        </w:rPr>
        <w:t>”</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60655"/>
                <wp:effectExtent l="0" t="0" r="0" b="0"/>
                <wp:wrapNone/>
                <wp:docPr id="34" name="Frame3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rFonts w:ascii="Times New Roman;serif" w:hAnsi="Times New Roman;serif"/>
          <w:b/>
          <w:color w:val="000000"/>
          <w:sz w:val="22"/>
        </w:rPr>
        <w:t>Issuance of the Securities; Registration</w:t>
      </w:r>
      <w:r>
        <w:rPr>
          <w:rFonts w:ascii="Times New Roman;serif" w:hAnsi="Times New Roman;serif"/>
          <w:b w:val="false"/>
          <w:color w:val="000000"/>
          <w:sz w:val="22"/>
        </w:rPr>
        <w:t>. The Securities are duly authorized and, when issued and paid for in accordance with the applicable Transaction Documents, will be duly and validly issued, fully paid and nonassessable, free and clear of all Liens imposed by the Company. The Warrant Shares, when issued in accordance with the terms of the Warrants, will be duly authorized, fully paid and nonassessable, binding obligations of the Company under the law of the jurisdiction governing the Warrants, and when issued in accordance with this Agreement, will be validly issued and free and clear of all Liens imposed by the Company. The Company has reserved and will keep available from its duly authorized but unissued shares of Common Stock, and at all times will have sufficient authorized but unissued shares of Common Stock to accommodate, the maximum number of shares of Common Stock issuable pursuant to the Transaction Documents. The Company has filed the Registration Statement in conformity with the requirements of the Securities Act, which became effective on April 8, 2026, including the Prospectus, and such amendments and supplements thereto as may have been required to the date of this Agreement. The Registration Statement is effective under the Securities Act, and no stop order preventing or suspending the effectiveness of the Registration Statement or suspending or preventing the use of the Prospectus has been issued by the Commission and no proceedings for that purpose have been instituted or, to the knowledge of the Company, are threatened by the Commission. The Company, if required by the rules and regulations of the Commission, shall file the Prospectus Supplement with the Commission pursuant to Rule 424(b). At the time the Registration Statement and any amendments thereto became effective, at the date of this Agreement and at the Closing Date, the Registration Statement and any amendments thereto conformed and will conform in all material respects to the requirements of the Securities Act and did not and will not contain any untrue statement of a material fact or omit to state any material fact required to be stated therein or necessary to make the statements therein not misleading; and the Base Prospectus, the Prospectus Supplement and any amendments or supplements thereto, at the time the Base Prospectus, the Prospectus Supplement or any amendment or supplement thereto was issued and at the Closing Date, conformed and will conform in all material respects to the requirements of the Securities Act and did not and will not contain an untrue statement of a material fact or omit to state a material fact necessary in order to make the statements therein, in the light of the circumstances under which they were made, not misleading. The Company was at the time of the filing of the Registration Statement eligible to use Form S-3. The Company is eligible to use Form S-3 under the Securities Act and meets the transaction requirements as set forth in General Instruction I.B.1 of Form S-3.</w:t>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60655"/>
                <wp:effectExtent l="0" t="0" r="0" b="0"/>
                <wp:wrapNone/>
                <wp:docPr id="35" name="Frame3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(g)</w:t>
      </w:r>
      <w:r>
        <w:rPr>
          <w:rFonts w:ascii="Times New Roman;serif" w:hAnsi="Times New Roman;serif"/>
          <w:b/>
          <w:color w:val="000000"/>
          <w:sz w:val="22"/>
        </w:rPr>
        <w:t>Capitalization</w:t>
      </w:r>
      <w:r>
        <w:rPr>
          <w:rFonts w:ascii="Times New Roman;serif" w:hAnsi="Times New Roman;serif"/>
          <w:b w:val="false"/>
          <w:color w:val="000000"/>
          <w:sz w:val="22"/>
        </w:rPr>
        <w:t>. The capitalization of the Company is as set forth in the SEC Reports as of the date thereof, which SEC Reports also include the number of shares of Common Stock owned beneficially, and of record, by Affiliates of the Company as of the date thereof. The Company has not issued any capital stock since its most recently filed periodic report under the Exchange Act, other than pursuant to the exercise of employee stock options under the Company’s stock option plans, the issuance of shares of Common Stock to employees pursuant to the Company’s employee stock purchase plans, and pursuant to the conversion and/or exercise of Common Stock Equivalents outstanding as of the date of the most recently filed periodic report under the Exchange Act. No Person has any right of first refusal, preemptive right, right of participation, or any similar right to participate in the transactions contemplated by the Transaction Documents. Except as set forth in the SEC Reports and as a result of the purchase and sale of the Securities,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the capital stock of any Subsidiary, or contracts, commitments, understandings or arrangements by which the Company or any Subsidiary is or may become bound to issue additional shares of Common Stock or Common Stock Equivalents or the capital stock of any Subsidiary. The issuance and sale of the Securities will not obligate the Company or any Subsidiary to issue shares of Common Stock or other securities to any Person (other than the Purchasers) and will not result in a right of any holder of Company securities to adjust the exercise, conversion, exchange or reset price under any of such securities. Other than the put options as described in the SEC Reports,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w:t>
      </w:r>
      <w:r>
        <w:rPr>
          <w:rFonts w:ascii="Times New Roman;serif" w:hAnsi="Times New Roman;serif"/>
          <w:b/>
          <w:i/>
          <w:color w:val="000000"/>
          <w:sz w:val="22"/>
        </w:rPr>
        <w:t>phantom stock</w:t>
      </w:r>
      <w:r>
        <w:rPr>
          <w:color w:val="000000"/>
        </w:rPr>
        <w:t xml:space="preserve">” </w:t>
      </w:r>
      <w:r>
        <w:rPr>
          <w:rFonts w:ascii="Times New Roman;serif" w:hAnsi="Times New Roman;serif"/>
          <w:b w:val="false"/>
          <w:color w:val="000000"/>
          <w:sz w:val="22"/>
        </w:rPr>
        <w:t>plans or agreements or any similar plan or agreement. All of the outstanding shares of capital stock of the Company are duly authorized, validly issued, fully paid and nonassessable, have been issued in compliance with all federal and state securities laws where applicable, and none of such outstanding shares was issued in violation of any preemptive rights or similar rights to subscribe for or purchase securities. Except for the Required Approvals, no further approval or authorization of any stockholder, the Board of Directors or others is required for the issuance and sale of the Securities. There are no stockholders agreements, voting agreements or other similar agreements with respect to the Company’s capital stock to which the Company is a party or, to the knowledge of the Company, between or among any of the Company’s stockholders.</w:t>
      </w:r>
    </w:p>
    <w:p>
      <w:pPr>
        <w:pStyle w:val="TextBody"/>
        <w:bidi w:val="0"/>
        <w:spacing w:lineRule="auto" w:line="240" w:before="0" w:after="240"/>
        <w:ind w:left="0" w:right="0" w:firstLine="1440"/>
        <w:jc w:val="both"/>
        <w:rPr/>
      </w:pPr>
      <w:r>
        <w:rPr>
          <w:rFonts w:ascii="Times New Roman;serif" w:hAnsi="Times New Roman;serif"/>
          <w:b w:val="false"/>
          <w:color w:val="000000"/>
          <w:sz w:val="22"/>
        </w:rPr>
        <w:t>(h)</w:t>
      </w:r>
      <w:r>
        <w:rPr>
          <w:rFonts w:ascii="Times New Roman;serif" w:hAnsi="Times New Roman;serif"/>
          <w:b/>
          <w:color w:val="000000"/>
          <w:sz w:val="22"/>
        </w:rPr>
        <w:t>SEC Reports; Financial Statements</w:t>
      </w:r>
      <w:r>
        <w:rPr>
          <w:rFonts w:ascii="Times New Roman;serif" w:hAnsi="Times New Roman;serif"/>
          <w:b w:val="false"/>
          <w:color w:val="000000"/>
          <w:sz w:val="22"/>
        </w:rPr>
        <w:t>.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together with the Prospectus, being collectively referred to herein as the “</w:t>
      </w:r>
      <w:r>
        <w:rPr>
          <w:rFonts w:ascii="Times New Roman;serif" w:hAnsi="Times New Roman;serif"/>
          <w:b/>
          <w:i/>
          <w:color w:val="000000"/>
          <w:sz w:val="22"/>
        </w:rPr>
        <w:t>SEC Reports</w:t>
      </w:r>
      <w:r>
        <w:rPr>
          <w:color w:val="000000"/>
        </w:rPr>
        <w:t>”</w:t>
      </w:r>
      <w:r>
        <w:rPr>
          <w:rFonts w:ascii="Times New Roman;serif" w:hAnsi="Times New Roman;serif"/>
          <w:b w:val="false"/>
          <w:color w:val="000000"/>
          <w:sz w:val="22"/>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Company has never been an issuer subject to Rule 144(i) under the Securities Act. The consolidated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conformity with GAAP applied on a consistent basis during the periods involved,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60655"/>
                <wp:effectExtent l="0" t="0" r="0" b="0"/>
                <wp:wrapNone/>
                <wp:docPr id="36" name="Frame3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(i)</w:t>
      </w:r>
      <w:r>
        <w:rPr>
          <w:rFonts w:ascii="Times New Roman;serif" w:hAnsi="Times New Roman;serif"/>
          <w:b/>
          <w:color w:val="000000"/>
          <w:sz w:val="22"/>
        </w:rPr>
        <w:t>Material Changes; Undisclosed Events, Liabilities or Developments</w:t>
      </w:r>
      <w:r>
        <w:rPr>
          <w:rFonts w:ascii="Times New Roman;serif" w:hAnsi="Times New Roman;serif"/>
          <w:b w:val="false"/>
          <w:color w:val="000000"/>
          <w:sz w:val="22"/>
        </w:rPr>
        <w:t>. Since the date of the latest audited financial statements included within the SEC Reports, except as set forth in the SEC Reports, (i) there has been no event, occurrence or development that has had or that could reasonably be expected to result in a Material Adverse Effect, (ii) neither the Company nor any Subsidiary has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existing Company stock option plans. The Company does not have pending before the Commission any request for confidential treatment of information. Except for the issuance of the Securities contemplated by this Agreement or as set forth in the SEC Reports,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1 Trading Day prior to the date that this representation is made.</w:t>
      </w:r>
    </w:p>
    <w:p>
      <w:pPr>
        <w:pStyle w:val="TextBody"/>
        <w:bidi w:val="0"/>
        <w:spacing w:lineRule="auto" w:line="240" w:before="0" w:after="240"/>
        <w:ind w:left="0" w:right="0" w:firstLine="1440"/>
        <w:jc w:val="both"/>
        <w:rPr/>
      </w:pPr>
      <w:r>
        <w:rPr>
          <w:rFonts w:ascii="Times New Roman;serif" w:hAnsi="Times New Roman;serif"/>
          <w:b w:val="false"/>
          <w:color w:val="000000"/>
          <w:sz w:val="22"/>
        </w:rPr>
        <w:t>(j)</w:t>
      </w:r>
      <w:r>
        <w:rPr>
          <w:rFonts w:ascii="Times New Roman;serif" w:hAnsi="Times New Roman;serif"/>
          <w:b/>
          <w:color w:val="000000"/>
          <w:sz w:val="22"/>
        </w:rPr>
        <w:t>Litigation</w:t>
      </w:r>
      <w:r>
        <w:rPr>
          <w:rFonts w:ascii="Times New Roman;serif" w:hAnsi="Times New Roman;serif"/>
          <w:b w:val="false"/>
          <w:color w:val="000000"/>
          <w:sz w:val="22"/>
        </w:rPr>
        <w:t>. Except as set forth in the SEC Reports,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Times New Roman;serif" w:hAnsi="Times New Roman;serif"/>
          <w:b/>
          <w:i/>
          <w:color w:val="000000"/>
          <w:sz w:val="22"/>
        </w:rPr>
        <w:t>Action</w:t>
      </w:r>
      <w:r>
        <w:rPr>
          <w:color w:val="000000"/>
        </w:rPr>
        <w:t>”</w:t>
      </w:r>
      <w:r>
        <w:rPr>
          <w:rFonts w:ascii="Times New Roman;serif" w:hAnsi="Times New Roman;serif"/>
          <w:b w:val="false"/>
          <w:color w:val="000000"/>
          <w:sz w:val="22"/>
        </w:rPr>
        <w:t>). None of the Actions set forth in the SEC Reports (i) adversely affects or challenges the legality, validity or enforceability of any of the Transaction Documents or the Securities or (ii) could, if there were an unfavorable decision, have or reasonably be expected to result in a Material Adverse Effect. Neither the Company nor any Subsidiary, nor any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any current or former director or officer of the Company. The Commission has not issued any stop order or other order suspending the effectiveness of any registration statement filed by the Company or any Subsidiary under the Exchange Act or the Securities Act.</w:t>
      </w:r>
    </w:p>
    <w:p>
      <w:pPr>
        <w:pStyle w:val="TextBody"/>
        <w:bidi w:val="0"/>
        <w:spacing w:lineRule="auto" w:line="240" w:before="0" w:after="240"/>
        <w:ind w:left="0" w:right="0" w:firstLine="1440"/>
        <w:jc w:val="both"/>
        <w:rPr/>
      </w:pPr>
      <w:r>
        <w:rPr>
          <w:rFonts w:ascii="Times New Roman;serif" w:hAnsi="Times New Roman;serif"/>
          <w:b w:val="false"/>
          <w:color w:val="000000"/>
          <w:sz w:val="22"/>
        </w:rPr>
        <w:t>(k)</w:t>
      </w:r>
      <w:r>
        <w:rPr>
          <w:rFonts w:ascii="Times New Roman;serif" w:hAnsi="Times New Roman;serif"/>
          <w:b/>
          <w:color w:val="000000"/>
          <w:sz w:val="22"/>
        </w:rPr>
        <w:t>Labor Relations</w:t>
      </w:r>
      <w:r>
        <w:rPr>
          <w:rFonts w:ascii="Times New Roman;serif" w:hAnsi="Times New Roman;serif"/>
          <w:b w:val="false"/>
          <w:color w:val="000000"/>
          <w:sz w:val="22"/>
        </w:rPr>
        <w:t>. No labor dispute exists or, to the knowledge of the Company, is threatened or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applicable U.S.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w:t>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60655"/>
                <wp:effectExtent l="0" t="0" r="0" b="0"/>
                <wp:wrapNone/>
                <wp:docPr id="37" name="Frame3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(l)</w:t>
      </w:r>
      <w:r>
        <w:rPr>
          <w:rFonts w:ascii="Times New Roman;serif" w:hAnsi="Times New Roman;serif"/>
          <w:b/>
          <w:color w:val="000000"/>
          <w:sz w:val="22"/>
        </w:rPr>
        <w:t>Compliance</w:t>
      </w:r>
      <w:r>
        <w:rPr>
          <w:rFonts w:ascii="Times New Roman;serif" w:hAnsi="Times New Roman;serif"/>
          <w:b w:val="false"/>
          <w:color w:val="000000"/>
          <w:sz w:val="22"/>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of (i), (ii) and (iii) as could not have or reasonably be expected to result in a Material Adverse Effect.</w:t>
      </w:r>
    </w:p>
    <w:p>
      <w:pPr>
        <w:pStyle w:val="TextBody"/>
        <w:bidi w:val="0"/>
        <w:spacing w:lineRule="auto" w:line="240" w:before="0" w:after="240"/>
        <w:ind w:left="0" w:right="0" w:firstLine="1440"/>
        <w:jc w:val="both"/>
        <w:rPr/>
      </w:pPr>
      <w:r>
        <w:rPr>
          <w:rFonts w:ascii="Times New Roman;serif" w:hAnsi="Times New Roman;serif"/>
          <w:b w:val="false"/>
          <w:color w:val="000000"/>
          <w:sz w:val="22"/>
        </w:rPr>
        <w:t>(m)</w:t>
      </w:r>
      <w:r>
        <w:rPr>
          <w:rFonts w:ascii="Times New Roman;serif" w:hAnsi="Times New Roman;serif"/>
          <w:b/>
          <w:color w:val="000000"/>
          <w:sz w:val="22"/>
        </w:rPr>
        <w:t>Regulatory Permits</w:t>
      </w:r>
      <w:r>
        <w:rPr>
          <w:rFonts w:ascii="Times New Roman;serif" w:hAnsi="Times New Roman;serif"/>
          <w:b w:val="false"/>
          <w:color w:val="000000"/>
          <w:sz w:val="22"/>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could not reasonably be expected to result in a Material Adverse Effect (“</w:t>
      </w:r>
      <w:r>
        <w:rPr>
          <w:rFonts w:ascii="Times New Roman;serif" w:hAnsi="Times New Roman;serif"/>
          <w:b/>
          <w:i/>
          <w:color w:val="000000"/>
          <w:sz w:val="22"/>
        </w:rPr>
        <w:t>Material Permits</w:t>
      </w:r>
      <w:r>
        <w:rPr>
          <w:color w:val="000000"/>
        </w:rPr>
        <w:t>”</w:t>
      </w:r>
      <w:r>
        <w:rPr>
          <w:rFonts w:ascii="Times New Roman;serif" w:hAnsi="Times New Roman;serif"/>
          <w:b w:val="false"/>
          <w:color w:val="000000"/>
          <w:sz w:val="22"/>
        </w:rPr>
        <w:t>), and neither the Company nor any Subsidiary has received any notice of proceedings relating to the revocation or modification of any Material Permit.</w:t>
      </w:r>
    </w:p>
    <w:p>
      <w:pPr>
        <w:pStyle w:val="TextBody"/>
        <w:bidi w:val="0"/>
        <w:spacing w:lineRule="auto" w:line="240" w:before="0" w:after="240"/>
        <w:ind w:left="0" w:right="0" w:firstLine="1440"/>
        <w:jc w:val="both"/>
        <w:rPr/>
      </w:pPr>
      <w:r>
        <w:rPr>
          <w:rFonts w:ascii="Times New Roman;serif" w:hAnsi="Times New Roman;serif"/>
          <w:b w:val="false"/>
          <w:color w:val="000000"/>
          <w:sz w:val="22"/>
        </w:rPr>
        <w:t>(n)</w:t>
      </w:r>
      <w:r>
        <w:rPr>
          <w:rFonts w:ascii="Times New Roman;serif" w:hAnsi="Times New Roman;serif"/>
          <w:b/>
          <w:color w:val="000000"/>
          <w:sz w:val="22"/>
        </w:rPr>
        <w:t>Title to Assets</w:t>
      </w:r>
      <w:r>
        <w:rPr>
          <w:rFonts w:ascii="Times New Roman;serif" w:hAnsi="Times New Roman;serif"/>
          <w:b w:val="false"/>
          <w:color w:val="000000"/>
          <w:sz w:val="22"/>
        </w:rPr>
        <w:t>. The Company and the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foreign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 in all material respects.</w:t>
      </w:r>
    </w:p>
    <w:p>
      <w:pPr>
        <w:pStyle w:val="TextBody"/>
        <w:bidi w:val="0"/>
        <w:spacing w:lineRule="auto" w:line="240" w:before="0" w:after="240"/>
        <w:ind w:left="0" w:right="0" w:firstLine="1440"/>
        <w:jc w:val="both"/>
        <w:rPr/>
      </w:pPr>
      <w:r>
        <w:rPr>
          <w:rFonts w:ascii="Times New Roman;serif" w:hAnsi="Times New Roman;serif"/>
          <w:b w:val="false"/>
          <w:color w:val="000000"/>
          <w:sz w:val="22"/>
        </w:rPr>
        <w:t>(o)</w:t>
      </w:r>
      <w:r>
        <w:rPr>
          <w:rFonts w:ascii="Times New Roman;serif" w:hAnsi="Times New Roman;serif"/>
          <w:b/>
          <w:color w:val="000000"/>
          <w:sz w:val="22"/>
        </w:rPr>
        <w:t>Intellectual Property</w:t>
      </w:r>
      <w:r>
        <w:rPr>
          <w:rFonts w:ascii="Times New Roman;serif" w:hAnsi="Times New Roman;serif"/>
          <w:b w:val="false"/>
          <w:color w:val="000000"/>
          <w:sz w:val="22"/>
        </w:rPr>
        <w:t>.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could have a Material Adverse Effect (collectively, the “</w:t>
      </w:r>
      <w:r>
        <w:rPr>
          <w:rFonts w:ascii="Times New Roman;serif" w:hAnsi="Times New Roman;serif"/>
          <w:b/>
          <w:i/>
          <w:color w:val="000000"/>
          <w:sz w:val="22"/>
        </w:rPr>
        <w:t>Intellectual Property Rights</w:t>
      </w:r>
      <w:r>
        <w:rPr>
          <w:color w:val="000000"/>
        </w:rPr>
        <w:t>”</w:t>
      </w:r>
      <w:r>
        <w:rPr>
          <w:rFonts w:ascii="Times New Roman;serif" w:hAnsi="Times New Roman;serif"/>
          <w:b w:val="false"/>
          <w:color w:val="000000"/>
          <w:sz w:val="22"/>
        </w:rPr>
        <w:t>).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could not have or reasonably be expected to not have a Material Adverse Effect.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 The Company has no knowledge of any facts that would preclude it from having valid license rights or clear title to the Intellectual Property Rights. The Company has no knowledge that it lacks or will be unable to obtain any rights or licenses to use all Intellectual Property Rights that are necessary to conduct its business.</w:t>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60655"/>
                <wp:effectExtent l="0" t="0" r="0" b="0"/>
                <wp:wrapNone/>
                <wp:docPr id="38" name="Frame3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(p)</w:t>
      </w:r>
      <w:r>
        <w:rPr>
          <w:rFonts w:ascii="Times New Roman;serif" w:hAnsi="Times New Roman;serif"/>
          <w:b/>
          <w:color w:val="000000"/>
          <w:sz w:val="22"/>
        </w:rPr>
        <w:t>Insurance</w:t>
      </w:r>
      <w:r>
        <w:rPr>
          <w:rFonts w:ascii="Times New Roman;serif" w:hAnsi="Times New Roman;serif"/>
          <w:b w:val="false"/>
          <w:color w:val="000000"/>
          <w:sz w:val="22"/>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at least equal to the aggregate Subscription Amount.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pStyle w:val="TextBody"/>
        <w:bidi w:val="0"/>
        <w:spacing w:lineRule="auto" w:line="240" w:before="0" w:after="240"/>
        <w:ind w:left="0" w:right="0" w:firstLine="1440"/>
        <w:jc w:val="both"/>
        <w:rPr/>
      </w:pPr>
      <w:r>
        <w:rPr>
          <w:rFonts w:ascii="Times New Roman;serif" w:hAnsi="Times New Roman;serif"/>
          <w:b w:val="false"/>
          <w:color w:val="000000"/>
          <w:sz w:val="22"/>
        </w:rPr>
        <w:t>(q)</w:t>
      </w:r>
      <w:r>
        <w:rPr>
          <w:rFonts w:ascii="Times New Roman;serif" w:hAnsi="Times New Roman;serif"/>
          <w:b/>
          <w:color w:val="000000"/>
          <w:sz w:val="22"/>
        </w:rPr>
        <w:t>Transactions With Affiliates and Employees</w:t>
      </w:r>
      <w:r>
        <w:rPr>
          <w:rFonts w:ascii="Times New Roman;serif" w:hAnsi="Times New Roman;serif"/>
          <w:b w:val="false"/>
          <w:color w:val="000000"/>
          <w:sz w:val="22"/>
        </w:rPr>
        <w:t>. Other than as disclosed in the SEC Reports,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other than for (i) payment of salary or consulting fees for services rendered, (ii) reimbursement for expenses incurred on behalf of the Company and (iii) other employee benefits, including stock option agreements under any stock option plan of the Company.</w:t>
      </w:r>
    </w:p>
    <w:p>
      <w:pPr>
        <w:pStyle w:val="TextBody"/>
        <w:bidi w:val="0"/>
        <w:spacing w:lineRule="auto" w:line="240" w:before="0" w:after="240"/>
        <w:ind w:left="0" w:right="0" w:firstLine="1440"/>
        <w:jc w:val="both"/>
        <w:rPr/>
      </w:pPr>
      <w:r>
        <w:rPr>
          <w:rFonts w:ascii="Times New Roman;serif" w:hAnsi="Times New Roman;serif"/>
          <w:b w:val="false"/>
          <w:color w:val="000000"/>
          <w:sz w:val="22"/>
        </w:rPr>
        <w:t>(r)</w:t>
      </w:r>
      <w:r>
        <w:rPr>
          <w:rFonts w:ascii="Times New Roman;serif" w:hAnsi="Times New Roman;serif"/>
          <w:b/>
          <w:color w:val="000000"/>
          <w:sz w:val="22"/>
        </w:rPr>
        <w:t>Sarbanes-Oxley; Internal Accounting Controls</w:t>
      </w:r>
      <w:r>
        <w:rPr>
          <w:rFonts w:ascii="Times New Roman;serif" w:hAnsi="Times New Roman;serif"/>
          <w:b w:val="false"/>
          <w:color w:val="000000"/>
          <w:sz w:val="22"/>
        </w:rPr>
        <w:t>. The Company and the Subsidiaries and their respective officers and directors are in compliance with any and all applicable requirements of the Sarbanes-Oxley Act of 2002, as amended, that are effective as of the date hereof, and any and all applicable rules and regulations promulgated by the Commission thereunder that are effective as of the date hereof and as of the Closing Date.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and liabilities is compared with the existing assets and liabilities at reasonable intervals and appropriate action is taken with respect to any differences.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Times New Roman;serif" w:hAnsi="Times New Roman;serif"/>
          <w:b/>
          <w:i/>
          <w:color w:val="000000"/>
          <w:sz w:val="22"/>
        </w:rPr>
        <w:t>Evaluation Date</w:t>
      </w:r>
      <w:r>
        <w:rPr>
          <w:color w:val="000000"/>
        </w:rPr>
        <w:t>”</w:t>
      </w:r>
      <w:r>
        <w:rPr>
          <w:rFonts w:ascii="Times New Roman;serif" w:hAnsi="Times New Roman;serif"/>
          <w:b w:val="false"/>
          <w:color w:val="000000"/>
          <w:sz w:val="22"/>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pStyle w:val="TextBody"/>
        <w:bidi w:val="0"/>
        <w:spacing w:lineRule="auto" w:line="240" w:before="0" w:after="240"/>
        <w:ind w:left="0" w:right="0" w:firstLine="1440"/>
        <w:jc w:val="both"/>
        <w:rPr/>
      </w:pPr>
      <w:r>
        <w:rPr>
          <w:rFonts w:ascii="Times New Roman;serif" w:hAnsi="Times New Roman;serif"/>
          <w:b w:val="false"/>
          <w:color w:val="000000"/>
          <w:sz w:val="22"/>
        </w:rPr>
        <w:t>(s)</w:t>
      </w:r>
      <w:r>
        <w:rPr>
          <w:rFonts w:ascii="Times New Roman;serif" w:hAnsi="Times New Roman;serif"/>
          <w:b/>
          <w:color w:val="000000"/>
          <w:sz w:val="22"/>
        </w:rPr>
        <w:t>Certain Fees</w:t>
      </w:r>
      <w:r>
        <w:rPr>
          <w:rFonts w:ascii="Times New Roman;serif" w:hAnsi="Times New Roman;serif"/>
          <w:b w:val="false"/>
          <w:color w:val="000000"/>
          <w:sz w:val="22"/>
        </w:rPr>
        <w:t>.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other than fees payable to the Placement Agent. The Purchasers shall have no obligation with respect to any fees or with respect to any claims made by or on behalf of other Persons for fees of a type contemplated in this Section that may be due in connection with the transactions contemplated by the Transaction Documents.</w:t>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60655"/>
                <wp:effectExtent l="0" t="0" r="0" b="0"/>
                <wp:wrapNone/>
                <wp:docPr id="39" name="Frame3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(t)</w:t>
      </w:r>
      <w:r>
        <w:rPr>
          <w:rFonts w:ascii="Times New Roman;serif" w:hAnsi="Times New Roman;serif"/>
          <w:b/>
          <w:color w:val="000000"/>
          <w:sz w:val="22"/>
        </w:rPr>
        <w:t>Investment Company</w:t>
      </w:r>
      <w:r>
        <w:rPr>
          <w:rFonts w:ascii="Times New Roman;serif" w:hAnsi="Times New Roman;serif"/>
          <w:b w:val="false"/>
          <w:color w:val="000000"/>
          <w:sz w:val="22"/>
        </w:rPr>
        <w:t>. The Company is not, and is not an Affiliate of, and immediately after receipt of payment for the Securities, will not be or be an Affiliate of, an “</w:t>
      </w:r>
      <w:r>
        <w:rPr>
          <w:rFonts w:ascii="Times New Roman;serif" w:hAnsi="Times New Roman;serif"/>
          <w:b/>
          <w:i/>
          <w:color w:val="000000"/>
          <w:sz w:val="22"/>
        </w:rPr>
        <w:t>investment company</w:t>
      </w:r>
      <w:r>
        <w:rPr>
          <w:color w:val="000000"/>
        </w:rPr>
        <w:t xml:space="preserve">” </w:t>
      </w:r>
      <w:r>
        <w:rPr>
          <w:rFonts w:ascii="Times New Roman;serif" w:hAnsi="Times New Roman;serif"/>
          <w:b w:val="false"/>
          <w:color w:val="000000"/>
          <w:sz w:val="22"/>
        </w:rPr>
        <w:t>within the meaning of the Investment Company Act of 1940, as amended. The Company shall conduct its business in a manner so that it will not become an “</w:t>
      </w:r>
      <w:r>
        <w:rPr>
          <w:rFonts w:ascii="Times New Roman;serif" w:hAnsi="Times New Roman;serif"/>
          <w:b/>
          <w:i/>
          <w:color w:val="000000"/>
          <w:sz w:val="22"/>
        </w:rPr>
        <w:t>investment company</w:t>
      </w:r>
      <w:r>
        <w:rPr>
          <w:color w:val="000000"/>
        </w:rPr>
        <w:t xml:space="preserve">” </w:t>
      </w:r>
      <w:r>
        <w:rPr>
          <w:rFonts w:ascii="Times New Roman;serif" w:hAnsi="Times New Roman;serif"/>
          <w:b w:val="false"/>
          <w:color w:val="000000"/>
          <w:sz w:val="22"/>
        </w:rPr>
        <w:t>subject to registration under the Investment Company Act of 1940, as amended.</w:t>
      </w:r>
    </w:p>
    <w:p>
      <w:pPr>
        <w:pStyle w:val="TextBody"/>
        <w:bidi w:val="0"/>
        <w:spacing w:lineRule="auto" w:line="240" w:before="0" w:after="240"/>
        <w:ind w:left="0" w:right="0" w:firstLine="1440"/>
        <w:jc w:val="both"/>
        <w:rPr/>
      </w:pPr>
      <w:r>
        <w:rPr>
          <w:rFonts w:ascii="Times New Roman;serif" w:hAnsi="Times New Roman;serif"/>
          <w:b w:val="false"/>
          <w:color w:val="000000"/>
          <w:sz w:val="22"/>
        </w:rPr>
        <w:t>(u)</w:t>
      </w:r>
      <w:r>
        <w:rPr>
          <w:rFonts w:ascii="Times New Roman;serif" w:hAnsi="Times New Roman;serif"/>
          <w:b/>
          <w:color w:val="000000"/>
          <w:sz w:val="22"/>
        </w:rPr>
        <w:t>Registration Rights</w:t>
      </w:r>
      <w:r>
        <w:rPr>
          <w:rFonts w:ascii="Times New Roman;serif" w:hAnsi="Times New Roman;serif"/>
          <w:b w:val="false"/>
          <w:color w:val="000000"/>
          <w:sz w:val="22"/>
        </w:rPr>
        <w:t>. No Person has any right to cause the Company or any Subsidiary to effect the registration under the Securities Act of any securities of the Company or any Subsidiary.</w:t>
      </w:r>
    </w:p>
    <w:p>
      <w:pPr>
        <w:pStyle w:val="TextBody"/>
        <w:bidi w:val="0"/>
        <w:spacing w:lineRule="auto" w:line="240" w:before="0" w:after="240"/>
        <w:ind w:left="0" w:right="0" w:firstLine="1440"/>
        <w:jc w:val="both"/>
        <w:rPr/>
      </w:pPr>
      <w:r>
        <w:rPr>
          <w:rFonts w:ascii="Times New Roman;serif" w:hAnsi="Times New Roman;serif"/>
          <w:b w:val="false"/>
          <w:color w:val="000000"/>
          <w:sz w:val="22"/>
        </w:rPr>
        <w:t>(v)</w:t>
      </w:r>
      <w:r>
        <w:rPr>
          <w:rFonts w:ascii="Times New Roman;serif" w:hAnsi="Times New Roman;serif"/>
          <w:b/>
          <w:color w:val="000000"/>
          <w:sz w:val="22"/>
        </w:rPr>
        <w:t>Listing and Maintenance Requirements</w:t>
      </w:r>
      <w:r>
        <w:rPr>
          <w:rFonts w:ascii="Times New Roman;serif" w:hAnsi="Times New Roman;serif"/>
          <w:b w:val="false"/>
          <w:color w:val="000000"/>
          <w:sz w:val="22"/>
        </w:rPr>
        <w:t>. The Common Stock is registered pursuant to Section 12(b) or 12(g) of the Exchange Act, and the Company has taken no action designed to terminate, or which to its knowledge is likely to have the effect of terminating, the registration of the Common Stock under the Exchange Act nor has the Company received any notification that the Commission is contemplating terminating such registration. The Company is in compliance with the applicable continued listing requirements of each Trading Market on which the Common Stock is currently listed or quoted, and has not, in the 12 months preceding the date hereof, received notice from any Trading Market on which the Common Stock is or has been listed or quoted to the effect that the Company is not in compliance with the listing or maintenance requirements of such Trading Market. The Company is, and has no reason to believe that it will not in the foreseeable future continue to be, in compliance with all such listing and maintenance requirements.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pStyle w:val="TextBody"/>
        <w:bidi w:val="0"/>
        <w:spacing w:lineRule="auto" w:line="240" w:before="0" w:after="240"/>
        <w:ind w:left="0" w:right="0" w:firstLine="1440"/>
        <w:jc w:val="both"/>
        <w:rPr/>
      </w:pPr>
      <w:r>
        <w:rPr>
          <w:rFonts w:ascii="Times New Roman;serif" w:hAnsi="Times New Roman;serif"/>
          <w:b w:val="false"/>
          <w:color w:val="000000"/>
          <w:sz w:val="22"/>
        </w:rPr>
        <w:t>(w)</w:t>
      </w:r>
      <w:r>
        <w:rPr>
          <w:rFonts w:ascii="Times New Roman;serif" w:hAnsi="Times New Roman;serif"/>
          <w:b/>
          <w:color w:val="000000"/>
          <w:sz w:val="22"/>
        </w:rPr>
        <w:t>Application of Takeover Protections</w:t>
      </w:r>
      <w:r>
        <w:rPr>
          <w:rFonts w:ascii="Times New Roman;serif" w:hAnsi="Times New Roman;serif"/>
          <w:b w:val="false"/>
          <w:color w:val="000000"/>
          <w:sz w:val="22"/>
        </w:rPr>
        <w:t>.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certificate of incorporation (or similar charter documents) or the laws of its state of incorporation that is or could become applicable to a Purchaser as a result of such Purchaser and the Company fulfilling their obligations or exercising their rights under the Transaction Documents, including without limitation as a result of the Company’s issuance of the Securities and such Purchaser’s ownership of the Securities.</w:t>
      </w:r>
    </w:p>
    <w:p>
      <w:pPr>
        <w:pStyle w:val="TextBody"/>
        <w:bidi w:val="0"/>
        <w:spacing w:lineRule="auto" w:line="240" w:before="0" w:after="240"/>
        <w:ind w:left="0" w:right="0" w:firstLine="1440"/>
        <w:jc w:val="both"/>
        <w:rPr/>
      </w:pPr>
      <w:r>
        <w:rPr>
          <w:rFonts w:ascii="Times New Roman;serif" w:hAnsi="Times New Roman;serif"/>
          <w:b w:val="false"/>
          <w:color w:val="000000"/>
          <w:sz w:val="22"/>
        </w:rPr>
        <w:t>(x)</w:t>
      </w:r>
      <w:r>
        <w:rPr>
          <w:rFonts w:ascii="Times New Roman;serif" w:hAnsi="Times New Roman;serif"/>
          <w:b/>
          <w:color w:val="000000"/>
          <w:sz w:val="22"/>
        </w:rPr>
        <w:t>Disclosure</w:t>
      </w:r>
      <w:r>
        <w:rPr>
          <w:rFonts w:ascii="Times New Roman;serif" w:hAnsi="Times New Roman;serif"/>
          <w:b w:val="false"/>
          <w:color w:val="000000"/>
          <w:sz w:val="22"/>
        </w:rPr>
        <w:t>. Except with respect to the material terms and conditions of the transactions contemplated by the Transaction Documents, the Company confirms that neither it nor any other Person acting on its behalf has provided any Purchaser or its agents or counsel with any information that it believes constitutes or might constitute material, non-public information which is not otherwise disclosed in the Prospectus Supplement. The Company understands and confirms that the Purchasers will rely on the foregoing representation in effecting transactions in securities of the Company. All of the disclosure furnished by or on behalf of the Company to the Purchasers regarding the Company and its Subsidiaries, their respective businesses and the transactions contemplated hereby, is true and correct in all material respects and does not contain any untrue statement of a material fact or omit to state any material fact necessary in order to make the statements made therein, in the light of the circumstances under which they were made, not misleading. The press releases disseminated by the Company during the twelve months preceding the date of this Agreement taken as a whole do not contain any untrue statement of a material fact or omit to state a material fact required to be stated therein or necessary in order to make the statements therein, in the light of the circumstances under which they were made and when made, not misleading. The Company acknowledges and agrees that no Purchaser makes or has made any representations or warranties with respect to the transactions contemplated hereby other than those specifically set forth in Section 3.2 hereof.</w:t>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60655"/>
                <wp:effectExtent l="0" t="0" r="0" b="0"/>
                <wp:wrapNone/>
                <wp:docPr id="40" name="Frame3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(y)</w:t>
      </w:r>
      <w:r>
        <w:rPr>
          <w:rFonts w:ascii="Times New Roman;serif" w:hAnsi="Times New Roman;serif"/>
          <w:b/>
          <w:color w:val="000000"/>
          <w:sz w:val="22"/>
        </w:rPr>
        <w:t>No Integrated Offering</w:t>
      </w:r>
      <w:r>
        <w:rPr>
          <w:rFonts w:ascii="Times New Roman;serif" w:hAnsi="Times New Roman;serif"/>
          <w:b w:val="false"/>
          <w:color w:val="000000"/>
          <w:sz w:val="22"/>
        </w:rPr>
        <w:t>. Assuming the accuracy of each Purchaser’s representations and warranties set forth in Section 3.2, neither the Company, nor any of its Affiliates, nor any Person acting on its or their behalf has, directly or indirectly, made any offers or sales of any security or solicited any offers to buy any security, under circumstances that would cause this offering of the Securities to be integrated with prior offerings by the Company for purposes of (i) the Securities Act, or (ii) any applicable shareholder approval provisions of any Trading Market on which any of the securities of the Company are listed or designated.</w:t>
      </w:r>
    </w:p>
    <w:p>
      <w:pPr>
        <w:pStyle w:val="TextBody"/>
        <w:bidi w:val="0"/>
        <w:spacing w:lineRule="auto" w:line="240" w:before="0" w:after="240"/>
        <w:ind w:left="0" w:right="0" w:firstLine="1440"/>
        <w:jc w:val="both"/>
        <w:rPr/>
      </w:pPr>
      <w:r>
        <w:rPr>
          <w:rFonts w:ascii="Times New Roman;serif" w:hAnsi="Times New Roman;serif"/>
          <w:b w:val="false"/>
          <w:color w:val="000000"/>
          <w:sz w:val="22"/>
        </w:rPr>
        <w:t>(z)</w:t>
      </w:r>
      <w:r>
        <w:rPr>
          <w:rFonts w:ascii="Times New Roman;serif" w:hAnsi="Times New Roman;serif"/>
          <w:b/>
          <w:color w:val="000000"/>
          <w:sz w:val="22"/>
        </w:rPr>
        <w:t>Solvency</w:t>
      </w:r>
      <w:r>
        <w:rPr>
          <w:rFonts w:ascii="Times New Roman;serif" w:hAnsi="Times New Roman;serif"/>
          <w:b w:val="false"/>
          <w:color w:val="000000"/>
          <w:sz w:val="22"/>
        </w:rPr>
        <w:t>. Based on the consolidated financial condition of the Company as of the Closing Date, after giving effect to the receipt by the Company of the proceeds from the sale of the Securities hereunder,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year from the Closing Date. The SEC Reports set forth as of the date hereof all outstanding secured and unsecured Indebtedness of the Company or any Subsidiary, or for which the Company or any Subsidiary has commitments. For the purposes of this Agreement, “</w:t>
      </w:r>
      <w:r>
        <w:rPr>
          <w:rFonts w:ascii="Times New Roman;serif" w:hAnsi="Times New Roman;serif"/>
          <w:b/>
          <w:i/>
          <w:color w:val="000000"/>
          <w:sz w:val="22"/>
        </w:rPr>
        <w:t>Indebtedness</w:t>
      </w:r>
      <w:r>
        <w:rPr>
          <w:color w:val="000000"/>
        </w:rPr>
        <w:t xml:space="preserve">” </w:t>
      </w:r>
      <w:r>
        <w:rPr>
          <w:rFonts w:ascii="Times New Roman;serif" w:hAnsi="Times New Roman;serif"/>
          <w:b w:val="false"/>
          <w:color w:val="000000"/>
          <w:sz w:val="22"/>
        </w:rPr>
        <w:t>means (x) any liabilities for borrowed money or amounts owed by the Company in excess of $50,000 (other than trade accounts payable incurred in the ordinary course of business), (y) all guaranties, endorsements and other contingent obligations in respect of indebtedness of others to third parties,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$50,000 due under leases required to be capitalized in accordance with GAAP. Neither the Company nor any Subsidiary is in default with respect to any Indebtedness.</w:t>
      </w:r>
    </w:p>
    <w:p>
      <w:pPr>
        <w:pStyle w:val="TextBody"/>
        <w:bidi w:val="0"/>
        <w:spacing w:lineRule="auto" w:line="240" w:before="0" w:after="240"/>
        <w:ind w:left="0" w:right="0" w:firstLine="1440"/>
        <w:jc w:val="both"/>
        <w:rPr/>
      </w:pPr>
      <w:r>
        <w:rPr>
          <w:rFonts w:ascii="Times New Roman;serif" w:hAnsi="Times New Roman;serif"/>
          <w:b w:val="false"/>
          <w:color w:val="000000"/>
          <w:sz w:val="22"/>
        </w:rPr>
        <w:t>(aa)</w:t>
      </w:r>
      <w:r>
        <w:rPr>
          <w:rFonts w:ascii="Times New Roman;serif" w:hAnsi="Times New Roman;serif"/>
          <w:b/>
          <w:color w:val="000000"/>
          <w:sz w:val="22"/>
        </w:rPr>
        <w:t>Tax Status</w:t>
      </w:r>
      <w:r>
        <w:rPr>
          <w:rFonts w:ascii="Times New Roman;serif" w:hAnsi="Times New Roman;serif"/>
          <w:b w:val="false"/>
          <w:color w:val="000000"/>
          <w:sz w:val="22"/>
        </w:rPr>
        <w:t>. Except for matters that would not, individually or in the aggregate, have or reasonably be expected to result in a Material Adverse Effect, the Company and its Subsidiaries each (i) has made or filed, or filed an extension to file, all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 (iii) 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pStyle w:val="TextBody"/>
        <w:bidi w:val="0"/>
        <w:spacing w:lineRule="auto" w:line="240" w:before="0" w:after="240"/>
        <w:ind w:left="0" w:right="0" w:firstLine="1440"/>
        <w:jc w:val="both"/>
        <w:rPr/>
      </w:pPr>
      <w:r>
        <w:rPr>
          <w:rFonts w:ascii="Times New Roman;serif" w:hAnsi="Times New Roman;serif"/>
          <w:b w:val="false"/>
          <w:color w:val="000000"/>
          <w:sz w:val="22"/>
        </w:rPr>
        <w:t>(ab)</w:t>
      </w:r>
      <w:r>
        <w:rPr>
          <w:rFonts w:ascii="Times New Roman;serif" w:hAnsi="Times New Roman;serif"/>
          <w:b/>
          <w:color w:val="000000"/>
          <w:sz w:val="22"/>
        </w:rPr>
        <w:t>Foreign Corrupt Practices</w:t>
      </w:r>
      <w:r>
        <w:rPr>
          <w:rFonts w:ascii="Times New Roman;serif" w:hAnsi="Times New Roman;serif"/>
          <w:b w:val="false"/>
          <w:color w:val="000000"/>
          <w:sz w:val="22"/>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w:t>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60655"/>
                <wp:effectExtent l="0" t="0" r="0" b="0"/>
                <wp:wrapNone/>
                <wp:docPr id="41" name="Frame4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(ac)</w:t>
      </w:r>
      <w:r>
        <w:rPr>
          <w:rFonts w:ascii="Times New Roman;serif" w:hAnsi="Times New Roman;serif"/>
          <w:b/>
          <w:color w:val="000000"/>
          <w:sz w:val="22"/>
        </w:rPr>
        <w:t>Accountants</w:t>
      </w:r>
      <w:r>
        <w:rPr>
          <w:rFonts w:ascii="Times New Roman;serif" w:hAnsi="Times New Roman;serif"/>
          <w:b w:val="false"/>
          <w:color w:val="000000"/>
          <w:sz w:val="22"/>
        </w:rPr>
        <w:t>. The Company’s current independent registered public accounting firm is as set forth in the SEC Reports. To the knowledge and belief of the Company, such accounting firm (i) is a registered public accounting firm as required by the Exchange Act and (ii) shall express its opinion with respect to the financial statements to be included in the Company’s Annual Report for the fiscal year ending December 31, 2026.</w:t>
      </w:r>
    </w:p>
    <w:p>
      <w:pPr>
        <w:pStyle w:val="TextBody"/>
        <w:bidi w:val="0"/>
        <w:spacing w:lineRule="auto" w:line="240" w:before="0" w:after="240"/>
        <w:ind w:left="0" w:right="0" w:firstLine="1440"/>
        <w:jc w:val="both"/>
        <w:rPr/>
      </w:pPr>
      <w:r>
        <w:rPr>
          <w:rFonts w:ascii="Times New Roman;serif" w:hAnsi="Times New Roman;serif"/>
          <w:b w:val="false"/>
          <w:color w:val="000000"/>
          <w:sz w:val="22"/>
        </w:rPr>
        <w:t>(ad)</w:t>
      </w:r>
      <w:r>
        <w:rPr>
          <w:rFonts w:ascii="Times New Roman;serif" w:hAnsi="Times New Roman;serif"/>
          <w:b/>
          <w:color w:val="000000"/>
          <w:sz w:val="22"/>
        </w:rPr>
        <w:t>Acknowledgment Regarding Each Purchaser’s Purchase of Securities</w:t>
      </w:r>
      <w:r>
        <w:rPr>
          <w:rFonts w:ascii="Times New Roman;serif" w:hAnsi="Times New Roman;serif"/>
          <w:b w:val="false"/>
          <w:color w:val="000000"/>
          <w:sz w:val="22"/>
        </w:rPr>
        <w:t>. The Company acknowledges and agrees that each Purchaser is acting solely in the capacity of an arm’s length purchaser with respect to the Transaction Documents and the transactions contemplated thereby. The Company further acknowledges that each Purchaser is not acting as a financial advisor or fiduciary of the Company (or in any similar capacity) with respect to the Transaction Documents and the transactions contemplated thereby and any advice given by any Purchaser or any of its representatives or agents in connection with the Transaction Documents and the transactions contemplated thereby is merely incidental to such Purchaser’s purchase of the Securities.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pStyle w:val="TextBody"/>
        <w:bidi w:val="0"/>
        <w:spacing w:lineRule="auto" w:line="240" w:before="0" w:after="240"/>
        <w:ind w:left="0" w:right="0" w:firstLine="1440"/>
        <w:jc w:val="both"/>
        <w:rPr/>
      </w:pPr>
      <w:r>
        <w:rPr>
          <w:rFonts w:ascii="Times New Roman;serif" w:hAnsi="Times New Roman;serif"/>
          <w:b w:val="false"/>
          <w:color w:val="000000"/>
          <w:sz w:val="22"/>
        </w:rPr>
        <w:t>(ae)</w:t>
      </w:r>
      <w:r>
        <w:rPr>
          <w:rFonts w:ascii="Times New Roman;serif" w:hAnsi="Times New Roman;serif"/>
          <w:b/>
          <w:color w:val="000000"/>
          <w:sz w:val="22"/>
        </w:rPr>
        <w:t>Acknowledgment Regarding Purchaser’s Trading Activity</w:t>
      </w:r>
      <w:r>
        <w:rPr>
          <w:rFonts w:ascii="Times New Roman;serif" w:hAnsi="Times New Roman;serif"/>
          <w:b w:val="false"/>
          <w:color w:val="000000"/>
          <w:sz w:val="22"/>
        </w:rPr>
        <w:t>. Anything in this Agreement or elsewhere herein to the contrary notwithstanding (except for Sections 3.2(f) and 4.12 hereof), it is understood and acknowledged by the Company that: (i) the Purchasers have not been asked by the Company to agree, nor have the Purchasers agreed, to desist from purchasing or selling, long and/or short, securities of the Company, or “</w:t>
      </w:r>
      <w:r>
        <w:rPr>
          <w:rFonts w:ascii="Times New Roman;serif" w:hAnsi="Times New Roman;serif"/>
          <w:b/>
          <w:i/>
          <w:color w:val="000000"/>
          <w:sz w:val="22"/>
        </w:rPr>
        <w:t>derivative</w:t>
      </w:r>
      <w:r>
        <w:rPr>
          <w:color w:val="000000"/>
        </w:rPr>
        <w:t xml:space="preserve">” </w:t>
      </w:r>
      <w:r>
        <w:rPr>
          <w:rFonts w:ascii="Times New Roman;serif" w:hAnsi="Times New Roman;serif"/>
          <w:b w:val="false"/>
          <w:color w:val="000000"/>
          <w:sz w:val="22"/>
        </w:rPr>
        <w:t>securities based on securities issued by the Company or to hold the Securities for any specified term; (ii) past or future open market or other transactions by the Purchasers, specifically including, without limitation, Short Sales or “</w:t>
      </w:r>
      <w:r>
        <w:rPr>
          <w:rFonts w:ascii="Times New Roman;serif" w:hAnsi="Times New Roman;serif"/>
          <w:b/>
          <w:i/>
          <w:color w:val="000000"/>
          <w:sz w:val="22"/>
        </w:rPr>
        <w:t>derivative</w:t>
      </w:r>
      <w:r>
        <w:rPr>
          <w:color w:val="000000"/>
        </w:rPr>
        <w:t xml:space="preserve">” </w:t>
      </w:r>
      <w:r>
        <w:rPr>
          <w:rFonts w:ascii="Times New Roman;serif" w:hAnsi="Times New Roman;serif"/>
          <w:b w:val="false"/>
          <w:color w:val="000000"/>
          <w:sz w:val="22"/>
        </w:rPr>
        <w:t>transactions, before or after the closing of this or future private placement transactions, may negatively impact the market price of the Company’s publicly-traded securities; (iii) the Purchasers, and counter-parties in “</w:t>
      </w:r>
      <w:r>
        <w:rPr>
          <w:rFonts w:ascii="Times New Roman;serif" w:hAnsi="Times New Roman;serif"/>
          <w:b/>
          <w:i/>
          <w:color w:val="000000"/>
          <w:sz w:val="22"/>
        </w:rPr>
        <w:t>derivative</w:t>
      </w:r>
      <w:r>
        <w:rPr>
          <w:color w:val="000000"/>
        </w:rPr>
        <w:t xml:space="preserve">” </w:t>
      </w:r>
      <w:r>
        <w:rPr>
          <w:rFonts w:ascii="Times New Roman;serif" w:hAnsi="Times New Roman;serif"/>
          <w:b w:val="false"/>
          <w:color w:val="000000"/>
          <w:sz w:val="22"/>
        </w:rPr>
        <w:t>transactions to which any Purchaser is a party, directly or indirectly, presently may have a “</w:t>
      </w:r>
      <w:r>
        <w:rPr>
          <w:rFonts w:ascii="Times New Roman;serif" w:hAnsi="Times New Roman;serif"/>
          <w:b/>
          <w:i/>
          <w:color w:val="000000"/>
          <w:sz w:val="22"/>
        </w:rPr>
        <w:t>short</w:t>
      </w:r>
      <w:r>
        <w:rPr>
          <w:color w:val="000000"/>
        </w:rPr>
        <w:t xml:space="preserve">” </w:t>
      </w:r>
      <w:r>
        <w:rPr>
          <w:rFonts w:ascii="Times New Roman;serif" w:hAnsi="Times New Roman;serif"/>
          <w:b w:val="false"/>
          <w:color w:val="000000"/>
          <w:sz w:val="22"/>
        </w:rPr>
        <w:t>position in the Common Stock, and (iv) the Purchasers shall not be deemed to have any affiliation with or control over any arm’s length counter-party in any “</w:t>
      </w:r>
      <w:r>
        <w:rPr>
          <w:rFonts w:ascii="Times New Roman;serif" w:hAnsi="Times New Roman;serif"/>
          <w:b/>
          <w:i/>
          <w:color w:val="000000"/>
          <w:sz w:val="22"/>
        </w:rPr>
        <w:t>derivative</w:t>
      </w:r>
      <w:r>
        <w:rPr>
          <w:color w:val="000000"/>
        </w:rPr>
        <w:t xml:space="preserve">” </w:t>
      </w:r>
      <w:r>
        <w:rPr>
          <w:rFonts w:ascii="Times New Roman;serif" w:hAnsi="Times New Roman;serif"/>
          <w:b w:val="false"/>
          <w:color w:val="000000"/>
          <w:sz w:val="22"/>
        </w:rPr>
        <w:t>transaction. The Company further understands and acknowledges that (y) the Purchasers may engage in hedging activities at various times during the period that the Securities are outstanding, including, without limitation, during the periods that the value of the Warrant Shares deliverable with respect to Securities are being determined, and (z) such hedging activities (if any) could reduce the value of the existing stockholders’ equity interests in the Company at and after the time that the hedging activities are being conducted. The Company acknowledges that such aforementioned hedging activities do not constitute a breach of any of the Transaction Documents.</w:t>
      </w:r>
    </w:p>
    <w:p>
      <w:pPr>
        <w:pStyle w:val="TextBody"/>
        <w:bidi w:val="0"/>
        <w:spacing w:lineRule="auto" w:line="240" w:before="0" w:after="240"/>
        <w:ind w:left="0" w:right="0" w:firstLine="1440"/>
        <w:jc w:val="both"/>
        <w:rPr/>
      </w:pPr>
      <w:r>
        <w:rPr>
          <w:rFonts w:ascii="Times New Roman;serif" w:hAnsi="Times New Roman;serif"/>
          <w:b w:val="false"/>
          <w:color w:val="000000"/>
          <w:sz w:val="22"/>
        </w:rPr>
        <w:t>(af)</w:t>
      </w:r>
      <w:r>
        <w:rPr>
          <w:rFonts w:ascii="Times New Roman;serif" w:hAnsi="Times New Roman;serif"/>
          <w:b/>
          <w:color w:val="000000"/>
          <w:sz w:val="22"/>
        </w:rPr>
        <w:t>Regulation M Compliance</w:t>
      </w:r>
      <w:r>
        <w:rPr>
          <w:rFonts w:ascii="Times New Roman;serif" w:hAnsi="Times New Roman;serif"/>
          <w:b w:val="false"/>
          <w:color w:val="000000"/>
          <w:sz w:val="22"/>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 other than, in the case of clauses (ii) and (iii), compensation paid to the Placement Agent in connection with the placement of the Securities.</w:t>
      </w:r>
    </w:p>
    <w:p>
      <w:pPr>
        <w:pStyle w:val="TextBody"/>
        <w:bidi w:val="0"/>
        <w:spacing w:lineRule="auto" w:line="240" w:before="0" w:after="240"/>
        <w:ind w:left="0" w:right="0" w:firstLine="1440"/>
        <w:jc w:val="both"/>
        <w:rPr/>
      </w:pPr>
      <w:r>
        <w:rPr>
          <w:rFonts w:ascii="Times New Roman;serif" w:hAnsi="Times New Roman;serif"/>
          <w:b w:val="false"/>
          <w:color w:val="000000"/>
          <w:sz w:val="22"/>
        </w:rPr>
        <w:t>(ag)</w:t>
      </w:r>
      <w:r>
        <w:rPr>
          <w:rFonts w:ascii="Times New Roman;serif" w:hAnsi="Times New Roman;serif"/>
          <w:b/>
          <w:color w:val="000000"/>
          <w:sz w:val="22"/>
        </w:rPr>
        <w:t>Office of Foreign Assets Control</w:t>
      </w:r>
      <w:r>
        <w:rPr>
          <w:rFonts w:ascii="Times New Roman;serif" w:hAnsi="Times New Roman;serif"/>
          <w:b w:val="false"/>
          <w:color w:val="000000"/>
          <w:sz w:val="22"/>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rFonts w:ascii="Times New Roman;serif" w:hAnsi="Times New Roman;serif"/>
          <w:b/>
          <w:i/>
          <w:color w:val="000000"/>
          <w:sz w:val="22"/>
        </w:rPr>
        <w:t>OFAC</w:t>
      </w:r>
      <w:r>
        <w:rPr>
          <w:color w:val="000000"/>
        </w:rPr>
        <w:t>”</w:t>
      </w:r>
      <w:r>
        <w:rPr>
          <w:rFonts w:ascii="Times New Roman;serif" w:hAnsi="Times New Roman;serif"/>
          <w:b w:val="false"/>
          <w:color w:val="000000"/>
          <w:sz w:val="22"/>
        </w:rPr>
        <w:t>) and the Company will not, directly or indirectly, use the proceeds of the offering of Securities hereunder, or lend, contribute or otherwise make available such proceeds to any subsidiary, joint venture partner or other person or entity, for the purpose of financing the activities of any person currently subject to any U.S. sanctions administered by OFAC.</w:t>
      </w:r>
    </w:p>
    <w:p>
      <w:pPr>
        <w:pStyle w:val="TextBody"/>
        <w:bidi w:val="0"/>
        <w:spacing w:lineRule="auto" w:line="240" w:before="0" w:after="240"/>
        <w:ind w:left="0" w:right="0" w:firstLine="1440"/>
        <w:jc w:val="both"/>
        <w:rPr/>
      </w:pPr>
      <w:r>
        <w:rPr>
          <w:rFonts w:ascii="Times New Roman;serif" w:hAnsi="Times New Roman;serif"/>
          <w:b w:val="false"/>
          <w:color w:val="000000"/>
          <w:sz w:val="22"/>
        </w:rPr>
        <w:t>(ah)</w:t>
      </w:r>
      <w:r>
        <w:rPr>
          <w:rFonts w:ascii="Times New Roman;serif" w:hAnsi="Times New Roman;serif"/>
          <w:b/>
          <w:color w:val="000000"/>
          <w:sz w:val="22"/>
        </w:rPr>
        <w:t>U.S. Real Property Holding Corporation</w:t>
      </w:r>
      <w:r>
        <w:rPr>
          <w:rFonts w:ascii="Times New Roman;serif" w:hAnsi="Times New Roman;serif"/>
          <w:b w:val="false"/>
          <w:color w:val="000000"/>
          <w:sz w:val="22"/>
        </w:rPr>
        <w:t>. The Company is not and has never been a U.S. real property holding corporation within the meaning of Section 897 of the Internal Revenue Code of 1986, as amended, and the Company shall so certify upon any Purchaser’s request.</w:t>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60655"/>
                <wp:effectExtent l="0" t="0" r="0" b="0"/>
                <wp:wrapNone/>
                <wp:docPr id="42" name="Frame4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(ai)</w:t>
      </w:r>
      <w:r>
        <w:rPr>
          <w:rFonts w:ascii="Times New Roman;serif" w:hAnsi="Times New Roman;serif"/>
          <w:b/>
          <w:color w:val="000000"/>
          <w:sz w:val="22"/>
        </w:rPr>
        <w:t>Money Laundering</w:t>
      </w:r>
      <w:r>
        <w:rPr>
          <w:rFonts w:ascii="Times New Roman;serif" w:hAnsi="Times New Roman;serif"/>
          <w:b w:val="false"/>
          <w:color w:val="000000"/>
          <w:sz w:val="22"/>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Times New Roman;serif" w:hAnsi="Times New Roman;serif"/>
          <w:b/>
          <w:i/>
          <w:color w:val="000000"/>
          <w:sz w:val="22"/>
        </w:rPr>
        <w:t>Money Laundering Laws</w:t>
      </w:r>
      <w:r>
        <w:rPr>
          <w:color w:val="000000"/>
        </w:rPr>
        <w:t>”</w:t>
      </w:r>
      <w:r>
        <w:rPr>
          <w:rFonts w:ascii="Times New Roman;serif" w:hAnsi="Times New Roman;serif"/>
          <w:b w:val="false"/>
          <w:color w:val="000000"/>
          <w:sz w:val="22"/>
        </w:rPr>
        <w:t>), and no action, suit or proceeding by or before any court or governmental agency, authority or body or any arbitrator involving the Company or any Subsidiary with respect to the Money Laundering Laws is pending or, to the knowledge of the Company or any Subsidiary, threatened.</w:t>
      </w:r>
    </w:p>
    <w:p>
      <w:pPr>
        <w:pStyle w:val="TextBody"/>
        <w:bidi w:val="0"/>
        <w:spacing w:lineRule="auto" w:line="240" w:before="0" w:after="240"/>
        <w:ind w:left="0" w:right="0" w:firstLine="1440"/>
        <w:jc w:val="both"/>
        <w:rPr/>
      </w:pPr>
      <w:r>
        <w:rPr>
          <w:rFonts w:ascii="Times New Roman;serif" w:hAnsi="Times New Roman;serif"/>
          <w:b w:val="false"/>
          <w:color w:val="000000"/>
          <w:sz w:val="22"/>
        </w:rPr>
        <w:t>(aj)</w:t>
      </w:r>
      <w:r>
        <w:rPr>
          <w:rFonts w:ascii="Times New Roman;serif" w:hAnsi="Times New Roman;serif"/>
          <w:b/>
          <w:color w:val="000000"/>
          <w:sz w:val="22"/>
        </w:rPr>
        <w:t>Environmental Laws</w:t>
      </w:r>
      <w:r>
        <w:rPr>
          <w:rFonts w:ascii="Times New Roman;serif" w:hAnsi="Times New Roman;serif"/>
          <w:b w:val="false"/>
          <w:color w:val="000000"/>
          <w:sz w:val="22"/>
        </w:rPr>
        <w:t>. The handling, use, treatment, disposal, discharge, emission, contamination, release or other activity involving any kind of hazardous, toxic or other wastes, pollutants, contaminants, petroleum products or other hazardous or toxic substances, chemicals or materials (“</w:t>
      </w:r>
      <w:r>
        <w:rPr>
          <w:rFonts w:ascii="Times New Roman;serif" w:hAnsi="Times New Roman;serif"/>
          <w:b/>
          <w:i/>
          <w:color w:val="000000"/>
          <w:sz w:val="22"/>
        </w:rPr>
        <w:t>Hazardous Substances</w:t>
      </w:r>
      <w:r>
        <w:rPr>
          <w:color w:val="000000"/>
        </w:rPr>
        <w:t>”</w:t>
      </w:r>
      <w:r>
        <w:rPr>
          <w:rFonts w:ascii="Times New Roman;serif" w:hAnsi="Times New Roman;serif"/>
          <w:b w:val="false"/>
          <w:color w:val="000000"/>
          <w:sz w:val="22"/>
        </w:rPr>
        <w:t>) by, due to, on behalf of, or caused by the Company or any Subsidiary (or, to the Company’s knowledge, any other entity for whose acts or omissions the Company is or may be liable) upon any property now or previously owned, operated, used or leased by the Company or any Subsidiary, or upon any other property, which would be a violation of or give rise to any liability under any applicable law, rule, regulation, order, judgment, decree or permit, common law provision or other legally binding standard relating to pollution or protection of human health and the environment (“</w:t>
      </w:r>
      <w:r>
        <w:rPr>
          <w:rFonts w:ascii="Times New Roman;serif" w:hAnsi="Times New Roman;serif"/>
          <w:b/>
          <w:i/>
          <w:color w:val="000000"/>
          <w:sz w:val="22"/>
        </w:rPr>
        <w:t>Environmental Law</w:t>
      </w:r>
      <w:r>
        <w:rPr>
          <w:color w:val="000000"/>
        </w:rPr>
        <w:t>”</w:t>
      </w:r>
      <w:r>
        <w:rPr>
          <w:rFonts w:ascii="Times New Roman;serif" w:hAnsi="Times New Roman;serif"/>
          <w:b w:val="false"/>
          <w:color w:val="000000"/>
          <w:sz w:val="22"/>
        </w:rPr>
        <w:t>), except for violations and liabilities which, individually or in the aggregate, would not have a Material Adverse Effect. There has been no disposal, discharge, emission contamination or other release of any kind at, onto or from any such property or into the environment surrounding any such property of any Hazardous Substances with respect to which the Company or any Subsidiary has knowledge, except as would not, individually or in the aggregate, have a Material Adverse Effect. There is no pending or, to the best of the Company’s knowledge, threatened administrative, regulatory or judicial action, claim or notice of noncompliance or violation, investigation or proceedings relating to any Environmental Law against the Company or any Subsidiary, except as would not, individually or in the aggregate, have a Material Adverse Effect. No property of the Company or any Subsidiary is subject to any Lien under any Environmental Law. Except as disclosed in the SEC Reports, neither the Company nor any Subsidiary is subject to any order, decree, agreement or other individualized legal requirement related to any Environmental Law, which, in any case (individually or in the aggregate), would have a Material Adverse Effect. The Company and each Subsidiary has all permits, authorizations and approvals required under any applicable Environmental Laws and are each in compliance with their requirements. In the ordinary course of its business, the Company periodically reviews the effect of Environmental Laws on the business, operations and properties of the Company and the Subsidiaries, in the course of which it identifies and evaluates associated costs and liabilities (including, without limitation, any capital or operating expenditures required for clean-up, closure or remediation of properties or compliance with Environmental Laws, or any permit, license or approval, any related constraints on operating activities and any potential liabilities to third parties). On the basis of such review, the Company has reasonably concluded that such associated costs and liabilities would not, individually or in the aggregate, have a Material Adverse Effect.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(ak)</w:t>
      </w:r>
      <w:r>
        <w:rPr>
          <w:rFonts w:ascii="Times New Roman;serif" w:hAnsi="Times New Roman;serif"/>
          <w:b/>
          <w:color w:val="000000"/>
          <w:sz w:val="22"/>
        </w:rPr>
        <w:t>Cybersecurity</w:t>
      </w:r>
      <w:r>
        <w:rPr>
          <w:rFonts w:ascii="Times New Roman;serif" w:hAnsi="Times New Roman;serif"/>
          <w:b w:val="false"/>
          <w:color w:val="000000"/>
          <w:sz w:val="22"/>
        </w:rPr>
        <w:t>. (i)(x) There has been no security breach or other compromise of or relating to any of the Company’s or any Subsidiary’s information technology and computer systems, networks, hardware, software, data (including the data of its respective customers, employees, suppliers, vendors and any third party data maintained by or on behalf of it), equipment or technology (collectively, “IT Systems and Data”) and (y) the Company and the Subsidiaries have not been notified of, and have no knowledge of any event or condition that would reasonably be expected to result in, any security breach or other compromise to its IT Systems and Data; (ii) the Company and the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as would not, individually or in the aggregate, have a Material Adverse Effect; (iii) the Company and the Subsidiaries have implemented and maintained commercially reasonable safeguards to maintain and protect its material confidential information and the integrity, continuous operation, redundancy and security of all IT Systems and Data; and (iv) the Company and the Subsidiaries have implemented backup and disaster recovery technology consistent with industry standards and practices.</w:t>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60655"/>
                <wp:effectExtent l="0" t="0" r="0" b="0"/>
                <wp:wrapNone/>
                <wp:docPr id="43" name="Frame4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18</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(al)</w:t>
      </w:r>
      <w:r>
        <w:rPr>
          <w:rFonts w:ascii="Times New Roman;serif" w:hAnsi="Times New Roman;serif"/>
          <w:b/>
          <w:color w:val="000000"/>
          <w:sz w:val="22"/>
        </w:rPr>
        <w:t>Other Covered Persons</w:t>
      </w:r>
      <w:r>
        <w:rPr>
          <w:rFonts w:ascii="Times New Roman;serif" w:hAnsi="Times New Roman;serif"/>
          <w:b w:val="false"/>
          <w:color w:val="000000"/>
          <w:sz w:val="22"/>
        </w:rPr>
        <w:t>. Other than the Placement Agent, the Company is not aware of any person that has been or will be paid (directly or indirectly) remuneration for solicitation of purchasers in connection with the sale of any Securities.</w:t>
      </w:r>
    </w:p>
    <w:p>
      <w:pPr>
        <w:pStyle w:val="TextBody"/>
        <w:bidi w:val="0"/>
        <w:spacing w:lineRule="auto" w:line="240" w:before="0" w:after="240"/>
        <w:ind w:left="0" w:right="0" w:firstLine="1440"/>
        <w:jc w:val="both"/>
        <w:rPr/>
      </w:pPr>
      <w:r>
        <w:rPr>
          <w:rFonts w:ascii="Times New Roman;serif" w:hAnsi="Times New Roman;serif"/>
          <w:b w:val="false"/>
          <w:color w:val="000000"/>
          <w:sz w:val="22"/>
        </w:rPr>
        <w:t>(am)</w:t>
      </w:r>
      <w:r>
        <w:rPr>
          <w:rFonts w:ascii="Times New Roman;serif" w:hAnsi="Times New Roman;serif"/>
          <w:b/>
          <w:color w:val="000000"/>
          <w:sz w:val="22"/>
        </w:rPr>
        <w:t>Stock Option Plans</w:t>
      </w:r>
      <w:r>
        <w:rPr>
          <w:rFonts w:ascii="Times New Roman;serif" w:hAnsi="Times New Roman;serif"/>
          <w:b w:val="false"/>
          <w:color w:val="000000"/>
          <w:sz w:val="22"/>
        </w:rPr>
        <w:t>. Each stock option granted by the Company under the Company’s stock option plan was granted (i) in accordance with the terms of the Company’s stock option plan and (ii) with an exercise price at least equal to the fair market value of the Common Stock on the date such stock option would be considered granted under GAAP and applicable law. No stock option granted under the Company’s stock option plan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 or prospects.</w:t>
      </w:r>
    </w:p>
    <w:p>
      <w:pPr>
        <w:pStyle w:val="TextBody"/>
        <w:bidi w:val="0"/>
        <w:spacing w:lineRule="auto" w:line="240" w:before="0" w:after="240"/>
        <w:ind w:left="0" w:right="0" w:firstLine="1440"/>
        <w:jc w:val="both"/>
        <w:rPr/>
      </w:pPr>
      <w:r>
        <w:rPr>
          <w:rFonts w:ascii="Times New Roman;serif" w:hAnsi="Times New Roman;serif"/>
          <w:b w:val="false"/>
          <w:color w:val="000000"/>
          <w:sz w:val="22"/>
        </w:rPr>
        <w:t>(an)</w:t>
      </w:r>
      <w:r>
        <w:rPr>
          <w:color w:val="000000"/>
        </w:rPr>
        <w:t>’</w:t>
      </w:r>
      <w:r>
        <w:rPr>
          <w:rFonts w:ascii="Times New Roman;serif" w:hAnsi="Times New Roman;serif"/>
          <w:b/>
          <w:color w:val="000000"/>
          <w:sz w:val="22"/>
        </w:rPr>
        <w:t>Compliance with Data Privacy Laws</w:t>
      </w:r>
      <w:r>
        <w:rPr>
          <w:rFonts w:ascii="Times New Roman;serif" w:hAnsi="Times New Roman;serif"/>
          <w:b w:val="false"/>
          <w:color w:val="000000"/>
          <w:sz w:val="22"/>
        </w:rPr>
        <w:t>. To the Company’s knowledge: (i) the Company and the Subsidiaries are, and at all times during the last three (3) years were, in compliance with all applicable state, federal and foreign data privacy and security laws and regulations, including, without limitation, the European Union General Data Protection Regulation (“</w:t>
      </w:r>
      <w:r>
        <w:rPr>
          <w:rFonts w:ascii="Times New Roman;serif" w:hAnsi="Times New Roman;serif"/>
          <w:b/>
          <w:i/>
          <w:color w:val="000000"/>
          <w:sz w:val="22"/>
        </w:rPr>
        <w:t>GDPR</w:t>
      </w:r>
      <w:r>
        <w:rPr>
          <w:color w:val="000000"/>
        </w:rPr>
        <w:t>”</w:t>
      </w:r>
      <w:r>
        <w:rPr>
          <w:rFonts w:ascii="Times New Roman;serif" w:hAnsi="Times New Roman;serif"/>
          <w:b w:val="false"/>
          <w:color w:val="000000"/>
          <w:sz w:val="22"/>
        </w:rPr>
        <w:t>) (EU 2016/679) (collectively, “</w:t>
      </w:r>
      <w:r>
        <w:rPr>
          <w:rFonts w:ascii="Times New Roman;serif" w:hAnsi="Times New Roman;serif"/>
          <w:b/>
          <w:i/>
          <w:color w:val="000000"/>
          <w:sz w:val="22"/>
        </w:rPr>
        <w:t>Privacy Laws</w:t>
      </w:r>
      <w:r>
        <w:rPr>
          <w:color w:val="000000"/>
        </w:rPr>
        <w:t>”</w:t>
      </w:r>
      <w:r>
        <w:rPr>
          <w:rFonts w:ascii="Times New Roman;serif" w:hAnsi="Times New Roman;serif"/>
          <w:b w:val="false"/>
          <w:color w:val="000000"/>
          <w:sz w:val="22"/>
        </w:rPr>
        <w:t>) in all material respects; (ii) the Company and the Subsidiaries have in place, comply with, and take appropriate steps reasonably designed to ensure compliance with their policies and procedures relating to data privacy and security and the collection, storage, use, disclosure, handling and analysis of Personal Data (as defined below) (the “</w:t>
      </w:r>
      <w:r>
        <w:rPr>
          <w:rFonts w:ascii="Times New Roman;serif" w:hAnsi="Times New Roman;serif"/>
          <w:b/>
          <w:i/>
          <w:color w:val="000000"/>
          <w:sz w:val="22"/>
        </w:rPr>
        <w:t>Policies</w:t>
      </w:r>
      <w:r>
        <w:rPr>
          <w:color w:val="000000"/>
        </w:rPr>
        <w:t>”</w:t>
      </w:r>
      <w:r>
        <w:rPr>
          <w:rFonts w:ascii="Times New Roman;serif" w:hAnsi="Times New Roman;serif"/>
          <w:b w:val="false"/>
          <w:color w:val="000000"/>
          <w:sz w:val="22"/>
        </w:rPr>
        <w:t>); (iii) the Company provides accurate notice of its applicable Policies to its customers, employees, third party vendors and representatives as required by the Privacy Laws; and (iv) applicable Policies provide accurate and sufficient notice of the Company’s then-current privacy practices relating to its subject matter, and do not contain any material omissions of the Company’s then-current privacy practices, as required by Privacy Laws. “</w:t>
      </w:r>
      <w:r>
        <w:rPr>
          <w:rFonts w:ascii="Times New Roman;serif" w:hAnsi="Times New Roman;serif"/>
          <w:b/>
          <w:i/>
          <w:color w:val="000000"/>
          <w:sz w:val="22"/>
        </w:rPr>
        <w:t>Personal Data</w:t>
      </w:r>
      <w:r>
        <w:rPr>
          <w:color w:val="000000"/>
        </w:rPr>
        <w:t xml:space="preserve">” </w:t>
      </w:r>
      <w:r>
        <w:rPr>
          <w:rFonts w:ascii="Times New Roman;serif" w:hAnsi="Times New Roman;serif"/>
          <w:b w:val="false"/>
          <w:color w:val="000000"/>
          <w:sz w:val="22"/>
        </w:rPr>
        <w:t>means (i) a natural person’s name, street address, telephone number, email address, photograph, social security number, bank information, or customer or account number; (ii) any information which would qualify as “</w:t>
      </w:r>
      <w:r>
        <w:rPr>
          <w:rFonts w:ascii="Times New Roman;serif" w:hAnsi="Times New Roman;serif"/>
          <w:b/>
          <w:i/>
          <w:color w:val="000000"/>
          <w:sz w:val="22"/>
        </w:rPr>
        <w:t>personally identifying information</w:t>
      </w:r>
      <w:r>
        <w:rPr>
          <w:color w:val="000000"/>
        </w:rPr>
        <w:t xml:space="preserve">” </w:t>
      </w:r>
      <w:r>
        <w:rPr>
          <w:rFonts w:ascii="Times New Roman;serif" w:hAnsi="Times New Roman;serif"/>
          <w:b w:val="false"/>
          <w:color w:val="000000"/>
          <w:sz w:val="22"/>
        </w:rPr>
        <w:t>under the Federal Trade Commission Act, as amended; (iii) “</w:t>
      </w:r>
      <w:r>
        <w:rPr>
          <w:rFonts w:ascii="Times New Roman;serif" w:hAnsi="Times New Roman;serif"/>
          <w:b/>
          <w:i/>
          <w:color w:val="000000"/>
          <w:sz w:val="22"/>
        </w:rPr>
        <w:t>personal data</w:t>
      </w:r>
      <w:r>
        <w:rPr>
          <w:color w:val="000000"/>
        </w:rPr>
        <w:t xml:space="preserve">” </w:t>
      </w:r>
      <w:r>
        <w:rPr>
          <w:rFonts w:ascii="Times New Roman;serif" w:hAnsi="Times New Roman;serif"/>
          <w:b w:val="false"/>
          <w:color w:val="000000"/>
          <w:sz w:val="22"/>
        </w:rPr>
        <w:t>as defined by GDPR; and (iv) any other piece of information that allows the identification of such natural person, or his or her family, or permits the collection or analysis of any identifiable data related to an identified person’s health or sexual orientation. Except as would not, individually or in the aggregate, have a Material Adverse Effect: (i) none of such disclosures made or contained in any of the Policies have been inaccurate, misleading, or deceptive in violation of any Privacy Laws; and (ii) the execution, delivery and performance of the Transaction Documents will not result in a breach of any Privacy Laws or Policies. Neither the Company nor the Subsidiaries, to the knowledge of the Company, (i) has received written notice of any actual or potential liability of the Company or the Subsidiaries under, or actual or potential violation by the Company or the Subsidiaries of, any of the Privacy Laws; (ii) is currently conducting or paying for, in whole or in part, any investigation, remediation or other corrective action pursuant to any regulatory request or demand pursuant to any Privacy Law; or (iii) is a party to any order, decree, or agreement by or with any court or arbitrator or governmental or regulatory authority that imposed any obligation or liability under any Privacy Law.</w:t>
      </w:r>
    </w:p>
    <w:p>
      <w:pPr>
        <w:pStyle w:val="TextBody"/>
        <w:bidi w:val="0"/>
        <w:spacing w:lineRule="auto" w:line="240" w:before="0" w:after="240"/>
        <w:ind w:left="0" w:right="0" w:firstLine="720"/>
        <w:jc w:val="both"/>
        <w:rPr/>
      </w:pPr>
      <w:r>
        <w:rPr>
          <w:rFonts w:ascii="Times New Roman;serif" w:hAnsi="Times New Roman;serif"/>
          <w:b w:val="false"/>
          <w:color w:val="000000"/>
          <w:sz w:val="22"/>
        </w:rPr>
        <w:t>3.2</w:t>
      </w:r>
      <w:r>
        <w:rPr>
          <w:rFonts w:ascii="Times New Roman;serif" w:hAnsi="Times New Roman;serif"/>
          <w:b/>
          <w:color w:val="000000"/>
          <w:sz w:val="22"/>
        </w:rPr>
        <w:t>Representations and Warranties of the Purchasers</w:t>
      </w:r>
      <w:r>
        <w:rPr>
          <w:rFonts w:ascii="Times New Roman;serif" w:hAnsi="Times New Roman;serif"/>
          <w:b w:val="false"/>
          <w:color w:val="000000"/>
          <w:sz w:val="22"/>
        </w:rPr>
        <w:t>. Each Purchaser, for itself and for no other Purchaser, hereby represents and warrants as of the date hereof and as of the Closing Date to the Company as follows (unless as of a specific date therein, in which case they shall be accurate as of such date):</w:t>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60655"/>
                <wp:effectExtent l="0" t="0" r="0" b="0"/>
                <wp:wrapNone/>
                <wp:docPr id="44" name="Frame4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19</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color w:val="000000"/>
          <w:sz w:val="22"/>
        </w:rPr>
        <w:t>Organization; Authority</w:t>
      </w:r>
      <w:r>
        <w:rPr>
          <w:rFonts w:ascii="Times New Roman;serif" w:hAnsi="Times New Roman;serif"/>
          <w:b w:val="false"/>
          <w:color w:val="000000"/>
          <w:sz w:val="22"/>
        </w:rPr>
        <w:t>.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color w:val="000000"/>
          <w:sz w:val="22"/>
        </w:rPr>
        <w:t>Understandings or Arrangements</w:t>
      </w:r>
      <w:r>
        <w:rPr>
          <w:rFonts w:ascii="Times New Roman;serif" w:hAnsi="Times New Roman;serif"/>
          <w:b w:val="false"/>
          <w:color w:val="000000"/>
          <w:sz w:val="22"/>
        </w:rPr>
        <w:t>. Such Purchaser is acquiring the Securities as principal for its own account and has no direct or indirect arrangement or understandings with any other persons to distribute or regarding the distribution of such Securities in violation of the Securities Act or any applicable state securities law (this representation and warranty not limiting such Purchaser’s right to sell the Securities pursuant to the Registration Statement or otherwise in compliance with applicable federal and state securities laws). Such Purchaser is acquiring the Securities hereunder in the ordinary course of its business.</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color w:val="000000"/>
          <w:sz w:val="22"/>
        </w:rPr>
        <w:t>Purchaser Status</w:t>
      </w:r>
      <w:r>
        <w:rPr>
          <w:rFonts w:ascii="Times New Roman;serif" w:hAnsi="Times New Roman;serif"/>
          <w:b w:val="false"/>
          <w:color w:val="000000"/>
          <w:sz w:val="22"/>
        </w:rPr>
        <w:t>. At the time such Purchaser was offered the Securities, it was, and as of the date hereof it is, and on each date on which it exercises any Warrants, it will be either: (i) an “</w:t>
      </w:r>
      <w:r>
        <w:rPr>
          <w:rFonts w:ascii="Times New Roman;serif" w:hAnsi="Times New Roman;serif"/>
          <w:b/>
          <w:i/>
          <w:color w:val="000000"/>
          <w:sz w:val="22"/>
        </w:rPr>
        <w:t>accredited investor</w:t>
      </w:r>
      <w:r>
        <w:rPr>
          <w:color w:val="000000"/>
        </w:rPr>
        <w:t xml:space="preserve">” </w:t>
      </w:r>
      <w:r>
        <w:rPr>
          <w:rFonts w:ascii="Times New Roman;serif" w:hAnsi="Times New Roman;serif"/>
          <w:b w:val="false"/>
          <w:color w:val="000000"/>
          <w:sz w:val="22"/>
        </w:rPr>
        <w:t>as defined in Rule 501(a)(1), (a)(2), (a)(3), (a)(7), (a)(8), (a)(9), (a)(12) or (a)(13) under the Securities Act or (ii) a “</w:t>
      </w:r>
      <w:r>
        <w:rPr>
          <w:rFonts w:ascii="Times New Roman;serif" w:hAnsi="Times New Roman;serif"/>
          <w:b/>
          <w:i/>
          <w:color w:val="000000"/>
          <w:sz w:val="22"/>
        </w:rPr>
        <w:t>qualified institutional buyer</w:t>
      </w:r>
      <w:r>
        <w:rPr>
          <w:color w:val="000000"/>
        </w:rPr>
        <w:t xml:space="preserve">” </w:t>
      </w:r>
      <w:r>
        <w:rPr>
          <w:rFonts w:ascii="Times New Roman;serif" w:hAnsi="Times New Roman;serif"/>
          <w:b w:val="false"/>
          <w:color w:val="000000"/>
          <w:sz w:val="22"/>
        </w:rPr>
        <w:t>as defined in Rule 144A(a) under the Securities Act.</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color w:val="000000"/>
          <w:sz w:val="22"/>
        </w:rPr>
        <w:t>Experience of Such Purchaser</w:t>
      </w:r>
      <w:r>
        <w:rPr>
          <w:rFonts w:ascii="Times New Roman;serif" w:hAnsi="Times New Roman;serif"/>
          <w:b w:val="false"/>
          <w:color w:val="000000"/>
          <w:sz w:val="22"/>
        </w:rPr>
        <w:t>. Such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Such Purchaser is able to bear the economic risk of an investment in the Securities and, at the present time, is able to afford a complete loss of such investment.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color w:val="000000"/>
          <w:sz w:val="22"/>
        </w:rPr>
        <w:t>Access to Information</w:t>
      </w:r>
      <w:r>
        <w:rPr>
          <w:rFonts w:ascii="Times New Roman;serif" w:hAnsi="Times New Roman;serif"/>
          <w:b w:val="false"/>
          <w:color w:val="000000"/>
          <w:sz w:val="22"/>
        </w:rPr>
        <w:t>. Such Purchaser acknowledges that it has had the opportunity to review the Transaction Documents (including all exhibits and schedules thereto) and the SEC Reports and has been afforded (i) the opportunity to ask such questions as it has deemed necessary of, and to receive answers from, representatives of the Company concerning the terms and conditions of the offering of the Securities and the merits and risks of investing in the Securities;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Such Purchaser acknowledges and agrees that neither the Placement Agent nor any Affiliate of the Placement Agent has provided such Purchaser with any information or advice with respect to the Securities nor is such information or advice necessary or desired. Neither the Placement Agent nor any Affiliate has made or makes any representation as to the Company or the quality of the Securities and the Placement Agent and any Affiliate may have acquired non-public information with respect to the Company which such Purchaser agrees need not be provided to it. In connection with the issuance of the Securities to such Purchaser, neither the Placement Agent nor any of its Affiliates has acted as a financial advisor or fiduciary to such Purchaser.</w:t>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60655"/>
                <wp:effectExtent l="0" t="0" r="0" b="0"/>
                <wp:wrapNone/>
                <wp:docPr id="45" name="Frame4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20</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rFonts w:ascii="Times New Roman;serif" w:hAnsi="Times New Roman;serif"/>
          <w:b/>
          <w:color w:val="000000"/>
          <w:sz w:val="22"/>
        </w:rPr>
        <w:t>Certain Transactions and Confidentiality</w:t>
      </w:r>
      <w:r>
        <w:rPr>
          <w:rFonts w:ascii="Times New Roman;serif" w:hAnsi="Times New Roman;serif"/>
          <w:b w:val="false"/>
          <w:color w:val="000000"/>
          <w:sz w:val="22"/>
        </w:rPr>
        <w:t>. Other than consummating the transactions contemplated hereunder, such Purchaser has not directly or indirectly executed any purchases or sales, including Short Sales, of the securities of the Company during the period commencing as of the time that such Purchaser first received a term sheet (written or oral) from the Company or any other Person representing the Company setting forth the material pricing terms of the transactions contemplated hereunder and ending immediately prior to the execution hereof. Notwithstanding the foregoing, (A) in the case of a Purchaser that is a multi-managed investment vehicle whereby separate portfolio managers manage separate portions of such Purchaser’s assets, the representation set forth above shall only apply with respect to the portion of assets managed by the portfolio manager that made the investment decision to purchase the Securities covered by this Agreement, and (B) in the case of a Purchaser that has implemented internal information barriers pursuant to information controls policy to “</w:t>
      </w:r>
      <w:r>
        <w:rPr>
          <w:rFonts w:ascii="Times New Roman;serif" w:hAnsi="Times New Roman;serif"/>
          <w:b/>
          <w:i/>
          <w:color w:val="000000"/>
          <w:sz w:val="22"/>
        </w:rPr>
        <w:t>wall-off</w:t>
      </w:r>
      <w:r>
        <w:rPr>
          <w:color w:val="000000"/>
        </w:rPr>
        <w:t xml:space="preserve">” </w:t>
      </w:r>
      <w:r>
        <w:rPr>
          <w:rFonts w:ascii="Times New Roman;serif" w:hAnsi="Times New Roman;serif"/>
          <w:b w:val="false"/>
          <w:color w:val="000000"/>
          <w:sz w:val="22"/>
        </w:rPr>
        <w:t>certain trading personnel, the representations set forth above shall only apply to such walled-off trading personnel. Other than to other Persons party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Company acknowledges and agrees that the representations contained in this Section 3.2 shall not modify, amend or affect each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pStyle w:val="TextBody"/>
        <w:bidi w:val="0"/>
        <w:spacing w:lineRule="auto" w:line="240" w:before="0" w:after="240"/>
        <w:jc w:val="center"/>
        <w:rPr/>
      </w:pPr>
      <w:r>
        <w:rPr>
          <w:rFonts w:ascii="Times New Roman;serif" w:hAnsi="Times New Roman;serif"/>
          <w:b/>
          <w:color w:val="000000"/>
          <w:sz w:val="22"/>
        </w:rPr>
        <w:t>Article IV</w:t>
      </w:r>
      <w:r>
        <w:rPr>
          <w:rFonts w:ascii="Times New Roman;serif" w:hAnsi="Times New Roman;serif"/>
          <w:b w:val="false"/>
          <w:color w:val="000000"/>
          <w:sz w:val="22"/>
        </w:rPr>
        <w:br/>
      </w:r>
      <w:r>
        <w:rPr>
          <w:rFonts w:ascii="Times New Roman;serif" w:hAnsi="Times New Roman;serif"/>
          <w:b/>
          <w:color w:val="000000"/>
          <w:sz w:val="22"/>
        </w:rPr>
        <w:t>Other Agreements of the Parties</w:t>
      </w:r>
    </w:p>
    <w:p>
      <w:pPr>
        <w:pStyle w:val="TextBody"/>
        <w:bidi w:val="0"/>
        <w:spacing w:lineRule="auto" w:line="240" w:before="0" w:after="240"/>
        <w:ind w:left="0" w:right="0" w:firstLine="720"/>
        <w:jc w:val="both"/>
        <w:rPr/>
      </w:pPr>
      <w:r>
        <w:rPr>
          <w:rFonts w:ascii="Times New Roman;serif" w:hAnsi="Times New Roman;serif"/>
          <w:b w:val="false"/>
          <w:color w:val="000000"/>
          <w:sz w:val="22"/>
        </w:rPr>
        <w:t>4.1</w:t>
      </w:r>
      <w:r>
        <w:rPr>
          <w:rFonts w:ascii="Times New Roman;serif" w:hAnsi="Times New Roman;serif"/>
          <w:b/>
          <w:color w:val="000000"/>
          <w:sz w:val="22"/>
        </w:rPr>
        <w:t>Legends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color w:val="000000"/>
          <w:sz w:val="22"/>
        </w:rPr>
        <w:t>Shares</w:t>
      </w:r>
      <w:r>
        <w:rPr>
          <w:rFonts w:ascii="Times New Roman;serif" w:hAnsi="Times New Roman;serif"/>
          <w:b w:val="false"/>
          <w:color w:val="000000"/>
          <w:sz w:val="22"/>
        </w:rPr>
        <w:t>. The Shares shall be issued free of all restrictive legends.</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color w:val="000000"/>
          <w:sz w:val="22"/>
        </w:rPr>
        <w:t>Warrant Shares</w:t>
      </w:r>
      <w:r>
        <w:rPr>
          <w:rFonts w:ascii="Times New Roman;serif" w:hAnsi="Times New Roman;serif"/>
          <w:b w:val="false"/>
          <w:color w:val="000000"/>
          <w:sz w:val="22"/>
        </w:rPr>
        <w:t>. If all or any portion of a Warrant is exercised at a time when there is an effective registration statement to cover the issuance or resale of the Warrant Shares or if the Warrant is exercised via cashless exercise, the Warrant Shares issued pursuant to any such exercise shall be issued free of all legends. If at any time following the date hereof the Registration Statement (or any subsequent registration statement registering the sale or resale of the Warrant Shares) is not effective or is not otherwise available for the sale or resale of the Warrant Shares, the Company shall immediately notify the holders of the Warrants in writing that such registration statement is not then effective and thereafter shall promptly notify such holders when the registration statement is effective again and available for the sale or resale of the Warrant Shares (it being understood and agreed that the foregoing shall not limit the ability of the Company to issue, or any Purchaser to sell, any of the Warrant Shares in compliance with applicable federal and state securities laws). The Company shall use best efforts to keep a registration statement (including the Registration Statement) registering the issuance or resale of the Warrant Shares effective during the term of the Warrants.</w:t>
      </w:r>
    </w:p>
    <w:p>
      <w:pPr>
        <w:pStyle w:val="TextBody"/>
        <w:bidi w:val="0"/>
        <w:spacing w:lineRule="auto" w:line="240" w:before="0" w:after="240"/>
        <w:ind w:left="0" w:right="0" w:firstLine="720"/>
        <w:jc w:val="both"/>
        <w:rPr/>
      </w:pPr>
      <w:r>
        <w:rPr>
          <w:rFonts w:ascii="Times New Roman;serif" w:hAnsi="Times New Roman;serif"/>
          <w:b w:val="false"/>
          <w:color w:val="000000"/>
          <w:sz w:val="22"/>
        </w:rPr>
        <w:t>4.2</w:t>
      </w:r>
      <w:r>
        <w:rPr>
          <w:rFonts w:ascii="Times New Roman;serif" w:hAnsi="Times New Roman;serif"/>
          <w:b/>
          <w:color w:val="000000"/>
          <w:sz w:val="22"/>
        </w:rPr>
        <w:t>Furnishing of Information</w:t>
      </w:r>
      <w:r>
        <w:rPr>
          <w:rFonts w:ascii="Times New Roman;serif" w:hAnsi="Times New Roman;serif"/>
          <w:b w:val="false"/>
          <w:color w:val="000000"/>
          <w:sz w:val="22"/>
        </w:rPr>
        <w:t>. Until the time that no Purchaser owns Securities, the Company covenants to maintain the registration of the Common Stock under Section 12(b) or 12(g) of the Exchange Act and timely file (or obtain extensions in respect thereof and file within the applicable grace period) all reports required to be filed by the Company after the date hereof pursuant to the Exchange Act even if the Company is not then subject to the reporting requirements of the Exchange Act.</w:t>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60655"/>
                <wp:effectExtent l="0" t="0" r="0" b="0"/>
                <wp:wrapNone/>
                <wp:docPr id="46" name="Frame4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21</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4.3</w:t>
      </w:r>
      <w:r>
        <w:rPr>
          <w:rFonts w:ascii="Times New Roman;serif" w:hAnsi="Times New Roman;serif"/>
          <w:b/>
          <w:color w:val="000000"/>
          <w:sz w:val="22"/>
        </w:rPr>
        <w:t>Integration</w:t>
      </w:r>
      <w:r>
        <w:rPr>
          <w:rFonts w:ascii="Times New Roman;serif" w:hAnsi="Times New Roman;serif"/>
          <w:b w:val="false"/>
          <w:color w:val="000000"/>
          <w:sz w:val="22"/>
        </w:rPr>
        <w:t>. The Company shall not sell, offer for sale or solicit offers to buy or otherwise negotiate in respect of any security (as defined in Section 2 of the Securities Act) that would be integrated with the offer or sale of the Securities for purposes of the rules and regulations of any Trading Market such that it would require shareholder approval prior to the closing of such other transaction unless shareholder approval is obtained before the closing of such subsequent transaction.</w:t>
      </w:r>
    </w:p>
    <w:p>
      <w:pPr>
        <w:pStyle w:val="TextBody"/>
        <w:bidi w:val="0"/>
        <w:spacing w:lineRule="auto" w:line="240" w:before="0" w:after="240"/>
        <w:ind w:left="0" w:right="0" w:firstLine="720"/>
        <w:jc w:val="both"/>
        <w:rPr/>
      </w:pPr>
      <w:r>
        <w:rPr>
          <w:rFonts w:ascii="Times New Roman;serif" w:hAnsi="Times New Roman;serif"/>
          <w:b w:val="false"/>
          <w:color w:val="000000"/>
          <w:sz w:val="22"/>
        </w:rPr>
        <w:t>4.4</w:t>
      </w:r>
      <w:r>
        <w:rPr>
          <w:rFonts w:ascii="Times New Roman;serif" w:hAnsi="Times New Roman;serif"/>
          <w:b/>
          <w:color w:val="000000"/>
          <w:sz w:val="22"/>
        </w:rPr>
        <w:t>Securities Laws Disclosure; Publicity</w:t>
      </w:r>
      <w:r>
        <w:rPr>
          <w:rFonts w:ascii="Times New Roman;serif" w:hAnsi="Times New Roman;serif"/>
          <w:b w:val="false"/>
          <w:color w:val="000000"/>
          <w:sz w:val="22"/>
        </w:rPr>
        <w:t>. The Company shall (a) by the Disclosure Time, issue a press release disclosing the material terms of the transactions contemplated hereby, and (b) file a Current Report on Form 8-K, including the Transaction Documents as exhibits thereto, with the Commission within the time required by the Exchange Act. From and after the issuance of such press release, the Company represents to each Purchaser that it shall have publicly disclosed all material, non-public information delivered to each Purchaser by the Company or any of its Subsidiaries, or any of their respective officers, directors, employees, Affiliates or agents, including, without limitation, the Placement Agent, in connection with the transactions contemplated by the Transaction Documents. In addition, effective upon the issuance of such press release, the Company acknowledges and agrees that any and all confidentiality or similar obligations under any agreement, whether written or oral, between the Company, any of its Subsidiaries or any of their respective officers, directors, employees, Affiliates or agents, including, without limitation, the Placement Agent, on the one hand, and each Purchaser or any of its Affiliates on the other hand, shall terminate and be of no further force or effect. The Company understands and confirms that each Purchaser shall be relying on the foregoing covenant in effecting transactions in securities of the Company. The Company and each Purchaser shall consult with each other in issuing any other press releases with respect to the transactions contemplated hereby, and neither the Company nor any Purchaser shall issue any such press release nor otherwise make any such public statement without the prior consent of the Company, with respect to any press release of such Purchaser, or without the prior consent of such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any Purchaser, or include the name of any Purchaser in any filing with the Commission or any regulatory agency or Trading Market, without the prior written consent of such Purchaser, except (a) as required by federal securities law in connection with the filing of final Transaction Documents with the Commission and (b) to the extent such disclosure is required by law or Trading Market regulations, in which case the Company shall provide each Purchaser with prior notice of such disclosure permitted under this clause (b) and reasonably cooperate with such Purchaser regarding such disclosure.</w:t>
      </w:r>
    </w:p>
    <w:p>
      <w:pPr>
        <w:pStyle w:val="TextBody"/>
        <w:bidi w:val="0"/>
        <w:spacing w:lineRule="auto" w:line="240" w:before="0" w:after="240"/>
        <w:ind w:left="0" w:right="0" w:firstLine="720"/>
        <w:jc w:val="both"/>
        <w:rPr/>
      </w:pPr>
      <w:r>
        <w:rPr>
          <w:rFonts w:ascii="Times New Roman;serif" w:hAnsi="Times New Roman;serif"/>
          <w:b w:val="false"/>
          <w:color w:val="000000"/>
          <w:sz w:val="22"/>
        </w:rPr>
        <w:t>4.5</w:t>
      </w:r>
      <w:r>
        <w:rPr>
          <w:rFonts w:ascii="Times New Roman;serif" w:hAnsi="Times New Roman;serif"/>
          <w:b/>
          <w:color w:val="000000"/>
          <w:sz w:val="22"/>
        </w:rPr>
        <w:t>Shareholder Rights Plan</w:t>
      </w:r>
      <w:r>
        <w:rPr>
          <w:rFonts w:ascii="Times New Roman;serif" w:hAnsi="Times New Roman;serif"/>
          <w:b w:val="false"/>
          <w:color w:val="000000"/>
          <w:sz w:val="22"/>
        </w:rPr>
        <w:t>. No claim will be made or enforced by the Company or, with the consent of the Company, any other Person, that any Purchaser is an “</w:t>
      </w:r>
      <w:r>
        <w:rPr>
          <w:rFonts w:ascii="Times New Roman;serif" w:hAnsi="Times New Roman;serif"/>
          <w:b/>
          <w:i/>
          <w:color w:val="000000"/>
          <w:sz w:val="22"/>
        </w:rPr>
        <w:t>Acquiring Person</w:t>
      </w:r>
      <w:r>
        <w:rPr>
          <w:color w:val="000000"/>
        </w:rPr>
        <w:t xml:space="preserve">” </w:t>
      </w:r>
      <w:r>
        <w:rPr>
          <w:rFonts w:ascii="Times New Roman;serif" w:hAnsi="Times New Roman;serif"/>
          <w:b w:val="false"/>
          <w:color w:val="000000"/>
          <w:sz w:val="22"/>
        </w:rPr>
        <w:t>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Securities under the Transaction Documents or under any other agreement between the Company and the Purchasers.</w:t>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60655"/>
                <wp:effectExtent l="0" t="0" r="0" b="0"/>
                <wp:wrapNone/>
                <wp:docPr id="47" name="Frame4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22</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4.6</w:t>
      </w:r>
      <w:r>
        <w:rPr>
          <w:rFonts w:ascii="Times New Roman;serif" w:hAnsi="Times New Roman;serif"/>
          <w:b/>
          <w:color w:val="000000"/>
          <w:sz w:val="22"/>
        </w:rPr>
        <w:t>Non-Public Information</w:t>
      </w:r>
      <w:r>
        <w:rPr>
          <w:rFonts w:ascii="Times New Roman;serif" w:hAnsi="Times New Roman;serif"/>
          <w:b w:val="false"/>
          <w:color w:val="000000"/>
          <w:sz w:val="22"/>
        </w:rPr>
        <w:t xml:space="preserve">. Except with respect to the material terms and conditions of the transactions contemplated by the Transaction Documents, which shall be disclosed pursuant to Section 4.4,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in writing to receipt of such information and agreed in writing with the Company to keep such information confidential. The Company understands and confirms that each Purchaser shall be relying on the foregoing covenant in effecting transactions in securities of the Company. To the extent that the Company, or any of its Subsidiaries, or any of their respective officers, directors, agents, employees or Affiliates delivers any material, non-public information to a Purchaser without such Purchaser’s consent, the Company hereby covenants and agrees that such Purchaser shall not have any duty of confidentiality to the Company, any of its Subsidiaries, or any of their respective officers, directors, agents, employees or Affiliates, including, without limitation, the Placement Agent, or a duty to the Company, any of its Subsidiaries or any of their respective officers, directors, agents, employees or Affiliates, including, without limitation, the Placement Agent, not to trade on the basis of, such material, non-public information,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the Purchasers shall remain subject to applicable law. To the extent that any notice provided pursuant to any Transaction Document constitutes, or contains, material, non-public information regarding the Company or any Subsidiaries, the Company shall simultaneously with the delivery of such notice file such notice with the Commission pursuant to a Current Report on Form 8-K. The Company understands and confirms that each Purchaser shall be relying on the foregoing covenant in effecting transactions in securities of the Company.</w:t>
      </w:r>
    </w:p>
    <w:p>
      <w:pPr>
        <w:pStyle w:val="TextBody"/>
        <w:bidi w:val="0"/>
        <w:spacing w:lineRule="auto" w:line="240" w:before="0" w:after="240"/>
        <w:ind w:left="0" w:right="0" w:firstLine="720"/>
        <w:jc w:val="both"/>
        <w:rPr/>
      </w:pPr>
      <w:r>
        <w:rPr>
          <w:rFonts w:ascii="Times New Roman;serif" w:hAnsi="Times New Roman;serif"/>
          <w:b w:val="false"/>
          <w:color w:val="000000"/>
          <w:sz w:val="22"/>
        </w:rPr>
        <w:t>4.7</w:t>
      </w:r>
      <w:r>
        <w:rPr>
          <w:rFonts w:ascii="Times New Roman;serif" w:hAnsi="Times New Roman;serif"/>
          <w:b/>
          <w:color w:val="000000"/>
          <w:sz w:val="22"/>
        </w:rPr>
        <w:t>Use of Proceeds</w:t>
      </w:r>
      <w:r>
        <w:rPr>
          <w:rFonts w:ascii="Times New Roman;serif" w:hAnsi="Times New Roman;serif"/>
          <w:b w:val="false"/>
          <w:color w:val="000000"/>
          <w:sz w:val="22"/>
        </w:rPr>
        <w:t>. The Company shall use the net proceeds from the sale of the Securities hereunder as described in the Prospectus Supplement.</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60655"/>
                <wp:effectExtent l="0" t="0" r="0" b="0"/>
                <wp:wrapNone/>
                <wp:docPr id="48" name="Frame4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23</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4.8</w:t>
      </w:r>
      <w:r>
        <w:rPr>
          <w:rFonts w:ascii="Times New Roman;serif" w:hAnsi="Times New Roman;serif"/>
          <w:b/>
          <w:color w:val="000000"/>
          <w:sz w:val="22"/>
        </w:rPr>
        <w:t>Indemnification of Purchasers</w:t>
      </w:r>
      <w:r>
        <w:rPr>
          <w:rFonts w:ascii="Times New Roman;serif" w:hAnsi="Times New Roman;serif"/>
          <w:b w:val="false"/>
          <w:color w:val="000000"/>
          <w:sz w:val="22"/>
        </w:rPr>
        <w:t>. Subject to the provisions of this Section 4.8, the Company will indemnify, to the fullest extent permitted by applicable law, and hold each Purchaser and its directors, officers, shareholders, members, partners, investment managers,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investment managers, or employees (and any other Persons with a functionally equivalent role of a Person holding such titles notwithstanding a lack of such title or any other title) of such controlling persons (each, a “</w:t>
      </w:r>
      <w:r>
        <w:rPr>
          <w:rFonts w:ascii="Times New Roman;serif" w:hAnsi="Times New Roman;serif"/>
          <w:b/>
          <w:i/>
          <w:color w:val="000000"/>
          <w:sz w:val="22"/>
        </w:rPr>
        <w:t>Purchaser Party</w:t>
      </w:r>
      <w:r>
        <w:rPr>
          <w:color w:val="000000"/>
        </w:rPr>
        <w:t>”</w:t>
      </w:r>
      <w:r>
        <w:rPr>
          <w:rFonts w:ascii="Times New Roman;serif" w:hAnsi="Times New Roman;serif"/>
          <w:b w:val="false"/>
          <w:color w:val="000000"/>
          <w:sz w:val="22"/>
        </w:rPr>
        <w:t>)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or (b) any action instituted against a Purchaser Party in any capacity (including a Purchaser Party’s status as an investor), or any of them or their respective Affiliates, by the Company or by any stockholder of the Company who is not an Affiliate of such Purchaser Party, with respect to any of the transactions contemplated by the Transaction Documents (unless such action is solely based upon a material breach of such Purchaser Party’s representations, warranties or covenants under the Transaction Documents or any conduct by such Purchaser Party which is finally judicially determined to constitute fraud, gross negligence or willful misconduct), and (c) in connection with any registration statement of the Company providing for the resale by the Purchasers of the Warrant Shares issued and issuable upon exercise of the Warrants, (i) any untrue or alleged untrue statement of a material fact contained in such registration statement, any prospectus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the light of the circumstances under which they were made) not misleading, except to the extent, but only to the extent, that such untrue statements or omissions are based solely upon information regarding such Purchaser Party furnished in writing to the Company by such Purchaser Party expressly for use therein, or (ii) any violation or alleged violation by the Company of the Securities Act, the Exchange Act or any applicable state or non-U.S. securities law, or any rule or regulation thereunder in connection therewith. If any action shall be brought against any Purchaser Party in respect of which indemnity may be sought pursuant to this Agreement, such Purchaser Party shall promptly notify the Company in writing, and, except with respect to direct claims brought by the Company,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(i) the employment thereof has been specifically authorized by the Company in writing, (ii) the Company has failed after a reasonable period of time to assume such defense and to employ counsel reasonably acceptable to the Purchaser Party or (iii) in such action there is, in the reasonable opinion of counsel to the applicable Purchaser Party (which may be internal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(y) for any settlement by a Purchaser Party effected without the Company’s prior written consent, which shall not be unreasonably withheld or delayed; or (z) to the extent, but only to the extent that a loss, claim, damage or liability is attributable to any Purchaser Party’s breach of any of the representations, warranties, covenants or agreements made by the Purchaser in this Agreement. Company shall not, without the prior written consent of the Purchaser Party, effect any settlement of any pending or threatened action or proceeding in respect of which any Purchaser Party is or could have been a party and indemnity could have been sought hereunder by such Purchaser Party, unless such settlement includes an unconditional release of such Purchaser Party from all liability on claims that are the subject matter of such proceeding and does not include any statements as to, or any findings of, fault, culpability or failure to act by or on behalf of any Purchaser Party. The indemnification and other payment obligations required by this Section 4.8 shall be made by periodic payments of the amount thereof during the course of the investigation, defense, collection, enforcement or action, as and when bills are received or are incurred. The indemnity agreements contained herein shall be in addition to any cause of action or similar right of any Purchaser Party against the Company or others and any liabilities the Company may be subject to pursuant to law.</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60655"/>
                <wp:effectExtent l="0" t="0" r="0" b="0"/>
                <wp:wrapNone/>
                <wp:docPr id="49" name="Frame4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24</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4.9</w:t>
      </w:r>
      <w:r>
        <w:rPr>
          <w:rFonts w:ascii="Times New Roman;serif" w:hAnsi="Times New Roman;serif"/>
          <w:b/>
          <w:color w:val="000000"/>
          <w:sz w:val="22"/>
        </w:rPr>
        <w:t>Reservation of Common Stock</w:t>
      </w:r>
      <w:r>
        <w:rPr>
          <w:rFonts w:ascii="Times New Roman;serif" w:hAnsi="Times New Roman;serif"/>
          <w:b w:val="false"/>
          <w:color w:val="000000"/>
          <w:sz w:val="22"/>
        </w:rPr>
        <w:t>. As of the date hereof, the Company has reserved and the Company shall continue to reserve and keep available at all times, free of preemptive rights, a sufficient number of shares of Common Stock for the purpose of enabling the Company to issue Shares pursuant to this Agreement and Warrant Shares pursuant to any exercise of the Warrants.</w:t>
      </w:r>
    </w:p>
    <w:p>
      <w:pPr>
        <w:pStyle w:val="TextBody"/>
        <w:bidi w:val="0"/>
        <w:spacing w:lineRule="auto" w:line="240" w:before="0" w:after="240"/>
        <w:ind w:left="0" w:right="0" w:firstLine="720"/>
        <w:jc w:val="both"/>
        <w:rPr/>
      </w:pPr>
      <w:r>
        <w:rPr>
          <w:rFonts w:ascii="Times New Roman;serif" w:hAnsi="Times New Roman;serif"/>
          <w:b w:val="false"/>
          <w:color w:val="000000"/>
          <w:sz w:val="22"/>
        </w:rPr>
        <w:t>4.10</w:t>
      </w:r>
      <w:r>
        <w:rPr>
          <w:rFonts w:ascii="Times New Roman;serif" w:hAnsi="Times New Roman;serif"/>
          <w:b/>
          <w:color w:val="000000"/>
          <w:sz w:val="22"/>
        </w:rPr>
        <w:t>Listing of Shares and Warrant Shares</w:t>
      </w:r>
      <w:r>
        <w:rPr>
          <w:rFonts w:ascii="Times New Roman;serif" w:hAnsi="Times New Roman;serif"/>
          <w:b w:val="false"/>
          <w:color w:val="000000"/>
          <w:sz w:val="22"/>
        </w:rPr>
        <w:t>. The Company hereby agrees to use its best efforts to maintain the listing or quotation of the Common Stock on the Trading Market on which it is currently listed, and concurrently with the Closing, the Company shall submit a listing of additional shares notification form to such Trading Market with respect to the Shares and the Warrant Shares. The Company further agrees, if the Company applies to have the Common Stock traded on any other Trading Market, it will then include in such application all of the Shares and the Warrant Shares, and will take such other action as is necessary to cause all of the Shares and the Warrant Shares to be listed or quoted on such other Trading Market as promptly as possible. The Company will then take all action reasonably necessary to continue the listing and trading of its Common Stock on a Trading Market and will comply in all respects with the Company’s reporting, filing and other obligations under the bylaws or rules of the Trading Market. The Company agrees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pStyle w:val="TextBody"/>
        <w:bidi w:val="0"/>
        <w:spacing w:lineRule="auto" w:line="240" w:before="0" w:after="240"/>
        <w:ind w:left="0" w:right="0" w:firstLine="720"/>
        <w:jc w:val="both"/>
        <w:rPr/>
      </w:pPr>
      <w:r>
        <w:rPr>
          <w:rFonts w:ascii="Times New Roman;serif" w:hAnsi="Times New Roman;serif"/>
          <w:b w:val="false"/>
          <w:color w:val="000000"/>
          <w:sz w:val="22"/>
        </w:rPr>
        <w:t>4.11</w:t>
      </w:r>
      <w:r>
        <w:rPr>
          <w:rFonts w:ascii="Times New Roman;serif" w:hAnsi="Times New Roman;serif"/>
          <w:b/>
          <w:color w:val="000000"/>
          <w:sz w:val="22"/>
        </w:rPr>
        <w:t>Subsequent Equity Sales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From the date hereof until forty-five (45) days after the Closing Date, neither the Company nor any Subsidiary shall (i) issue, enter into any agreement to issue or announce the issuance or proposed issuance of any Common Stock or Common Stock Equivalents or (ii) file any registration statement or any amendment or supplement thereto other than a registration statement on Form S-8 in connection with the Company’s existing equity incentive plans, in each case other than as contemplated by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Notwithstanding the foregoing, this Section 4.11 shall not apply in respect of an Exempt Issuance.</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60655"/>
                <wp:effectExtent l="0" t="0" r="0" b="0"/>
                <wp:wrapNone/>
                <wp:docPr id="50" name="Frame4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25</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4.12</w:t>
      </w:r>
      <w:r>
        <w:rPr>
          <w:rFonts w:ascii="Times New Roman;serif" w:hAnsi="Times New Roman;serif"/>
          <w:b/>
          <w:color w:val="000000"/>
          <w:sz w:val="22"/>
        </w:rPr>
        <w:t>Certain Transactions and Confidentiality</w:t>
      </w:r>
      <w:r>
        <w:rPr>
          <w:rFonts w:ascii="Times New Roman;serif" w:hAnsi="Times New Roman;serif"/>
          <w:b w:val="false"/>
          <w:color w:val="000000"/>
          <w:sz w:val="22"/>
        </w:rPr>
        <w:t>.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Section 4.4. Each Purchaser, severally and not jointly with the other Purchasers, covenants that until such time as the transactions contemplated by this Agreement are publicly disclosed by the Company pursuant to the initial press release as described in Section 4.4, such Purchaser will maintain the confidentiality of the existence and terms of this transaction (other than as disclosed to its legal and other representatives).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Section 4.4,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Section 4.4 and (iii) no Purchaser shall have any duty of confidentiality or duty not to trade in the securities of the Company to the Company, any of its Subsidiaries, or any of their respective officers, directors, employees, Affiliates, or agent, including, without limitation, the Placement Agent, after the issuance of the initial press release as described in Section 4.4. Notwithstanding the foregoing, (A) in the case of a Purchaser that is a multi-managed investment vehicle whereby separate portfolio managers manage separate portions of such Purchaser’s assets, the covenant set forth above shall only apply with respect to the portion of assets managed by the portfolio manager that made the investment decision to purchase the Securities covered by this Agreement, and (B) in the case of a Purchaser that has implemented internal information barriers pursuant to information controls policy to “wall-off” certain trading personnel, this Section 4.12 shall apply only with respect to activities of such walled-off trading personnel.</w:t>
      </w:r>
    </w:p>
    <w:p>
      <w:pPr>
        <w:pStyle w:val="TextBody"/>
        <w:bidi w:val="0"/>
        <w:spacing w:lineRule="auto" w:line="240" w:before="0" w:after="240"/>
        <w:ind w:left="0" w:right="0" w:firstLine="720"/>
        <w:jc w:val="both"/>
        <w:rPr/>
      </w:pPr>
      <w:r>
        <w:rPr>
          <w:rFonts w:ascii="Times New Roman;serif" w:hAnsi="Times New Roman;serif"/>
          <w:b w:val="false"/>
          <w:color w:val="000000"/>
          <w:sz w:val="22"/>
        </w:rPr>
        <w:t>4.13</w:t>
      </w:r>
      <w:r>
        <w:rPr>
          <w:rFonts w:ascii="Times New Roman;serif" w:hAnsi="Times New Roman;serif"/>
          <w:b/>
          <w:color w:val="000000"/>
          <w:sz w:val="22"/>
        </w:rPr>
        <w:t>Equal Treatment of Purchasers</w:t>
      </w:r>
      <w:r>
        <w:rPr>
          <w:rFonts w:ascii="Times New Roman;serif" w:hAnsi="Times New Roman;serif"/>
          <w:b w:val="false"/>
          <w:color w:val="000000"/>
          <w:sz w:val="22"/>
        </w:rPr>
        <w:t>. No consideration (including any modification of any Transaction Document) shall be offered or paid to any Person to amend or consent to a waiver or modification of any provision of the Transaction Documents unless the same consideration is also offered to all Purchasers.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Shares or otherwise.</w:t>
      </w:r>
    </w:p>
    <w:p>
      <w:pPr>
        <w:pStyle w:val="TextBody"/>
        <w:bidi w:val="0"/>
        <w:spacing w:lineRule="auto" w:line="240" w:before="0" w:after="240"/>
        <w:ind w:left="0" w:right="0" w:firstLine="720"/>
        <w:jc w:val="both"/>
        <w:rPr/>
      </w:pPr>
      <w:r>
        <w:rPr>
          <w:rFonts w:ascii="Times New Roman;serif" w:hAnsi="Times New Roman;serif"/>
          <w:b w:val="false"/>
          <w:color w:val="000000"/>
          <w:sz w:val="22"/>
        </w:rPr>
        <w:t>4.14</w:t>
      </w:r>
      <w:r>
        <w:rPr>
          <w:rFonts w:ascii="Times New Roman;serif" w:hAnsi="Times New Roman;serif"/>
          <w:b/>
          <w:color w:val="000000"/>
          <w:sz w:val="22"/>
        </w:rPr>
        <w:t>Acknowledgment of Dilution</w:t>
      </w:r>
      <w:r>
        <w:rPr>
          <w:rFonts w:ascii="Times New Roman;serif" w:hAnsi="Times New Roman;serif"/>
          <w:b w:val="false"/>
          <w:color w:val="000000"/>
          <w:sz w:val="22"/>
        </w:rPr>
        <w:t>. The Company acknowledges that the issuance of the Securities may result in dilution of the outstanding shares of Common Stock, which dilution may be substantial under certain market conditions. The Company further acknowledges that its obligations under the Transaction Documents, including, without limitation, its obligation to issue the Shares and the Warrant Shares pursuant to the Transaction Documents, are unconditional and absolute and not subject to any right of set off, counterclaim, delay or reduction, regardless of the effect of any such dilution or any claim the Company may have against any Purchaser and regardless of the dilutive effect that such issuance may have on the ownership of the other stockholders of the Company.</w:t>
      </w:r>
    </w:p>
    <w:p>
      <w:pPr>
        <w:pStyle w:val="TextBody"/>
        <w:bidi w:val="0"/>
        <w:spacing w:lineRule="auto" w:line="240" w:before="0" w:after="240"/>
        <w:ind w:left="0" w:right="0" w:firstLine="720"/>
        <w:jc w:val="both"/>
        <w:rPr/>
      </w:pPr>
      <w:r>
        <w:rPr>
          <w:rFonts w:ascii="Times New Roman;serif" w:hAnsi="Times New Roman;serif"/>
          <w:b w:val="false"/>
          <w:color w:val="000000"/>
          <w:sz w:val="22"/>
        </w:rPr>
        <w:t>4.15</w:t>
      </w:r>
      <w:r>
        <w:rPr>
          <w:rFonts w:ascii="Times New Roman;serif" w:hAnsi="Times New Roman;serif"/>
          <w:b/>
          <w:color w:val="000000"/>
          <w:sz w:val="22"/>
        </w:rPr>
        <w:t>Exercise Procedures</w:t>
      </w:r>
      <w:r>
        <w:rPr>
          <w:rFonts w:ascii="Times New Roman;serif" w:hAnsi="Times New Roman;serif"/>
          <w:b w:val="false"/>
          <w:color w:val="000000"/>
          <w:sz w:val="22"/>
        </w:rPr>
        <w:t>. The form of Notice of Exercise included in the Warrants sets forth the totality of the procedures required of the Purchasers in order to exercise the Warrants. No additional legal opinion, other information, or instructions shall be required of the Purchasers to exercise their Warrants. Without limiting the preceding sentences, no ink-original Notice of Exercise shall be required, nor shall any medallion guarantee (or other type of guarantee or notarization) of any Notice of Exercise form be required in order to exercise the Warrants. The Company shall honor exercises of the Warrants and shall deliver Warrant Shares in accordance with the terms, conditions, and time periods set forth in the Transaction Documents.</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60655"/>
                <wp:effectExtent l="0" t="0" r="0" b="0"/>
                <wp:wrapNone/>
                <wp:docPr id="51" name="Frame5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26</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4.16</w:t>
      </w:r>
      <w:r>
        <w:rPr>
          <w:rFonts w:ascii="Times New Roman;serif" w:hAnsi="Times New Roman;serif"/>
          <w:b/>
          <w:color w:val="000000"/>
          <w:sz w:val="22"/>
        </w:rPr>
        <w:t>Capital Changes</w:t>
      </w:r>
      <w:r>
        <w:rPr>
          <w:rFonts w:ascii="Times New Roman;serif" w:hAnsi="Times New Roman;serif"/>
          <w:b w:val="false"/>
          <w:color w:val="000000"/>
          <w:sz w:val="22"/>
        </w:rPr>
        <w:t>. Until the date that is twelve (12) months after the Closing Date, the Company shall not undertake a reverse or forward stock split or reclassification of the Common Stock without the prior written consent of the Purchasers holding a majority in interest of the Shares other than a reverse stock split that is required, in the good faith determination of the Board of Directors, to maintain the listing of the Common Stock on the Trading Market.</w:t>
      </w:r>
    </w:p>
    <w:p>
      <w:pPr>
        <w:pStyle w:val="TextBody"/>
        <w:bidi w:val="0"/>
        <w:spacing w:lineRule="auto" w:line="240" w:before="0" w:after="240"/>
        <w:ind w:left="0" w:right="0" w:firstLine="720"/>
        <w:jc w:val="both"/>
        <w:rPr/>
      </w:pPr>
      <w:r>
        <w:rPr>
          <w:rFonts w:ascii="Times New Roman;serif" w:hAnsi="Times New Roman;serif"/>
          <w:b w:val="false"/>
          <w:color w:val="000000"/>
          <w:sz w:val="22"/>
        </w:rPr>
        <w:t>4.17</w:t>
      </w:r>
      <w:r>
        <w:rPr>
          <w:rFonts w:ascii="Times New Roman;serif" w:hAnsi="Times New Roman;serif"/>
          <w:b/>
          <w:color w:val="000000"/>
          <w:sz w:val="22"/>
        </w:rPr>
        <w:t>Lock-Up Agreements</w:t>
      </w:r>
      <w:r>
        <w:rPr>
          <w:rFonts w:ascii="Times New Roman;serif" w:hAnsi="Times New Roman;serif"/>
          <w:b w:val="false"/>
          <w:color w:val="000000"/>
          <w:sz w:val="22"/>
        </w:rPr>
        <w:t>. The Company shall not amend, modify, waive or terminate any provision of any of the Lock-Up Agreements (or any substantially similar lock-up agreements signed by transferees of the initial parties to the Lock-Up Agreements) except to extend the term of the lock-up period and shall enforce the provisions of each Lock-Up Agreement (or any substantially similar lock-up agreements signed by transferees of the initial parties to the Lock-Up Agreements) in accordance with its terms. If any party to a Lock-Up Agreement (or any substantially similar lock-up agreements signed by transferees of the initial parties to the Lock-Up Agreements) breaches any provision of such agreement, the Company shall promptly use its best efforts to seek specific performance of the terms of such agreement.</w:t>
      </w:r>
    </w:p>
    <w:p>
      <w:pPr>
        <w:pStyle w:val="TextBody"/>
        <w:bidi w:val="0"/>
        <w:spacing w:lineRule="auto" w:line="240" w:before="0" w:after="240"/>
        <w:jc w:val="center"/>
        <w:rPr/>
      </w:pPr>
      <w:r>
        <w:rPr>
          <w:rFonts w:ascii="Times New Roman;serif" w:hAnsi="Times New Roman;serif"/>
          <w:b/>
          <w:color w:val="000000"/>
          <w:sz w:val="22"/>
        </w:rPr>
        <w:t>Article V</w:t>
      </w:r>
      <w:r>
        <w:rPr>
          <w:rFonts w:ascii="Times New Roman;serif" w:hAnsi="Times New Roman;serif"/>
          <w:b w:val="false"/>
          <w:color w:val="000000"/>
          <w:sz w:val="22"/>
        </w:rPr>
        <w:br/>
      </w:r>
      <w:r>
        <w:rPr>
          <w:rFonts w:ascii="Times New Roman;serif" w:hAnsi="Times New Roman;serif"/>
          <w:b/>
          <w:color w:val="000000"/>
          <w:sz w:val="22"/>
        </w:rPr>
        <w:t>Miscellaneous</w:t>
      </w:r>
    </w:p>
    <w:p>
      <w:pPr>
        <w:pStyle w:val="TextBody"/>
        <w:bidi w:val="0"/>
        <w:spacing w:lineRule="auto" w:line="240" w:before="0" w:after="240"/>
        <w:ind w:left="0" w:right="0" w:firstLine="720"/>
        <w:jc w:val="both"/>
        <w:rPr/>
      </w:pPr>
      <w:r>
        <w:rPr>
          <w:rFonts w:ascii="Times New Roman;serif" w:hAnsi="Times New Roman;serif"/>
          <w:b w:val="false"/>
          <w:color w:val="000000"/>
          <w:sz w:val="22"/>
        </w:rPr>
        <w:t>5.1</w:t>
      </w:r>
      <w:r>
        <w:rPr>
          <w:rFonts w:ascii="Times New Roman;serif" w:hAnsi="Times New Roman;serif"/>
          <w:b/>
          <w:color w:val="000000"/>
          <w:sz w:val="22"/>
        </w:rPr>
        <w:t>Termination</w:t>
      </w:r>
      <w:r>
        <w:rPr>
          <w:rFonts w:ascii="Times New Roman;serif" w:hAnsi="Times New Roman;serif"/>
          <w:b w:val="false"/>
          <w:color w:val="000000"/>
          <w:sz w:val="22"/>
        </w:rPr>
        <w:t>. This Agreement may be terminated by any Purchaser, as to such Purchaser’s obligations hereunder only and without any effect whatsoever on the obligations between the Company and the other Purchasers, by written notice to the Company, if the Closing Date has not occurred on or before the fifth (5</w:t>
      </w:r>
      <w:r>
        <w:rPr>
          <w:rFonts w:ascii="Times New Roman;serif" w:hAnsi="Times New Roman;serif"/>
          <w:b w:val="false"/>
          <w:color w:val="000000"/>
          <w:sz w:val="14"/>
        </w:rPr>
        <w:t>th</w:t>
      </w:r>
      <w:r>
        <w:rPr>
          <w:rFonts w:ascii="Times New Roman;serif" w:hAnsi="Times New Roman;serif"/>
          <w:b w:val="false"/>
          <w:color w:val="000000"/>
          <w:sz w:val="22"/>
        </w:rPr>
        <w:t xml:space="preserve">) Trading Day following the date hereof;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that no such termination will affect the right of any party to sue for any breach by any other party (or parties).</w:t>
      </w:r>
    </w:p>
    <w:p>
      <w:pPr>
        <w:pStyle w:val="TextBody"/>
        <w:bidi w:val="0"/>
        <w:spacing w:lineRule="auto" w:line="240" w:before="0" w:after="240"/>
        <w:ind w:left="0" w:right="0" w:firstLine="720"/>
        <w:jc w:val="both"/>
        <w:rPr/>
      </w:pPr>
      <w:r>
        <w:rPr>
          <w:rFonts w:ascii="Times New Roman;serif" w:hAnsi="Times New Roman;serif"/>
          <w:b w:val="false"/>
          <w:color w:val="000000"/>
          <w:sz w:val="22"/>
        </w:rPr>
        <w:t>5.2</w:t>
      </w:r>
      <w:r>
        <w:rPr>
          <w:rFonts w:ascii="Times New Roman;serif" w:hAnsi="Times New Roman;serif"/>
          <w:b/>
          <w:color w:val="000000"/>
          <w:sz w:val="22"/>
        </w:rPr>
        <w:t>Fees and Expenses</w:t>
      </w:r>
      <w:r>
        <w:rPr>
          <w:rFonts w:ascii="Times New Roman;serif" w:hAnsi="Times New Roman;serif"/>
          <w:b w:val="false"/>
          <w:color w:val="000000"/>
          <w:sz w:val="22"/>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any exercise notice delivered by a Purchaser), stamp taxes and other taxes and duties levied in connection with the delivery of any Securities to the Purchasers.</w:t>
      </w:r>
    </w:p>
    <w:p>
      <w:pPr>
        <w:pStyle w:val="TextBody"/>
        <w:bidi w:val="0"/>
        <w:spacing w:lineRule="auto" w:line="240" w:before="0" w:after="240"/>
        <w:ind w:left="0" w:right="0" w:firstLine="720"/>
        <w:jc w:val="both"/>
        <w:rPr/>
      </w:pPr>
      <w:r>
        <w:rPr>
          <w:rFonts w:ascii="Times New Roman;serif" w:hAnsi="Times New Roman;serif"/>
          <w:b w:val="false"/>
          <w:color w:val="000000"/>
          <w:sz w:val="22"/>
        </w:rPr>
        <w:t>5.3</w:t>
      </w:r>
      <w:r>
        <w:rPr>
          <w:rFonts w:ascii="Times New Roman;serif" w:hAnsi="Times New Roman;serif"/>
          <w:b/>
          <w:color w:val="000000"/>
          <w:sz w:val="22"/>
        </w:rPr>
        <w:t>Entire Agreement</w:t>
      </w:r>
      <w:r>
        <w:rPr>
          <w:rFonts w:ascii="Times New Roman;serif" w:hAnsi="Times New Roman;serif"/>
          <w:b w:val="false"/>
          <w:color w:val="000000"/>
          <w:sz w:val="22"/>
        </w:rPr>
        <w:t>. The Transaction Documents, together with the exhibits and schedules thereto, the Prospectus and the Prospectus Supplement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pStyle w:val="TextBody"/>
        <w:bidi w:val="0"/>
        <w:spacing w:lineRule="auto" w:line="240" w:before="0" w:after="240"/>
        <w:ind w:left="0" w:right="0" w:firstLine="720"/>
        <w:jc w:val="both"/>
        <w:rPr/>
      </w:pPr>
      <w:r>
        <w:rPr>
          <w:rFonts w:ascii="Times New Roman;serif" w:hAnsi="Times New Roman;serif"/>
          <w:b w:val="false"/>
          <w:color w:val="000000"/>
          <w:sz w:val="22"/>
        </w:rPr>
        <w:t>5.4</w:t>
      </w:r>
      <w:r>
        <w:rPr>
          <w:rFonts w:ascii="Times New Roman;serif" w:hAnsi="Times New Roman;serif"/>
          <w:b/>
          <w:color w:val="000000"/>
          <w:sz w:val="22"/>
        </w:rPr>
        <w:t>Notices</w:t>
      </w:r>
      <w:r>
        <w:rPr>
          <w:rFonts w:ascii="Times New Roman;serif" w:hAnsi="Times New Roman;serif"/>
          <w:b w:val="false"/>
          <w:color w:val="000000"/>
          <w:sz w:val="22"/>
        </w:rPr>
        <w:t>. Any and all notices or other communications or deliveries required or permitted to be provided hereunder shall be in writing and shall be deemed given and effective on the earliest of: (a) the time of transmission, if such notice or communication is delivered via email attachment at the email address as set forth on the signature pages attached hereto at or prior to 5:30 p.m. (New York City time) on a Trading Day, (b) the next Trading Day after the date of transmission, if such notice or communication is delivered via email attachment at the email address as set forth on the signature pages attached hereto on a day that is not a Trading Day or later than 5:30 p.m. (New York City time) on any Trading Day, (c) the second (2</w:t>
      </w:r>
      <w:r>
        <w:rPr>
          <w:rFonts w:ascii="Times New Roman;serif" w:hAnsi="Times New Roman;serif"/>
          <w:b w:val="false"/>
          <w:color w:val="000000"/>
          <w:sz w:val="14"/>
        </w:rPr>
        <w:t>nd</w:t>
      </w:r>
      <w:r>
        <w:rPr>
          <w:rFonts w:ascii="Times New Roman;serif" w:hAnsi="Times New Roman;serif"/>
          <w:b w:val="false"/>
          <w:color w:val="000000"/>
          <w:sz w:val="22"/>
        </w:rPr>
        <w:t>)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 To the extent that any notice provided pursuant to any Transaction Document constitutes, or contains, material, non-public information regarding the Company or any Subsidiaries, the Company shall simultaneously file such notice with the Commission pursuant to a Current Report on Form 8-K.</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60655"/>
                <wp:effectExtent l="0" t="0" r="0" b="0"/>
                <wp:wrapNone/>
                <wp:docPr id="52" name="Frame5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27</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5.5</w:t>
      </w:r>
      <w:r>
        <w:rPr>
          <w:rFonts w:ascii="Times New Roman;serif" w:hAnsi="Times New Roman;serif"/>
          <w:b/>
          <w:color w:val="000000"/>
          <w:sz w:val="22"/>
        </w:rPr>
        <w:t>Amendments; Waivers</w:t>
      </w:r>
      <w:r>
        <w:rPr>
          <w:rFonts w:ascii="Times New Roman;serif" w:hAnsi="Times New Roman;serif"/>
          <w:b w:val="false"/>
          <w:color w:val="000000"/>
          <w:sz w:val="22"/>
        </w:rPr>
        <w:t xml:space="preserve">. No provision of this Agreement may be waived, modified, supplemented or amended except in a written instrument signed, in the case of an amendment, by the Company and Purchasers which purchased at least fifty and one tenth percent (50.1%) in interest of the Securities assuming the full exercise of the Warrants based on the initial Subscription Amounts hereunder (or, prior to the Closing, the Company and each Purchaser) or, in the case of a waiver, by the party against whom enforcement of any such waived provision is sought,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if any amendment, modification or waiver disproportionately and adversely impacts a Purchaser (or multiple Purchasers), the consent of such disproportionately impacted Purchaser (or multiple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proposed amendment or waiver that disproportionately, materially and adversely affects the rights and obligations of any Purchaser relative to the comparable rights and obligations of the other Purchasers shall require the prior written consent of such adversely affected Purchaser. Any amendment effected in accordance with this Section 5.5 shall be binding upon each Purchaser and holder of Securities and the Company.</w:t>
      </w:r>
    </w:p>
    <w:p>
      <w:pPr>
        <w:pStyle w:val="TextBody"/>
        <w:bidi w:val="0"/>
        <w:spacing w:lineRule="auto" w:line="240" w:before="0" w:after="240"/>
        <w:ind w:left="0" w:right="0" w:firstLine="720"/>
        <w:jc w:val="both"/>
        <w:rPr/>
      </w:pPr>
      <w:r>
        <w:rPr>
          <w:rFonts w:ascii="Times New Roman;serif" w:hAnsi="Times New Roman;serif"/>
          <w:b w:val="false"/>
          <w:color w:val="000000"/>
          <w:sz w:val="22"/>
        </w:rPr>
        <w:t>5.6</w:t>
      </w:r>
      <w:r>
        <w:rPr>
          <w:rFonts w:ascii="Times New Roman;serif" w:hAnsi="Times New Roman;serif"/>
          <w:b/>
          <w:color w:val="000000"/>
          <w:sz w:val="22"/>
        </w:rPr>
        <w:t>Headings</w:t>
      </w:r>
      <w:r>
        <w:rPr>
          <w:rFonts w:ascii="Times New Roman;serif" w:hAnsi="Times New Roman;serif"/>
          <w:b w:val="false"/>
          <w:color w:val="000000"/>
          <w:sz w:val="22"/>
        </w:rPr>
        <w:t>. The headings herein are for convenience only, do not constitute a part of this Agreement and shall not be deemed to limit or affect any of the provisions hereof.</w:t>
      </w:r>
    </w:p>
    <w:p>
      <w:pPr>
        <w:pStyle w:val="TextBody"/>
        <w:bidi w:val="0"/>
        <w:spacing w:lineRule="auto" w:line="240" w:before="0" w:after="240"/>
        <w:ind w:left="0" w:right="0" w:firstLine="720"/>
        <w:jc w:val="both"/>
        <w:rPr/>
      </w:pPr>
      <w:r>
        <w:rPr>
          <w:rFonts w:ascii="Times New Roman;serif" w:hAnsi="Times New Roman;serif"/>
          <w:b w:val="false"/>
          <w:color w:val="000000"/>
          <w:sz w:val="22"/>
        </w:rPr>
        <w:t>5.7</w:t>
      </w:r>
      <w:r>
        <w:rPr>
          <w:rFonts w:ascii="Times New Roman;serif" w:hAnsi="Times New Roman;serif"/>
          <w:b/>
          <w:color w:val="000000"/>
          <w:sz w:val="22"/>
        </w:rPr>
        <w:t>Successors and Assigns</w:t>
      </w:r>
      <w:r>
        <w:rPr>
          <w:rFonts w:ascii="Times New Roman;serif" w:hAnsi="Times New Roman;serif"/>
          <w:b w:val="false"/>
          <w:color w:val="000000"/>
          <w:sz w:val="22"/>
        </w:rPr>
        <w:t xml:space="preserve">. This Agreement shall be binding upon and inure to the benefit of the parties and their successors and 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Securities, </w:t>
      </w:r>
      <w:r>
        <w:rPr>
          <w:rFonts w:ascii="Times New Roman;serif" w:hAnsi="Times New Roman;serif"/>
          <w:b w:val="false"/>
          <w:i/>
          <w:color w:val="000000"/>
          <w:sz w:val="22"/>
        </w:rPr>
        <w:t xml:space="preserve">provided </w:t>
      </w:r>
      <w:r>
        <w:rPr>
          <w:rFonts w:ascii="Times New Roman;serif" w:hAnsi="Times New Roman;serif"/>
          <w:b w:val="false"/>
          <w:color w:val="000000"/>
          <w:sz w:val="22"/>
        </w:rPr>
        <w:t>that such transferee agrees in writing to be bound, with respect to the transferred Securities, by the provisions of the Transaction Documents that apply to the “</w:t>
      </w:r>
      <w:r>
        <w:rPr>
          <w:rFonts w:ascii="Times New Roman;serif" w:hAnsi="Times New Roman;serif"/>
          <w:b/>
          <w:i/>
          <w:color w:val="000000"/>
          <w:sz w:val="22"/>
        </w:rPr>
        <w:t>Purchaser</w:t>
      </w:r>
      <w:r>
        <w:rPr>
          <w:color w:val="000000"/>
        </w:rPr>
        <w:t xml:space="preserve">” </w:t>
      </w:r>
      <w:r>
        <w:rPr>
          <w:rFonts w:ascii="Times New Roman;serif" w:hAnsi="Times New Roman;serif"/>
          <w:b w:val="false"/>
          <w:color w:val="000000"/>
          <w:sz w:val="22"/>
        </w:rPr>
        <w:t>(other than in respect of a transfer pursuant to an effective registration statement).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5.8</w:t>
      </w:r>
      <w:r>
        <w:rPr>
          <w:rFonts w:ascii="Times New Roman;serif" w:hAnsi="Times New Roman;serif"/>
          <w:b/>
          <w:color w:val="000000"/>
          <w:sz w:val="22"/>
        </w:rPr>
        <w:t>No Third-Party Beneficiaries</w:t>
      </w:r>
      <w:r>
        <w:rPr>
          <w:rFonts w:ascii="Times New Roman;serif" w:hAnsi="Times New Roman;serif"/>
          <w:b w:val="false"/>
          <w:color w:val="000000"/>
          <w:sz w:val="22"/>
        </w:rPr>
        <w:t>. The Placement Agent shall be the third party beneficiary of the representations, warranties and covenants of the Company in this Agreement and the representations, warranties and covenants of the Purchasers in this Agreement. This Agreement is intended for the benefit of the parties hereto and their respective successors and permitted assigns and is not for the benefit of, nor may any provision hereof be enforced by, any other Person, except as otherwise set forth in Section 4.8 and this Section 5.8.</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60655"/>
                <wp:effectExtent l="0" t="0" r="0" b="0"/>
                <wp:wrapNone/>
                <wp:docPr id="53" name="Frame5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28</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5.9</w:t>
      </w:r>
      <w:r>
        <w:rPr>
          <w:rFonts w:ascii="Times New Roman;serif" w:hAnsi="Times New Roman;serif"/>
          <w:b/>
          <w:color w:val="000000"/>
          <w:sz w:val="22"/>
        </w:rPr>
        <w:t>Governing Law</w:t>
      </w:r>
      <w:r>
        <w:rPr>
          <w:rFonts w:ascii="Times New Roman;serif" w:hAnsi="Times New Roman;serif"/>
          <w:b w:val="false"/>
          <w:color w:val="000000"/>
          <w:sz w:val="22"/>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any such court, that such suit, action or proceeding is improper or is an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either party shall commence an action, suit or proceeding to enforce any provisions of the Transaction Documents, then, in addition to the obligations of the Company under Section 4.8, the prevailing party in such action, suit or proceeding shall be reimbursed by the non-prevailing party for its reasonable attorneys’ fees and other costs and expenses incurred with the investigation, preparation and prosecution of such action or proceeding.</w:t>
      </w:r>
    </w:p>
    <w:p>
      <w:pPr>
        <w:pStyle w:val="TextBody"/>
        <w:bidi w:val="0"/>
        <w:spacing w:lineRule="auto" w:line="240" w:before="0" w:after="240"/>
        <w:ind w:left="0" w:right="0" w:firstLine="720"/>
        <w:jc w:val="both"/>
        <w:rPr/>
      </w:pPr>
      <w:r>
        <w:rPr>
          <w:rFonts w:ascii="Times New Roman;serif" w:hAnsi="Times New Roman;serif"/>
          <w:b w:val="false"/>
          <w:color w:val="000000"/>
          <w:sz w:val="22"/>
        </w:rPr>
        <w:t>5.10</w:t>
      </w:r>
      <w:r>
        <w:rPr>
          <w:rFonts w:ascii="Times New Roman;serif" w:hAnsi="Times New Roman;serif"/>
          <w:b/>
          <w:color w:val="000000"/>
          <w:sz w:val="22"/>
        </w:rPr>
        <w:t>Survival</w:t>
      </w:r>
      <w:r>
        <w:rPr>
          <w:rFonts w:ascii="Times New Roman;serif" w:hAnsi="Times New Roman;serif"/>
          <w:b w:val="false"/>
          <w:color w:val="000000"/>
          <w:sz w:val="22"/>
        </w:rPr>
        <w:t>. The representations and warranties contained herein shall survive the Closing and the delivery of the Securities for the applicable statute of limitations.</w:t>
      </w:r>
    </w:p>
    <w:p>
      <w:pPr>
        <w:pStyle w:val="TextBody"/>
        <w:bidi w:val="0"/>
        <w:spacing w:lineRule="auto" w:line="240" w:before="0" w:after="240"/>
        <w:ind w:left="0" w:right="0" w:firstLine="720"/>
        <w:jc w:val="both"/>
        <w:rPr/>
      </w:pPr>
      <w:r>
        <w:rPr>
          <w:rFonts w:ascii="Times New Roman;serif" w:hAnsi="Times New Roman;serif"/>
          <w:b w:val="false"/>
          <w:color w:val="000000"/>
          <w:sz w:val="22"/>
        </w:rPr>
        <w:t>5.11</w:t>
      </w:r>
      <w:r>
        <w:rPr>
          <w:rFonts w:ascii="Times New Roman;serif" w:hAnsi="Times New Roman;serif"/>
          <w:b/>
          <w:color w:val="000000"/>
          <w:sz w:val="22"/>
        </w:rPr>
        <w:t>Execution</w:t>
      </w:r>
      <w:r>
        <w:rPr>
          <w:rFonts w:ascii="Times New Roman;serif" w:hAnsi="Times New Roman;serif"/>
          <w:b w:val="false"/>
          <w:color w:val="000000"/>
          <w:sz w:val="22"/>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e-mail delivery of a “</w:t>
      </w:r>
      <w:r>
        <w:rPr>
          <w:rFonts w:ascii="Times New Roman;serif" w:hAnsi="Times New Roman;serif"/>
          <w:b/>
          <w:i/>
          <w:color w:val="000000"/>
          <w:sz w:val="22"/>
        </w:rPr>
        <w:t>.pdf</w:t>
      </w:r>
      <w:r>
        <w:rPr>
          <w:color w:val="000000"/>
        </w:rPr>
        <w:t xml:space="preserve">” </w:t>
      </w:r>
      <w:r>
        <w:rPr>
          <w:rFonts w:ascii="Times New Roman;serif" w:hAnsi="Times New Roman;serif"/>
          <w:b w:val="false"/>
          <w:color w:val="000000"/>
          <w:sz w:val="22"/>
        </w:rPr>
        <w:t>format data file, such signature shall create a valid and binding obligation of the party executing (or on whose behalf such signature is executed) with the same force and effect as if such “</w:t>
      </w:r>
      <w:r>
        <w:rPr>
          <w:rFonts w:ascii="Times New Roman;serif" w:hAnsi="Times New Roman;serif"/>
          <w:b/>
          <w:i/>
          <w:color w:val="000000"/>
          <w:sz w:val="22"/>
        </w:rPr>
        <w:t>.pdf</w:t>
      </w:r>
      <w:r>
        <w:rPr>
          <w:color w:val="000000"/>
        </w:rPr>
        <w:t xml:space="preserve">” </w:t>
      </w:r>
      <w:r>
        <w:rPr>
          <w:rFonts w:ascii="Times New Roman;serif" w:hAnsi="Times New Roman;serif"/>
          <w:b w:val="false"/>
          <w:color w:val="000000"/>
          <w:sz w:val="22"/>
        </w:rPr>
        <w:t>signature page were an original thereof.</w:t>
      </w:r>
    </w:p>
    <w:p>
      <w:pPr>
        <w:pStyle w:val="TextBody"/>
        <w:bidi w:val="0"/>
        <w:spacing w:lineRule="auto" w:line="240" w:before="0" w:after="240"/>
        <w:ind w:left="0" w:right="0" w:firstLine="720"/>
        <w:jc w:val="both"/>
        <w:rPr/>
      </w:pPr>
      <w:r>
        <w:rPr>
          <w:rFonts w:ascii="Times New Roman;serif" w:hAnsi="Times New Roman;serif"/>
          <w:b w:val="false"/>
          <w:color w:val="000000"/>
          <w:sz w:val="22"/>
        </w:rPr>
        <w:t>5.12</w:t>
      </w:r>
      <w:r>
        <w:rPr>
          <w:rFonts w:ascii="Times New Roman;serif" w:hAnsi="Times New Roman;serif"/>
          <w:b/>
          <w:color w:val="000000"/>
          <w:sz w:val="22"/>
        </w:rPr>
        <w:t>Severability</w:t>
      </w:r>
      <w:r>
        <w:rPr>
          <w:rFonts w:ascii="Times New Roman;serif" w:hAnsi="Times New Roman;serif"/>
          <w:b w:val="false"/>
          <w:color w:val="000000"/>
          <w:sz w:val="22"/>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pStyle w:val="TextBody"/>
        <w:bidi w:val="0"/>
        <w:spacing w:lineRule="auto" w:line="240" w:before="0" w:after="240"/>
        <w:ind w:left="0" w:right="0" w:firstLine="720"/>
        <w:jc w:val="both"/>
        <w:rPr/>
      </w:pPr>
      <w:r>
        <w:rPr>
          <w:rFonts w:ascii="Times New Roman;serif" w:hAnsi="Times New Roman;serif"/>
          <w:b w:val="false"/>
          <w:color w:val="000000"/>
          <w:sz w:val="22"/>
        </w:rPr>
        <w:t>5.13</w:t>
      </w:r>
      <w:r>
        <w:rPr>
          <w:rFonts w:ascii="Times New Roman;serif" w:hAnsi="Times New Roman;serif"/>
          <w:b/>
          <w:color w:val="000000"/>
          <w:sz w:val="22"/>
        </w:rPr>
        <w:t>Rescission and Withdrawal Right</w:t>
      </w:r>
      <w:r>
        <w:rPr>
          <w:rFonts w:ascii="Times New Roman;serif" w:hAnsi="Times New Roman;serif"/>
          <w:b w:val="false"/>
          <w:color w:val="000000"/>
          <w:sz w:val="22"/>
        </w:rPr>
        <w:t xml:space="preserve">.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that, in the case of a rescission of an exercise of a Warrant, the applicable Purchaser shall be required to return any shares of Common Stock subject to any such rescinded exercise notice concurrently (if such shares were delivered to the applicable Purchaser) with the return to such Purchaser of the aggregate exercise price paid to the Company for such shares and the restoration of such Purchaser’s right to acquire such shares pursuant to such Purchaser’s Warrant (including, issuance of a replacement warrant certificate evidencing such restored right).</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60655"/>
                <wp:effectExtent l="0" t="0" r="0" b="0"/>
                <wp:wrapNone/>
                <wp:docPr id="54" name="Frame5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29</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5.14</w:t>
      </w:r>
      <w:r>
        <w:rPr>
          <w:rFonts w:ascii="Times New Roman;serif" w:hAnsi="Times New Roman;serif"/>
          <w:b/>
          <w:color w:val="000000"/>
          <w:sz w:val="22"/>
        </w:rPr>
        <w:t>Replacement of Securities</w:t>
      </w:r>
      <w:r>
        <w:rPr>
          <w:rFonts w:ascii="Times New Roman;serif" w:hAnsi="Times New Roman;serif"/>
          <w:b w:val="false"/>
          <w:color w:val="000000"/>
          <w:sz w:val="22"/>
        </w:rPr>
        <w:t>.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w:t>
      </w:r>
    </w:p>
    <w:p>
      <w:pPr>
        <w:pStyle w:val="TextBody"/>
        <w:bidi w:val="0"/>
        <w:spacing w:lineRule="auto" w:line="240" w:before="0" w:after="240"/>
        <w:ind w:left="0" w:right="0" w:firstLine="720"/>
        <w:jc w:val="both"/>
        <w:rPr/>
      </w:pPr>
      <w:r>
        <w:rPr>
          <w:rFonts w:ascii="Times New Roman;serif" w:hAnsi="Times New Roman;serif"/>
          <w:b w:val="false"/>
          <w:color w:val="000000"/>
          <w:sz w:val="22"/>
        </w:rPr>
        <w:t>5.15</w:t>
      </w:r>
      <w:r>
        <w:rPr>
          <w:rFonts w:ascii="Times New Roman;serif" w:hAnsi="Times New Roman;serif"/>
          <w:b/>
          <w:color w:val="000000"/>
          <w:sz w:val="22"/>
        </w:rPr>
        <w:t>Remedies</w:t>
      </w:r>
      <w:r>
        <w:rPr>
          <w:rFonts w:ascii="Times New Roman;serif" w:hAnsi="Times New Roman;serif"/>
          <w:b w:val="false"/>
          <w:color w:val="000000"/>
          <w:sz w:val="22"/>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pStyle w:val="TextBody"/>
        <w:bidi w:val="0"/>
        <w:spacing w:lineRule="auto" w:line="240" w:before="0" w:after="240"/>
        <w:ind w:left="0" w:right="0" w:firstLine="720"/>
        <w:jc w:val="both"/>
        <w:rPr/>
      </w:pPr>
      <w:r>
        <w:rPr>
          <w:rFonts w:ascii="Times New Roman;serif" w:hAnsi="Times New Roman;serif"/>
          <w:b w:val="false"/>
          <w:color w:val="000000"/>
          <w:sz w:val="22"/>
        </w:rPr>
        <w:t>5.16</w:t>
      </w:r>
      <w:r>
        <w:rPr>
          <w:rFonts w:ascii="Times New Roman;serif" w:hAnsi="Times New Roman;serif"/>
          <w:b/>
          <w:color w:val="000000"/>
          <w:sz w:val="22"/>
        </w:rPr>
        <w:t>Payment Set Aside</w:t>
      </w:r>
      <w:r>
        <w:rPr>
          <w:rFonts w:ascii="Times New Roman;serif" w:hAnsi="Times New Roman;serif"/>
          <w:b w:val="false"/>
          <w:color w:val="000000"/>
          <w:sz w:val="22"/>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pStyle w:val="TextBody"/>
        <w:bidi w:val="0"/>
        <w:spacing w:lineRule="auto" w:line="240" w:before="0" w:after="240"/>
        <w:ind w:left="0" w:right="0" w:firstLine="720"/>
        <w:jc w:val="both"/>
        <w:rPr/>
      </w:pPr>
      <w:r>
        <w:rPr>
          <w:rFonts w:ascii="Times New Roman;serif" w:hAnsi="Times New Roman;serif"/>
          <w:b w:val="false"/>
          <w:color w:val="000000"/>
          <w:sz w:val="22"/>
        </w:rPr>
        <w:t>5.17</w:t>
      </w:r>
      <w:r>
        <w:rPr>
          <w:rFonts w:ascii="Times New Roman;serif" w:hAnsi="Times New Roman;serif"/>
          <w:b/>
          <w:color w:val="000000"/>
          <w:sz w:val="22"/>
        </w:rPr>
        <w:t>Independent Nature of Purchasers’ Obligations and Rights</w:t>
      </w:r>
      <w:r>
        <w:rPr>
          <w:rFonts w:ascii="Times New Roman;serif" w:hAnsi="Times New Roman;serif"/>
          <w:b w:val="false"/>
          <w:color w:val="000000"/>
          <w:sz w:val="22"/>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For reasons of administrative convenience only, each Purchaser and its respective counsel have chosen to communicate with the Company through the legal counsel of the Placement Agent. The legal counsel of the Placement Agent does not represent any of the Purchasers and only represents the Placement Agent.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pStyle w:val="TextBody"/>
        <w:bidi w:val="0"/>
        <w:spacing w:lineRule="auto" w:line="240" w:before="0" w:after="240"/>
        <w:ind w:left="0" w:right="0" w:firstLine="720"/>
        <w:jc w:val="both"/>
        <w:rPr/>
      </w:pPr>
      <w:r>
        <w:rPr>
          <w:rFonts w:ascii="Times New Roman;serif" w:hAnsi="Times New Roman;serif"/>
          <w:b w:val="false"/>
          <w:color w:val="000000"/>
          <w:sz w:val="22"/>
        </w:rPr>
        <w:t>5.18</w:t>
      </w:r>
      <w:r>
        <w:rPr>
          <w:rFonts w:ascii="Times New Roman;serif" w:hAnsi="Times New Roman;serif"/>
          <w:b/>
          <w:color w:val="000000"/>
          <w:sz w:val="22"/>
        </w:rPr>
        <w:t>Liquidated Damages</w:t>
      </w:r>
      <w:r>
        <w:rPr>
          <w:rFonts w:ascii="Times New Roman;serif" w:hAnsi="Times New Roman;serif"/>
          <w:b w:val="false"/>
          <w:color w:val="000000"/>
          <w:sz w:val="22"/>
        </w:rPr>
        <w:t>. The Company’s obligations to pay any partial liquidated damages or other amounts owing under the Transaction Documents is a continuing obligation of the Company and shall not terminate until all unpaid partial liquidated damages and other amounts have been paid notwithstanding the fact that the instrument or security pursuant to which such partial liquidated damages or other amounts are due and payable shall have been canceled.</w:t>
      </w:r>
    </w:p>
    <w:p>
      <w:pPr>
        <w:pStyle w:val="TextBody"/>
        <w:bidi w:val="0"/>
        <w:spacing w:lineRule="auto" w:line="240" w:before="0" w:after="240"/>
        <w:ind w:left="0" w:right="0" w:firstLine="720"/>
        <w:jc w:val="both"/>
        <w:rPr/>
      </w:pPr>
      <w:r>
        <w:rPr>
          <w:rFonts w:ascii="Times New Roman;serif" w:hAnsi="Times New Roman;serif"/>
          <w:b w:val="false"/>
          <w:color w:val="000000"/>
          <w:sz w:val="22"/>
        </w:rPr>
        <w:t>5.19</w:t>
      </w:r>
      <w:r>
        <w:rPr>
          <w:rFonts w:ascii="Times New Roman;serif" w:hAnsi="Times New Roman;serif"/>
          <w:b/>
          <w:color w:val="000000"/>
          <w:sz w:val="22"/>
        </w:rPr>
        <w:t>Saturdays, Sundays, Holidays, etc</w:t>
      </w:r>
      <w:r>
        <w:rPr>
          <w:rFonts w:ascii="Times New Roman;serif" w:hAnsi="Times New Roman;serif"/>
          <w:b w:val="false"/>
          <w:color w:val="000000"/>
          <w:sz w:val="22"/>
        </w:rPr>
        <w:t>. If the last or appointed day for the taking of any action or the expiration of any right required or granted herein shall not be a Trading Day or Business Day, then such action may be taken or such right may be exercised on the next succeeding Trading Day or Business Day, as the case may be.</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60655"/>
                <wp:effectExtent l="0" t="0" r="0" b="0"/>
                <wp:wrapNone/>
                <wp:docPr id="55" name="Frame5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30</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5.20</w:t>
      </w:r>
      <w:r>
        <w:rPr>
          <w:rFonts w:ascii="Times New Roman;serif" w:hAnsi="Times New Roman;serif"/>
          <w:b/>
          <w:color w:val="000000"/>
          <w:sz w:val="22"/>
        </w:rPr>
        <w:t>Construction</w:t>
      </w:r>
      <w:r>
        <w:rPr>
          <w:rFonts w:ascii="Times New Roman;serif" w:hAnsi="Times New Roman;serif"/>
          <w:b w:val="false"/>
          <w:color w:val="000000"/>
          <w:sz w:val="22"/>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Common Stock in any Transaction Document shall be subject to adjustment for reverse and forward stock splits, stock dividends, stock combinations and other similar transactions of the Common Stock that occur after the date of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5.21</w:t>
      </w:r>
      <w:r>
        <w:rPr>
          <w:rFonts w:ascii="Times New Roman;serif" w:hAnsi="Times New Roman;serif"/>
          <w:b/>
          <w:color w:val="000000"/>
          <w:sz w:val="22"/>
        </w:rPr>
        <w:t>WAIVER OF JURY TRIAL. IN ANY ACTION, SUIT, OR PROCEEDING IN ANY JURISDICTION BROUGHT BY ANY PARTY AGAINST ANY OTHER PARTY, THE PARTIES EACH KNOWINGLY AND INTENTIONALLY, TO THE GREATEST EXTENT PERMITTED BY APPLICABLE LAW, HEREBY ABSOLUTELY, UNCONDITIONALLY, IRREVOCABLY AND EXPRESSLY WAIVES FOREVER TRIAL BY JURY.</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[Signature Pages Follow]</w:t>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60655"/>
                <wp:effectExtent l="0" t="0" r="0" b="0"/>
                <wp:wrapNone/>
                <wp:docPr id="56" name="Frame5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31</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2"/>
        </w:rPr>
        <w:t>In Witness Whereof</w:t>
      </w:r>
      <w:r>
        <w:rPr>
          <w:rFonts w:ascii="Times New Roman;serif" w:hAnsi="Times New Roman;serif"/>
          <w:b w:val="false"/>
          <w:color w:val="000000"/>
          <w:sz w:val="22"/>
        </w:rPr>
        <w:t>, the parties hereto have caused this Securities Purchase Agreement to be duly executed by their respective authorized signatories as of the date first indicated above.</w:t>
      </w:r>
    </w:p>
    <w:p>
      <w:pPr>
        <w:pStyle w:val="TextBody"/>
        <w:bidi w:val="0"/>
        <w:spacing w:before="0" w:after="0"/>
        <w:jc w:val="left"/>
        <w:rPr/>
      </w:pPr>
      <w:r>
        <w:rPr/>
      </w:r>
    </w:p>
    <w:tbl>
      <w:tblPr>
        <w:tblW w:w="9888" w:type="dxa"/>
        <w:jc w:val="left"/>
        <w:tblInd w:w="0" w:type="dxa"/>
        <w:tblLayout w:type="fixed"/>
        <w:tblCellMar>
          <w:top w:w="28" w:type="dxa"/>
          <w:left w:w="28" w:type="dxa"/>
          <w:bottom w:w="28" w:type="dxa"/>
          <w:right w:w="28" w:type="dxa"/>
        </w:tblCellMar>
      </w:tblPr>
      <w:tblGrid>
        <w:gridCol w:w="221"/>
        <w:gridCol w:w="194"/>
        <w:gridCol w:w="194"/>
        <w:gridCol w:w="194"/>
        <w:gridCol w:w="194"/>
        <w:gridCol w:w="194"/>
        <w:gridCol w:w="1213"/>
        <w:gridCol w:w="1213"/>
        <w:gridCol w:w="1279"/>
        <w:gridCol w:w="109"/>
        <w:gridCol w:w="109"/>
        <w:gridCol w:w="109"/>
        <w:gridCol w:w="1365"/>
        <w:gridCol w:w="1365"/>
        <w:gridCol w:w="1935"/>
      </w:tblGrid>
      <w:tr>
        <w:trPr/>
        <w:tc>
          <w:tcPr>
            <w:tcW w:w="22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935" w:type="dxa"/>
            <w:tcBorders/>
            <w:vAlign w:val="center"/>
          </w:tcPr>
          <w:p>
            <w:pPr>
              <w:pStyle w:val="TableContents"/>
              <w:bidi w:val="0"/>
              <w:spacing w:before="0" w:after="283"/>
              <w:jc w:val="left"/>
              <w:rPr>
                <w:sz w:val="4"/>
                <w:szCs w:val="4"/>
              </w:rPr>
            </w:pPr>
            <w:r>
              <w:rPr>
                <w:sz w:val="4"/>
                <w:szCs w:val="4"/>
              </w:rPr>
            </w:r>
          </w:p>
        </w:tc>
      </w:tr>
      <w:tr>
        <w:trPr/>
        <w:tc>
          <w:tcPr>
            <w:tcW w:w="489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Solana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Address for Notice:</w:t>
            </w:r>
          </w:p>
        </w:tc>
      </w:tr>
      <w:tr>
        <w:trPr/>
        <w:tc>
          <w:tcPr>
            <w:tcW w:w="48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1650 Market Street, Suite 3600, PMB 17139084</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Philadelphia, PA 19103</w:t>
            </w:r>
          </w:p>
        </w:tc>
      </w:tr>
      <w:tr>
        <w:trPr/>
        <w:tc>
          <w:tcPr>
            <w:tcW w:w="48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4287" w:type="dxa"/>
            <w:gridSpan w:val="6"/>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37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Joseph Chee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Chief Executive Officer and Chairman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[Remainder of Page Intentionally Left Blank</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Signature Page for Purchasers Follows]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480"/>
        <w:jc w:val="center"/>
        <w:rPr>
          <w:rFonts w:ascii="Times New Roman;serif" w:hAnsi="Times New Roman;serif"/>
          <w:b/>
          <w:color w:val="000000"/>
          <w:sz w:val="22"/>
        </w:rPr>
      </w:pPr>
      <w:r>
        <w:rPr>
          <w:rFonts w:ascii="Times New Roman;serif" w:hAnsi="Times New Roman;serif"/>
          <w:b/>
          <w:color w:val="000000"/>
          <w:sz w:val="22"/>
        </w:rPr>
        <w:t>[PURCHASERS SIGNATURE PAGES TO HSDT SECURITIES PURCHASE AGREEMENT]</w:t>
      </w:r>
    </w:p>
    <w:p>
      <w:pPr>
        <w:pStyle w:val="TextBody"/>
        <w:bidi w:val="0"/>
        <w:spacing w:lineRule="auto" w:line="288" w:before="0" w:after="240"/>
        <w:ind w:left="0" w:right="0" w:firstLine="720"/>
        <w:jc w:val="both"/>
        <w:rPr/>
      </w:pPr>
      <w:r>
        <w:rPr>
          <w:rFonts w:ascii="Times New Roman;serif" w:hAnsi="Times New Roman;serif"/>
          <w:b/>
          <w:color w:val="000000"/>
          <w:sz w:val="22"/>
        </w:rPr>
        <w:t>In Witness Whereof</w:t>
      </w:r>
      <w:r>
        <w:rPr>
          <w:rFonts w:ascii="Times New Roman;serif" w:hAnsi="Times New Roman;serif"/>
          <w:b w:val="false"/>
          <w:color w:val="000000"/>
          <w:sz w:val="22"/>
        </w:rPr>
        <w:t>, the undersigned have caused this Securities Purchase Agreement to be duly executed by their respective authorized signatories as of the date first indicated above.</w:t>
      </w:r>
    </w:p>
    <w:p>
      <w:pPr>
        <w:pStyle w:val="TextBody"/>
        <w:bidi w:val="0"/>
        <w:spacing w:lineRule="auto" w:line="288" w:before="0" w:after="240"/>
        <w:jc w:val="both"/>
        <w:rPr/>
      </w:pPr>
      <w:r>
        <w:rPr>
          <w:rFonts w:ascii="Times New Roman;serif" w:hAnsi="Times New Roman;serif"/>
          <w:b w:val="false"/>
          <w:color w:val="000000"/>
          <w:sz w:val="22"/>
        </w:rPr>
        <w:t xml:space="preserve">Name of Purchaser: </w:t>
      </w:r>
      <w:r>
        <w:rPr>
          <w:color w:val="000000"/>
          <w:u w:val="single"/>
        </w:rPr>
        <w:t>    </w:t>
      </w:r>
    </w:p>
    <w:p>
      <w:pPr>
        <w:pStyle w:val="TextBody"/>
        <w:bidi w:val="0"/>
        <w:spacing w:lineRule="auto" w:line="288" w:before="0" w:after="240"/>
        <w:jc w:val="both"/>
        <w:rPr/>
      </w:pPr>
      <w:r>
        <w:rPr>
          <w:rFonts w:ascii="Times New Roman;serif" w:hAnsi="Times New Roman;serif"/>
          <w:b w:val="false"/>
          <w:i/>
          <w:color w:val="000000"/>
          <w:sz w:val="22"/>
        </w:rPr>
        <w:t>Signature of Authorized Signatory of Purchaser</w:t>
      </w:r>
      <w:r>
        <w:rPr>
          <w:rFonts w:ascii="Times New Roman;serif" w:hAnsi="Times New Roman;serif"/>
          <w:b w:val="false"/>
          <w:color w:val="000000"/>
          <w:sz w:val="22"/>
        </w:rPr>
        <w:t xml:space="preserve">: </w:t>
      </w:r>
      <w:r>
        <w:rPr>
          <w:color w:val="000000"/>
          <w:u w:val="single"/>
        </w:rPr>
        <w:t>    </w:t>
      </w:r>
    </w:p>
    <w:p>
      <w:pPr>
        <w:pStyle w:val="TextBody"/>
        <w:bidi w:val="0"/>
        <w:spacing w:lineRule="auto" w:line="288" w:before="0" w:after="240"/>
        <w:jc w:val="both"/>
        <w:rPr/>
      </w:pPr>
      <w:r>
        <w:rPr>
          <w:rFonts w:ascii="Times New Roman;serif" w:hAnsi="Times New Roman;serif"/>
          <w:b w:val="false"/>
          <w:color w:val="000000"/>
          <w:sz w:val="22"/>
        </w:rPr>
        <w:t xml:space="preserve">Name of Authorized Signatory: </w:t>
      </w:r>
      <w:r>
        <w:rPr>
          <w:color w:val="000000"/>
          <w:u w:val="single"/>
        </w:rPr>
        <w:t>    </w:t>
      </w:r>
    </w:p>
    <w:p>
      <w:pPr>
        <w:pStyle w:val="TextBody"/>
        <w:bidi w:val="0"/>
        <w:spacing w:lineRule="auto" w:line="288" w:before="0" w:after="240"/>
        <w:jc w:val="both"/>
        <w:rPr/>
      </w:pPr>
      <w:r>
        <w:rPr>
          <w:rFonts w:ascii="Times New Roman;serif" w:hAnsi="Times New Roman;serif"/>
          <w:b w:val="false"/>
          <w:color w:val="000000"/>
          <w:sz w:val="22"/>
        </w:rPr>
        <w:t xml:space="preserve">Title of Authorized Signatory: </w:t>
      </w:r>
      <w:r>
        <w:rPr>
          <w:color w:val="000000"/>
          <w:u w:val="single"/>
        </w:rPr>
        <w:t>    </w:t>
      </w:r>
    </w:p>
    <w:p>
      <w:pPr>
        <w:pStyle w:val="TextBody"/>
        <w:bidi w:val="0"/>
        <w:spacing w:lineRule="auto" w:line="288" w:before="0" w:after="240"/>
        <w:jc w:val="both"/>
        <w:rPr/>
      </w:pPr>
      <w:r>
        <w:rPr>
          <w:rFonts w:ascii="Times New Roman;serif" w:hAnsi="Times New Roman;serif"/>
          <w:b w:val="false"/>
          <w:color w:val="000000"/>
          <w:sz w:val="22"/>
        </w:rPr>
        <w:t xml:space="preserve">Email Address of Authorized Signatory: </w:t>
      </w:r>
      <w:r>
        <w:rPr>
          <w:color w:val="000000"/>
          <w:u w:val="single"/>
        </w:rPr>
        <w:t>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Address for Notice to Purchaser:</w:t>
      </w:r>
    </w:p>
    <w:p>
      <w:pPr>
        <w:pStyle w:val="TextBody"/>
        <w:bidi w:val="0"/>
        <w:spacing w:lineRule="auto" w:line="288" w:before="0" w:after="240"/>
        <w:jc w:val="left"/>
        <w:rPr/>
      </w:pPr>
      <w:r>
        <w:rPr>
          <w:rFonts w:ascii="Times New Roman;serif" w:hAnsi="Times New Roman;serif"/>
          <w:b w:val="false"/>
          <w:color w:val="000000"/>
          <w:sz w:val="22"/>
        </w:rPr>
        <w:t>Subscription Amount: $</w:t>
      </w:r>
      <w:r>
        <w:rPr>
          <w:color w:val="000000"/>
          <w:u w:val="single"/>
        </w:rPr>
        <w:t>    </w:t>
      </w:r>
    </w:p>
    <w:p>
      <w:pPr>
        <w:pStyle w:val="TextBody"/>
        <w:bidi w:val="0"/>
        <w:spacing w:lineRule="auto" w:line="288" w:before="0" w:after="240"/>
        <w:jc w:val="left"/>
        <w:rPr/>
      </w:pPr>
      <w:r>
        <w:rPr>
          <w:rFonts w:ascii="Times New Roman;serif" w:hAnsi="Times New Roman;serif"/>
          <w:b w:val="false"/>
          <w:color w:val="000000"/>
          <w:sz w:val="22"/>
        </w:rPr>
        <w:t xml:space="preserve">Common Stock: </w:t>
      </w:r>
      <w:r>
        <w:rPr>
          <w:color w:val="000000"/>
          <w:u w:val="single"/>
        </w:rPr>
        <w:t>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Beneficial Ownership Limitation: Check one of the following: [ ] 4.99% OR [ ] 9.99%</w:t>
      </w:r>
    </w:p>
    <w:p>
      <w:pPr>
        <w:pStyle w:val="TextBody"/>
        <w:bidi w:val="0"/>
        <w:spacing w:lineRule="auto" w:line="288" w:before="0" w:after="240"/>
        <w:jc w:val="left"/>
        <w:rPr/>
      </w:pPr>
      <w:r>
        <w:rPr>
          <w:rFonts w:ascii="Times New Roman;serif" w:hAnsi="Times New Roman;serif"/>
          <w:b w:val="false"/>
          <w:color w:val="000000"/>
          <w:sz w:val="22"/>
        </w:rPr>
        <w:t xml:space="preserve">Common Warrants: </w:t>
      </w:r>
      <w:r>
        <w:rPr>
          <w:color w:val="000000"/>
          <w:u w:val="single"/>
        </w:rPr>
        <w:t>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Beneficial Ownership Limitation: Check one of the following: [ ] 4.99% OR [ ] 9.99%</w:t>
      </w:r>
    </w:p>
    <w:p>
      <w:pPr>
        <w:pStyle w:val="TextBody"/>
        <w:bidi w:val="0"/>
        <w:spacing w:lineRule="auto" w:line="288" w:before="0" w:after="240"/>
        <w:jc w:val="left"/>
        <w:rPr/>
      </w:pPr>
      <w:r>
        <w:rPr>
          <w:rFonts w:ascii="Times New Roman;serif" w:hAnsi="Times New Roman;serif"/>
          <w:b w:val="false"/>
          <w:color w:val="000000"/>
          <w:sz w:val="22"/>
        </w:rPr>
        <w:t xml:space="preserve">EIN Number: </w:t>
      </w:r>
      <w:r>
        <w:rPr>
          <w:color w:val="000000"/>
          <w:u w:val="single"/>
        </w:rPr>
        <w:t>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Exhibit A</w:t>
      </w:r>
    </w:p>
    <w:p>
      <w:pPr>
        <w:pStyle w:val="TextBody"/>
        <w:bidi w:val="0"/>
        <w:spacing w:before="0" w:after="0"/>
        <w:jc w:val="center"/>
        <w:rPr/>
      </w:pPr>
      <w:r>
        <w:rPr/>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Form of Common Warrant</w:t>
      </w:r>
    </w:p>
    <w:p>
      <w:pPr>
        <w:pStyle w:val="TextBody"/>
        <w:bidi w:val="0"/>
        <w:spacing w:lineRule="auto" w:line="288"/>
        <w:jc w:val="left"/>
        <w:rPr>
          <w:rFonts w:ascii="Times New Roman;serif" w:hAnsi="Times New Roman;serif"/>
          <w:b w:val="false"/>
          <w:color w:val="000000"/>
          <w:sz w:val="22"/>
        </w:rPr>
      </w:pPr>
      <w:r>
        <w:rPr>
          <w:rFonts w:ascii="Times New Roman;serif" w:hAnsi="Times New Roman;serif"/>
          <w:b w:val="false"/>
          <w:color w:val="000000"/>
          <w:sz w:val="22"/>
        </w:rPr>
        <w:t>(See attached)</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Exhibit B</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Lock-Up Agreement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[___], 2026</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240"/>
        <w:ind w:left="0" w:right="0" w:hanging="720"/>
        <w:jc w:val="both"/>
        <w:rPr/>
      </w:pPr>
      <w:r>
        <w:rPr>
          <w:rFonts w:ascii="Times New Roman;serif" w:hAnsi="Times New Roman;serif"/>
          <w:b w:val="false"/>
          <w:color w:val="000000"/>
          <w:sz w:val="22"/>
        </w:rPr>
        <w:t>Re:    Securities Purchase Agreement, dated as of [____], 2026 (the “</w:t>
      </w:r>
      <w:r>
        <w:rPr>
          <w:rFonts w:ascii="Times New Roman;serif" w:hAnsi="Times New Roman;serif"/>
          <w:b w:val="false"/>
          <w:color w:val="000000"/>
          <w:sz w:val="22"/>
          <w:u w:val="single"/>
        </w:rPr>
        <w:t>Purchase Agreement</w:t>
      </w:r>
      <w:r>
        <w:rPr>
          <w:color w:val="000000"/>
        </w:rPr>
        <w:t>”</w:t>
      </w:r>
      <w:r>
        <w:rPr>
          <w:rFonts w:ascii="Times New Roman;serif" w:hAnsi="Times New Roman;serif"/>
          <w:b w:val="false"/>
          <w:color w:val="000000"/>
          <w:sz w:val="22"/>
        </w:rPr>
        <w:t>), between [ ]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and the purchasers signatory thereto (each, a “</w:t>
      </w:r>
      <w:r>
        <w:rPr>
          <w:rFonts w:ascii="Times New Roman;serif" w:hAnsi="Times New Roman;serif"/>
          <w:b w:val="false"/>
          <w:color w:val="000000"/>
          <w:sz w:val="22"/>
          <w:u w:val="single"/>
        </w:rPr>
        <w:t>Purchaser</w:t>
      </w:r>
      <w:r>
        <w:rPr>
          <w:color w:val="000000"/>
        </w:rPr>
        <w:t xml:space="preserve">” </w:t>
      </w:r>
      <w:r>
        <w:rPr>
          <w:rFonts w:ascii="Times New Roman;serif" w:hAnsi="Times New Roman;serif"/>
          <w:b w:val="false"/>
          <w:color w:val="000000"/>
          <w:sz w:val="22"/>
        </w:rPr>
        <w:t>and, collectively, the “</w:t>
      </w:r>
      <w:r>
        <w:rPr>
          <w:rFonts w:ascii="Times New Roman;serif" w:hAnsi="Times New Roman;serif"/>
          <w:b w:val="false"/>
          <w:color w:val="000000"/>
          <w:sz w:val="22"/>
          <w:u w:val="single"/>
        </w:rPr>
        <w:t>Purchasers</w:t>
      </w:r>
      <w:r>
        <w:rPr>
          <w:color w:val="000000"/>
        </w:rPr>
        <w:t>”</w:t>
      </w:r>
      <w:r>
        <w:rPr>
          <w:rFonts w:ascii="Times New Roman;serif" w:hAnsi="Times New Roman;serif"/>
          <w:b w:val="false"/>
          <w:color w:val="000000"/>
          <w:sz w:val="22"/>
        </w:rPr>
        <w:t>)</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Ladies and Gentlemen:</w:t>
      </w:r>
    </w:p>
    <w:p>
      <w:pPr>
        <w:pStyle w:val="TextBody"/>
        <w:bidi w:val="0"/>
        <w:spacing w:lineRule="auto" w:line="288" w:before="0" w:after="0"/>
        <w:jc w:val="both"/>
        <w:rPr/>
      </w:pPr>
      <w:r>
        <w:rPr>
          <w:rFonts w:ascii="Times New Roman;serif" w:hAnsi="Times New Roman;serif"/>
          <w:b w:val="false"/>
          <w:color w:val="000000"/>
          <w:sz w:val="22"/>
        </w:rPr>
        <w:t>Defined terms not otherwise defined in this letter agreement (the “</w:t>
      </w:r>
      <w:r>
        <w:rPr>
          <w:rFonts w:ascii="Times New Roman;serif" w:hAnsi="Times New Roman;serif"/>
          <w:b w:val="false"/>
          <w:color w:val="000000"/>
          <w:sz w:val="22"/>
          <w:u w:val="single"/>
        </w:rPr>
        <w:t>Letter Agreement</w:t>
      </w:r>
      <w:r>
        <w:rPr>
          <w:color w:val="000000"/>
        </w:rPr>
        <w:t>”</w:t>
      </w:r>
      <w:r>
        <w:rPr>
          <w:rFonts w:ascii="Times New Roman;serif" w:hAnsi="Times New Roman;serif"/>
          <w:b w:val="false"/>
          <w:color w:val="000000"/>
          <w:sz w:val="22"/>
        </w:rPr>
        <w:t>) shall have the meanings set forth in the Purchase Agreement. Pursuant to Section 2.2(a) of the Purchase Agreement and in satisfaction of a condition of the Company’s obligations under the Purchase Agreement, the undersigned irrevocably agrees with the Company that, from the date hereof until thirty (30) days after the Closing Date (such period, the “</w:t>
      </w:r>
      <w:r>
        <w:rPr>
          <w:rFonts w:ascii="Times New Roman;serif" w:hAnsi="Times New Roman;serif"/>
          <w:b w:val="false"/>
          <w:color w:val="000000"/>
          <w:sz w:val="22"/>
          <w:u w:val="single"/>
        </w:rPr>
        <w:t>Restriction Period</w:t>
      </w:r>
      <w:r>
        <w:rPr>
          <w:color w:val="000000"/>
        </w:rPr>
        <w:t>”</w:t>
      </w:r>
      <w:r>
        <w:rPr>
          <w:rFonts w:ascii="Times New Roman;serif" w:hAnsi="Times New Roman;serif"/>
          <w:b w:val="false"/>
          <w:color w:val="000000"/>
          <w:sz w:val="22"/>
        </w:rPr>
        <w:t>) the undersigned will not offer, sell, contract to sell, hypothecate, pledge or otherwise dispose of (or enter into any transaction which is designed to, or might reasonably be expected to, result in the disposition at any time, including in the future (whether by actual disposition or effective economic disposition due to cash settlement or otherwise) by the undersigned or any Company Affiliate of the undersigned or any person in privity with the undersigned or any Company Affiliate of the undersigned), directly or indirectly, or establish or increase a put equivalent position or liquidate or decrease a call equivalent position within the meaning of Section 16 of the Securities Exchange Act of 1934, as amended (the “</w:t>
      </w:r>
      <w:r>
        <w:rPr>
          <w:rFonts w:ascii="Times New Roman;serif" w:hAnsi="Times New Roman;serif"/>
          <w:b w:val="false"/>
          <w:color w:val="000000"/>
          <w:sz w:val="22"/>
          <w:u w:val="single"/>
        </w:rPr>
        <w:t>Exchange Act</w:t>
      </w:r>
      <w:r>
        <w:rPr>
          <w:color w:val="000000"/>
        </w:rPr>
        <w:t>”</w:t>
      </w:r>
      <w:r>
        <w:rPr>
          <w:rFonts w:ascii="Times New Roman;serif" w:hAnsi="Times New Roman;serif"/>
          <w:b w:val="false"/>
          <w:color w:val="000000"/>
          <w:sz w:val="22"/>
        </w:rPr>
        <w:t>), with respect to, any shares of Common Stock of the Company or securities convertible, exchangeable or exercisable into, Common Stock of the Company beneficially owned, held or hereafter acquired by the undersigned (the “</w:t>
      </w:r>
      <w:r>
        <w:rPr>
          <w:rFonts w:ascii="Times New Roman;serif" w:hAnsi="Times New Roman;serif"/>
          <w:b w:val="false"/>
          <w:color w:val="000000"/>
          <w:sz w:val="22"/>
          <w:u w:val="single"/>
        </w:rPr>
        <w:t>Securities</w:t>
      </w:r>
      <w:r>
        <w:rPr>
          <w:color w:val="000000"/>
        </w:rPr>
        <w:t>”</w:t>
      </w:r>
      <w:r>
        <w:rPr>
          <w:rFonts w:ascii="Times New Roman;serif" w:hAnsi="Times New Roman;serif"/>
          <w:b w:val="false"/>
          <w:color w:val="000000"/>
          <w:sz w:val="22"/>
        </w:rPr>
        <w:t>), including, without limitation, by entering into any swap or other derivatives transaction that transfers to another, in whole or in part, any of the economic benefits or risks of ownership of Common Stock or such other securities convertible, exchangeable or exercisable into, Common Stock, whether any such transaction is to be settled by delivery of shares of Common Stock or other securities, in cash or otherwise, nor will the undersigned make any demand for or exercise any right or cause to be filed a registration statement, including any amendments thereto, with respect to the registration of any Common Stock or securities convertible into or exercisable or exchangeable for shares of Common Stock or any other securities of the Company or publicly disclose the intention to do any of the foregoing actions in this paragraph, during the Restriction Period. Beneficial ownership shall be calculated in accordance with Section 13(d) of the Exchange Act.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Notwithstanding the foregoing, and subject to the conditions below, the undersigned may transfer the Securities provided that (1) the Company receives a signed lock-up letter agreement (in the form of this Letter Agreement) for the balance of the Restriction Period from each donee, trustee, distributee, or transferee, as the case may be, prior to such transfer, (2) any such transfer shall not involve a disposition for value, (3) such transfer is not required to be reported with the Securities and Exchange Commission in accordance with the Exchange Act and no report of such transfer shall be made voluntarily, and (4) neither the undersigned nor any donee, trustee, distributee or transferee, as the case may be, otherwise voluntarily effects any public filing or report regarding such transfers, with respect to a transfer:</w:t>
      </w:r>
    </w:p>
    <w:p>
      <w:pPr>
        <w:pStyle w:val="TextBody"/>
        <w:bidi w:val="0"/>
        <w:spacing w:lineRule="auto" w:line="288"/>
        <w:jc w:val="both"/>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27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64"/>
        <w:gridCol w:w="764"/>
        <w:gridCol w:w="108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120"/>
              <w:jc w:val="both"/>
              <w:rPr>
                <w:rFonts w:ascii="Times New Roman;serif" w:hAnsi="Times New Roman;serif"/>
                <w:b w:val="false"/>
                <w:color w:val="000000"/>
                <w:sz w:val="22"/>
              </w:rPr>
            </w:pPr>
            <w:r>
              <w:rPr>
                <w:rFonts w:ascii="Times New Roman;serif" w:hAnsi="Times New Roman;serif"/>
                <w:b w:val="false"/>
                <w:color w:val="000000"/>
                <w:sz w:val="22"/>
              </w:rPr>
              <w:t>i)</w:t>
            </w:r>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22"/>
              </w:rPr>
              <w:t>as a </w:t>
            </w:r>
            <w:r>
              <w:rPr>
                <w:rFonts w:ascii="Times New Roman;serif" w:hAnsi="Times New Roman;serif"/>
                <w:b w:val="false"/>
                <w:i/>
                <w:color w:val="000000"/>
                <w:sz w:val="22"/>
              </w:rPr>
              <w:t>bona fide</w:t>
            </w:r>
            <w:r>
              <w:rPr>
                <w:color w:val="000000"/>
              </w:rPr>
              <w:t> </w:t>
            </w:r>
            <w:r>
              <w:rPr>
                <w:rFonts w:ascii="Times New Roman;serif" w:hAnsi="Times New Roman;serif"/>
                <w:b w:val="false"/>
                <w:color w:val="000000"/>
                <w:sz w:val="22"/>
              </w:rPr>
              <w:t>gift or gifts;</w:t>
            </w:r>
          </w:p>
        </w:tc>
      </w:tr>
    </w:tbl>
    <w:p>
      <w:pPr>
        <w:pStyle w:val="TextBody"/>
        <w:bidi w:val="0"/>
        <w:spacing w:lineRule="auto" w:line="288"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120"/>
              <w:jc w:val="both"/>
              <w:rPr>
                <w:rFonts w:ascii="Times New Roman;serif" w:hAnsi="Times New Roman;serif"/>
                <w:b w:val="false"/>
                <w:color w:val="000000"/>
                <w:sz w:val="22"/>
              </w:rPr>
            </w:pPr>
            <w:r>
              <w:rPr>
                <w:rFonts w:ascii="Times New Roman;serif" w:hAnsi="Times New Roman;serif"/>
                <w:b w:val="false"/>
                <w:color w:val="000000"/>
                <w:sz w:val="22"/>
              </w:rPr>
              <w:t>ii)</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120"/>
              <w:jc w:val="both"/>
              <w:rPr>
                <w:rFonts w:ascii="Times New Roman;serif" w:hAnsi="Times New Roman;serif"/>
                <w:b w:val="false"/>
                <w:color w:val="000000"/>
                <w:sz w:val="22"/>
              </w:rPr>
            </w:pPr>
            <w:r>
              <w:rPr>
                <w:rFonts w:ascii="Times New Roman;serif" w:hAnsi="Times New Roman;serif"/>
                <w:b w:val="false"/>
                <w:color w:val="000000"/>
                <w:sz w:val="22"/>
              </w:rPr>
              <w:t>to any immediate family member or to any trust for the direct or indirect benefit of the undersigned or the immediate family of the undersigned (for purposes of this Letter Agreement, “immediate family” shall mean any relationship by blood, marriage or adoption, not more remote than first cousin);</w:t>
            </w:r>
          </w:p>
        </w:tc>
      </w:tr>
    </w:tbl>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14"/>
        <w:gridCol w:w="114"/>
        <w:gridCol w:w="114"/>
        <w:gridCol w:w="2784"/>
        <w:gridCol w:w="2784"/>
        <w:gridCol w:w="395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784" w:type="dxa"/>
            <w:tcBorders/>
            <w:vAlign w:val="center"/>
          </w:tcPr>
          <w:p>
            <w:pPr>
              <w:pStyle w:val="TableContents"/>
              <w:bidi w:val="0"/>
              <w:spacing w:before="0" w:after="283"/>
              <w:jc w:val="left"/>
              <w:rPr>
                <w:sz w:val="4"/>
                <w:szCs w:val="4"/>
              </w:rPr>
            </w:pPr>
            <w:r>
              <w:rPr>
                <w:sz w:val="4"/>
                <w:szCs w:val="4"/>
              </w:rPr>
            </w:r>
          </w:p>
        </w:tc>
        <w:tc>
          <w:tcPr>
            <w:tcW w:w="2784" w:type="dxa"/>
            <w:tcBorders/>
            <w:vAlign w:val="center"/>
          </w:tcPr>
          <w:p>
            <w:pPr>
              <w:pStyle w:val="TableContents"/>
              <w:bidi w:val="0"/>
              <w:spacing w:before="0" w:after="283"/>
              <w:jc w:val="left"/>
              <w:rPr>
                <w:sz w:val="4"/>
                <w:szCs w:val="4"/>
              </w:rPr>
            </w:pPr>
            <w:r>
              <w:rPr>
                <w:sz w:val="4"/>
                <w:szCs w:val="4"/>
              </w:rPr>
            </w:r>
          </w:p>
        </w:tc>
        <w:tc>
          <w:tcPr>
            <w:tcW w:w="395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both"/>
              <w:rPr>
                <w:color w:val="000000"/>
              </w:rPr>
            </w:pPr>
            <w:r>
              <w:rPr>
                <w:color w:val="000000"/>
              </w:rPr>
              <w:t> </w:t>
            </w:r>
          </w:p>
        </w:tc>
        <w:tc>
          <w:tcPr>
            <w:tcW w:w="342" w:type="dxa"/>
            <w:gridSpan w:val="3"/>
            <w:tcBorders/>
            <w:tcMar>
              <w:top w:w="0" w:type="dxa"/>
              <w:left w:w="0" w:type="dxa"/>
              <w:bottom w:w="0" w:type="dxa"/>
              <w:right w:w="0" w:type="dxa"/>
            </w:tcMar>
            <w:vAlign w:val="center"/>
          </w:tcPr>
          <w:p>
            <w:pPr>
              <w:pStyle w:val="TableContents"/>
              <w:bidi w:val="0"/>
              <w:spacing w:lineRule="auto" w:line="240" w:before="0" w:after="120"/>
              <w:jc w:val="both"/>
              <w:rPr>
                <w:rFonts w:ascii="Times New Roman;serif" w:hAnsi="Times New Roman;serif"/>
                <w:b w:val="false"/>
                <w:color w:val="000000"/>
                <w:sz w:val="22"/>
              </w:rPr>
            </w:pPr>
            <w:r>
              <w:rPr>
                <w:rFonts w:ascii="Times New Roman;serif" w:hAnsi="Times New Roman;serif"/>
                <w:b w:val="false"/>
                <w:color w:val="000000"/>
                <w:sz w:val="22"/>
              </w:rPr>
              <w:t>iii)</w:t>
            </w:r>
          </w:p>
        </w:tc>
        <w:tc>
          <w:tcPr>
            <w:tcW w:w="9521" w:type="dxa"/>
            <w:gridSpan w:val="3"/>
            <w:tcBorders/>
            <w:tcMar>
              <w:top w:w="0" w:type="dxa"/>
              <w:left w:w="0" w:type="dxa"/>
              <w:bottom w:w="0" w:type="dxa"/>
              <w:right w:w="0" w:type="dxa"/>
            </w:tcMar>
            <w:vAlign w:val="center"/>
          </w:tcPr>
          <w:p>
            <w:pPr>
              <w:pStyle w:val="TableContents"/>
              <w:bidi w:val="0"/>
              <w:spacing w:lineRule="auto" w:line="240" w:before="0" w:after="120"/>
              <w:jc w:val="both"/>
              <w:rPr>
                <w:rFonts w:ascii="Times New Roman;serif" w:hAnsi="Times New Roman;serif"/>
                <w:b w:val="false"/>
                <w:color w:val="000000"/>
                <w:sz w:val="22"/>
              </w:rPr>
            </w:pPr>
            <w:r>
              <w:rPr>
                <w:rFonts w:ascii="Times New Roman;serif" w:hAnsi="Times New Roman;serif"/>
                <w:b w:val="false"/>
                <w:color w:val="000000"/>
                <w:sz w:val="22"/>
              </w:rPr>
              <w:t>to any corporation, partnership, limited liability company, or other business entity all of the equity holders of which consist of the undersigned and/or the immediate family of the undersigned;</w:t>
            </w:r>
          </w:p>
        </w:tc>
      </w:tr>
    </w:tbl>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11"/>
        <w:gridCol w:w="111"/>
        <w:gridCol w:w="111"/>
        <w:gridCol w:w="2788"/>
        <w:gridCol w:w="2788"/>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both"/>
              <w:rPr>
                <w:color w:val="000000"/>
              </w:rPr>
            </w:pPr>
            <w:r>
              <w:rPr>
                <w:color w:val="000000"/>
              </w:rPr>
              <w:t> </w:t>
            </w:r>
          </w:p>
        </w:tc>
        <w:tc>
          <w:tcPr>
            <w:tcW w:w="333" w:type="dxa"/>
            <w:gridSpan w:val="3"/>
            <w:tcBorders/>
            <w:tcMar>
              <w:top w:w="0" w:type="dxa"/>
              <w:left w:w="0" w:type="dxa"/>
              <w:bottom w:w="0" w:type="dxa"/>
              <w:right w:w="0" w:type="dxa"/>
            </w:tcMar>
            <w:vAlign w:val="center"/>
          </w:tcPr>
          <w:p>
            <w:pPr>
              <w:pStyle w:val="TableContents"/>
              <w:bidi w:val="0"/>
              <w:spacing w:lineRule="auto" w:line="240" w:before="0" w:after="120"/>
              <w:jc w:val="both"/>
              <w:rPr>
                <w:rFonts w:ascii="Times New Roman;serif" w:hAnsi="Times New Roman;serif"/>
                <w:b w:val="false"/>
                <w:color w:val="000000"/>
                <w:sz w:val="22"/>
              </w:rPr>
            </w:pPr>
            <w:r>
              <w:rPr>
                <w:rFonts w:ascii="Times New Roman;serif" w:hAnsi="Times New Roman;serif"/>
                <w:b w:val="false"/>
                <w:color w:val="000000"/>
                <w:sz w:val="22"/>
              </w:rPr>
              <w:t>iv)</w:t>
            </w:r>
          </w:p>
        </w:tc>
        <w:tc>
          <w:tcPr>
            <w:tcW w:w="9530" w:type="dxa"/>
            <w:gridSpan w:val="3"/>
            <w:tcBorders/>
            <w:tcMar>
              <w:top w:w="0" w:type="dxa"/>
              <w:left w:w="0" w:type="dxa"/>
              <w:bottom w:w="0" w:type="dxa"/>
              <w:right w:w="0" w:type="dxa"/>
            </w:tcMar>
            <w:vAlign w:val="center"/>
          </w:tcPr>
          <w:p>
            <w:pPr>
              <w:pStyle w:val="TableContents"/>
              <w:bidi w:val="0"/>
              <w:spacing w:lineRule="auto" w:line="240" w:before="0" w:after="120"/>
              <w:jc w:val="both"/>
              <w:rPr>
                <w:rFonts w:ascii="Times New Roman;serif" w:hAnsi="Times New Roman;serif"/>
                <w:b w:val="false"/>
                <w:color w:val="000000"/>
                <w:sz w:val="22"/>
              </w:rPr>
            </w:pPr>
            <w:r>
              <w:rPr>
                <w:rFonts w:ascii="Times New Roman;serif" w:hAnsi="Times New Roman;serif"/>
                <w:b w:val="false"/>
                <w:color w:val="000000"/>
                <w:sz w:val="22"/>
              </w:rPr>
              <w:t>if the undersigned is a corporation, partnership, limited liability company, trust or other business entity (a) to another corporation, partnership, limited liability company, trust or other business entity that is a Company Affiliate of the undersigned or (b) in the form of a distribution to limited partners, limited liability company members or shareholders of the undersigned;</w:t>
            </w:r>
          </w:p>
        </w:tc>
      </w:tr>
    </w:tbl>
    <w:p>
      <w:pPr>
        <w:pStyle w:val="TextBody"/>
        <w:bidi w:val="0"/>
        <w:spacing w:lineRule="auto" w:line="288" w:before="0" w:after="0"/>
        <w:jc w:val="left"/>
        <w:rPr>
          <w:color w:val="000000"/>
        </w:rPr>
      </w:pPr>
      <w:r>
        <w:rPr>
          <w:color w:val="000000"/>
        </w:rPr>
        <w:t> </w:t>
      </w:r>
    </w:p>
    <w:tbl>
      <w:tblPr>
        <w:tblW w:w="663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746"/>
        <w:gridCol w:w="1746"/>
        <w:gridCol w:w="247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247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120"/>
              <w:jc w:val="both"/>
              <w:rPr>
                <w:rFonts w:ascii="Times New Roman;serif" w:hAnsi="Times New Roman;serif"/>
                <w:b w:val="false"/>
                <w:color w:val="000000"/>
                <w:sz w:val="22"/>
              </w:rPr>
            </w:pPr>
            <w:r>
              <w:rPr>
                <w:rFonts w:ascii="Times New Roman;serif" w:hAnsi="Times New Roman;serif"/>
                <w:b w:val="false"/>
                <w:color w:val="000000"/>
                <w:sz w:val="22"/>
              </w:rPr>
              <w:t>v)</w:t>
            </w:r>
          </w:p>
        </w:tc>
        <w:tc>
          <w:tcPr>
            <w:tcW w:w="5970" w:type="dxa"/>
            <w:gridSpan w:val="3"/>
            <w:tcBorders/>
            <w:tcMar>
              <w:top w:w="0" w:type="dxa"/>
              <w:left w:w="0" w:type="dxa"/>
              <w:bottom w:w="0" w:type="dxa"/>
              <w:right w:w="0" w:type="dxa"/>
            </w:tcMar>
            <w:vAlign w:val="center"/>
          </w:tcPr>
          <w:p>
            <w:pPr>
              <w:pStyle w:val="TableContents"/>
              <w:bidi w:val="0"/>
              <w:spacing w:lineRule="auto" w:line="240" w:before="0" w:after="120"/>
              <w:jc w:val="both"/>
              <w:rPr>
                <w:rFonts w:ascii="Times New Roman;serif" w:hAnsi="Times New Roman;serif"/>
                <w:b w:val="false"/>
                <w:color w:val="000000"/>
                <w:sz w:val="22"/>
              </w:rPr>
            </w:pPr>
            <w:r>
              <w:rPr>
                <w:rFonts w:ascii="Times New Roman;serif" w:hAnsi="Times New Roman;serif"/>
                <w:b w:val="false"/>
                <w:color w:val="000000"/>
                <w:sz w:val="22"/>
              </w:rPr>
              <w:t>if the undersigned is a trust, to the beneficiary of such trust; or</w:t>
            </w:r>
          </w:p>
        </w:tc>
      </w:tr>
    </w:tbl>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15"/>
        <w:gridCol w:w="115"/>
        <w:gridCol w:w="115"/>
        <w:gridCol w:w="2787"/>
        <w:gridCol w:w="2787"/>
        <w:gridCol w:w="394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4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both"/>
              <w:rPr>
                <w:color w:val="000000"/>
              </w:rPr>
            </w:pPr>
            <w:r>
              <w:rPr>
                <w:color w:val="000000"/>
              </w:rPr>
              <w:t> </w:t>
            </w:r>
          </w:p>
        </w:tc>
        <w:tc>
          <w:tcPr>
            <w:tcW w:w="345" w:type="dxa"/>
            <w:gridSpan w:val="3"/>
            <w:tcBorders/>
            <w:tcMar>
              <w:top w:w="0" w:type="dxa"/>
              <w:left w:w="0" w:type="dxa"/>
              <w:bottom w:w="0" w:type="dxa"/>
              <w:right w:w="0" w:type="dxa"/>
            </w:tcMar>
            <w:vAlign w:val="center"/>
          </w:tcPr>
          <w:p>
            <w:pPr>
              <w:pStyle w:val="TableContents"/>
              <w:bidi w:val="0"/>
              <w:spacing w:lineRule="auto" w:line="240" w:before="0" w:after="120"/>
              <w:jc w:val="both"/>
              <w:rPr>
                <w:rFonts w:ascii="Times New Roman;serif" w:hAnsi="Times New Roman;serif"/>
                <w:b w:val="false"/>
                <w:color w:val="000000"/>
                <w:sz w:val="22"/>
              </w:rPr>
            </w:pPr>
            <w:r>
              <w:rPr>
                <w:rFonts w:ascii="Times New Roman;serif" w:hAnsi="Times New Roman;serif"/>
                <w:b w:val="false"/>
                <w:color w:val="000000"/>
                <w:sz w:val="22"/>
              </w:rPr>
              <w:t>vi)</w:t>
            </w:r>
          </w:p>
        </w:tc>
        <w:tc>
          <w:tcPr>
            <w:tcW w:w="9518" w:type="dxa"/>
            <w:gridSpan w:val="3"/>
            <w:tcBorders/>
            <w:tcMar>
              <w:top w:w="0" w:type="dxa"/>
              <w:left w:w="0" w:type="dxa"/>
              <w:bottom w:w="0" w:type="dxa"/>
              <w:right w:w="0" w:type="dxa"/>
            </w:tcMar>
            <w:vAlign w:val="center"/>
          </w:tcPr>
          <w:p>
            <w:pPr>
              <w:pStyle w:val="TableContents"/>
              <w:bidi w:val="0"/>
              <w:spacing w:lineRule="auto" w:line="240" w:before="0" w:after="120"/>
              <w:jc w:val="both"/>
              <w:rPr>
                <w:rFonts w:ascii="Times New Roman;serif" w:hAnsi="Times New Roman;serif"/>
                <w:b w:val="false"/>
                <w:color w:val="000000"/>
                <w:sz w:val="22"/>
              </w:rPr>
            </w:pPr>
            <w:r>
              <w:rPr>
                <w:rFonts w:ascii="Times New Roman;serif" w:hAnsi="Times New Roman;serif"/>
                <w:b w:val="false"/>
                <w:color w:val="000000"/>
                <w:sz w:val="22"/>
              </w:rPr>
              <w:t>by will, other testamentary document or intestate succession to the legal representative, heir, beneficiary or a member of the immediate family of the undersigned.</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 addition, notwithstanding the foregoing, this Letter Agreement shall not restrict the delivery of shares of Common Stock to the undersigned upon (i) exercise of any options granted under any equity incentive plan of the Company; provided that any shares of Common Stock or Securities acquired in connection with any such exercise will be subject to the restrictions set forth in this Letter Agreement, or (ii) the exercise of warrants; provided that such shares of Common Stock delivered to the undersigned in connection with such exercise are subject to the restrictions set forth in this Letter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Furthermore, the undersigned may enter into any new plan established in compliance with Rule 10b5-1 of the Exchange Act; provided that (i) such plan may only be established if no public announcement or filing with the Securities and Exchange Commission, or other applicable regulatory authority, is made in connection with the establishment of such plan during the Restriction Period and (ii) no sale of shares of Common Stock are made pursuant to such plan during the Restriction Period.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undersigned acknowledges that the execution, delivery and performance of this Letter Agreement is a material inducement to the Company to complete the transactions contemplated by the Purchase Agreement and the Company shall be entitled to specific performance of the undersigned’s obligations hereunder. The undersigned hereby represents that the undersigned has the power and authority to execute, deliver and perform this Letter Agreement, that the undersigned has received adequate consideration therefor and that the undersigned will indirectly benefit from the closing of the transactions contemplated by the Purchase Agreement.</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This Letter Agreement may not be amended or otherwise modified in any respect without the written consent of each of the Company and the undersigned. This Letter Agreement shall be construed and enforced in accordance with the laws of the State of New York without regard to the principles of conflict of laws. The undersigned hereby irrevocably submits to the exclusive jurisdiction of the United States District Court sitting in the Southern District of New York and the courts of the State of New York located in Manhattan, for the purposes of any suit, action or proceeding arising out of or relating to this Letter Agreement, and hereby waives, and agrees not to assert in any such suit, action or proceeding, any claim that (i) it is not personally subject to the jurisdiction of such court, (ii) the suit, action or proceeding is brought in an inconvenient forum, or (iii) the venue of the suit, action or proceeding is improper. The undersigned hereby irrevocably waives personal service of process and consents to process being served in any such suit, action or proceeding by receiving a copy thereof sent to the Company at the address in effect for notices to it under the Purchase Agreement and agrees that such service shall constitute good and sufficient service of process and notice thereof. The undersigned hereby waives any right to a trial by jury. Nothing contained herein shall be deemed to limit in any way any right to serve process in any manner permitted by law. The undersigned agrees and understands that this Letter Agreement does not intend to create any relationship between the undersigned and any Purchaser and that no Purchaser is entitled to cast any votes on the matters herein contemplated and that no issuance or sale of the Securities is created or intended by virtue of this Letter Agreement.</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This Letter Agreement shall be binding on successors and assigns of the undersigned with respect to the Securities and any such successor or assign shall enter into a similar agreement for the benefit of the Company. This Letter Agreement is intended for the benefit of the parties hereto and their respective successors and permitted assigns and is not for the benefit of, nor may any provision hereof be enforced by, any other Person.</w:t>
      </w:r>
    </w:p>
    <w:p>
      <w:pPr>
        <w:pStyle w:val="TextBody"/>
        <w:bidi w:val="0"/>
        <w:spacing w:before="0" w:after="0"/>
        <w:ind w:left="0" w:right="0" w:firstLine="720"/>
        <w:jc w:val="both"/>
        <w:rPr/>
      </w:pPr>
      <w:r>
        <w:rPr/>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SIGNATURE PAGE FOLLOWS***</w:t>
      </w:r>
    </w:p>
    <w:p>
      <w:pPr>
        <w:pStyle w:val="TextBody"/>
        <w:bidi w:val="0"/>
        <w:spacing w:before="0" w:after="0"/>
        <w:jc w:val="center"/>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This Letter Agreement may be executed in two or more counterparts, all of which when taken together may be considered one and the same agreement.</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_________________________</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Signature</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__________________________</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Print Name</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__________________________</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Position in Company, if any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Address for Notice:</w:t>
      </w:r>
    </w:p>
    <w:p>
      <w:pPr>
        <w:pStyle w:val="TextBody"/>
        <w:bidi w:val="0"/>
        <w:spacing w:before="0" w:after="0"/>
        <w:jc w:val="both"/>
        <w:rPr/>
      </w:pPr>
      <w:r>
        <w:rPr/>
      </w:r>
    </w:p>
    <w:p>
      <w:pPr>
        <w:pStyle w:val="TextBody"/>
        <w:bidi w:val="0"/>
        <w:spacing w:lineRule="auto" w:line="288" w:before="0" w:after="0"/>
        <w:jc w:val="both"/>
        <w:rPr>
          <w:color w:val="000000"/>
          <w:u w:val="single"/>
        </w:rPr>
      </w:pPr>
      <w:r>
        <w:rPr>
          <w:color w:val="000000"/>
          <w:u w:val="single"/>
        </w:rPr>
        <w:t>                    </w:t>
      </w:r>
    </w:p>
    <w:p>
      <w:pPr>
        <w:pStyle w:val="TextBody"/>
        <w:bidi w:val="0"/>
        <w:spacing w:before="0" w:after="0"/>
        <w:jc w:val="both"/>
        <w:rPr/>
      </w:pPr>
      <w:r>
        <w:rPr/>
      </w:r>
    </w:p>
    <w:p>
      <w:pPr>
        <w:pStyle w:val="TextBody"/>
        <w:bidi w:val="0"/>
        <w:spacing w:lineRule="auto" w:line="288" w:before="0" w:after="0"/>
        <w:jc w:val="both"/>
        <w:rPr>
          <w:color w:val="000000"/>
          <w:u w:val="single"/>
        </w:rPr>
      </w:pPr>
      <w:r>
        <w:rPr>
          <w:color w:val="000000"/>
          <w:u w:val="single"/>
        </w:rPr>
        <w:t>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By signing below, the Company agrees to enforce the restrictions on transfer set forth in this Letter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 ]</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By: _________________________________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2"/>
        </w:rPr>
      </w:pPr>
      <w:r>
        <w:rPr>
          <w:rFonts w:ascii="Times New Roman;serif" w:hAnsi="Times New Roman;serif"/>
          <w:b/>
          <w:color w:val="000000"/>
          <w:sz w:val="22"/>
        </w:rPr>
        <w:t>Exhibit 10.2</w:t>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360"/>
        <w:jc w:val="center"/>
        <w:rPr>
          <w:rFonts w:ascii="Times New Roman;serif" w:hAnsi="Times New Roman;serif"/>
          <w:b/>
          <w:color w:val="000000"/>
          <w:sz w:val="24"/>
        </w:rPr>
      </w:pPr>
      <w:r>
        <w:rPr>
          <w:rFonts w:ascii="Times New Roman;serif" w:hAnsi="Times New Roman;serif"/>
          <w:b/>
          <w:color w:val="000000"/>
          <w:sz w:val="24"/>
        </w:rPr>
        <w:t>PLACEMENT AGENCY AGREEMENT</w:t>
      </w:r>
    </w:p>
    <w:p>
      <w:pPr>
        <w:pStyle w:val="TextBody"/>
        <w:bidi w:val="0"/>
        <w:spacing w:lineRule="auto" w:line="288" w:before="0" w:after="360"/>
        <w:jc w:val="right"/>
        <w:rPr>
          <w:color w:val="000000"/>
        </w:rPr>
      </w:pPr>
      <w:r>
        <w:rPr>
          <w:color w:val="000000"/>
        </w:rPr>
        <w:t>                    </w:t>
      </w:r>
      <w:r>
        <w:rPr>
          <w:rFonts w:ascii="Times New Roman;serif" w:hAnsi="Times New Roman;serif"/>
          <w:b w:val="false"/>
          <w:color w:val="000000"/>
          <w:sz w:val="24"/>
        </w:rPr>
        <w:t>September 30, 2026</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Clear Street LLC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4 World Trade Center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150 Greenwich Street, 45th Floor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New York, NY 10007</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Ladies and Gentlemen:</w:t>
      </w:r>
    </w:p>
    <w:p>
      <w:pPr>
        <w:pStyle w:val="TextBody"/>
        <w:bidi w:val="0"/>
        <w:spacing w:lineRule="auto" w:line="288" w:before="0" w:after="240"/>
        <w:ind w:left="0" w:right="0" w:firstLine="720"/>
        <w:jc w:val="both"/>
        <w:rPr/>
      </w:pPr>
      <w:r>
        <w:rPr>
          <w:rFonts w:ascii="Times New Roman;serif" w:hAnsi="Times New Roman;serif"/>
          <w:b w:val="false"/>
          <w:color w:val="000000"/>
          <w:sz w:val="24"/>
        </w:rPr>
        <w:t>Subject to the terms and conditions herein (this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Solana Company, a Delaware corporation (including any successor thereto,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hereby agrees to sell securities of the Company, consisting of: (i) shares of Class A common stock of the Company, par value $0.001 per share (the “</w:t>
      </w:r>
      <w:r>
        <w:rPr>
          <w:rFonts w:ascii="Times New Roman;serif" w:hAnsi="Times New Roman;serif"/>
          <w:b w:val="false"/>
          <w:color w:val="000000"/>
          <w:sz w:val="24"/>
          <w:u w:val="single"/>
        </w:rPr>
        <w:t>Common Stock</w:t>
      </w:r>
      <w:r>
        <w:rPr>
          <w:color w:val="000000"/>
        </w:rPr>
        <w:t>”</w:t>
      </w:r>
      <w:r>
        <w:rPr>
          <w:rFonts w:ascii="Times New Roman;serif" w:hAnsi="Times New Roman;serif"/>
          <w:b w:val="false"/>
          <w:color w:val="000000"/>
          <w:sz w:val="24"/>
        </w:rPr>
        <w:t>) (the “</w:t>
      </w:r>
      <w:r>
        <w:rPr>
          <w:rFonts w:ascii="Times New Roman;serif" w:hAnsi="Times New Roman;serif"/>
          <w:b w:val="false"/>
          <w:color w:val="000000"/>
          <w:sz w:val="24"/>
          <w:u w:val="single"/>
        </w:rPr>
        <w:t>Shares</w:t>
      </w:r>
      <w:r>
        <w:rPr>
          <w:color w:val="000000"/>
        </w:rPr>
        <w:t>”</w:t>
      </w:r>
      <w:r>
        <w:rPr>
          <w:rFonts w:ascii="Times New Roman;serif" w:hAnsi="Times New Roman;serif"/>
          <w:b w:val="false"/>
          <w:color w:val="000000"/>
          <w:sz w:val="24"/>
        </w:rPr>
        <w:t>), and (ii) common stock purchase warrants to purchase shares of Common Stock (the “</w:t>
      </w:r>
      <w:r>
        <w:rPr>
          <w:rFonts w:ascii="Times New Roman;serif" w:hAnsi="Times New Roman;serif"/>
          <w:b w:val="false"/>
          <w:color w:val="000000"/>
          <w:sz w:val="24"/>
          <w:u w:val="single"/>
        </w:rPr>
        <w:t>Warrants</w:t>
      </w:r>
      <w:r>
        <w:rPr>
          <w:rFonts w:ascii="Times New Roman;serif" w:hAnsi="Times New Roman;serif"/>
          <w:b w:val="false"/>
          <w:color w:val="000000"/>
          <w:sz w:val="24"/>
        </w:rPr>
        <w:t>,” and the Shares issuable upon exercise of the Warrants, the “</w:t>
      </w:r>
      <w:r>
        <w:rPr>
          <w:rFonts w:ascii="Times New Roman;serif" w:hAnsi="Times New Roman;serif"/>
          <w:b w:val="false"/>
          <w:color w:val="000000"/>
          <w:sz w:val="24"/>
          <w:u w:val="single"/>
        </w:rPr>
        <w:t>Warrant Shares</w:t>
      </w:r>
      <w:r>
        <w:rPr>
          <w:color w:val="000000"/>
        </w:rPr>
        <w:t>”</w:t>
      </w:r>
      <w:r>
        <w:rPr>
          <w:rFonts w:ascii="Times New Roman;serif" w:hAnsi="Times New Roman;serif"/>
          <w:b w:val="false"/>
          <w:color w:val="000000"/>
          <w:sz w:val="24"/>
        </w:rPr>
        <w:t>, and the Shares, Warrants and Warrant Shares, collectively, the “</w:t>
      </w:r>
      <w:r>
        <w:rPr>
          <w:rFonts w:ascii="Times New Roman;serif" w:hAnsi="Times New Roman;serif"/>
          <w:b w:val="false"/>
          <w:color w:val="000000"/>
          <w:sz w:val="24"/>
          <w:u w:val="single"/>
        </w:rPr>
        <w:t>Securities</w:t>
      </w:r>
      <w:r>
        <w:rPr>
          <w:color w:val="000000"/>
        </w:rPr>
        <w:t>”</w:t>
      </w:r>
      <w:r>
        <w:rPr>
          <w:rFonts w:ascii="Times New Roman;serif" w:hAnsi="Times New Roman;serif"/>
          <w:b w:val="false"/>
          <w:color w:val="000000"/>
          <w:sz w:val="24"/>
        </w:rPr>
        <w:t>) directly to an investor through one or more affiliated entities (collectively, the “</w:t>
      </w:r>
      <w:r>
        <w:rPr>
          <w:rFonts w:ascii="Times New Roman;serif" w:hAnsi="Times New Roman;serif"/>
          <w:b w:val="false"/>
          <w:color w:val="000000"/>
          <w:sz w:val="24"/>
          <w:u w:val="single"/>
        </w:rPr>
        <w:t>Investor</w:t>
      </w:r>
      <w:r>
        <w:rPr>
          <w:color w:val="000000"/>
        </w:rPr>
        <w:t>”</w:t>
      </w:r>
      <w:r>
        <w:rPr>
          <w:rFonts w:ascii="Times New Roman;serif" w:hAnsi="Times New Roman;serif"/>
          <w:b w:val="false"/>
          <w:color w:val="000000"/>
          <w:sz w:val="24"/>
        </w:rPr>
        <w:t>) through Clear Street LLC as placement agent (the “</w:t>
      </w:r>
      <w:r>
        <w:rPr>
          <w:rFonts w:ascii="Times New Roman;serif" w:hAnsi="Times New Roman;serif"/>
          <w:b w:val="false"/>
          <w:color w:val="000000"/>
          <w:sz w:val="24"/>
          <w:u w:val="single"/>
        </w:rPr>
        <w:t>Placement Agent</w:t>
      </w:r>
      <w:r>
        <w:rPr>
          <w:color w:val="000000"/>
        </w:rPr>
        <w:t>”</w:t>
      </w:r>
      <w:r>
        <w:rPr>
          <w:rFonts w:ascii="Times New Roman;serif" w:hAnsi="Times New Roman;serif"/>
          <w:b w:val="false"/>
          <w:color w:val="000000"/>
          <w:sz w:val="24"/>
        </w:rPr>
        <w:t>). The documents executed and delivered by the Company and the Investor in connection with the Offering (as defined below), including, without limitation, a securities purchase agreement (the “</w:t>
      </w:r>
      <w:r>
        <w:rPr>
          <w:rFonts w:ascii="Times New Roman;serif" w:hAnsi="Times New Roman;serif"/>
          <w:b w:val="false"/>
          <w:color w:val="000000"/>
          <w:sz w:val="24"/>
          <w:u w:val="single"/>
        </w:rPr>
        <w:t>Purchase Agreement</w:t>
      </w:r>
      <w:r>
        <w:rPr>
          <w:color w:val="000000"/>
        </w:rPr>
        <w:t>”</w:t>
      </w:r>
      <w:r>
        <w:rPr>
          <w:rFonts w:ascii="Times New Roman;serif" w:hAnsi="Times New Roman;serif"/>
          <w:b w:val="false"/>
          <w:color w:val="000000"/>
          <w:sz w:val="24"/>
        </w:rPr>
        <w:t>), shall be collectively referred to herein as the “</w:t>
      </w:r>
      <w:r>
        <w:rPr>
          <w:rFonts w:ascii="Times New Roman;serif" w:hAnsi="Times New Roman;serif"/>
          <w:b w:val="false"/>
          <w:color w:val="000000"/>
          <w:sz w:val="24"/>
          <w:u w:val="single"/>
        </w:rPr>
        <w:t>Transaction Documents</w:t>
      </w:r>
      <w:r>
        <w:rPr>
          <w:rFonts w:ascii="Times New Roman;serif" w:hAnsi="Times New Roman;serif"/>
          <w:b w:val="false"/>
          <w:color w:val="000000"/>
          <w:sz w:val="24"/>
        </w:rPr>
        <w:t>.” The purchase price to the Investor for the Securities will be negotiated between the Company and the Investor, in consultation with the Placement Agent. The Placement Agent may retain other brokers or dealers to act as sub-agents or selected-dealers on its behalf in connection with the Offering with the Company’s prior written consent.</w:t>
      </w:r>
    </w:p>
    <w:p>
      <w:pPr>
        <w:pStyle w:val="TextBody"/>
        <w:bidi w:val="0"/>
        <w:spacing w:before="0" w:after="0"/>
        <w:jc w:val="righ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85445"/>
                <wp:effectExtent l="0" t="0" r="0" b="0"/>
                <wp:wrapNone/>
                <wp:docPr id="64" name="Frame6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Company hereby confirms its agreement with the Placement Agent as follows: </w:t>
      </w:r>
    </w:p>
    <w:p>
      <w:pPr>
        <w:pStyle w:val="TextBody"/>
        <w:bidi w:val="0"/>
        <w:spacing w:lineRule="auto" w:line="288" w:before="0" w:after="0"/>
        <w:jc w:val="both"/>
        <w:rPr/>
      </w:pPr>
      <w:r>
        <w:rPr>
          <w:rFonts w:ascii="Times New Roman;serif" w:hAnsi="Times New Roman;serif"/>
          <w:b/>
          <w:color w:val="000000"/>
          <w:sz w:val="24"/>
        </w:rPr>
        <w:t>Section 1. Agreement to Act as Placement Agent</w:t>
      </w:r>
      <w:r>
        <w:rPr>
          <w:rFonts w:ascii="Times New Roman;serif" w:hAnsi="Times New Roman;serif"/>
          <w:b w:val="false"/>
          <w:color w:val="000000"/>
          <w:sz w:val="24"/>
        </w:rPr>
        <w:t xml:space="preserve">. </w:t>
      </w:r>
    </w:p>
    <w:p>
      <w:pPr>
        <w:pStyle w:val="TextBody"/>
        <w:bidi w:val="0"/>
        <w:spacing w:lineRule="auto" w:line="288" w:before="0" w:after="0"/>
        <w:jc w:val="both"/>
        <w:rPr/>
      </w:pPr>
      <w:r>
        <w:rPr>
          <w:rFonts w:ascii="Times New Roman;serif" w:hAnsi="Times New Roman;serif"/>
          <w:b w:val="false"/>
          <w:color w:val="000000"/>
          <w:sz w:val="24"/>
        </w:rPr>
        <w:t>(a) On the basis of the representations, warranties and agreements of the Company herein contained, and subject to all the terms and conditions of this Agreement, the Placement Agent shall be the exclusive placement agent in connection with the offering and sale by the Company of the Securities pursuant to the Company's registration statement on Form S-3 (File No. 333- 290429), as amended (and including any registration statement prepared and filed by the Company in accordance with Rule 462(b) pursuant to the Securities Act, as amended (the “</w:t>
      </w:r>
      <w:r>
        <w:rPr>
          <w:rFonts w:ascii="Times New Roman;serif" w:hAnsi="Times New Roman;serif"/>
          <w:b w:val="false"/>
          <w:color w:val="000000"/>
          <w:sz w:val="24"/>
          <w:u w:val="single"/>
        </w:rPr>
        <w:t>Securities Act</w:t>
      </w:r>
      <w:r>
        <w:rPr>
          <w:color w:val="000000"/>
        </w:rPr>
        <w:t>”</w:t>
      </w:r>
      <w:r>
        <w:rPr>
          <w:rFonts w:ascii="Times New Roman;serif" w:hAnsi="Times New Roman;serif"/>
          <w:b w:val="false"/>
          <w:color w:val="000000"/>
          <w:sz w:val="24"/>
        </w:rPr>
        <w:t>)) (the “</w:t>
      </w:r>
      <w:r>
        <w:rPr>
          <w:rFonts w:ascii="Times New Roman;serif" w:hAnsi="Times New Roman;serif"/>
          <w:b w:val="false"/>
          <w:color w:val="000000"/>
          <w:sz w:val="24"/>
          <w:u w:val="single"/>
        </w:rPr>
        <w:t>Registration Statement</w:t>
      </w:r>
      <w:r>
        <w:rPr>
          <w:color w:val="000000"/>
        </w:rPr>
        <w:t>”</w:t>
      </w:r>
      <w:r>
        <w:rPr>
          <w:rFonts w:ascii="Times New Roman;serif" w:hAnsi="Times New Roman;serif"/>
          <w:b w:val="false"/>
          <w:color w:val="000000"/>
          <w:sz w:val="24"/>
        </w:rPr>
        <w:t>), with the terms of such offering (the “</w:t>
      </w:r>
      <w:r>
        <w:rPr>
          <w:rFonts w:ascii="Times New Roman;serif" w:hAnsi="Times New Roman;serif"/>
          <w:b w:val="false"/>
          <w:color w:val="000000"/>
          <w:sz w:val="24"/>
          <w:u w:val="single"/>
        </w:rPr>
        <w:t>Offering</w:t>
      </w:r>
      <w:r>
        <w:rPr>
          <w:color w:val="000000"/>
        </w:rPr>
        <w:t>”</w:t>
      </w:r>
      <w:r>
        <w:rPr>
          <w:rFonts w:ascii="Times New Roman;serif" w:hAnsi="Times New Roman;serif"/>
          <w:b w:val="false"/>
          <w:color w:val="000000"/>
          <w:sz w:val="24"/>
        </w:rPr>
        <w:t>) to be subject to market conditions and negotiations between the Company, the Placement Agent and the prospective Investor. The Company will file with the U.S. Securities and Exchange Commission (the “</w:t>
      </w:r>
      <w:r>
        <w:rPr>
          <w:rFonts w:ascii="Times New Roman;serif" w:hAnsi="Times New Roman;serif"/>
          <w:b w:val="false"/>
          <w:color w:val="000000"/>
          <w:sz w:val="24"/>
          <w:u w:val="single"/>
        </w:rPr>
        <w:t>Commission</w:t>
      </w:r>
      <w:r>
        <w:rPr>
          <w:color w:val="000000"/>
        </w:rPr>
        <w:t>”</w:t>
      </w:r>
      <w:r>
        <w:rPr>
          <w:rFonts w:ascii="Times New Roman;serif" w:hAnsi="Times New Roman;serif"/>
          <w:b w:val="false"/>
          <w:color w:val="000000"/>
          <w:sz w:val="24"/>
        </w:rPr>
        <w:t>) a prospectus supplement relating to the Securities in accordance with Rule 424(b) (the “</w:t>
      </w:r>
      <w:r>
        <w:rPr>
          <w:rFonts w:ascii="Times New Roman;serif" w:hAnsi="Times New Roman;serif"/>
          <w:b w:val="false"/>
          <w:color w:val="000000"/>
          <w:sz w:val="24"/>
          <w:u w:val="single"/>
        </w:rPr>
        <w:t>Prospectus Supplement</w:t>
      </w:r>
      <w:r>
        <w:rPr>
          <w:color w:val="000000"/>
        </w:rPr>
        <w:t>”</w:t>
      </w:r>
      <w:r>
        <w:rPr>
          <w:rFonts w:ascii="Times New Roman;serif" w:hAnsi="Times New Roman;serif"/>
          <w:b w:val="false"/>
          <w:color w:val="000000"/>
          <w:sz w:val="24"/>
        </w:rPr>
        <w:t>). The base prospectus, including all documents incorporated therein by reference, included in the Registration Statement, as it may be amended and supplemented, including by the Prospectus Supplement (as defined below), together with any then issued issuer free writing prospectus (as defined Rule 433 of the Securities Act), is herein called the “</w:t>
      </w:r>
      <w:r>
        <w:rPr>
          <w:rFonts w:ascii="Times New Roman;serif" w:hAnsi="Times New Roman;serif"/>
          <w:b w:val="false"/>
          <w:color w:val="000000"/>
          <w:sz w:val="24"/>
          <w:u w:val="single"/>
        </w:rPr>
        <w:t>Prospectus</w:t>
      </w:r>
      <w:r>
        <w:rPr>
          <w:rFonts w:ascii="Times New Roman;serif" w:hAnsi="Times New Roman;serif"/>
          <w:b w:val="false"/>
          <w:color w:val="000000"/>
          <w:sz w:val="24"/>
        </w:rPr>
        <w:t>.” Any reference herein to the Registration Statement, the Prospectus or any amendment or supplement thereto, shall be deemed to refer to and include the documents incorporated or deemed to be incorporated by reference therein, and any reference herein to the terms “amend,” “amendment” or “supplement” with respect to the Registration Statement or the Prospectus shall be deemed to refer to and include the filing after the execution hereof of any document with the Commission deemed to be incorporated by reference therein (the “</w:t>
      </w:r>
      <w:r>
        <w:rPr>
          <w:rFonts w:ascii="Times New Roman;serif" w:hAnsi="Times New Roman;serif"/>
          <w:b w:val="false"/>
          <w:color w:val="000000"/>
          <w:sz w:val="24"/>
          <w:u w:val="single"/>
        </w:rPr>
        <w:t>Incorporated Documents</w:t>
      </w:r>
      <w:r>
        <w:rPr>
          <w:color w:val="000000"/>
        </w:rPr>
        <w:t>”</w:t>
      </w:r>
      <w:r>
        <w:rPr>
          <w:rFonts w:ascii="Times New Roman;serif" w:hAnsi="Times New Roman;serif"/>
          <w:b w:val="false"/>
          <w:color w:val="000000"/>
          <w:sz w:val="24"/>
        </w:rPr>
        <w:t>). For purposes of this Agreement, all references to the Registration Statement, the Prospectus or to any amendment or supplement thereto shall be deemed to include any copy filed with the Commission pursuant to its Electronic Data Gathering Analysis and Retrieval System, or if applicable, the Interactive Data Electronic Application system when used by the Commission (collectively, “</w:t>
      </w:r>
      <w:r>
        <w:rPr>
          <w:rFonts w:ascii="Times New Roman;serif" w:hAnsi="Times New Roman;serif"/>
          <w:b w:val="false"/>
          <w:color w:val="000000"/>
          <w:sz w:val="24"/>
          <w:u w:val="single"/>
        </w:rPr>
        <w:t>EDGAR</w:t>
      </w:r>
      <w:r>
        <w:rPr>
          <w:color w:val="000000"/>
        </w:rPr>
        <w:t>”</w:t>
      </w:r>
      <w:r>
        <w:rPr>
          <w:rFonts w:ascii="Times New Roman;serif" w:hAnsi="Times New Roman;serif"/>
          <w:b w:val="false"/>
          <w:color w:val="000000"/>
          <w:sz w:val="24"/>
        </w:rPr>
        <w:t>). The Placement Agent will act on a reasonable best efforts basis and the Company agrees and acknowledges that there is no guarantee of the successful placement of the Securities, or any portion thereof, in the prospective Offering. Under no circumstances will the Placement Agent or any of its “Affiliates” (as defined below) be obligated to underwrite or purchase any of the Securities for its own account or otherwise provide any financing. The Placement Agent shall act solely as the Company’s agent and not as principal. The Placement Agent shall have no authority to bind the Company with respect to any prospective offer to purchase Securities and the Company shall have the sole right to accept offers to purchase Securities and may reject any such offer, in whole or in part. Subject to the terms and conditions hereof, payment of the purchase price for, and delivery of, the Securities shall be made at closing (the “</w:t>
      </w:r>
      <w:r>
        <w:rPr>
          <w:rFonts w:ascii="Times New Roman;serif" w:hAnsi="Times New Roman;serif"/>
          <w:b w:val="false"/>
          <w:color w:val="000000"/>
          <w:sz w:val="24"/>
          <w:u w:val="single"/>
        </w:rPr>
        <w:t>Closing</w:t>
      </w:r>
      <w:r>
        <w:rPr>
          <w:color w:val="000000"/>
        </w:rPr>
        <w:t xml:space="preserve">” </w:t>
      </w:r>
      <w:r>
        <w:rPr>
          <w:rFonts w:ascii="Times New Roman;serif" w:hAnsi="Times New Roman;serif"/>
          <w:b w:val="false"/>
          <w:color w:val="000000"/>
          <w:sz w:val="24"/>
        </w:rPr>
        <w:t>and the date on which the Closing occurs, the “</w:t>
      </w:r>
      <w:r>
        <w:rPr>
          <w:rFonts w:ascii="Times New Roman;serif" w:hAnsi="Times New Roman;serif"/>
          <w:b w:val="false"/>
          <w:color w:val="000000"/>
          <w:sz w:val="24"/>
          <w:u w:val="single"/>
        </w:rPr>
        <w:t>Closing Date</w:t>
      </w:r>
      <w:r>
        <w:rPr>
          <w:color w:val="000000"/>
        </w:rPr>
        <w:t>”</w:t>
      </w:r>
      <w:r>
        <w:rPr>
          <w:rFonts w:ascii="Times New Roman;serif" w:hAnsi="Times New Roman;serif"/>
          <w:b w:val="false"/>
          <w:color w:val="000000"/>
          <w:sz w:val="24"/>
        </w:rPr>
        <w:t>). As compensation for services rendered, on the Closing Date, the Company shall pay to the Placement Agent the fees and expenses set forth below:</w:t>
      </w:r>
    </w:p>
    <w:p>
      <w:pPr>
        <w:pStyle w:val="TextBody"/>
        <w:bidi w:val="0"/>
        <w:spacing w:before="0" w:after="0"/>
        <w:jc w:val="both"/>
        <w:rPr/>
      </w:pPr>
      <w:r>
        <w:rPr/>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(1)A cash fee equal to 4.0% of the gross proceeds received by the Company from the sale of the Securities at the Closing.</w:t>
      </w:r>
    </w:p>
    <w:p>
      <w:pPr>
        <w:pStyle w:val="TextBody"/>
        <w:bidi w:val="0"/>
        <w:spacing w:lineRule="auto" w:line="288"/>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[Reserved].</w:t>
      </w:r>
    </w:p>
    <w:p>
      <w:pPr>
        <w:pStyle w:val="TextBody"/>
        <w:bidi w:val="0"/>
        <w:spacing w:before="0" w:after="0"/>
        <w:jc w:val="righ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85445"/>
                <wp:effectExtent l="0" t="0" r="0" b="0"/>
                <wp:wrapNone/>
                <wp:docPr id="65" name="Frame6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The term of the Placement Agent’s exclusive engagement will be until the completion of the Offering; provided, however, that a party hereto may terminate the engagement with respect to itself at any time upon 10 days written notice to the other party. Notwithstanding anything to the contrary contained herein, the provisions concerning confidentiality, indemnification and contribution contained herein and the Company’s obligations contained in the indemnification provisions will survive any expiration or termination of this Agreement, and the Company’s obligation to pay fees actually earned and payable, including any tail fee obligation under Section 4(p), will survive any expiration or termination of this Agreement. Nothing in this Agreement shall be construed to limit the ability of the Placement Agent or its Affiliates to pursue, investigate, analyze, invest in, or engage in investment banking, financial advisory or any other business relationship with Persons (as defined below) other than the Company. As used herein (i) “Persons” means an individual or corporation, partnership, trust, incorporated or unincorporated association, joint venture, limited liability company, joint stock company, government (or an agency or subdivision thereof) or other entity of any kind and (ii) “Affiliate” means any Person that, directly or indirectly through one or more intermediaries, controls or is controlled by or is under common control with a Person as such terms are used in and construed under Rule 405 under the Securities Act.</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85445"/>
                <wp:effectExtent l="0" t="0" r="0" b="0"/>
                <wp:wrapNone/>
                <wp:docPr id="66" name="Frame6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color w:val="000000"/>
          <w:sz w:val="24"/>
        </w:rPr>
        <w:t>Section 2. Representations, Warranties and Covenants of the Company</w:t>
      </w:r>
      <w:r>
        <w:rPr>
          <w:rFonts w:ascii="Times New Roman;serif" w:hAnsi="Times New Roman;serif"/>
          <w:b w:val="false"/>
          <w:color w:val="000000"/>
          <w:sz w:val="24"/>
        </w:rPr>
        <w:t xml:space="preserve">.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Company hereby represents, warrants and covenants to the Placement Agent as of the date hereof, and as of the Closing Date, as follows: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(a) </w:t>
      </w:r>
      <w:r>
        <w:rPr>
          <w:rFonts w:ascii="Times New Roman;serif" w:hAnsi="Times New Roman;serif"/>
          <w:b w:val="false"/>
          <w:color w:val="000000"/>
          <w:sz w:val="24"/>
          <w:u w:val="single"/>
        </w:rPr>
        <w:t>Registration Statement and Prospectus</w:t>
      </w:r>
      <w:r>
        <w:rPr>
          <w:rFonts w:ascii="Times New Roman;serif" w:hAnsi="Times New Roman;serif"/>
          <w:b w:val="false"/>
          <w:color w:val="000000"/>
          <w:sz w:val="24"/>
        </w:rPr>
        <w:t>. The Company and the transactions contemplated by this Agreement meet the requirements for and comply with the conditions for the use of Form S-3 under the Securities Act. The Registration Statement has been filed with the Commission and declared effective under the Securities Act. The Company will file with the Commission pursuant to Rule 424(b) under the Securities Act, and the rules and regulations promulgated thereunder, a supplement to the form of prospectus included in such Registration Statement relating to the placement of the Securities, and the plan of distribution thereof and has advised the Placement Agent of all further information (financial and other) with respect to the Company required to be set forth therein. The Prospectus Supplement will name the Placement Agent as placement agent in the section entitled “Plan of Distribution.” The Company has not received, and has no notice of, any order of the Commission preventing or suspending the use of the Registration Statement, or threatening or instituting proceedings for that purpose. The Registration Statement and the offer and sale of Securities as contemplated hereby meet the requirements of Rule 415 under the Securities Act and comply in all material respects with said rule. Any statutes, regulations, contracts or other documents that are required to be described in the Registration Statement or the Prospectus or to be filed as exhibits to the Registration Statement have been so described or filed. Copies of the Registration Statement, the Prospectus, and any such amendments or supplements and all documents incorporated by reference therein that were filed with the Commission on or prior to the date of this Agreement have been delivered, or are available through EDGAR, to the Placement Agent and its counsel. The Company has not distributed and, prior to the later to occur of the Closing Date and completion of the placement of the Securities, will not distribute any offering material in connection with the offering or sale of the Securities other than the Registration Statement and the Prospectus and any issuer free writing prospectus to which the Placement Agent has consented. Except as disclosed in the Incorporated Documents, the Company has not, in the 12 months preceding the date hereof, received notice from the The Nasdaq Stock Market, LLC (the “</w:t>
      </w:r>
      <w:r>
        <w:rPr>
          <w:rFonts w:ascii="Times New Roman;serif" w:hAnsi="Times New Roman;serif"/>
          <w:b w:val="false"/>
          <w:color w:val="000000"/>
          <w:sz w:val="24"/>
          <w:u w:val="single"/>
        </w:rPr>
        <w:t>Exchange</w:t>
      </w:r>
      <w:r>
        <w:rPr>
          <w:color w:val="000000"/>
        </w:rPr>
        <w:t>”</w:t>
      </w:r>
      <w:r>
        <w:rPr>
          <w:rFonts w:ascii="Times New Roman;serif" w:hAnsi="Times New Roman;serif"/>
          <w:b w:val="false"/>
          <w:color w:val="000000"/>
          <w:sz w:val="24"/>
        </w:rPr>
        <w:t>) to the effect that the Company is not in compliance with the listing or maintenance requirements.</w:t>
      </w:r>
    </w:p>
    <w:p>
      <w:pPr>
        <w:pStyle w:val="TextBody"/>
        <w:bidi w:val="0"/>
        <w:spacing w:before="0" w:after="0"/>
        <w:jc w:val="righ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85445"/>
                <wp:effectExtent l="0" t="0" r="0" b="0"/>
                <wp:wrapNone/>
                <wp:docPr id="67" name="Frame6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(b) </w:t>
      </w:r>
      <w:r>
        <w:rPr>
          <w:rFonts w:ascii="Times New Roman;serif" w:hAnsi="Times New Roman;serif"/>
          <w:b w:val="false"/>
          <w:color w:val="000000"/>
          <w:sz w:val="24"/>
          <w:u w:val="single"/>
        </w:rPr>
        <w:t>No Misstatement or Omission</w:t>
      </w:r>
      <w:r>
        <w:rPr>
          <w:rFonts w:ascii="Times New Roman;serif" w:hAnsi="Times New Roman;serif"/>
          <w:b w:val="false"/>
          <w:color w:val="000000"/>
          <w:sz w:val="24"/>
        </w:rPr>
        <w:t>. The Registration Statement, when it became effective, and the Prospectus, and any amendment or supplement thereto, on the date of such Prospectus or amendment or supplement, conformed and will conform in all material respects with the requirements of the Securities Act. At the Closing Date, the Registration Statement and the Prospectus, as of such date, will conform in all material respects with the requirements of the Securities Act. The Registration Statement, when it became effective, did not, and will not, contain an untrue statement of a material fact or omit to state a material fact required to be stated therein or necessary to make the statements therein not misleading. The Prospectus and any amendment or supplement thereto, on the date thereof, hereof, at the time of sale, and at the Closing Date, did not and will not include an untrue statement of a material fact or omit to state a material fact necessary to make the statements therein, in light of the circumstances under which they were made, not misleading. Any issuer free writing prospectus, on the date thereof, hereof, at the time of sale, and at the Closing Date, and whether or not consented to in advance by the Placement Agent, did not and will not include an untrue statement of a material fact or omit to state a material fact necessary to make the statements therein, in light of the circumstances under which they were made, not misleading. The foregoing shall not apply to statements in, or omissions from, any such document made in reliance upon, and in conformity with, information furnished to the Company by the Placement Agent specifically for use in the preparation thereof.</w:t>
      </w:r>
    </w:p>
    <w:p>
      <w:pPr>
        <w:pStyle w:val="TextBody"/>
        <w:bidi w:val="0"/>
        <w:spacing w:lineRule="auto" w:line="288" w:before="0" w:after="240"/>
        <w:jc w:val="both"/>
        <w:rPr/>
      </w:pPr>
      <w:r>
        <w:rPr>
          <w:rFonts w:ascii="Times New Roman;serif" w:hAnsi="Times New Roman;serif"/>
          <w:b w:val="false"/>
          <w:color w:val="000000"/>
          <w:sz w:val="24"/>
        </w:rPr>
        <w:t xml:space="preserve">(c) </w:t>
      </w:r>
      <w:r>
        <w:rPr>
          <w:rFonts w:ascii="Times New Roman;serif" w:hAnsi="Times New Roman;serif"/>
          <w:b w:val="false"/>
          <w:color w:val="000000"/>
          <w:sz w:val="24"/>
          <w:u w:val="single"/>
        </w:rPr>
        <w:t>Conformity with Securities Act and Exchange Act</w:t>
      </w:r>
      <w:r>
        <w:rPr>
          <w:rFonts w:ascii="Times New Roman;serif" w:hAnsi="Times New Roman;serif"/>
          <w:b w:val="false"/>
          <w:color w:val="000000"/>
          <w:sz w:val="24"/>
        </w:rPr>
        <w:t>. The Registration Statement, the Prospectus, any issuer free writing prospectus or any amendment or supplement thereto, and the Incorporated Documents, when such documents were or are filed with the Commission under the Securities Act or the Exchange Act or became or become effective under the Securities Act, as the case may be, conformed and will conform in all material respects with the requirements of the Securities Act and the Exchange Act, as applicable.</w:t>
      </w:r>
    </w:p>
    <w:p>
      <w:pPr>
        <w:pStyle w:val="TextBody"/>
        <w:bidi w:val="0"/>
        <w:spacing w:before="0" w:after="0"/>
        <w:jc w:val="righ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85445"/>
                <wp:effectExtent l="0" t="0" r="0" b="0"/>
                <wp:wrapNone/>
                <wp:docPr id="68" name="Frame6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(d) </w:t>
      </w:r>
      <w:r>
        <w:rPr>
          <w:rFonts w:ascii="Times New Roman;serif" w:hAnsi="Times New Roman;serif"/>
          <w:b w:val="false"/>
          <w:color w:val="000000"/>
          <w:sz w:val="24"/>
          <w:u w:val="single"/>
        </w:rPr>
        <w:t>Financial Information</w:t>
      </w:r>
      <w:r>
        <w:rPr>
          <w:rFonts w:ascii="Times New Roman;serif" w:hAnsi="Times New Roman;serif"/>
          <w:b w:val="false"/>
          <w:color w:val="000000"/>
          <w:sz w:val="24"/>
        </w:rPr>
        <w:t>. The financial statements of the Company included or incorporated by reference in the Registration Statement, the Prospectus and issuer free writing prospectuses, if any, together with the related notes and schedules, present fairly, in all material respects, the financial position of the Company as of the dates indicated and the results of operations, cash flows and changes in stockholders’ equity of the Company for the periods specified and have been prepared in compliance with the requirements of the Securities Act and Exchange Act and in conformity with generally accepted accounting principles in the United States (“GAAP”) applied on a consistent basis (except for (i) such adjustments to accounting standards and practices as are noted therein, (ii) in the case of unaudited interim financial statements, to the extent such financial statements may not include footnotes required by GAAP or may be condensed or summary statements and (iii) such adjustments which will not be material, either individually or in the aggregate) during the periods involved; the other financial and statistical data with respect to the Company contained or incorporated by reference in the Registration Statement, the Prospectus and the Issuer Free Writing Prospectuses, if any, are accurately and fairly presented and prepared on a basis consistent with the financial statements and books and records of the Company; there are no financial statements (historical or pro forma) that are required to be included or incorporated by reference in the Registration Statement, or the Prospectus that are not included or incorporated by reference as required; the Company does not have any material liabilities or obligations, direct or contingent (including any off-balance sheet obligations), not described in the Registration Statement (excluding the exhibits thereto) and the Prospectus; and all disclosures contained or incorporated by reference in the Registration Statement, the Prospectus and the issuer free writing prospectuses, if any, regarding “non-GAAP financial measures” (as such term is defined by the rules and regulations of the Commission) comply in all material respects with Regulation G of the Exchange Act and Item 10 of Regulation S-K under the Securities Act, to the extent applicable.</w:t>
      </w:r>
    </w:p>
    <w:p>
      <w:pPr>
        <w:pStyle w:val="TextBody"/>
        <w:bidi w:val="0"/>
        <w:spacing w:lineRule="auto" w:line="288" w:before="0" w:after="240"/>
        <w:jc w:val="both"/>
        <w:rPr/>
      </w:pPr>
      <w:r>
        <w:rPr>
          <w:rFonts w:ascii="Times New Roman;serif" w:hAnsi="Times New Roman;serif"/>
          <w:b w:val="false"/>
          <w:color w:val="000000"/>
          <w:sz w:val="24"/>
        </w:rPr>
        <w:t>(e)</w:t>
      </w:r>
      <w:r>
        <w:rPr>
          <w:color w:val="000000"/>
          <w:u w:val="single"/>
        </w:rPr>
        <w:t> </w:t>
      </w:r>
      <w:r>
        <w:rPr>
          <w:rFonts w:ascii="Times New Roman;serif" w:hAnsi="Times New Roman;serif"/>
          <w:b w:val="false"/>
          <w:color w:val="000000"/>
          <w:sz w:val="24"/>
          <w:u w:val="single"/>
        </w:rPr>
        <w:t>Conformity with EDGAR Filing</w:t>
      </w:r>
      <w:r>
        <w:rPr>
          <w:rFonts w:ascii="Times New Roman;serif" w:hAnsi="Times New Roman;serif"/>
          <w:b w:val="false"/>
          <w:color w:val="000000"/>
          <w:sz w:val="24"/>
        </w:rPr>
        <w:t>. The Prospectus delivered to the Placement Agent for use in connection with the sale of the Securities pursuant to this Agreement will be identical to the versions of the Prospectus created to be transmitted to the Commission for filing via EDGAR, except to the extent permitted by Regulation S-T.</w:t>
      </w:r>
    </w:p>
    <w:p>
      <w:pPr>
        <w:pStyle w:val="TextBody"/>
        <w:bidi w:val="0"/>
        <w:spacing w:before="0" w:after="0"/>
        <w:jc w:val="righ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85445"/>
                <wp:effectExtent l="0" t="0" r="0" b="0"/>
                <wp:wrapNone/>
                <wp:docPr id="69" name="Frame6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(f) </w:t>
      </w:r>
      <w:r>
        <w:rPr>
          <w:rFonts w:ascii="Times New Roman;serif" w:hAnsi="Times New Roman;serif"/>
          <w:b w:val="false"/>
          <w:color w:val="000000"/>
          <w:sz w:val="24"/>
          <w:u w:val="single"/>
        </w:rPr>
        <w:t>Organization</w:t>
      </w:r>
      <w:r>
        <w:rPr>
          <w:rFonts w:ascii="Times New Roman;serif" w:hAnsi="Times New Roman;serif"/>
          <w:b w:val="false"/>
          <w:color w:val="000000"/>
          <w:sz w:val="24"/>
        </w:rPr>
        <w:t>. The Company is duly organized, validly existing as a corporation and in good standing under the laws of its jurisdiction of organization. The Company is, and will be, duly licensed or qualified as a foreign corporation for transaction of business and in good standing under the laws of each other jurisdiction in which its ownership or lease of property or the conduct of its business requires such license or qualification, and has all corporate power and authority necessary to own or hold its properties and to conduct its business as described in the Registration Statement and the Prospectus, except where the failure to be so qualified or in good standing or have such power or authority would not, individually or in the aggregate, have a material adverse effect on or affecting the assets, business, operations, earnings, properties, condition (financial or otherwise), prospects, stockholders’ equity or results of operations of the Company or prevent or materially interfere with consummation of the transactions contemplated hereby (a “</w:t>
      </w:r>
      <w:r>
        <w:rPr>
          <w:rFonts w:ascii="Times New Roman;serif" w:hAnsi="Times New Roman;serif"/>
          <w:b w:val="false"/>
          <w:color w:val="000000"/>
          <w:sz w:val="24"/>
          <w:u w:val="single"/>
        </w:rPr>
        <w:t>Material Adverse Effect</w:t>
      </w:r>
      <w:r>
        <w:rPr>
          <w:color w:val="000000"/>
        </w:rPr>
        <w:t>”</w:t>
      </w:r>
      <w:r>
        <w:rPr>
          <w:rFonts w:ascii="Times New Roman;serif" w:hAnsi="Times New Roman;serif"/>
          <w:b w:val="false"/>
          <w:color w:val="000000"/>
          <w:sz w:val="24"/>
        </w:rPr>
        <w:t>).</w:t>
      </w:r>
    </w:p>
    <w:p>
      <w:pPr>
        <w:pStyle w:val="TextBody"/>
        <w:bidi w:val="0"/>
        <w:spacing w:lineRule="auto" w:line="288" w:before="0" w:after="240"/>
        <w:jc w:val="both"/>
        <w:rPr/>
      </w:pPr>
      <w:r>
        <w:rPr>
          <w:rFonts w:ascii="Times New Roman;serif" w:hAnsi="Times New Roman;serif"/>
          <w:b w:val="false"/>
          <w:color w:val="000000"/>
          <w:sz w:val="24"/>
        </w:rPr>
        <w:t>(g)</w:t>
      </w:r>
      <w:r>
        <w:rPr>
          <w:color w:val="000000"/>
          <w:u w:val="single"/>
        </w:rPr>
        <w:t> </w:t>
      </w:r>
      <w:r>
        <w:rPr>
          <w:rFonts w:ascii="Times New Roman;serif" w:hAnsi="Times New Roman;serif"/>
          <w:b w:val="false"/>
          <w:color w:val="000000"/>
          <w:sz w:val="24"/>
          <w:u w:val="single"/>
        </w:rPr>
        <w:t>Subsidiaries</w:t>
      </w:r>
      <w:r>
        <w:rPr>
          <w:rFonts w:ascii="Times New Roman;serif" w:hAnsi="Times New Roman;serif"/>
          <w:b w:val="false"/>
          <w:color w:val="000000"/>
          <w:sz w:val="24"/>
        </w:rPr>
        <w:t>. The Company owns directly or indirectly, all of the equity interests of its subsidiaries free and clear of any lien, charge, security interest, encumbrance, right of first refusal or other restriction, and all the equity interests of its subsidiaries are validly issued and are fully paid, non-assessable and free of preemptive and similar rights.        </w:t>
      </w:r>
    </w:p>
    <w:p>
      <w:pPr>
        <w:pStyle w:val="TextBody"/>
        <w:bidi w:val="0"/>
        <w:spacing w:lineRule="auto" w:line="288" w:before="0" w:after="240"/>
        <w:jc w:val="both"/>
        <w:rPr/>
      </w:pPr>
      <w:r>
        <w:rPr>
          <w:rFonts w:ascii="Times New Roman;serif" w:hAnsi="Times New Roman;serif"/>
          <w:b w:val="false"/>
          <w:color w:val="000000"/>
          <w:sz w:val="24"/>
        </w:rPr>
        <w:t xml:space="preserve">(h) </w:t>
      </w:r>
      <w:r>
        <w:rPr>
          <w:rFonts w:ascii="Times New Roman;serif" w:hAnsi="Times New Roman;serif"/>
          <w:b w:val="false"/>
          <w:color w:val="000000"/>
          <w:sz w:val="24"/>
          <w:u w:val="single"/>
        </w:rPr>
        <w:t>No Violation or Default</w:t>
      </w:r>
      <w:r>
        <w:rPr>
          <w:rFonts w:ascii="Times New Roman;serif" w:hAnsi="Times New Roman;serif"/>
          <w:b w:val="false"/>
          <w:color w:val="000000"/>
          <w:sz w:val="24"/>
        </w:rPr>
        <w:t>. The Company is not (i) in violation of its charter or by-laws or similar 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is a party or by which the Company is bound or to which any of the property or assets of the Company is subject; or (iii) in violation of any law or statute or any judgment, order, rule or regulation of any court or arbitrator or governmental or regulatory authority, except, in the case of each of clauses (ii) and (iii) above, for any such violation or default that would not, individually or in the aggregate, reasonably be expected to have a Material Adverse Effect. To the Company’s knowledge, no other party under any material contract or other agreement to which it is a party is in default in any respect thereunder where such default would reasonably be expected to have a Material Adverse Effect.</w:t>
      </w:r>
    </w:p>
    <w:p>
      <w:pPr>
        <w:pStyle w:val="TextBody"/>
        <w:bidi w:val="0"/>
        <w:spacing w:before="0" w:after="0"/>
        <w:jc w:val="righ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85445"/>
                <wp:effectExtent l="0" t="0" r="0" b="0"/>
                <wp:wrapNone/>
                <wp:docPr id="70" name="Frame6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(i)</w:t>
      </w:r>
      <w:r>
        <w:rPr>
          <w:color w:val="000000"/>
          <w:u w:val="single"/>
        </w:rPr>
        <w:t> </w:t>
      </w:r>
      <w:r>
        <w:rPr>
          <w:rFonts w:ascii="Times New Roman;serif" w:hAnsi="Times New Roman;serif"/>
          <w:b w:val="false"/>
          <w:color w:val="000000"/>
          <w:sz w:val="24"/>
          <w:u w:val="single"/>
        </w:rPr>
        <w:t>No Material Adverse Effect</w:t>
      </w:r>
      <w:r>
        <w:rPr>
          <w:rFonts w:ascii="Times New Roman;serif" w:hAnsi="Times New Roman;serif"/>
          <w:b w:val="false"/>
          <w:color w:val="000000"/>
          <w:sz w:val="24"/>
        </w:rPr>
        <w:t>. Subsequent to the respective dates as of which information is given in the Registration Statement, the Prospectus and the issuer free writing prospectuses, if any, (including any document deemed incorporated by reference therein), there has not been (i) any Material Adverse Effect, (ii) any transaction which is material to the Company, (iii) any obligation or liability, direct or contingent (including any off- balance sheet obligations), incurred by the Company which is material to the Company, (iv) any material change in the capital stock or outstanding long-term indebtedness (other than (A) the grant of additional awards under equity incentive plans, (B) changes in the number of outstanding Common Stock due to the issuance of shares upon exercise or conversion of securities exercisable for or convertible into Common Stock outstanding on the date hereof, (C) any repurchase of capital stock of the Company, (D) as a result of the sale of the Securities, or (E) as publicly reported or announced), or (v) any dividend or distribution of any kind declared, paid or made on the capital stock of the Company other than in each case above in the ordinary course of business or as otherwise disclosed in the Registration Statement or Prospectus (including any document deemed incorporated by reference therein).</w:t>
      </w:r>
    </w:p>
    <w:p>
      <w:pPr>
        <w:pStyle w:val="TextBody"/>
        <w:bidi w:val="0"/>
        <w:spacing w:lineRule="auto" w:line="288" w:before="0" w:after="240"/>
        <w:jc w:val="both"/>
        <w:rPr/>
      </w:pPr>
      <w:r>
        <w:rPr>
          <w:rFonts w:ascii="Times New Roman;serif" w:hAnsi="Times New Roman;serif"/>
          <w:b w:val="false"/>
          <w:color w:val="000000"/>
          <w:sz w:val="24"/>
        </w:rPr>
        <w:t>(j)</w:t>
      </w:r>
      <w:r>
        <w:rPr>
          <w:color w:val="000000"/>
          <w:u w:val="single"/>
        </w:rPr>
        <w:t> </w:t>
      </w:r>
      <w:r>
        <w:rPr>
          <w:rFonts w:ascii="Times New Roman;serif" w:hAnsi="Times New Roman;serif"/>
          <w:b w:val="false"/>
          <w:color w:val="000000"/>
          <w:sz w:val="24"/>
          <w:u w:val="single"/>
        </w:rPr>
        <w:t>Capitalization</w:t>
      </w:r>
      <w:r>
        <w:rPr>
          <w:rFonts w:ascii="Times New Roman;serif" w:hAnsi="Times New Roman;serif"/>
          <w:b w:val="false"/>
          <w:color w:val="000000"/>
          <w:sz w:val="24"/>
        </w:rPr>
        <w:t>. The issued and outstanding shares of capital stock of the Company have been validly issued, are fully paid and non-assessable and, other than as disclosed in the Registration Statement or the Prospectus, are not subject to any preemptive rights, rights of first refusal or similar rights. The Company has an authorized, issued and outstanding capitalization as set forth in the Registration Statement and the Prospectus as of the dates referred to therein (other than the grant of additional options, restricted stock units or other equity compensation granted under the Company’s existing stock option plans, or changes in the number of outstanding shares of Common Stock of the Company due to the issuance of shares upon the exercise or conversion of securities exercisable for, or convertible into, Common Stock outstanding on the date hereof) and such authorized capital stock conforms to the description thereof set forth in the Registration Statement and the Prospectus. The description of the securities of the Company in the Registration Statement and the Prospectus is complete and accurate in all material respects. Except as otherwise set forth in the Registration Statement, the Prospectus and the Company’s public filings on EDGAR, as of the date referred to therein, the Company does not have outstanding any options to purchase, or any rights or warrants to subscribe for, or any securities or obligations convertible into, or exchangeable for, or any contracts or commitments to issue or sell, any shares of capital stock or other securities. As disclosed in the Incorporated Documents, the Company intends to increase the shares available for issuance under the Company’s certificate of incorporation.</w:t>
      </w:r>
    </w:p>
    <w:p>
      <w:pPr>
        <w:pStyle w:val="TextBody"/>
        <w:bidi w:val="0"/>
        <w:spacing w:before="0" w:after="0"/>
        <w:jc w:val="righ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85445"/>
                <wp:effectExtent l="0" t="0" r="0" b="0"/>
                <wp:wrapNone/>
                <wp:docPr id="71" name="Frame7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(k)</w:t>
      </w:r>
      <w:r>
        <w:rPr>
          <w:color w:val="000000"/>
          <w:u w:val="single"/>
        </w:rPr>
        <w:t> </w:t>
      </w:r>
      <w:r>
        <w:rPr>
          <w:rFonts w:ascii="Times New Roman;serif" w:hAnsi="Times New Roman;serif"/>
          <w:b w:val="false"/>
          <w:color w:val="000000"/>
          <w:sz w:val="24"/>
          <w:u w:val="single"/>
        </w:rPr>
        <w:t>Authorization; Enforceability</w:t>
      </w:r>
      <w:r>
        <w:rPr>
          <w:rFonts w:ascii="Times New Roman;serif" w:hAnsi="Times New Roman;serif"/>
          <w:b w:val="false"/>
          <w:color w:val="000000"/>
          <w:sz w:val="24"/>
        </w:rPr>
        <w:t>. The Company has full legal right, power and authority to enter into this Agreement and perform the transactions contemplated hereby. This Agreement has been duly authorized, executed and delivered by the Company and is a legal, valid and binding agreement of the Company enforceable against the Company in accordance with its terms, except (i) to the extent that enforceability may be limited by bankruptcy, insolvency, reorganization, moratorium or similar laws affecting creditors’ rights generally and by general equitable principles and (ii) the indemnification and contribution provisions of Section 7 hereof may be limited by federal or state securities laws and public policy considered in respect thereof.</w:t>
      </w:r>
    </w:p>
    <w:p>
      <w:pPr>
        <w:pStyle w:val="TextBody"/>
        <w:bidi w:val="0"/>
        <w:spacing w:lineRule="auto" w:line="288" w:before="0" w:after="240"/>
        <w:jc w:val="both"/>
        <w:rPr/>
      </w:pPr>
      <w:r>
        <w:rPr>
          <w:rFonts w:ascii="Times New Roman;serif" w:hAnsi="Times New Roman;serif"/>
          <w:b w:val="false"/>
          <w:color w:val="000000"/>
          <w:sz w:val="24"/>
        </w:rPr>
        <w:t>(l) </w:t>
      </w:r>
      <w:r>
        <w:rPr>
          <w:rFonts w:ascii="Times New Roman;serif" w:hAnsi="Times New Roman;serif"/>
          <w:b w:val="false"/>
          <w:color w:val="000000"/>
          <w:sz w:val="24"/>
          <w:u w:val="single"/>
        </w:rPr>
        <w:t>Authorization of Securities</w:t>
      </w:r>
      <w:r>
        <w:rPr>
          <w:rFonts w:ascii="Times New Roman;serif" w:hAnsi="Times New Roman;serif"/>
          <w:b w:val="false"/>
          <w:color w:val="000000"/>
          <w:sz w:val="24"/>
        </w:rPr>
        <w:t>. The Shares and the Warrant Shares, when issued and delivered pursuant to the Purchase Agreement and approved by the board of directors of the Company or a duly authorized committee thereof, against payment therefor as provided herein, will be duly and validly authorized and issued and fully paid and non-assessable, free and clear of any pledge, lien, encumbrance, security interest or other claim, including any statutory or contractual preemptive rights, resale rights, rights of first refusal or other similar rights (“</w:t>
      </w:r>
      <w:r>
        <w:rPr>
          <w:rFonts w:ascii="Times New Roman;serif" w:hAnsi="Times New Roman;serif"/>
          <w:b w:val="false"/>
          <w:color w:val="000000"/>
          <w:sz w:val="24"/>
          <w:u w:val="single"/>
        </w:rPr>
        <w:t>Liens</w:t>
      </w:r>
      <w:r>
        <w:rPr>
          <w:color w:val="000000"/>
        </w:rPr>
        <w:t>”</w:t>
      </w:r>
      <w:r>
        <w:rPr>
          <w:rFonts w:ascii="Times New Roman;serif" w:hAnsi="Times New Roman;serif"/>
          <w:b w:val="false"/>
          <w:color w:val="000000"/>
          <w:sz w:val="24"/>
        </w:rPr>
        <w:t xml:space="preserve">), and will be registered pursuant to Section 12 of the Exchange Act. The Warrants, when issued and delivered pursuant to the Purchase Agreement and approved by the board of directors of the Company or a duly authorized committee thereof, against payment therefor as provided herein, will be duly authorized and binding obligations of the Company under the law of the jurisdiction governing such Warrants and will be validly issued, free and clear of any </w:t>
      </w:r>
      <w:r>
        <w:rPr>
          <w:rFonts w:ascii="Times New Roman;serif" w:hAnsi="Times New Roman;serif"/>
          <w:b w:val="false"/>
          <w:color w:val="000000"/>
          <w:sz w:val="24"/>
          <w:u w:val="single"/>
        </w:rPr>
        <w:t>Liens</w:t>
      </w:r>
      <w:r>
        <w:rPr>
          <w:rFonts w:ascii="Times New Roman;serif" w:hAnsi="Times New Roman;serif"/>
          <w:b w:val="false"/>
          <w:color w:val="000000"/>
          <w:sz w:val="24"/>
        </w:rPr>
        <w:t>, and will be registered pursuant to Section 12 of the Exchange Act. The Securities, when issued, will conform in all material respects to the description thereof set forth in or incorporated into the Prospectus.</w:t>
      </w:r>
    </w:p>
    <w:p>
      <w:pPr>
        <w:pStyle w:val="TextBody"/>
        <w:bidi w:val="0"/>
        <w:spacing w:lineRule="auto" w:line="288" w:before="0" w:after="240"/>
        <w:jc w:val="both"/>
        <w:rPr/>
      </w:pPr>
      <w:r>
        <w:rPr>
          <w:rFonts w:ascii="Times New Roman;serif" w:hAnsi="Times New Roman;serif"/>
          <w:b w:val="false"/>
          <w:color w:val="000000"/>
          <w:sz w:val="24"/>
        </w:rPr>
        <w:t>(m) </w:t>
      </w:r>
      <w:r>
        <w:rPr>
          <w:rFonts w:ascii="Times New Roman;serif" w:hAnsi="Times New Roman;serif"/>
          <w:b w:val="false"/>
          <w:color w:val="000000"/>
          <w:sz w:val="24"/>
          <w:u w:val="single"/>
        </w:rPr>
        <w:t>No Consents Required</w:t>
      </w:r>
      <w:r>
        <w:rPr>
          <w:rFonts w:ascii="Times New Roman;serif" w:hAnsi="Times New Roman;serif"/>
          <w:b w:val="false"/>
          <w:color w:val="000000"/>
          <w:sz w:val="24"/>
        </w:rPr>
        <w:t>. No consent, approval, authorization, order, registration or qualification of or with any court or arbitrator or governmental or regulatory authority having jurisdiction over the Company (or to which the Company is subject) is required for the execution, delivery and performance by the Company of this Agreement, the issuance and sale by the Company of the Securities, except for such consents, approvals, authorizations, orders and registrations or qualifications as may be required under applicable state securities laws or by the by-laws and rules of the Financial Industry Regulatory Authority (“FINRA”) or the Exchange in connection with the sale of the Securities by the Placement Agent.</w:t>
      </w:r>
    </w:p>
    <w:p>
      <w:pPr>
        <w:pStyle w:val="TextBody"/>
        <w:bidi w:val="0"/>
        <w:spacing w:before="0" w:after="0"/>
        <w:jc w:val="righ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385445"/>
                <wp:effectExtent l="0" t="0" r="0" b="0"/>
                <wp:wrapNone/>
                <wp:docPr id="72" name="Frame7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(n) </w:t>
      </w:r>
      <w:r>
        <w:rPr>
          <w:rFonts w:ascii="Times New Roman;serif" w:hAnsi="Times New Roman;serif"/>
          <w:b w:val="false"/>
          <w:color w:val="000000"/>
          <w:sz w:val="24"/>
          <w:u w:val="single"/>
        </w:rPr>
        <w:t>No Preferential Rights</w:t>
      </w:r>
      <w:r>
        <w:rPr>
          <w:rFonts w:ascii="Times New Roman;serif" w:hAnsi="Times New Roman;serif"/>
          <w:b w:val="false"/>
          <w:color w:val="000000"/>
          <w:sz w:val="24"/>
        </w:rPr>
        <w:t>. (i) No person, as such term is defined in Rule 1-02 of Regulation S-X promulgated under the Securities Act (each, a “</w:t>
      </w:r>
      <w:r>
        <w:rPr>
          <w:rFonts w:ascii="Times New Roman;serif" w:hAnsi="Times New Roman;serif"/>
          <w:b w:val="false"/>
          <w:color w:val="000000"/>
          <w:sz w:val="24"/>
          <w:u w:val="single"/>
        </w:rPr>
        <w:t>Person</w:t>
      </w:r>
      <w:r>
        <w:rPr>
          <w:color w:val="000000"/>
        </w:rPr>
        <w:t>”</w:t>
      </w:r>
      <w:r>
        <w:rPr>
          <w:rFonts w:ascii="Times New Roman;serif" w:hAnsi="Times New Roman;serif"/>
          <w:b w:val="false"/>
          <w:color w:val="000000"/>
          <w:sz w:val="24"/>
        </w:rPr>
        <w:t>), has the right, contractual or otherwise, to cause the Company to issue or sell to such Person any Common Stock or shares of any other capital stock or other securities of the Company (other than upon the exercise of outstanding options, warrants or other rights to purchase Common Stock, or upon the exercise of equity awards that may be granted from time to time under the Company’s employee or director stock option or benefits plans, in each case as disclosed in the Registration Statement or Prospectus), (ii) no Person has any preemptive rights, resale rights, rights of first refusal, or any other rights (whether pursuant to a “poison pill” provision or otherwise) to purchase any Common Stock or shares of any other capital stock or other securities of the Company, (iii) no Person has the right to act as a placement agent or as a financial advisor to the Company in connection with the offer and sale of the Securities other than the Placement Agent, and (iv) no Person has the right, contractual or otherwise, to require the Company to register under the Securities Act any Common Stock or shares of any other capital stock or other securities of the Company, or to include any such shares or other securities in the Registration Statement or the offering contemplated thereby, whether as a result of the filing or effectiveness of the Registration Statement or the sale of the Securities as contemplated thereby or otherwise.</w:t>
      </w:r>
    </w:p>
    <w:p>
      <w:pPr>
        <w:pStyle w:val="TextBody"/>
        <w:bidi w:val="0"/>
        <w:spacing w:lineRule="auto" w:line="288" w:before="0" w:after="240"/>
        <w:jc w:val="both"/>
        <w:rPr/>
      </w:pPr>
      <w:r>
        <w:rPr>
          <w:rFonts w:ascii="Times New Roman;serif" w:hAnsi="Times New Roman;serif"/>
          <w:b w:val="false"/>
          <w:color w:val="000000"/>
          <w:sz w:val="24"/>
        </w:rPr>
        <w:t>(o) </w:t>
      </w:r>
      <w:r>
        <w:rPr>
          <w:rFonts w:ascii="Times New Roman;serif" w:hAnsi="Times New Roman;serif"/>
          <w:b w:val="false"/>
          <w:color w:val="000000"/>
          <w:sz w:val="24"/>
          <w:u w:val="single"/>
        </w:rPr>
        <w:t>Independent Public Accountant</w:t>
      </w:r>
      <w:r>
        <w:rPr>
          <w:rFonts w:ascii="Times New Roman;serif" w:hAnsi="Times New Roman;serif"/>
          <w:b w:val="false"/>
          <w:color w:val="000000"/>
          <w:sz w:val="24"/>
        </w:rPr>
        <w:t>. Each of CBIZ CPAs P.C. and Baker Tilly USA, LLP (the “</w:t>
      </w:r>
      <w:r>
        <w:rPr>
          <w:rFonts w:ascii="Times New Roman;serif" w:hAnsi="Times New Roman;serif"/>
          <w:b w:val="false"/>
          <w:color w:val="000000"/>
          <w:sz w:val="24"/>
          <w:u w:val="single"/>
        </w:rPr>
        <w:t>Accountants</w:t>
      </w:r>
      <w:r>
        <w:rPr>
          <w:color w:val="000000"/>
        </w:rPr>
        <w:t>”</w:t>
      </w:r>
      <w:r>
        <w:rPr>
          <w:rFonts w:ascii="Times New Roman;serif" w:hAnsi="Times New Roman;serif"/>
          <w:b w:val="false"/>
          <w:color w:val="000000"/>
          <w:sz w:val="24"/>
        </w:rPr>
        <w:t>), whose reports on the financial statements of the Company are filed with the Commission as part of the Company’s most recent Annual Report on Form 10-K filed with the Commission and incorporated into the Registration Statement and the Prospectus, is and, during the periods covered by its report, was an independent registered public accounting firm with respect to the Company within the meaning of the Securities Act and the Public Company Accounting Oversight Board (United States). To the Company’s knowledge, the Accountants are not and were not in violation of the auditor independence requirements of the Sarbanes-Oxley Act of 2002 (the “</w:t>
      </w:r>
      <w:r>
        <w:rPr>
          <w:rFonts w:ascii="Times New Roman;serif" w:hAnsi="Times New Roman;serif"/>
          <w:b w:val="false"/>
          <w:color w:val="000000"/>
          <w:sz w:val="24"/>
          <w:u w:val="single"/>
        </w:rPr>
        <w:t>Sarbanes-Oxley Act</w:t>
      </w:r>
      <w:r>
        <w:rPr>
          <w:color w:val="000000"/>
        </w:rPr>
        <w:t>”</w:t>
      </w:r>
      <w:r>
        <w:rPr>
          <w:rFonts w:ascii="Times New Roman;serif" w:hAnsi="Times New Roman;serif"/>
          <w:b w:val="false"/>
          <w:color w:val="000000"/>
          <w:sz w:val="24"/>
        </w:rPr>
        <w:t>) with respect to the Company.</w:t>
      </w:r>
    </w:p>
    <w:p>
      <w:pPr>
        <w:pStyle w:val="TextBody"/>
        <w:bidi w:val="0"/>
        <w:spacing w:lineRule="auto" w:line="288" w:before="0" w:after="240"/>
        <w:jc w:val="both"/>
        <w:rPr/>
      </w:pPr>
      <w:r>
        <w:rPr>
          <w:rFonts w:ascii="Times New Roman;serif" w:hAnsi="Times New Roman;serif"/>
          <w:b w:val="false"/>
          <w:color w:val="000000"/>
          <w:sz w:val="24"/>
        </w:rPr>
        <w:t>(p)</w:t>
      </w:r>
      <w:r>
        <w:rPr>
          <w:color w:val="000000"/>
          <w:u w:val="single"/>
        </w:rPr>
        <w:t> </w:t>
      </w:r>
      <w:r>
        <w:rPr>
          <w:rFonts w:ascii="Times New Roman;serif" w:hAnsi="Times New Roman;serif"/>
          <w:b w:val="false"/>
          <w:color w:val="000000"/>
          <w:sz w:val="24"/>
          <w:u w:val="single"/>
        </w:rPr>
        <w:t>Enforceability of Agreements</w:t>
      </w:r>
      <w:r>
        <w:rPr>
          <w:rFonts w:ascii="Times New Roman;serif" w:hAnsi="Times New Roman;serif"/>
          <w:b w:val="false"/>
          <w:color w:val="000000"/>
          <w:sz w:val="24"/>
        </w:rPr>
        <w:t>. All agreements between the Company and third parties expressly referenced in the Prospectus, to the extent that such agreements are in effect as of the date of this Agreement (and subsequent dates on which this representation is made), are legal, valid and binding obligations of the Company enforceable against the Company in accordance with their respective terms, except to the extent that (i) enforceability may be limited by bankruptcy, insolvency, reorganization, moratorium or similar laws affecting creditors’ rights generally and by general equitable principles and (ii) the indemnification provisions of certain agreements may be limited by federal or state securities laws or public policy considerations in respect thereof, and except for any unenforceability that, individually or in the aggregate, would not reasonably be expected to have a Material Adverse Effect.</w:t>
      </w:r>
    </w:p>
    <w:p>
      <w:pPr>
        <w:pStyle w:val="TextBody"/>
        <w:bidi w:val="0"/>
        <w:spacing w:before="0" w:after="0"/>
        <w:jc w:val="righ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385445"/>
                <wp:effectExtent l="0" t="0" r="0" b="0"/>
                <wp:wrapNone/>
                <wp:docPr id="73" name="Frame7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(q) </w:t>
      </w:r>
      <w:r>
        <w:rPr>
          <w:rFonts w:ascii="Times New Roman;serif" w:hAnsi="Times New Roman;serif"/>
          <w:b w:val="false"/>
          <w:color w:val="000000"/>
          <w:sz w:val="24"/>
          <w:u w:val="single"/>
        </w:rPr>
        <w:t>No Litigation</w:t>
      </w:r>
      <w:r>
        <w:rPr>
          <w:rFonts w:ascii="Times New Roman;serif" w:hAnsi="Times New Roman;serif"/>
          <w:b w:val="false"/>
          <w:color w:val="000000"/>
          <w:sz w:val="24"/>
        </w:rPr>
        <w:t>. There are no legal, governmental or regulatory actions, suits or proceedings pending, nor, to the Company’s knowledge, any legal, governmental or regulatory investigations, to which the Company is a party or to which any property of the Company is the subject that, individually or in the aggregate, if determined adversely to the Company would reasonably be expected to have a Material Adverse Effect or would reasonably be expected to materially and adversely affect the ability of the Company to perform its obligations under this Agreement; to the Company’s knowledge, no such actions, suits or proceedings are threatened or contemplated by any governmental or regulatory authority or threatened by others that, individually or in the aggregate, if determined adversely to the Company, could reasonably be expected to have a Material Adverse Effect; and (i) there are no current or pending legal, governmental or regulatory investigations, actions, suits or proceedings that are required under the Securities Act to be described in the Prospectus that are not so described; and (ii) there are no contracts or other documents that are required under the Securities Act to be filed as exhibits to the Registration Statement that are not so filed.</w:t>
      </w:r>
    </w:p>
    <w:p>
      <w:pPr>
        <w:pStyle w:val="TextBody"/>
        <w:bidi w:val="0"/>
        <w:spacing w:lineRule="auto" w:line="288" w:before="0" w:after="240"/>
        <w:jc w:val="both"/>
        <w:rPr/>
      </w:pPr>
      <w:r>
        <w:rPr>
          <w:rFonts w:ascii="Times New Roman;serif" w:hAnsi="Times New Roman;serif"/>
          <w:b w:val="false"/>
          <w:color w:val="000000"/>
          <w:sz w:val="24"/>
        </w:rPr>
        <w:t>(r) </w:t>
      </w:r>
      <w:r>
        <w:rPr>
          <w:rFonts w:ascii="Times New Roman;serif" w:hAnsi="Times New Roman;serif"/>
          <w:b w:val="false"/>
          <w:color w:val="000000"/>
          <w:sz w:val="24"/>
          <w:u w:val="single"/>
        </w:rPr>
        <w:t>Licenses and Permits</w:t>
      </w:r>
      <w:r>
        <w:rPr>
          <w:rFonts w:ascii="Times New Roman;serif" w:hAnsi="Times New Roman;serif"/>
          <w:b w:val="false"/>
          <w:color w:val="000000"/>
          <w:sz w:val="24"/>
        </w:rPr>
        <w:t>. The Company possesses or has obtained, all licenses, certificates, consents, orders, approvals, permits and other authorizations issued by, and have made all declarations and filings with, the appropriate federal, state, local or foreign governmental or regulatory authorities that are necessary for the ownership or lease of their respective properties or the conduct of their respective businesses as described in the Registration Statement and the Prospectus (the “</w:t>
      </w:r>
      <w:r>
        <w:rPr>
          <w:rFonts w:ascii="Times New Roman;serif" w:hAnsi="Times New Roman;serif"/>
          <w:b w:val="false"/>
          <w:color w:val="000000"/>
          <w:sz w:val="24"/>
          <w:u w:val="single"/>
        </w:rPr>
        <w:t>Permits</w:t>
      </w:r>
      <w:r>
        <w:rPr>
          <w:color w:val="000000"/>
        </w:rPr>
        <w:t>”</w:t>
      </w:r>
      <w:r>
        <w:rPr>
          <w:rFonts w:ascii="Times New Roman;serif" w:hAnsi="Times New Roman;serif"/>
          <w:b w:val="false"/>
          <w:color w:val="000000"/>
          <w:sz w:val="24"/>
        </w:rPr>
        <w:t>), except where the failure to possess, obtain or make the same would not, individually or in the aggregate, reasonably be expected to have a Material Adverse Effect. The Company has not received written notice of any proceeding relating to revocation or modification of any such Permit or has any reason to believe that such Permit will not be renewed in the ordinary course, except where the failure to obtain any such renewal would not, individually or in the aggregate, reasonably be expected to have a Material Adverse Effect.</w:t>
      </w:r>
    </w:p>
    <w:p>
      <w:pPr>
        <w:pStyle w:val="TextBody"/>
        <w:bidi w:val="0"/>
        <w:spacing w:lineRule="auto" w:line="288" w:before="0" w:after="240"/>
        <w:jc w:val="both"/>
        <w:rPr/>
      </w:pPr>
      <w:r>
        <w:rPr>
          <w:rFonts w:ascii="Times New Roman;serif" w:hAnsi="Times New Roman;serif"/>
          <w:b w:val="false"/>
          <w:color w:val="000000"/>
          <w:sz w:val="24"/>
        </w:rPr>
        <w:t>(s) </w:t>
      </w:r>
      <w:r>
        <w:rPr>
          <w:rFonts w:ascii="Times New Roman;serif" w:hAnsi="Times New Roman;serif"/>
          <w:b w:val="false"/>
          <w:color w:val="000000"/>
          <w:sz w:val="24"/>
          <w:u w:val="single"/>
        </w:rPr>
        <w:t>No Material Defaults</w:t>
      </w:r>
      <w:r>
        <w:rPr>
          <w:rFonts w:ascii="Times New Roman;serif" w:hAnsi="Times New Roman;serif"/>
          <w:b w:val="false"/>
          <w:color w:val="000000"/>
          <w:sz w:val="24"/>
        </w:rPr>
        <w:t>. The Company is not in default on any installment on indebtedness for borrowed money or on any rental on one or more long-term leases, which defaults, individually or in the aggregate, would reasonably be expected to have a Material Adverse Effect. The Company has not filed a report pursuant to Section 13(a) or 15(d) of the Exchange Act since the filing of its last Annual Report on Form 10-K, indicating that it (i) has failed to pay any dividend or sinking fund installment on preferred stock or (ii) has defaulted on any installment on indebtedness for borrowed money or on any rental on one or more long-term leases, which defaults, individually or in the aggregate, could reasonably be expected to have a Material Adverse Effect.</w:t>
      </w:r>
    </w:p>
    <w:p>
      <w:pPr>
        <w:pStyle w:val="TextBody"/>
        <w:bidi w:val="0"/>
        <w:spacing w:before="0" w:after="0"/>
        <w:jc w:val="righ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85445"/>
                <wp:effectExtent l="0" t="0" r="0" b="0"/>
                <wp:wrapNone/>
                <wp:docPr id="74" name="Frame7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(t) </w:t>
      </w:r>
      <w:r>
        <w:rPr>
          <w:rFonts w:ascii="Times New Roman;serif" w:hAnsi="Times New Roman;serif"/>
          <w:b w:val="false"/>
          <w:color w:val="000000"/>
          <w:sz w:val="24"/>
          <w:u w:val="single"/>
        </w:rPr>
        <w:t>S-3 Eligibility</w:t>
      </w:r>
      <w:r>
        <w:rPr>
          <w:rFonts w:ascii="Times New Roman;serif" w:hAnsi="Times New Roman;serif"/>
          <w:b w:val="false"/>
          <w:color w:val="000000"/>
          <w:sz w:val="24"/>
        </w:rPr>
        <w:t>. Since the latest of (i) the date the Registration Statement was declared effective and (ii) the filing of the Company’s most recent Annual Report on Form 10-K, the aggregate market value of the voting and non-voting common equity held by non-affiliates of the registrant was $75 million or more, in accordance with I.B.1 of Form S-3. The Company is not a shell company (as defined in Rule 405 under the Securities Act) and has not been a shell company for at least 12 calendar months previously and if it has been a shell company at any time previously, has filed current Form 10 information with the Commission at least 12 calendar months previously reflecting its status as an entity that is not a shell company.</w:t>
      </w:r>
    </w:p>
    <w:p>
      <w:pPr>
        <w:pStyle w:val="TextBody"/>
        <w:bidi w:val="0"/>
        <w:spacing w:lineRule="auto" w:line="288" w:before="0" w:after="240"/>
        <w:jc w:val="both"/>
        <w:rPr/>
      </w:pPr>
      <w:r>
        <w:rPr>
          <w:rFonts w:ascii="Times New Roman;serif" w:hAnsi="Times New Roman;serif"/>
          <w:b w:val="false"/>
          <w:color w:val="000000"/>
          <w:sz w:val="24"/>
        </w:rPr>
        <w:t>(u) </w:t>
      </w:r>
      <w:r>
        <w:rPr>
          <w:rFonts w:ascii="Times New Roman;serif" w:hAnsi="Times New Roman;serif"/>
          <w:b w:val="false"/>
          <w:color w:val="000000"/>
          <w:sz w:val="24"/>
          <w:u w:val="single"/>
        </w:rPr>
        <w:t>Certain Market Activities</w:t>
      </w:r>
      <w:r>
        <w:rPr>
          <w:rFonts w:ascii="Times New Roman;serif" w:hAnsi="Times New Roman;serif"/>
          <w:b w:val="false"/>
          <w:color w:val="000000"/>
          <w:sz w:val="24"/>
        </w:rPr>
        <w:t>. Neither the Company nor, to the Company’s knowledge, any of its directors, officers or controlling persons has taken, directly or indirectly, any action designed, or that has constituted or would reasonably be expected to cause or result in, under the Exchange Act or otherwise, the stabilization or manipulation of the price of any security of the Company to facilitate the sale or resale of the Securities.</w:t>
      </w:r>
    </w:p>
    <w:p>
      <w:pPr>
        <w:pStyle w:val="TextBody"/>
        <w:bidi w:val="0"/>
        <w:spacing w:lineRule="auto" w:line="288" w:before="0" w:after="240"/>
        <w:jc w:val="both"/>
        <w:rPr/>
      </w:pPr>
      <w:r>
        <w:rPr>
          <w:rFonts w:ascii="Times New Roman;serif" w:hAnsi="Times New Roman;serif"/>
          <w:b w:val="false"/>
          <w:color w:val="000000"/>
          <w:sz w:val="24"/>
        </w:rPr>
        <w:t>(v) </w:t>
      </w:r>
      <w:r>
        <w:rPr>
          <w:rFonts w:ascii="Times New Roman;serif" w:hAnsi="Times New Roman;serif"/>
          <w:b w:val="false"/>
          <w:color w:val="000000"/>
          <w:sz w:val="24"/>
          <w:u w:val="single"/>
        </w:rPr>
        <w:t>Broker/Dealer Relationships</w:t>
      </w:r>
      <w:r>
        <w:rPr>
          <w:rFonts w:ascii="Times New Roman;serif" w:hAnsi="Times New Roman;serif"/>
          <w:b w:val="false"/>
          <w:color w:val="000000"/>
          <w:sz w:val="24"/>
        </w:rPr>
        <w:t>. Neither the Company nor any related entities (i) is required to register as a “broker” or “dealer” in accordance with the provisions of the Exchange Act or (ii) directly or indirectly through one or more intermediaries, controls or is a “person associated with a member” or “associated person of a member” (within the meaning set forth in the FINRA Manual).</w:t>
      </w:r>
    </w:p>
    <w:p>
      <w:pPr>
        <w:pStyle w:val="TextBody"/>
        <w:bidi w:val="0"/>
        <w:spacing w:lineRule="auto" w:line="288" w:before="0" w:after="240"/>
        <w:jc w:val="both"/>
        <w:rPr/>
      </w:pPr>
      <w:r>
        <w:rPr>
          <w:rFonts w:ascii="Times New Roman;serif" w:hAnsi="Times New Roman;serif"/>
          <w:b w:val="false"/>
          <w:color w:val="000000"/>
          <w:sz w:val="24"/>
        </w:rPr>
        <w:t>(w) </w:t>
      </w:r>
      <w:r>
        <w:rPr>
          <w:rFonts w:ascii="Times New Roman;serif" w:hAnsi="Times New Roman;serif"/>
          <w:b w:val="false"/>
          <w:color w:val="000000"/>
          <w:sz w:val="24"/>
          <w:u w:val="single"/>
        </w:rPr>
        <w:t>No Reliance</w:t>
      </w:r>
      <w:r>
        <w:rPr>
          <w:rFonts w:ascii="Times New Roman;serif" w:hAnsi="Times New Roman;serif"/>
          <w:b w:val="false"/>
          <w:color w:val="000000"/>
          <w:sz w:val="24"/>
        </w:rPr>
        <w:t>. The Company has not relied upon the Placement Agent or legal counsel for the Placement Agent for any legal, tax or accounting advice in connection with the offering and sale of the Securities.</w:t>
      </w:r>
    </w:p>
    <w:p>
      <w:pPr>
        <w:pStyle w:val="TextBody"/>
        <w:bidi w:val="0"/>
        <w:spacing w:lineRule="auto" w:line="288" w:before="0" w:after="240"/>
        <w:jc w:val="both"/>
        <w:rPr/>
      </w:pPr>
      <w:r>
        <w:rPr>
          <w:rFonts w:ascii="Times New Roman;serif" w:hAnsi="Times New Roman;serif"/>
          <w:b w:val="false"/>
          <w:color w:val="000000"/>
          <w:sz w:val="24"/>
        </w:rPr>
        <w:t>(x) </w:t>
      </w:r>
      <w:r>
        <w:rPr>
          <w:rFonts w:ascii="Times New Roman;serif" w:hAnsi="Times New Roman;serif"/>
          <w:b w:val="false"/>
          <w:color w:val="000000"/>
          <w:sz w:val="24"/>
          <w:u w:val="single"/>
        </w:rPr>
        <w:t>Taxes</w:t>
      </w:r>
      <w:r>
        <w:rPr>
          <w:rFonts w:ascii="Times New Roman;serif" w:hAnsi="Times New Roman;serif"/>
          <w:b w:val="false"/>
          <w:color w:val="000000"/>
          <w:sz w:val="24"/>
        </w:rPr>
        <w:t>. The Company has filed all federal, state, local and foreign tax returns which have been required to be filed and paid all taxes shown thereon through the date hereof, to the extent that such taxes have become due and are not being contested in good faith. Except as otherwise disclosed in or contemplated by the Registration Statement or the Prospectus, no tax deficiency has been determined adversely to the Company which has had, or would reasonably be expected to have, individually or in the aggregate, a Material Adverse Effect. The Company has no knowledge of any federal, state or other governmental tax deficiency, penalty or assessment which has been or might be asserted or threatened against it which would reasonably be expected to have a Material Adverse Effect.</w:t>
      </w:r>
    </w:p>
    <w:p>
      <w:pPr>
        <w:pStyle w:val="TextBody"/>
        <w:bidi w:val="0"/>
        <w:spacing w:before="0" w:after="0"/>
        <w:jc w:val="righ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385445"/>
                <wp:effectExtent l="0" t="0" r="0" b="0"/>
                <wp:wrapNone/>
                <wp:docPr id="75" name="Frame7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(y) </w:t>
      </w:r>
      <w:r>
        <w:rPr>
          <w:rFonts w:ascii="Times New Roman;serif" w:hAnsi="Times New Roman;serif"/>
          <w:b w:val="false"/>
          <w:color w:val="000000"/>
          <w:sz w:val="24"/>
          <w:u w:val="single"/>
        </w:rPr>
        <w:t>Title to Real and Personal Property</w:t>
      </w:r>
      <w:r>
        <w:rPr>
          <w:rFonts w:ascii="Times New Roman;serif" w:hAnsi="Times New Roman;serif"/>
          <w:b w:val="false"/>
          <w:color w:val="000000"/>
          <w:sz w:val="24"/>
        </w:rPr>
        <w:t>. The Company has good and valid title in fee simple to all items of real property and good and valid title to all personal property described in the Registration Statement or Prospectus as being owned by it that are material to the business of the Company, in each case free and clear of all liens, encumbrances and claims, except those that (i) do not materially interfere with the use made and proposed to be made of such property by the Company or (ii) would not reasonably expected, individually or in the aggregate, to have a Material Adverse Effect. Any real property described in the Registration Statement or Prospectus as being leased by the Company is held by it under valid, existing and enforceable leases, except those that (A) do not materially interfere with the use made or proposed to be made of such property by the Company or (B) would not be reasonably expected to have a Material Adverse Effect.</w:t>
      </w:r>
    </w:p>
    <w:p>
      <w:pPr>
        <w:pStyle w:val="TextBody"/>
        <w:bidi w:val="0"/>
        <w:spacing w:lineRule="auto" w:line="288" w:before="0" w:after="240"/>
        <w:jc w:val="both"/>
        <w:rPr/>
      </w:pPr>
      <w:r>
        <w:rPr>
          <w:rFonts w:ascii="Times New Roman;serif" w:hAnsi="Times New Roman;serif"/>
          <w:b w:val="false"/>
          <w:color w:val="000000"/>
          <w:sz w:val="24"/>
        </w:rPr>
        <w:t xml:space="preserve">(z) </w:t>
      </w:r>
      <w:r>
        <w:rPr>
          <w:rFonts w:ascii="Times New Roman;serif" w:hAnsi="Times New Roman;serif"/>
          <w:b w:val="false"/>
          <w:color w:val="000000"/>
          <w:sz w:val="24"/>
          <w:u w:val="single"/>
        </w:rPr>
        <w:t>Intellectual Property</w:t>
      </w:r>
      <w:r>
        <w:rPr>
          <w:rFonts w:ascii="Times New Roman;serif" w:hAnsi="Times New Roman;serif"/>
          <w:b w:val="false"/>
          <w:color w:val="000000"/>
          <w:sz w:val="24"/>
        </w:rPr>
        <w:t>. The Company owns or possesses adequate enforceable rights to use all patents, patent applications, trademarks (both registered and unregistered), service marks, trade names, trademark registrations, service mark registrations, copyrights, licenses and know-how (including trade secrets and other unpatented and/or unpatentable proprietary or confidential information, systems or procedures) (collectively, the “</w:t>
      </w:r>
      <w:r>
        <w:rPr>
          <w:rFonts w:ascii="Times New Roman;serif" w:hAnsi="Times New Roman;serif"/>
          <w:b w:val="false"/>
          <w:color w:val="000000"/>
          <w:sz w:val="24"/>
          <w:u w:val="single"/>
        </w:rPr>
        <w:t>Intellectual Property</w:t>
      </w:r>
      <w:r>
        <w:rPr>
          <w:color w:val="000000"/>
        </w:rPr>
        <w:t>”</w:t>
      </w:r>
      <w:r>
        <w:rPr>
          <w:rFonts w:ascii="Times New Roman;serif" w:hAnsi="Times New Roman;serif"/>
          <w:b w:val="false"/>
          <w:color w:val="000000"/>
          <w:sz w:val="24"/>
        </w:rPr>
        <w:t>), necessary for the conduct of its business as conducted as of the date hereof, except to the extent that the failure to own or possess adequate rights to use such Intellectual Property would not, individually or in the aggregate, reasonably be expected to have a Material Adverse Effect; the Company has not received any written notice of any claim of infringement or conflict which asserted Intellectual Property rights of others, which infringement or conflict, if the subject of an unfavorable decision, would result in a Material Adverse Effect; there are no pending, or to the Company’s knowledge, threatened judicial proceedings or interference proceedings against the Company challenging the Company’s rights in or to or the validity of the scope of any of the Company’s patents, patent applications or proprietary information.</w:t>
      </w:r>
    </w:p>
    <w:p>
      <w:pPr>
        <w:pStyle w:val="TextBody"/>
        <w:bidi w:val="0"/>
        <w:spacing w:lineRule="auto" w:line="288" w:before="0" w:after="240"/>
        <w:jc w:val="both"/>
        <w:rPr/>
      </w:pPr>
      <w:r>
        <w:rPr>
          <w:rFonts w:ascii="Times New Roman;serif" w:hAnsi="Times New Roman;serif"/>
          <w:b w:val="false"/>
          <w:color w:val="000000"/>
          <w:sz w:val="24"/>
        </w:rPr>
        <w:t xml:space="preserve">(aa) </w:t>
      </w:r>
      <w:r>
        <w:rPr>
          <w:rFonts w:ascii="Times New Roman;serif" w:hAnsi="Times New Roman;serif"/>
          <w:b w:val="false"/>
          <w:color w:val="000000"/>
          <w:sz w:val="24"/>
          <w:u w:val="single"/>
        </w:rPr>
        <w:t>Environmental Laws</w:t>
      </w:r>
      <w:r>
        <w:rPr>
          <w:rFonts w:ascii="Times New Roman;serif" w:hAnsi="Times New Roman;serif"/>
          <w:b w:val="false"/>
          <w:color w:val="000000"/>
          <w:sz w:val="24"/>
        </w:rPr>
        <w:t>. The Company (i) is in compliance with any and all applicable federal, state, local and foreign laws, rules, regulations, decisions and orders relating to the protection of human health and safety, the environment or hazardous or toxic substances or wastes, pollutants or contaminants (collectively, “</w:t>
      </w:r>
      <w:r>
        <w:rPr>
          <w:rFonts w:ascii="Times New Roman;serif" w:hAnsi="Times New Roman;serif"/>
          <w:b w:val="false"/>
          <w:color w:val="000000"/>
          <w:sz w:val="24"/>
          <w:u w:val="single"/>
        </w:rPr>
        <w:t>Environmental Laws</w:t>
      </w:r>
      <w:r>
        <w:rPr>
          <w:color w:val="000000"/>
        </w:rPr>
        <w:t>”</w:t>
      </w:r>
      <w:r>
        <w:rPr>
          <w:rFonts w:ascii="Times New Roman;serif" w:hAnsi="Times New Roman;serif"/>
          <w:b w:val="false"/>
          <w:color w:val="000000"/>
          <w:sz w:val="24"/>
        </w:rPr>
        <w:t>); (ii) has received and is in compliance with all permits, licenses or other approvals required of it under applicable Environmental Laws to conduct its businesses as described in the Registration Statement and the Prospectus; and (iii) has not received notice of any actual or potential liability for the investigation or remediation of any disposal or release of hazardous or toxic substances or wastes, pollutants or contaminants, except, in the case of any of clauses (i), (ii) or (iii) above, for any such failure to comply or failure to receive required permits, licenses, other approvals or liability as would not, individually or in the aggregate, reasonably be expected to have a Material Adverse Effect.</w:t>
      </w:r>
    </w:p>
    <w:p>
      <w:pPr>
        <w:pStyle w:val="TextBody"/>
        <w:bidi w:val="0"/>
        <w:spacing w:before="0" w:after="0"/>
        <w:jc w:val="righ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385445"/>
                <wp:effectExtent l="0" t="0" r="0" b="0"/>
                <wp:wrapNone/>
                <wp:docPr id="76" name="Frame7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(bb) </w:t>
      </w:r>
      <w:r>
        <w:rPr>
          <w:rFonts w:ascii="Times New Roman;serif" w:hAnsi="Times New Roman;serif"/>
          <w:b w:val="false"/>
          <w:color w:val="000000"/>
          <w:sz w:val="24"/>
          <w:u w:val="single"/>
        </w:rPr>
        <w:t>Disclosure Controls</w:t>
      </w:r>
      <w:r>
        <w:rPr>
          <w:rFonts w:ascii="Times New Roman;serif" w:hAnsi="Times New Roman;serif"/>
          <w:b w:val="false"/>
          <w:color w:val="000000"/>
          <w:sz w:val="24"/>
        </w:rPr>
        <w:t>. The Company maintains systems of internal controls designed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is not aware of any material weaknesses in its internal control over financial reporting (other than as set forth in the Prospectus). Since the date of the latest audited financial statements of the Company included in the Prospectus, there has been no change in the Company’s internal control over financial reporting that has materially affected, or is reasonably likely to materially affect, the Company’s internal control over financial reporting (other than as set forth in the Prospectus). The Company has established disclosure controls and procedures (as defined in Exchange Act Rules 13a-15 and 15d-15) for the Company and designed such disclosure controls and procedures to ensure that material information relating to the Company is made known to the certifying officers by others within those entities, particularly during the period in which the Company’s Annual Report on Form 10-K or Quarterly Report on Form 10- Q, as the case may be, is being prepared. The Company’s certifying officers have evaluated the effectiveness of the Company’s controls and procedures as of a date within 90 days prior to the filing date of the Form 10-K for the fiscal year most recently ended (such date, the “</w:t>
      </w:r>
      <w:r>
        <w:rPr>
          <w:rFonts w:ascii="Times New Roman;serif" w:hAnsi="Times New Roman;serif"/>
          <w:b w:val="false"/>
          <w:color w:val="000000"/>
          <w:sz w:val="24"/>
          <w:u w:val="single"/>
        </w:rPr>
        <w:t>Evaluation Date</w:t>
      </w:r>
      <w:r>
        <w:rPr>
          <w:color w:val="000000"/>
        </w:rPr>
        <w:t>”</w:t>
      </w:r>
      <w:r>
        <w:rPr>
          <w:rFonts w:ascii="Times New Roman;serif" w:hAnsi="Times New Roman;serif"/>
          <w:b w:val="false"/>
          <w:color w:val="000000"/>
          <w:sz w:val="24"/>
        </w:rPr>
        <w:t>). The Company presented in its Form 10-K for the fiscal year most recently ended the conclusions of the certifying officers about the effectiveness of the disclosure controls and procedures based on their evaluations as of the Evaluation Date. Since the Evaluation Date, there have been no significant changes in the Company’s internal controls (as such term is defined in Item 307(b) of Regulation S-K under the Securities Act) or, to the Company’s knowledge, in other factors that could significantly affect the Company’s internal controls. To the knowledge of the Company, the Company’s “internal controls over financial reporting” and “disclosure controls and procedures” are effective.</w:t>
      </w:r>
    </w:p>
    <w:p>
      <w:pPr>
        <w:pStyle w:val="TextBody"/>
        <w:bidi w:val="0"/>
        <w:spacing w:lineRule="auto" w:line="288" w:before="0" w:after="240"/>
        <w:jc w:val="both"/>
        <w:rPr/>
      </w:pPr>
      <w:r>
        <w:rPr>
          <w:rFonts w:ascii="Times New Roman;serif" w:hAnsi="Times New Roman;serif"/>
          <w:b w:val="false"/>
          <w:color w:val="000000"/>
          <w:sz w:val="24"/>
        </w:rPr>
        <w:t xml:space="preserve">(cc) </w:t>
      </w:r>
      <w:r>
        <w:rPr>
          <w:rFonts w:ascii="Times New Roman;serif" w:hAnsi="Times New Roman;serif"/>
          <w:b w:val="false"/>
          <w:color w:val="000000"/>
          <w:sz w:val="24"/>
          <w:u w:val="single"/>
        </w:rPr>
        <w:t>Sarbanes-Oxley</w:t>
      </w:r>
      <w:r>
        <w:rPr>
          <w:rFonts w:ascii="Times New Roman;serif" w:hAnsi="Times New Roman;serif"/>
          <w:b w:val="false"/>
          <w:color w:val="000000"/>
          <w:sz w:val="24"/>
        </w:rPr>
        <w:t>. The Company is not aware of any failure on the part of the Company or any of the Company’s directors or officers, in their capacities as such, to comply with any applicable provisions of the Sarbanes-Oxley Act and the applicable rules and regulations promulgated thereunder in all material respects. Each of the principal executive officer and the principal financial officer of the Company (or each former principal executive officer of the Company and each former principal financial officer of the Company as applicable) has made all certifications required by Sections 302 and 906 of the Sarbanes-Oxley Act with respect to all reports, schedules, forms, statements and other documents required to be filed by it or furnished by it to the Commission during the past 12 months. For purposes of the preceding sentence, “principal executive officer” and “principal financial officer” shall have the meanings given to such terms in the Sarbanes-Oxley Act.</w:t>
      </w:r>
    </w:p>
    <w:p>
      <w:pPr>
        <w:pStyle w:val="TextBody"/>
        <w:bidi w:val="0"/>
        <w:spacing w:before="0" w:after="0"/>
        <w:jc w:val="righ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385445"/>
                <wp:effectExtent l="0" t="0" r="0" b="0"/>
                <wp:wrapNone/>
                <wp:docPr id="77" name="Frame7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(dd) </w:t>
      </w:r>
      <w:r>
        <w:rPr>
          <w:rFonts w:ascii="Times New Roman;serif" w:hAnsi="Times New Roman;serif"/>
          <w:b w:val="false"/>
          <w:color w:val="000000"/>
          <w:sz w:val="24"/>
          <w:u w:val="single"/>
        </w:rPr>
        <w:t>Finder’s Fees</w:t>
      </w:r>
      <w:r>
        <w:rPr>
          <w:rFonts w:ascii="Times New Roman;serif" w:hAnsi="Times New Roman;serif"/>
          <w:b w:val="false"/>
          <w:color w:val="000000"/>
          <w:sz w:val="24"/>
        </w:rPr>
        <w:t>. The Company has not incurred any liability for any finder’s fees, brokerage commissions or similar payments in connection with the transactions herein contemplated, except as may otherwise exist with respect to the Placement Agent pursuant to this Agreement.</w:t>
      </w:r>
    </w:p>
    <w:p>
      <w:pPr>
        <w:pStyle w:val="TextBody"/>
        <w:bidi w:val="0"/>
        <w:spacing w:lineRule="auto" w:line="288" w:before="0" w:after="240"/>
        <w:jc w:val="both"/>
        <w:rPr/>
      </w:pPr>
      <w:r>
        <w:rPr>
          <w:rFonts w:ascii="Times New Roman;serif" w:hAnsi="Times New Roman;serif"/>
          <w:b w:val="false"/>
          <w:color w:val="000000"/>
          <w:sz w:val="24"/>
        </w:rPr>
        <w:t xml:space="preserve">(ee) </w:t>
      </w:r>
      <w:r>
        <w:rPr>
          <w:rFonts w:ascii="Times New Roman;serif" w:hAnsi="Times New Roman;serif"/>
          <w:b w:val="false"/>
          <w:color w:val="000000"/>
          <w:sz w:val="24"/>
          <w:u w:val="single"/>
        </w:rPr>
        <w:t>Labor Disputes</w:t>
      </w:r>
      <w:r>
        <w:rPr>
          <w:rFonts w:ascii="Times New Roman;serif" w:hAnsi="Times New Roman;serif"/>
          <w:b w:val="false"/>
          <w:color w:val="000000"/>
          <w:sz w:val="24"/>
        </w:rPr>
        <w:t>. No labor disturbance by or dispute with employees of the Company exists or, to the knowledge of the Company, is threatened which would be reasonably likely to have a Material Adverse Effect.</w:t>
      </w:r>
    </w:p>
    <w:p>
      <w:pPr>
        <w:pStyle w:val="TextBody"/>
        <w:bidi w:val="0"/>
        <w:spacing w:lineRule="auto" w:line="288" w:before="0" w:after="240"/>
        <w:jc w:val="both"/>
        <w:rPr/>
      </w:pPr>
      <w:r>
        <w:rPr>
          <w:rFonts w:ascii="Times New Roman;serif" w:hAnsi="Times New Roman;serif"/>
          <w:b w:val="false"/>
          <w:color w:val="000000"/>
          <w:sz w:val="24"/>
        </w:rPr>
        <w:t xml:space="preserve">(ff) </w:t>
      </w:r>
      <w:r>
        <w:rPr>
          <w:rFonts w:ascii="Times New Roman;serif" w:hAnsi="Times New Roman;serif"/>
          <w:b w:val="false"/>
          <w:color w:val="000000"/>
          <w:sz w:val="24"/>
          <w:u w:val="single"/>
        </w:rPr>
        <w:t>Investment Company Act</w:t>
      </w:r>
      <w:r>
        <w:rPr>
          <w:rFonts w:ascii="Times New Roman;serif" w:hAnsi="Times New Roman;serif"/>
          <w:b w:val="false"/>
          <w:color w:val="000000"/>
          <w:sz w:val="24"/>
        </w:rPr>
        <w:t>. The Company is not or after giving effect to the offering and sale of the Securities and following the use of proceeds thereof as disclosed in the Prospectus Supplement, will not be an “investment company” or an entity “controlled” by an “investment company,” as such terms are defined in the Investment Company Act of 1940, as amended (the “</w:t>
      </w:r>
      <w:r>
        <w:rPr>
          <w:rFonts w:ascii="Times New Roman;serif" w:hAnsi="Times New Roman;serif"/>
          <w:b w:val="false"/>
          <w:color w:val="000000"/>
          <w:sz w:val="24"/>
          <w:u w:val="single"/>
        </w:rPr>
        <w:t>Investment Company Act</w:t>
      </w:r>
      <w:r>
        <w:rPr>
          <w:color w:val="000000"/>
        </w:rPr>
        <w:t>”</w:t>
      </w:r>
      <w:r>
        <w:rPr>
          <w:rFonts w:ascii="Times New Roman;serif" w:hAnsi="Times New Roman;serif"/>
          <w:b w:val="false"/>
          <w:color w:val="000000"/>
          <w:sz w:val="24"/>
        </w:rPr>
        <w:t>).</w:t>
      </w:r>
    </w:p>
    <w:p>
      <w:pPr>
        <w:pStyle w:val="TextBody"/>
        <w:bidi w:val="0"/>
        <w:spacing w:lineRule="auto" w:line="288" w:before="0" w:after="240"/>
        <w:jc w:val="both"/>
        <w:rPr/>
      </w:pPr>
      <w:r>
        <w:rPr>
          <w:rFonts w:ascii="Times New Roman;serif" w:hAnsi="Times New Roman;serif"/>
          <w:b w:val="false"/>
          <w:color w:val="000000"/>
          <w:sz w:val="24"/>
        </w:rPr>
        <w:t xml:space="preserve">(gg) </w:t>
      </w:r>
      <w:r>
        <w:rPr>
          <w:rFonts w:ascii="Times New Roman;serif" w:hAnsi="Times New Roman;serif"/>
          <w:b w:val="false"/>
          <w:color w:val="000000"/>
          <w:sz w:val="24"/>
          <w:u w:val="single"/>
        </w:rPr>
        <w:t>Operations</w:t>
      </w:r>
      <w:r>
        <w:rPr>
          <w:rFonts w:ascii="Times New Roman;serif" w:hAnsi="Times New Roman;serif"/>
          <w:b w:val="false"/>
          <w:color w:val="000000"/>
          <w:sz w:val="24"/>
        </w:rPr>
        <w:t>. The operations of the Company are and have been conducted at all times in compliance with applicable financial record keeping and reporting requirements of the Currency and Foreign Transactions Reporting Act of 1970, as amended, the money laundering statutes of all jurisdictions to which the Company is subject, the rules and regulations thereunder and any related or similar rules, regulations or guidelines, issued, administered or enforced by any governmental agency (collectively, the “</w:t>
      </w:r>
      <w:r>
        <w:rPr>
          <w:rFonts w:ascii="Times New Roman;serif" w:hAnsi="Times New Roman;serif"/>
          <w:b w:val="false"/>
          <w:color w:val="000000"/>
          <w:sz w:val="24"/>
          <w:u w:val="single"/>
        </w:rPr>
        <w:t>Money Laundering Laws</w:t>
      </w:r>
      <w:r>
        <w:rPr>
          <w:color w:val="000000"/>
        </w:rPr>
        <w:t>”</w:t>
      </w:r>
      <w:r>
        <w:rPr>
          <w:rFonts w:ascii="Times New Roman;serif" w:hAnsi="Times New Roman;serif"/>
          <w:b w:val="false"/>
          <w:color w:val="000000"/>
          <w:sz w:val="24"/>
        </w:rPr>
        <w:t>), except as would not have a Material Adverse Effect; and no action, suit or proceeding by or before any court or governmental agency, authority or body or any arbitrator involving the Company with respect to the Money Laundering Laws is pending or, to the knowledge of the Company, threatened.</w:t>
      </w:r>
    </w:p>
    <w:p>
      <w:pPr>
        <w:pStyle w:val="TextBody"/>
        <w:bidi w:val="0"/>
        <w:spacing w:lineRule="auto" w:line="288" w:before="0" w:after="240"/>
        <w:jc w:val="both"/>
        <w:rPr/>
      </w:pPr>
      <w:r>
        <w:rPr>
          <w:rFonts w:ascii="Times New Roman;serif" w:hAnsi="Times New Roman;serif"/>
          <w:b w:val="false"/>
          <w:color w:val="000000"/>
          <w:sz w:val="24"/>
        </w:rPr>
        <w:t xml:space="preserve">(hh) </w:t>
      </w:r>
      <w:r>
        <w:rPr>
          <w:rFonts w:ascii="Times New Roman;serif" w:hAnsi="Times New Roman;serif"/>
          <w:b w:val="false"/>
          <w:color w:val="000000"/>
          <w:sz w:val="24"/>
          <w:u w:val="single"/>
        </w:rPr>
        <w:t>Off-Balance Sheet Arrangements</w:t>
      </w:r>
      <w:r>
        <w:rPr>
          <w:rFonts w:ascii="Times New Roman;serif" w:hAnsi="Times New Roman;serif"/>
          <w:b w:val="false"/>
          <w:color w:val="000000"/>
          <w:sz w:val="24"/>
        </w:rPr>
        <w:t>. There are no transactions, arrangements and other relationships between and/or among the Company, and/or, to the knowledge of the Company, any of its affiliates and any unconsolidated entity, including, but not limited to, any structural finance, special purpose or limited purpose entity (each, an “</w:t>
      </w:r>
      <w:r>
        <w:rPr>
          <w:rFonts w:ascii="Times New Roman;serif" w:hAnsi="Times New Roman;serif"/>
          <w:b w:val="false"/>
          <w:color w:val="000000"/>
          <w:sz w:val="24"/>
          <w:u w:val="single"/>
        </w:rPr>
        <w:t>Off Balance Sheet Transaction</w:t>
      </w:r>
      <w:r>
        <w:rPr>
          <w:color w:val="000000"/>
        </w:rPr>
        <w:t>”</w:t>
      </w:r>
      <w:r>
        <w:rPr>
          <w:rFonts w:ascii="Times New Roman;serif" w:hAnsi="Times New Roman;serif"/>
          <w:b w:val="false"/>
          <w:color w:val="000000"/>
          <w:sz w:val="24"/>
        </w:rPr>
        <w:t>) that could reasonably be expected to affect materially the Company’s liquidity or the availability of or requirements for its capital resources, including those Off Balance Sheet Transactions described in the Commission’s Statement about Management’s Discussion and Analysis of Financial Conditions and Results of Operations (Release Nos. 33-8056; 34-45321; FR-61), required to be described in the Prospectus which have not been described as required.</w:t>
      </w:r>
    </w:p>
    <w:p>
      <w:pPr>
        <w:pStyle w:val="TextBody"/>
        <w:bidi w:val="0"/>
        <w:spacing w:lineRule="auto" w:line="288" w:before="0" w:after="240"/>
        <w:jc w:val="both"/>
        <w:rPr/>
      </w:pPr>
      <w:r>
        <w:rPr>
          <w:rFonts w:ascii="Times New Roman;serif" w:hAnsi="Times New Roman;serif"/>
          <w:b w:val="false"/>
          <w:color w:val="000000"/>
          <w:sz w:val="24"/>
        </w:rPr>
        <w:t>(ii)</w:t>
      </w:r>
      <w:r>
        <w:rPr>
          <w:color w:val="000000"/>
          <w:u w:val="single"/>
        </w:rPr>
        <w:t xml:space="preserve"> </w:t>
      </w:r>
      <w:r>
        <w:rPr>
          <w:rFonts w:ascii="Times New Roman;serif" w:hAnsi="Times New Roman;serif"/>
          <w:b w:val="false"/>
          <w:color w:val="000000"/>
          <w:sz w:val="24"/>
          <w:u w:val="single"/>
        </w:rPr>
        <w:t>Other Agreements</w:t>
      </w:r>
      <w:r>
        <w:rPr>
          <w:rFonts w:ascii="Times New Roman;serif" w:hAnsi="Times New Roman;serif"/>
          <w:b w:val="false"/>
          <w:color w:val="000000"/>
          <w:sz w:val="24"/>
        </w:rPr>
        <w:t>. Other than with respect to this Agreement, the Company is not a party to any agreement with a placement agent for the transactions contemplated herein.</w:t>
      </w:r>
    </w:p>
    <w:p>
      <w:pPr>
        <w:pStyle w:val="TextBody"/>
        <w:bidi w:val="0"/>
        <w:spacing w:before="0" w:after="0"/>
        <w:jc w:val="righ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385445"/>
                <wp:effectExtent l="0" t="0" r="0" b="0"/>
                <wp:wrapNone/>
                <wp:docPr id="78" name="Frame7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(jj) </w:t>
      </w:r>
      <w:r>
        <w:rPr>
          <w:rFonts w:ascii="Times New Roman;serif" w:hAnsi="Times New Roman;serif"/>
          <w:b w:val="false"/>
          <w:color w:val="000000"/>
          <w:sz w:val="24"/>
          <w:u w:val="single"/>
        </w:rPr>
        <w:t>ERISA</w:t>
      </w:r>
      <w:r>
        <w:rPr>
          <w:rFonts w:ascii="Times New Roman;serif" w:hAnsi="Times New Roman;serif"/>
          <w:b w:val="false"/>
          <w:color w:val="000000"/>
          <w:sz w:val="24"/>
        </w:rPr>
        <w:t>. To the knowledge of the Company, each material employee benefit plan, within the meaning of Section 3(3) of the Employee Retirement Income Security Act of 1974, as amended (“</w:t>
      </w:r>
      <w:r>
        <w:rPr>
          <w:rFonts w:ascii="Times New Roman;serif" w:hAnsi="Times New Roman;serif"/>
          <w:b w:val="false"/>
          <w:color w:val="000000"/>
          <w:sz w:val="24"/>
          <w:u w:val="single"/>
        </w:rPr>
        <w:t>ERISA</w:t>
      </w:r>
      <w:r>
        <w:rPr>
          <w:color w:val="000000"/>
        </w:rPr>
        <w:t>”</w:t>
      </w:r>
      <w:r>
        <w:rPr>
          <w:rFonts w:ascii="Times New Roman;serif" w:hAnsi="Times New Roman;serif"/>
          <w:b w:val="false"/>
          <w:color w:val="000000"/>
          <w:sz w:val="24"/>
        </w:rPr>
        <w:t>), that is maintained, administered or contributed to by the Company or any of its affiliates for employees or former employees of the Company has been maintained in material compliance with its terms and the requirements of any applicable statutes, orders, rules and regulations, including but not limited to ERISA and the Internal Revenue Code of 1986, as amended (the “</w:t>
      </w:r>
      <w:r>
        <w:rPr>
          <w:rFonts w:ascii="Times New Roman;serif" w:hAnsi="Times New Roman;serif"/>
          <w:b w:val="false"/>
          <w:color w:val="000000"/>
          <w:sz w:val="24"/>
          <w:u w:val="single"/>
        </w:rPr>
        <w:t>Code</w:t>
      </w:r>
      <w:r>
        <w:rPr>
          <w:color w:val="000000"/>
        </w:rPr>
        <w:t>”</w:t>
      </w:r>
      <w:r>
        <w:rPr>
          <w:rFonts w:ascii="Times New Roman;serif" w:hAnsi="Times New Roman;serif"/>
          <w:b w:val="false"/>
          <w:color w:val="000000"/>
          <w:sz w:val="24"/>
        </w:rPr>
        <w:t>); no prohibited transaction, within the meaning of Section 406 of ERISA or Section 4975 of the Code, has occurred which would result in a material liability to the Company with respect to any such plan excluding transactions effected pursuant to a statutory or administrative exemption; and for each such plan that is subject to the funding rules of Section 412 of the Code or Section 302 of ERISA, no “accumulated funding deficiency” as defined in Section 412 of the Code has been incurred, whether or not waived, and the fair market value of the assets of each such plan (excluding for these purposes accrued but unpaid contributions) exceeds the present value of all benefits accrued under such plan determined using reasonable actuarial assumptions.</w:t>
      </w:r>
    </w:p>
    <w:p>
      <w:pPr>
        <w:pStyle w:val="TextBody"/>
        <w:bidi w:val="0"/>
        <w:spacing w:lineRule="auto" w:line="288" w:before="0" w:after="240"/>
        <w:jc w:val="both"/>
        <w:rPr/>
      </w:pPr>
      <w:r>
        <w:rPr>
          <w:rFonts w:ascii="Times New Roman;serif" w:hAnsi="Times New Roman;serif"/>
          <w:b w:val="false"/>
          <w:color w:val="000000"/>
          <w:sz w:val="24"/>
        </w:rPr>
        <w:t xml:space="preserve">(kk) </w:t>
      </w:r>
      <w:r>
        <w:rPr>
          <w:rFonts w:ascii="Times New Roman;serif" w:hAnsi="Times New Roman;serif"/>
          <w:b w:val="false"/>
          <w:color w:val="000000"/>
          <w:sz w:val="24"/>
          <w:u w:val="single"/>
        </w:rPr>
        <w:t>Forward Looking Statements</w:t>
      </w:r>
      <w:r>
        <w:rPr>
          <w:rFonts w:ascii="Times New Roman;serif" w:hAnsi="Times New Roman;serif"/>
          <w:b w:val="false"/>
          <w:color w:val="000000"/>
          <w:sz w:val="24"/>
        </w:rPr>
        <w:t>. No forward-looking statement (within the meaning of Section 27A of the Securities Act and Section 21E of the Exchange Act) (a “Forward Looking Statement”) contained in the Registration Statement and the Prospectus has been made or reaffirmed without a reasonable basis or has been disclosed other than in good faith. The Forward Looking Statements incorporated by reference in the Registration Statement and the Prospectus from the Company’s Annual Report on Form 10-K for the fiscal year most recently ended and otherwise (i) are within the coverage of the safe harbor for forward looking statements set forth in Section 27A of the Securities Act, Rule 175(b) under the Securities Act or Rule 3b-6 under the Exchange Act, as applicable, (ii) were made by the Company with a reasonable basis and in good faith and reflect the Company’s good faith commercially reasonable best estimate of the matters described therein, and (iii) have been prepared in accordance with Item 10 of Regulation S-K under the Securities Act.</w:t>
      </w:r>
    </w:p>
    <w:p>
      <w:pPr>
        <w:pStyle w:val="TextBody"/>
        <w:bidi w:val="0"/>
        <w:spacing w:lineRule="auto" w:line="288" w:before="0" w:after="240"/>
        <w:jc w:val="both"/>
        <w:rPr/>
      </w:pPr>
      <w:r>
        <w:rPr>
          <w:rFonts w:ascii="Times New Roman;serif" w:hAnsi="Times New Roman;serif"/>
          <w:b w:val="false"/>
          <w:color w:val="000000"/>
          <w:sz w:val="24"/>
        </w:rPr>
        <w:t xml:space="preserve">(ll) </w:t>
      </w:r>
      <w:r>
        <w:rPr>
          <w:rFonts w:ascii="Times New Roman;serif" w:hAnsi="Times New Roman;serif"/>
          <w:b w:val="false"/>
          <w:color w:val="000000"/>
          <w:sz w:val="24"/>
          <w:u w:val="single"/>
        </w:rPr>
        <w:t>[</w:t>
      </w:r>
      <w:r>
        <w:rPr>
          <w:rFonts w:ascii="Times New Roman;serif" w:hAnsi="Times New Roman;serif"/>
          <w:b w:val="false"/>
          <w:color w:val="000000"/>
          <w:sz w:val="24"/>
        </w:rPr>
        <w:t>Reserved]</w:t>
      </w:r>
    </w:p>
    <w:p>
      <w:pPr>
        <w:pStyle w:val="TextBody"/>
        <w:bidi w:val="0"/>
        <w:spacing w:lineRule="auto" w:line="288" w:before="0" w:after="240"/>
        <w:jc w:val="both"/>
        <w:rPr/>
      </w:pPr>
      <w:r>
        <w:rPr>
          <w:rFonts w:ascii="Times New Roman;serif" w:hAnsi="Times New Roman;serif"/>
          <w:b w:val="false"/>
          <w:color w:val="000000"/>
          <w:sz w:val="24"/>
        </w:rPr>
        <w:t xml:space="preserve">(mm) </w:t>
      </w:r>
      <w:r>
        <w:rPr>
          <w:rFonts w:ascii="Times New Roman;serif" w:hAnsi="Times New Roman;serif"/>
          <w:b w:val="false"/>
          <w:color w:val="000000"/>
          <w:sz w:val="24"/>
          <w:u w:val="single"/>
        </w:rPr>
        <w:t>Margin Rules</w:t>
      </w:r>
      <w:r>
        <w:rPr>
          <w:rFonts w:ascii="Times New Roman;serif" w:hAnsi="Times New Roman;serif"/>
          <w:b w:val="false"/>
          <w:color w:val="000000"/>
          <w:sz w:val="24"/>
        </w:rPr>
        <w:t>. Neither the issuance, sale and delivery of the Securities nor the application of the proceeds thereof by the Company as described in the Registration Statement and the Prospectus will violate Regulation T, U or X of the Board of Governors of the Federal Reserve System or any other regulation of such Board of Governors.</w:t>
      </w:r>
    </w:p>
    <w:p>
      <w:pPr>
        <w:pStyle w:val="TextBody"/>
        <w:bidi w:val="0"/>
        <w:spacing w:lineRule="auto" w:line="288" w:before="0" w:after="240"/>
        <w:jc w:val="both"/>
        <w:rPr/>
      </w:pPr>
      <w:r>
        <w:rPr>
          <w:rFonts w:ascii="Times New Roman;serif" w:hAnsi="Times New Roman;serif"/>
          <w:b w:val="false"/>
          <w:color w:val="000000"/>
          <w:sz w:val="24"/>
        </w:rPr>
        <w:t xml:space="preserve">(nn) </w:t>
      </w:r>
      <w:r>
        <w:rPr>
          <w:rFonts w:ascii="Times New Roman;serif" w:hAnsi="Times New Roman;serif"/>
          <w:b w:val="false"/>
          <w:color w:val="000000"/>
          <w:sz w:val="24"/>
          <w:u w:val="single"/>
        </w:rPr>
        <w:t>Insurance</w:t>
      </w:r>
      <w:r>
        <w:rPr>
          <w:rFonts w:ascii="Times New Roman;serif" w:hAnsi="Times New Roman;serif"/>
          <w:b w:val="false"/>
          <w:color w:val="000000"/>
          <w:sz w:val="24"/>
        </w:rPr>
        <w:t>. The Company carries, or is covered by, insurance in such amounts and covering such risks as the Company reasonably believes is adequate for the conduct of its business and as is customary for companies engaged in similar businesses in similar industries.</w:t>
      </w:r>
    </w:p>
    <w:p>
      <w:pPr>
        <w:pStyle w:val="TextBody"/>
        <w:bidi w:val="0"/>
        <w:spacing w:before="0" w:after="0"/>
        <w:jc w:val="righ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385445"/>
                <wp:effectExtent l="0" t="0" r="0" b="0"/>
                <wp:wrapNone/>
                <wp:docPr id="79" name="Frame7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(oo) </w:t>
      </w:r>
      <w:r>
        <w:rPr>
          <w:rFonts w:ascii="Times New Roman;serif" w:hAnsi="Times New Roman;serif"/>
          <w:b w:val="false"/>
          <w:color w:val="000000"/>
          <w:sz w:val="24"/>
          <w:u w:val="single"/>
        </w:rPr>
        <w:t>No Improper Practices</w:t>
      </w:r>
      <w:r>
        <w:rPr>
          <w:rFonts w:ascii="Times New Roman;serif" w:hAnsi="Times New Roman;serif"/>
          <w:b w:val="false"/>
          <w:color w:val="000000"/>
          <w:sz w:val="24"/>
        </w:rPr>
        <w:t>. (i) Neither the Company, nor to the Company’s knowledge, any of its executive officers has, in the past five years, made any unlawful contributions to any candidate for any political office (or failed fully to disclose any contribution in violation of law) or made any contribution or other payment to any official of, or candidate for, any federal, state, municipal, or foreign office or other person charged with similar public or quasi-public duty in violation of any law or of the character required to be disclosed in the Prospectus; (ii) no relationship, direct or indirect, exists between or among the Company or, to the Company’s knowledge, any affiliate of the Company, on the one hand, and the directors, officers and stockholders of the Company, that is required by the Securities Act to be described in the Registration Statement and the Prospectus that is not so described; (iii) no relationship, direct or indirect, exists between or among the Company, or any affiliate of the Company, on the one hand, and the directors, officers, stockholders or directors of the Company that is required by the rules of FINRA to be described in the Registration Statement and the Prospectus that is not so described; (iv) there are no material outstanding loans or advances or material guarantees of indebtedness by the Company to or for the benefit of any of its officers or directors or any of the members of the families of any of them; (v) the Company has not offered, or caused any placement agent to offer, Common Stock to any person with the intent to influence unlawfully (A) a customer or supplier of the Company to alter the customer’s or supplier’s level or type of business with the Company or (B) a trade journalist or publication to write or publish favorable information about the Company or any of its products or services, and, (vi) neither the Company nor, to the Company’s knowledge, any employee or agent of the Company has made any payment of funds of the Company or received or retained any funds in violation of any law, rule or regulation (including, without limitation, the Foreign Corrupt Practices Act of 1977, which payment, receipt or retention of funds is of a character required to be disclosed in the Registration Statement or the Prospectus).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(pp) [Reserved].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(qq) [Reserved].</w:t>
      </w:r>
    </w:p>
    <w:p>
      <w:pPr>
        <w:pStyle w:val="TextBody"/>
        <w:bidi w:val="0"/>
        <w:spacing w:lineRule="auto" w:line="288" w:before="0" w:after="240"/>
        <w:jc w:val="both"/>
        <w:rPr/>
      </w:pPr>
      <w:r>
        <w:rPr>
          <w:rFonts w:ascii="Times New Roman;serif" w:hAnsi="Times New Roman;serif"/>
          <w:b w:val="false"/>
          <w:color w:val="000000"/>
          <w:sz w:val="24"/>
        </w:rPr>
        <w:t xml:space="preserve">(rr) </w:t>
      </w:r>
      <w:r>
        <w:rPr>
          <w:rFonts w:ascii="Times New Roman;serif" w:hAnsi="Times New Roman;serif"/>
          <w:b w:val="false"/>
          <w:color w:val="000000"/>
          <w:sz w:val="24"/>
          <w:u w:val="single"/>
        </w:rPr>
        <w:t>Status Under the Securities Act</w:t>
      </w:r>
      <w:r>
        <w:rPr>
          <w:rFonts w:ascii="Times New Roman;serif" w:hAnsi="Times New Roman;serif"/>
          <w:b w:val="false"/>
          <w:color w:val="000000"/>
          <w:sz w:val="24"/>
        </w:rPr>
        <w:t>. The Company was not and is not an ineligible issuer as defined in Rule 405 under the Securities Act at the times specified in Rules 164 and 433 under the Securities Act in connection with the offering of the Securities.</w:t>
      </w:r>
    </w:p>
    <w:p>
      <w:pPr>
        <w:pStyle w:val="TextBody"/>
        <w:bidi w:val="0"/>
        <w:spacing w:lineRule="auto" w:line="288" w:before="0" w:after="240"/>
        <w:jc w:val="both"/>
        <w:rPr/>
      </w:pPr>
      <w:r>
        <w:rPr>
          <w:rFonts w:ascii="Times New Roman;serif" w:hAnsi="Times New Roman;serif"/>
          <w:b w:val="false"/>
          <w:color w:val="000000"/>
          <w:sz w:val="24"/>
        </w:rPr>
        <w:t xml:space="preserve">(ss) </w:t>
      </w:r>
      <w:r>
        <w:rPr>
          <w:rFonts w:ascii="Times New Roman;serif" w:hAnsi="Times New Roman;serif"/>
          <w:b w:val="false"/>
          <w:color w:val="000000"/>
          <w:sz w:val="24"/>
          <w:u w:val="single"/>
        </w:rPr>
        <w:t>No Misstatement or Omission in an Issuer Free Writing Prospectus</w:t>
      </w:r>
      <w:r>
        <w:rPr>
          <w:rFonts w:ascii="Times New Roman;serif" w:hAnsi="Times New Roman;serif"/>
          <w:b w:val="false"/>
          <w:color w:val="000000"/>
          <w:sz w:val="24"/>
        </w:rPr>
        <w:t>. Each issuer free writing prospectus, as of its issue date and as of date hereof, at the time of sale, and at the Closing Date, did not, does not and will not include any information that conflicted, conflicts or will conflict with the information contained in the Registration Statement or the Prospectus, including any incorporated document deemed to be a part thereof that has not been superseded or modified. The foregoing sentence does not apply to statements in or omissions from any issuer free writing prospectus based upon and in conformity with written information furnished to the Company by the Placement Agent specifically for use therein.</w:t>
      </w:r>
    </w:p>
    <w:p>
      <w:pPr>
        <w:pStyle w:val="TextBody"/>
        <w:bidi w:val="0"/>
        <w:spacing w:before="0" w:after="0"/>
        <w:jc w:val="righ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385445"/>
                <wp:effectExtent l="0" t="0" r="0" b="0"/>
                <wp:wrapNone/>
                <wp:docPr id="80" name="Frame7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(tt) </w:t>
      </w:r>
      <w:r>
        <w:rPr>
          <w:rFonts w:ascii="Times New Roman;serif" w:hAnsi="Times New Roman;serif"/>
          <w:b w:val="false"/>
          <w:color w:val="000000"/>
          <w:sz w:val="24"/>
          <w:u w:val="single"/>
        </w:rPr>
        <w:t>No Conflicts</w:t>
      </w:r>
      <w:r>
        <w:rPr>
          <w:rFonts w:ascii="Times New Roman;serif" w:hAnsi="Times New Roman;serif"/>
          <w:b w:val="false"/>
          <w:color w:val="000000"/>
          <w:sz w:val="24"/>
        </w:rPr>
        <w:t>. Neither the execution of this Agreement, nor the issuance, offering or sale of the Securities, nor the consummation of any of the transactions contemplated herein and therein, nor the compliance by the Company with the terms and provisions hereof and thereof will conflict with, or will result in a breach of, any of the terms and provisions of, or has constituted or will constitute a default under, or has resulted in or will result in the creation or imposition of any lien, charge or encumbrance upon any property or assets of the Company pursuant to the terms of any contract or other agreement to which the Company may be bound or to which any of the property or assets of the Company is subject, except (i) such conflicts, breaches or defaults as may have been waived and (ii) such conflicts, breaches and defaults that would not reasonably be expected to have a Material Adverse Effect; nor will such action result (x) in any violation of the provisions of the organizational or governing documents of the Company, or (y) in any material violation of the provisions of any statute or any order, rule or regulation applicable to the Company or of any court or of any federal, state or other regulatory authority or other government body having jurisdiction over the Company.</w:t>
      </w:r>
    </w:p>
    <w:p>
      <w:pPr>
        <w:pStyle w:val="TextBody"/>
        <w:bidi w:val="0"/>
        <w:spacing w:lineRule="auto" w:line="288" w:before="0" w:after="240"/>
        <w:jc w:val="both"/>
        <w:rPr/>
      </w:pPr>
      <w:r>
        <w:rPr>
          <w:rFonts w:ascii="Times New Roman;serif" w:hAnsi="Times New Roman;serif"/>
          <w:b w:val="false"/>
          <w:color w:val="000000"/>
          <w:sz w:val="24"/>
        </w:rPr>
        <w:t xml:space="preserve">(uu) </w:t>
      </w:r>
      <w:r>
        <w:rPr>
          <w:rFonts w:ascii="Times New Roman;serif" w:hAnsi="Times New Roman;serif"/>
          <w:b w:val="false"/>
          <w:color w:val="000000"/>
          <w:sz w:val="24"/>
          <w:u w:val="single"/>
        </w:rPr>
        <w:t>OFAC</w:t>
      </w:r>
      <w:r>
        <w:rPr>
          <w:rFonts w:ascii="Times New Roman;serif" w:hAnsi="Times New Roman;serif"/>
          <w:b w:val="false"/>
          <w:color w:val="000000"/>
          <w:sz w:val="24"/>
        </w:rPr>
        <w:t>. Neither the Company or any director, officer, agent, employee, affiliate or representative of the Company is a government, individual or entity (in this paragraph (uu), “</w:t>
      </w:r>
      <w:r>
        <w:rPr>
          <w:rFonts w:ascii="Times New Roman;serif" w:hAnsi="Times New Roman;serif"/>
          <w:b w:val="false"/>
          <w:color w:val="000000"/>
          <w:sz w:val="24"/>
          <w:u w:val="single"/>
        </w:rPr>
        <w:t>Person</w:t>
      </w:r>
      <w:r>
        <w:rPr>
          <w:color w:val="000000"/>
        </w:rPr>
        <w:t>”</w:t>
      </w:r>
      <w:r>
        <w:rPr>
          <w:rFonts w:ascii="Times New Roman;serif" w:hAnsi="Times New Roman;serif"/>
          <w:b w:val="false"/>
          <w:color w:val="000000"/>
          <w:sz w:val="24"/>
        </w:rPr>
        <w:t>) that is, or is owned or controlled by a Person that is, currently subject to any U.S. sanctions administered by the Office of Foreign Assets Control of the U.S. Department of the Treasury (“</w:t>
      </w:r>
      <w:r>
        <w:rPr>
          <w:rFonts w:ascii="Times New Roman;serif" w:hAnsi="Times New Roman;serif"/>
          <w:b w:val="false"/>
          <w:color w:val="000000"/>
          <w:sz w:val="24"/>
          <w:u w:val="single"/>
        </w:rPr>
        <w:t>OFAC</w:t>
      </w:r>
      <w:r>
        <w:rPr>
          <w:color w:val="000000"/>
        </w:rPr>
        <w:t>”</w:t>
      </w:r>
      <w:r>
        <w:rPr>
          <w:rFonts w:ascii="Times New Roman;serif" w:hAnsi="Times New Roman;serif"/>
          <w:b w:val="false"/>
          <w:color w:val="000000"/>
          <w:sz w:val="24"/>
        </w:rPr>
        <w:t>), the United Nations Security Council (“</w:t>
      </w:r>
      <w:r>
        <w:rPr>
          <w:rFonts w:ascii="Times New Roman;serif" w:hAnsi="Times New Roman;serif"/>
          <w:b w:val="false"/>
          <w:color w:val="000000"/>
          <w:sz w:val="24"/>
          <w:u w:val="single"/>
        </w:rPr>
        <w:t>UNSC</w:t>
      </w:r>
      <w:r>
        <w:rPr>
          <w:color w:val="000000"/>
        </w:rPr>
        <w:t>”</w:t>
      </w:r>
      <w:r>
        <w:rPr>
          <w:rFonts w:ascii="Times New Roman;serif" w:hAnsi="Times New Roman;serif"/>
          <w:b w:val="false"/>
          <w:color w:val="000000"/>
          <w:sz w:val="24"/>
        </w:rPr>
        <w:t>), the European Union (“</w:t>
      </w:r>
      <w:r>
        <w:rPr>
          <w:rFonts w:ascii="Times New Roman;serif" w:hAnsi="Times New Roman;serif"/>
          <w:b w:val="false"/>
          <w:color w:val="000000"/>
          <w:sz w:val="24"/>
          <w:u w:val="single"/>
        </w:rPr>
        <w:t>EU</w:t>
      </w:r>
      <w:r>
        <w:rPr>
          <w:color w:val="000000"/>
        </w:rPr>
        <w:t>”</w:t>
      </w:r>
      <w:r>
        <w:rPr>
          <w:rFonts w:ascii="Times New Roman;serif" w:hAnsi="Times New Roman;serif"/>
          <w:b w:val="false"/>
          <w:color w:val="000000"/>
          <w:sz w:val="24"/>
        </w:rPr>
        <w:t>), His Majesty’s Treasury (“</w:t>
      </w:r>
      <w:r>
        <w:rPr>
          <w:rFonts w:ascii="Times New Roman;serif" w:hAnsi="Times New Roman;serif"/>
          <w:b w:val="false"/>
          <w:color w:val="000000"/>
          <w:sz w:val="24"/>
          <w:u w:val="single"/>
        </w:rPr>
        <w:t>HMT</w:t>
      </w:r>
      <w:r>
        <w:rPr>
          <w:color w:val="000000"/>
        </w:rPr>
        <w:t>”</w:t>
      </w:r>
      <w:r>
        <w:rPr>
          <w:rFonts w:ascii="Times New Roman;serif" w:hAnsi="Times New Roman;serif"/>
          <w:b w:val="false"/>
          <w:color w:val="000000"/>
          <w:sz w:val="24"/>
        </w:rPr>
        <w:t>), or other relevant sanctions authority (collectively, “</w:t>
      </w:r>
      <w:r>
        <w:rPr>
          <w:rFonts w:ascii="Times New Roman;serif" w:hAnsi="Times New Roman;serif"/>
          <w:b w:val="false"/>
          <w:color w:val="000000"/>
          <w:sz w:val="24"/>
          <w:u w:val="single"/>
        </w:rPr>
        <w:t>Sanctions</w:t>
      </w:r>
      <w:r>
        <w:rPr>
          <w:color w:val="000000"/>
        </w:rPr>
        <w:t>”</w:t>
      </w:r>
      <w:r>
        <w:rPr>
          <w:rFonts w:ascii="Times New Roman;serif" w:hAnsi="Times New Roman;serif"/>
          <w:b w:val="false"/>
          <w:color w:val="000000"/>
          <w:sz w:val="24"/>
        </w:rPr>
        <w:t>), nor located, organized or resident in a country or territory that is the subject of Sanctions; provided however, that for the purposes of this paragraph (uu), no person shall be an affiliate of the Company solely by reason of owning less than a majority of any class of voting securities of the Company. The Company will not directly or indirectly use the proceeds of the offering of the Securities hereunder, or lend, contribute or otherwise make available such proceeds to any subsidiary, joint venture partner or other person or entity, for the purpose of financing the activities of any person currently subject to any U.S. sanctions administered by OFAC. The Company represents and covenants that, except as detailed in the Prospectus, for the past 5 years, the Company has not knowingly engaged in, is not now knowingly engaged in, and will not engage in, any dealings or transactions with any Person, or in any country or territory, that at the time of the dealing or transaction is or was the subject of Sanctions.</w:t>
      </w:r>
    </w:p>
    <w:p>
      <w:pPr>
        <w:pStyle w:val="TextBody"/>
        <w:bidi w:val="0"/>
        <w:spacing w:lineRule="auto" w:line="288" w:before="0" w:after="240"/>
        <w:jc w:val="both"/>
        <w:rPr/>
      </w:pPr>
      <w:r>
        <w:rPr>
          <w:rFonts w:ascii="Times New Roman;serif" w:hAnsi="Times New Roman;serif"/>
          <w:b w:val="false"/>
          <w:color w:val="000000"/>
          <w:sz w:val="24"/>
        </w:rPr>
        <w:t xml:space="preserve">(vv) </w:t>
      </w:r>
      <w:r>
        <w:rPr>
          <w:rFonts w:ascii="Times New Roman;serif" w:hAnsi="Times New Roman;serif"/>
          <w:b w:val="false"/>
          <w:color w:val="000000"/>
          <w:sz w:val="24"/>
          <w:u w:val="single"/>
        </w:rPr>
        <w:t>Stock Transfer Taxes</w:t>
      </w:r>
      <w:r>
        <w:rPr>
          <w:rFonts w:ascii="Times New Roman;serif" w:hAnsi="Times New Roman;serif"/>
          <w:b w:val="false"/>
          <w:color w:val="000000"/>
          <w:sz w:val="24"/>
        </w:rPr>
        <w:t>. All stock transfer or other taxes (other than income taxes) which are required to be paid in connection with the sale and transfer of the Securities to be sold hereunder will be, or will have been, fully paid or provided for by the Company and all laws imposing such taxes will be or will have been fully complied with.</w:t>
      </w:r>
    </w:p>
    <w:p>
      <w:pPr>
        <w:pStyle w:val="TextBody"/>
        <w:bidi w:val="0"/>
        <w:spacing w:before="0" w:after="0"/>
        <w:jc w:val="righ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385445"/>
                <wp:effectExtent l="0" t="0" r="0" b="0"/>
                <wp:wrapNone/>
                <wp:docPr id="81" name="Frame8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(ww) </w:t>
      </w:r>
      <w:r>
        <w:rPr>
          <w:rFonts w:ascii="Times New Roman;serif" w:hAnsi="Times New Roman;serif"/>
          <w:b w:val="false"/>
          <w:color w:val="000000"/>
          <w:sz w:val="24"/>
          <w:u w:val="single"/>
        </w:rPr>
        <w:t>Cybersecurity</w:t>
      </w:r>
      <w:r>
        <w:rPr>
          <w:rFonts w:ascii="Times New Roman;serif" w:hAnsi="Times New Roman;serif"/>
          <w:b w:val="false"/>
          <w:color w:val="000000"/>
          <w:sz w:val="24"/>
        </w:rPr>
        <w:t>. To the knowledge of the Company and except as disclosed in the Company’s public filings on EDGAR, (i)(x) there has been no security breach or other compromise of or relating to any of the Company’s or any subsidiary’s information technology and computer systems, networks, hardware, software, data (including the data of its respective customers, employees, suppliers, vendors and any third party data maintained by or on behalf of it), equipment or technology (collectively, “</w:t>
      </w:r>
      <w:r>
        <w:rPr>
          <w:rFonts w:ascii="Times New Roman;serif" w:hAnsi="Times New Roman;serif"/>
          <w:b w:val="false"/>
          <w:color w:val="000000"/>
          <w:sz w:val="24"/>
          <w:u w:val="single"/>
        </w:rPr>
        <w:t>IT Systems and Data</w:t>
      </w:r>
      <w:r>
        <w:rPr>
          <w:color w:val="000000"/>
        </w:rPr>
        <w:t>”</w:t>
      </w:r>
      <w:r>
        <w:rPr>
          <w:rFonts w:ascii="Times New Roman;serif" w:hAnsi="Times New Roman;serif"/>
          <w:b w:val="false"/>
          <w:color w:val="000000"/>
          <w:sz w:val="24"/>
        </w:rPr>
        <w:t>) and (y) the Company and the subsidiaries have not been notified of, and has no knowledge of any event or condition that would reasonably be expected to result in, any security breach or other compromise to its IT Systems and Data; (ii) the Company and the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(iii) the Company and the subsidiaries have implemented and maintained commercially reasonable safeguards to maintain and protect its material confidential information and the integrity, continuous operation, redundancy and security of all IT Systems and Data; and (iv) the Company and the subsidiaries have implemented backup and disaster recovery technology consistent with industry standards and practices.</w:t>
      </w:r>
    </w:p>
    <w:p>
      <w:pPr>
        <w:pStyle w:val="TextBody"/>
        <w:bidi w:val="0"/>
        <w:spacing w:lineRule="auto" w:line="288" w:before="0" w:after="240"/>
        <w:jc w:val="both"/>
        <w:rPr/>
      </w:pPr>
      <w:r>
        <w:rPr>
          <w:rFonts w:ascii="Times New Roman;serif" w:hAnsi="Times New Roman;serif"/>
          <w:b w:val="false"/>
          <w:color w:val="000000"/>
          <w:sz w:val="24"/>
        </w:rPr>
        <w:t>(xx)</w:t>
      </w:r>
      <w:r>
        <w:rPr>
          <w:color w:val="000000"/>
          <w:u w:val="single"/>
        </w:rPr>
        <w:t> </w:t>
      </w:r>
      <w:r>
        <w:rPr>
          <w:rFonts w:ascii="Times New Roman;serif" w:hAnsi="Times New Roman;serif"/>
          <w:b w:val="false"/>
          <w:color w:val="000000"/>
          <w:sz w:val="24"/>
          <w:u w:val="single"/>
        </w:rPr>
        <w:t>Crypto Assets and Related Third-Party Arrangements</w:t>
      </w:r>
      <w:r>
        <w:rPr>
          <w:rFonts w:ascii="Times New Roman;serif" w:hAnsi="Times New Roman;serif"/>
          <w:b w:val="false"/>
          <w:color w:val="000000"/>
          <w:sz w:val="24"/>
        </w:rPr>
        <w: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 The Company owns, directly or indirectly, and has good and valid title to all material Crypto Assets (as defined below) reflected in its financial statements or otherwise held in connection with its business, free and clear of all liens, encumbrances, pledges, and security interests, other than as disclosed in the Prospectus Supplement.</w:t>
      </w:r>
    </w:p>
    <w:p>
      <w:pPr>
        <w:pStyle w:val="TextBody"/>
        <w:bidi w:val="0"/>
        <w:spacing w:lineRule="auto" w:line="288" w:before="0" w:after="240"/>
        <w:jc w:val="both"/>
        <w:rPr/>
      </w:pPr>
      <w:r>
        <w:rPr>
          <w:rFonts w:ascii="Times New Roman;serif" w:hAnsi="Times New Roman;serif"/>
          <w:b w:val="false"/>
          <w:color w:val="000000"/>
          <w:sz w:val="24"/>
        </w:rPr>
        <w:t>(ii) The Company holds Crypto Assets either (i) in digital wallets or cold storage under its sole control, or (ii) through custodial arrangements with one or more custodians (collectively, the “</w:t>
      </w:r>
      <w:r>
        <w:rPr>
          <w:rFonts w:ascii="Times New Roman;serif" w:hAnsi="Times New Roman;serif"/>
          <w:b w:val="false"/>
          <w:color w:val="000000"/>
          <w:sz w:val="24"/>
          <w:u w:val="single"/>
        </w:rPr>
        <w:t>Custodian</w:t>
      </w:r>
      <w:r>
        <w:rPr>
          <w:color w:val="000000"/>
        </w:rPr>
        <w:t>”</w:t>
      </w:r>
      <w:r>
        <w:rPr>
          <w:rFonts w:ascii="Times New Roman;serif" w:hAnsi="Times New Roman;serif"/>
          <w:b w:val="false"/>
          <w:color w:val="000000"/>
          <w:sz w:val="24"/>
        </w:rPr>
        <w:t>), which is subject to a written agreement with the Company that includes provisions addressing fiduciary duties (as applicable), asset segregation, loss and theft protections, incident reporting, and compliance with applicable law. To the Company’s knowledge, the Custodian is duly authorized or registered, as required, under applicable U.S. federal or state law to perform digital asset custody services and complies in all material respects with applicable regulatory requirements.</w:t>
      </w:r>
    </w:p>
    <w:p>
      <w:pPr>
        <w:pStyle w:val="TextBody"/>
        <w:bidi w:val="0"/>
        <w:spacing w:before="0" w:after="0"/>
        <w:jc w:val="righ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385445"/>
                <wp:effectExtent l="0" t="0" r="0" b="0"/>
                <wp:wrapNone/>
                <wp:docPr id="82" name="Frame8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(iii)  The Company has authorized Pantera Capital Management LP (the “</w:t>
      </w:r>
      <w:r>
        <w:rPr>
          <w:rFonts w:ascii="Times New Roman;serif" w:hAnsi="Times New Roman;serif"/>
          <w:b w:val="false"/>
          <w:color w:val="000000"/>
          <w:sz w:val="24"/>
          <w:u w:val="single"/>
        </w:rPr>
        <w:t>Asset Manager</w:t>
      </w:r>
      <w:r>
        <w:rPr>
          <w:color w:val="000000"/>
        </w:rPr>
        <w:t>”</w:t>
      </w:r>
      <w:r>
        <w:rPr>
          <w:rFonts w:ascii="Times New Roman;serif" w:hAnsi="Times New Roman;serif"/>
          <w:b w:val="false"/>
          <w:color w:val="000000"/>
          <w:sz w:val="24"/>
        </w:rPr>
        <w:t>) to manage or invest its Crypto Assets pursuant to a Trading Advisory Agreement dated as of September 15, 2025 (the “</w:t>
      </w:r>
      <w:r>
        <w:rPr>
          <w:rFonts w:ascii="Times New Roman;serif" w:hAnsi="Times New Roman;serif"/>
          <w:b w:val="false"/>
          <w:color w:val="000000"/>
          <w:sz w:val="24"/>
          <w:u w:val="single"/>
        </w:rPr>
        <w:t>Asset Management Agreement</w:t>
      </w:r>
      <w:r>
        <w:rPr>
          <w:color w:val="000000"/>
        </w:rPr>
        <w:t>”</w:t>
      </w:r>
      <w:r>
        <w:rPr>
          <w:rFonts w:ascii="Times New Roman;serif" w:hAnsi="Times New Roman;serif"/>
          <w:b w:val="false"/>
          <w:color w:val="000000"/>
          <w:sz w:val="24"/>
        </w:rPr>
        <w:t>). The Asset Management Agreement (x) does not transfer beneficial ownership of the Crypto Assets, (y) preserves the Company’s right to withdraw or liquidate such assets upon reasonable notice, and (z) requires periodic performance and risk reporting. The Company conducts diligence on such service providers, monitors their activity, and maintains the ability to audit transactions and balances.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(iv) The Company has implemented internal controls, security protocols, and oversight procedures designed to safeguard its Crypto Assets, manage operational and custodial risks, and ensure accurate recordkeeping.</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(v)  The Company is in compliance with all applicable laws, rules, and regulations (including those administered by the Commission, Commodities Futures Trading Commission, FinCEN, OFAC, and applicable state regulators) governing the holding, custody, transfer, and management of Crypto Assets. To the Company’s knowledge, no part of its Crypto Assets portfolio has been used in violation of applicable Money Laundering Laws, counter-terrorist financing, or economic Sanctions laws.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(vi) The Company has not received any written notice from any governmental or regulatory authority asserting that its Crypto Asset activities, or those of any of the Custodian or the Asset Manager, are or have been in violation of law. The Company accounts for its Crypto Assets and related arrangements in accordance with GAAP, including current accounting guidance, and its disclosures reflect the nature of custodial relationships, risk of loss, and any arrangements that affect legal control.</w:t>
      </w:r>
    </w:p>
    <w:p>
      <w:pPr>
        <w:pStyle w:val="TextBody"/>
        <w:bidi w:val="0"/>
        <w:spacing w:lineRule="auto" w:line="288" w:before="0" w:after="240"/>
        <w:jc w:val="both"/>
        <w:rPr/>
      </w:pPr>
      <w:r>
        <w:rPr>
          <w:rFonts w:ascii="Times New Roman;serif" w:hAnsi="Times New Roman;serif"/>
          <w:b w:val="false"/>
          <w:color w:val="000000"/>
          <w:sz w:val="24"/>
        </w:rPr>
        <w:t>For purposes of this Agreement, “</w:t>
      </w:r>
      <w:r>
        <w:rPr>
          <w:rFonts w:ascii="Times New Roman;serif" w:hAnsi="Times New Roman;serif"/>
          <w:b w:val="false"/>
          <w:color w:val="000000"/>
          <w:sz w:val="24"/>
          <w:u w:val="single"/>
        </w:rPr>
        <w:t>Crypto Assets</w:t>
      </w:r>
      <w:r>
        <w:rPr>
          <w:color w:val="000000"/>
        </w:rPr>
        <w:t xml:space="preserve">” </w:t>
      </w:r>
      <w:r>
        <w:rPr>
          <w:rFonts w:ascii="Times New Roman;serif" w:hAnsi="Times New Roman;serif"/>
          <w:b w:val="false"/>
          <w:color w:val="000000"/>
          <w:sz w:val="24"/>
        </w:rPr>
        <w:t>means digital assets that are issued or transferred using distributed ledger or blockchain technology, including but not limited to cryptocurrencies (e.g., Bitcoin, Ethereum), stablecoins, and other fungible or non-fungible tokens held or used by the Company.</w:t>
      </w:r>
    </w:p>
    <w:p>
      <w:pPr>
        <w:pStyle w:val="TextBody"/>
        <w:bidi w:val="0"/>
        <w:spacing w:lineRule="auto" w:line="288" w:before="0" w:after="240"/>
        <w:jc w:val="both"/>
        <w:rPr/>
      </w:pPr>
      <w:r>
        <w:rPr>
          <w:rFonts w:ascii="Times New Roman;serif" w:hAnsi="Times New Roman;serif"/>
          <w:b w:val="false"/>
          <w:color w:val="000000"/>
          <w:sz w:val="24"/>
        </w:rPr>
        <w:t xml:space="preserve">(yy) </w:t>
      </w:r>
      <w:r>
        <w:rPr>
          <w:rFonts w:ascii="Times New Roman;serif" w:hAnsi="Times New Roman;serif"/>
          <w:b w:val="false"/>
          <w:color w:val="000000"/>
          <w:sz w:val="24"/>
          <w:u w:val="single"/>
        </w:rPr>
        <w:t>The Agreement</w:t>
      </w:r>
      <w:r>
        <w:rPr>
          <w:rFonts w:ascii="Times New Roman;serif" w:hAnsi="Times New Roman;serif"/>
          <w:b w:val="false"/>
          <w:color w:val="000000"/>
          <w:sz w:val="24"/>
        </w:rPr>
        <w:t>. This Agreement has been duly authorized, executed and delivered by the Company.</w:t>
      </w:r>
    </w:p>
    <w:p>
      <w:pPr>
        <w:pStyle w:val="TextBody"/>
        <w:bidi w:val="0"/>
        <w:spacing w:lineRule="auto" w:line="288" w:before="0" w:after="0"/>
        <w:jc w:val="both"/>
        <w:rPr/>
      </w:pPr>
      <w:r>
        <w:rPr>
          <w:rFonts w:ascii="Times New Roman;serif" w:hAnsi="Times New Roman;serif"/>
          <w:b w:val="false"/>
          <w:color w:val="000000"/>
          <w:sz w:val="24"/>
        </w:rPr>
        <w:t xml:space="preserve">(zz) </w:t>
      </w:r>
      <w:r>
        <w:rPr>
          <w:rFonts w:ascii="Times New Roman;serif" w:hAnsi="Times New Roman;serif"/>
          <w:b w:val="false"/>
          <w:color w:val="000000"/>
          <w:sz w:val="24"/>
          <w:u w:val="single"/>
        </w:rPr>
        <w:t>Representations, Warranties and Covenants Incorporated by Reference</w:t>
      </w:r>
      <w:r>
        <w:rPr>
          <w:rFonts w:ascii="Times New Roman;serif" w:hAnsi="Times New Roman;serif"/>
          <w:b w:val="false"/>
          <w:color w:val="000000"/>
          <w:sz w:val="24"/>
        </w:rPr>
        <w:t>. Each of the representations, warranties and covenants (together with any related disclosure schedules thereto) made to the Investor in the Purchase Agreement is hereby incorporated herein by reference (as though fully restated herein) and is hereby made to, and in favor of, the Placement Agent.</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385445"/>
                <wp:effectExtent l="0" t="0" r="0" b="0"/>
                <wp:wrapNone/>
                <wp:docPr id="83" name="Frame8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Any certificate signed by an officer of the Company and delivered to the Placement Agent or to counsel for the Placement Agent pursuant to or in connection with this Agreement shall be deemed to be a representation and warranty by the Company, as applicable, to the Placement Agent as to the matters set forth therein.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Section 3. Delivery and Payment</w:t>
      </w:r>
      <w:r>
        <w:rPr>
          <w:rFonts w:ascii="Times New Roman;serif" w:hAnsi="Times New Roman;serif"/>
          <w:b w:val="false"/>
          <w:color w:val="000000"/>
          <w:sz w:val="24"/>
        </w:rPr>
        <w:t>. Closing shall occur at the offices of the Placement Agent Counsel at 800 Capitol Street, Suite 2400, Houston, TX 77002 (or at such other place as shall be agreed upon by the Placement Agent, Investor, and the Company, or remotely by electronic transmission). Subject to the terms and conditions hereof, at the Closing payment of the purchase price for the Securities sold on such Closing Date shall be made against delivery of such Securities.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Deliveries of the documents with respect to the purchase of the Securities, if any, shall be made at the offices of Placement Agent Counsel, or remotely by electronic transmission. All actions taken at the Closing shall be deemed to have occurred simultaneously.</w:t>
      </w:r>
    </w:p>
    <w:p>
      <w:pPr>
        <w:pStyle w:val="TextBody"/>
        <w:bidi w:val="0"/>
        <w:spacing w:lineRule="auto" w:line="288" w:before="0" w:after="0"/>
        <w:jc w:val="both"/>
        <w:rPr/>
      </w:pPr>
      <w:r>
        <w:rPr>
          <w:rFonts w:ascii="Times New Roman;serif" w:hAnsi="Times New Roman;serif"/>
          <w:b/>
          <w:color w:val="000000"/>
          <w:sz w:val="24"/>
        </w:rPr>
        <w:t>Section 4. Covenants and Agreements of the Company</w:t>
      </w:r>
      <w:r>
        <w:rPr>
          <w:rFonts w:ascii="Times New Roman;serif" w:hAnsi="Times New Roman;serif"/>
          <w:b w:val="false"/>
          <w:color w:val="000000"/>
          <w:sz w:val="24"/>
        </w:rPr>
        <w:t>. The Company further covenants and agrees with the Placement Agent as follows:</w:t>
      </w:r>
    </w:p>
    <w:p>
      <w:pPr>
        <w:pStyle w:val="TextBody"/>
        <w:bidi w:val="0"/>
        <w:spacing w:lineRule="auto" w:line="288"/>
        <w:ind w:left="0" w:right="0" w:firstLine="720"/>
        <w:jc w:val="both"/>
        <w:rPr/>
      </w:pPr>
      <w:r>
        <w:rPr>
          <w:rFonts w:ascii="Times New Roman;serif" w:hAnsi="Times New Roman;serif"/>
          <w:b w:val="false"/>
          <w:color w:val="000000"/>
          <w:sz w:val="24"/>
        </w:rPr>
        <w:t xml:space="preserve">(a) </w:t>
      </w:r>
      <w:r>
        <w:rPr>
          <w:rFonts w:ascii="Times New Roman;serif" w:hAnsi="Times New Roman;serif"/>
          <w:b w:val="false"/>
          <w:color w:val="000000"/>
          <w:sz w:val="24"/>
          <w:u w:val="single"/>
        </w:rPr>
        <w:t>Registration Statement Matters</w:t>
      </w:r>
      <w:r>
        <w:rPr>
          <w:rFonts w:ascii="Times New Roman;serif" w:hAnsi="Times New Roman;serif"/>
          <w:b w:val="false"/>
          <w:color w:val="000000"/>
          <w:sz w:val="24"/>
        </w:rPr>
        <w:t xml:space="preserve">. The Company will advise the Placement Agent promptly after it receives notice thereof of the time when any amendment to the Registration Statement has been filed or becomes effective or any supplement to the Final Prospectus has been filed and will furnish the Placement Agent with copies thereof. The Company will file promptly all reports and any definitive proxy or information statements required to be filed by the Company with the Commission pursuant to Section 13(a), 14 or 15(d) of the Exchange Act subsequent to the date of any Prospectus and for so long as the delivery of a prospectus is required in connection with the Offering. The Company will advise the Placement Agent, promptly after it receives notice thereof (i) of any request by the Commission to amend the Registration Statement or to amend or supplement any Prospectus or for additional information, (ii) of the issuance by the Commission of any stop order suspending the effectiveness of the Registration Statement or any post-effective amendment thereto or any order directed at any Incorporated Document, if any, or any amendment or supplement thereto or any order preventing or suspending the use of the Prospectus, the Prospectus Supplement or any amendment or supplement thereto or any post-effective amendment to the Registration Statement, of the suspension of the qualification of the Securities for offering or sale in any jurisdiction, of the institution or threatened institution of any proceeding for any such purpose, or of any request by the Commission for the amending or supplementing of the Registration Statement or a Prospectus or for additional information, (iii) </w:t>
      </w:r>
      <w:r>
        <w:rPr>
          <w:rFonts w:ascii="Times New Roman;serif" w:hAnsi="Times New Roman;serif"/>
          <w:b w:val="false"/>
          <w:color w:val="000000"/>
          <w:sz w:val="24"/>
          <w:shd w:fill="FFFFFF" w:val="clear"/>
        </w:rPr>
        <w:t>of the issuance by any state securities commission of any proceedings for the suspension of the qualification of the Securities for offering or sale in any jurisdiction or of the initiation, or the threatening, of any proceeding for that purpose; (iv) of the mailing and delivery to the Commission for filing of any amendment or supplement to the Registration Statement or Prospectus; (v) of the receipt of any comments or request for any additional information from the Commission; and (vi) of the happening of any event during the period described in this Section 4(a) that, in the judgment of the Company, makes any statement of a material fact made in the Registration Statement or the Prospectus untrue or that requires the making of any changes in the Registration Statement or the Prospectus in order to make the statements therein, in light of the circumstances under which they were made, not misleading</w:t>
      </w:r>
      <w:r>
        <w:rPr>
          <w:rFonts w:ascii="Times New Roman;serif" w:hAnsi="Times New Roman;serif"/>
          <w:b w:val="false"/>
          <w:color w:val="000000"/>
          <w:sz w:val="24"/>
        </w:rPr>
        <w:t xml:space="preserve">. </w:t>
      </w:r>
    </w:p>
    <w:p>
      <w:pPr>
        <w:pStyle w:val="TextBody"/>
        <w:bidi w:val="0"/>
        <w:spacing w:before="0" w:after="0"/>
        <w:jc w:val="righ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385445"/>
                <wp:effectExtent l="0" t="0" r="0" b="0"/>
                <wp:wrapNone/>
                <wp:docPr id="84" name="Frame8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Company shall use its best efforts to prevent the issuance of any such stop order or prevention or suspension of such use. If the Commission shall enter any such stop order or order or notice of prevention or suspension at any time, the Company will use its best efforts to obtain the lifting of such order at the earliest possible moment or will file a new registration statement and use its best efforts to have such new registration statement declared effective as soon as practicable. Additionally, the Company agrees that it shall comply with the provisions under the Securities Act, including with respect to the timely filing of documents thereunder, and will use its reasonable efforts to confirm that any filings made by the Company under such Rule 424(b) are received in a timely manner by the Commission.</w:t>
      </w:r>
    </w:p>
    <w:p>
      <w:pPr>
        <w:pStyle w:val="TextBody"/>
        <w:bidi w:val="0"/>
        <w:spacing w:lineRule="auto" w:line="288"/>
        <w:ind w:left="0" w:right="0" w:firstLine="720"/>
        <w:jc w:val="both"/>
        <w:rPr/>
      </w:pPr>
      <w:r>
        <w:rPr>
          <w:rFonts w:ascii="Times New Roman;serif" w:hAnsi="Times New Roman;serif"/>
          <w:b w:val="false"/>
          <w:color w:val="000000"/>
          <w:sz w:val="24"/>
        </w:rPr>
        <w:t xml:space="preserve">(b) </w:t>
      </w:r>
      <w:r>
        <w:rPr>
          <w:rFonts w:ascii="Times New Roman;serif" w:hAnsi="Times New Roman;serif"/>
          <w:b w:val="false"/>
          <w:color w:val="000000"/>
          <w:sz w:val="24"/>
          <w:u w:val="single"/>
        </w:rPr>
        <w:t>Blue Sky Compliance</w:t>
      </w:r>
      <w:r>
        <w:rPr>
          <w:rFonts w:ascii="Times New Roman;serif" w:hAnsi="Times New Roman;serif"/>
          <w:b w:val="false"/>
          <w:color w:val="000000"/>
          <w:sz w:val="24"/>
        </w:rPr>
        <w:t>. The Company will cooperate with the Placement Agent and the Investor in endeavoring to qualify the Securities for sale under the securities laws of such jurisdictions (United States and foreign) as the Placement Agent and the Investor may reasonably request and will make such applications, file such documents, and furnish such information as may be reasonably required for that purpose, provided the Company shall not be required to qualify as a foreign corporation or to file a general consent to service of process in any jurisdiction where it is not now so qualified or required to file such a consent, and provided further that the Company shall not be required to produce any new disclosure document. The Company will, from time to time, prepare and file such statements, reports and other documents as are or may be required to continue such qualifications in effect for so long a period as the Placement Agent may reasonably request for distribution of the Securities. The Company will advise the Placement Agent promptly of the suspension of the qualification or registration of (or any such exemption relating to) the Securities for offering, sale or trading in any jurisdiction or any initiation or threat of any proceeding for any such purpose, and in the event of the issuance of any order suspending such qualification, registration or exemption, the Company shall use its best efforts to obtain the withdrawal thereof at the earliest possible moment.</w:t>
      </w:r>
    </w:p>
    <w:p>
      <w:pPr>
        <w:pStyle w:val="TextBody"/>
        <w:bidi w:val="0"/>
        <w:spacing w:before="0" w:after="0"/>
        <w:jc w:val="righ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385445"/>
                <wp:effectExtent l="0" t="0" r="0" b="0"/>
                <wp:wrapNone/>
                <wp:docPr id="85" name="Frame8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Amendments and Supplements to a Prospectus and Other Matters</w:t>
      </w:r>
      <w:r>
        <w:rPr>
          <w:rFonts w:ascii="Times New Roman;serif" w:hAnsi="Times New Roman;serif"/>
          <w:b w:val="false"/>
          <w:color w:val="000000"/>
          <w:sz w:val="24"/>
        </w:rPr>
        <w:t>. The Company will comply with the Securities Act and the Exchange Act, and the rules and regulations of the Commission thereunder during Prospectus Delivery Period (as defined below), so as to permit the completion of the distribution of the Securities as contemplated in this Agreement, the Incorporated Documents and any Prospectus. If during the period in which a prospectus is required by law to be delivered in connection with the distribution of Securities contemplated by the Incorporated Documents or any Prospectus (the “</w:t>
      </w:r>
      <w:r>
        <w:rPr>
          <w:rFonts w:ascii="Times New Roman;serif" w:hAnsi="Times New Roman;serif"/>
          <w:b w:val="false"/>
          <w:color w:val="000000"/>
          <w:sz w:val="24"/>
          <w:u w:val="single"/>
        </w:rPr>
        <w:t>Prospectus Delivery Period</w:t>
      </w:r>
      <w:r>
        <w:rPr>
          <w:color w:val="000000"/>
        </w:rPr>
        <w:t>”</w:t>
      </w:r>
      <w:r>
        <w:rPr>
          <w:rFonts w:ascii="Times New Roman;serif" w:hAnsi="Times New Roman;serif"/>
          <w:b w:val="false"/>
          <w:color w:val="000000"/>
          <w:sz w:val="24"/>
        </w:rPr>
        <w:t xml:space="preserve">), any event shall occur as a result of which, in the judgment of the Company or in the opinion of the Placement Agent or counsel for the Placement Agent, it becomes necessary to amend or supplement the Incorporated Documents or any Prospectus in order to make the statements therein, in the light of the circumstances under which they were made, as the case may be, not misleading, or if it is necessary at any time to amend or supplement the Incorporated Documents or any Prospectus or to file under the Exchange Act any Incorporated Document to comply with any law, the Company will promptly prepare and file with the Commission, and furnish at its own expense to the Placement Agent and to dealers, an appropriate amendment to the Registration Statement or supplement to the Registration Statement, the Incorporated Documents or any Prospectus that is necessary in order to make the statements in the Incorporated Documents and any Prospectus as so amended or supplemented, in the light of the circumstances under which they were made, as the case may be, not misleading, or so that the Registration Statement, the Incorporated Documents or any Prospectus, as so amended or supplemented, will comply with law. Before amending the Registration Statement or supplementing the Incorporated Documents or any Prospectus in connection with the Offering, the Company will furnish the Placement Agent with a copy of such proposed amendment or supplement and will not file any such amendment or supplement to which the Placement Agent reasonably objects. </w:t>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(d) </w:t>
      </w:r>
      <w:r>
        <w:rPr>
          <w:rFonts w:ascii="Times New Roman;serif" w:hAnsi="Times New Roman;serif"/>
          <w:b w:val="false"/>
          <w:color w:val="000000"/>
          <w:sz w:val="24"/>
          <w:u w:val="single"/>
        </w:rPr>
        <w:t>Copies of any Amendments and Supplements to a Prospectus</w:t>
      </w:r>
      <w:r>
        <w:rPr>
          <w:rFonts w:ascii="Times New Roman;serif" w:hAnsi="Times New Roman;serif"/>
          <w:b w:val="false"/>
          <w:color w:val="000000"/>
          <w:sz w:val="24"/>
        </w:rPr>
        <w:t xml:space="preserve">. The Company will furnish the Placement Agent, without charge, during the period beginning on the date hereof and ending on the Closing Date of the Offering, as many copies of any Prospectus or Prospectus Supplement and any amendments and supplements thereto, as the Placement Agent may reasonably request. </w:t>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(e) </w:t>
      </w:r>
      <w:r>
        <w:rPr>
          <w:rFonts w:ascii="Times New Roman;serif" w:hAnsi="Times New Roman;serif"/>
          <w:b w:val="false"/>
          <w:color w:val="000000"/>
          <w:sz w:val="24"/>
          <w:u w:val="single"/>
        </w:rPr>
        <w:t>Free Writing Prospectus</w:t>
      </w:r>
      <w:r>
        <w:rPr>
          <w:rFonts w:ascii="Times New Roman;serif" w:hAnsi="Times New Roman;serif"/>
          <w:b w:val="false"/>
          <w:color w:val="000000"/>
          <w:sz w:val="24"/>
        </w:rPr>
        <w:t>. The Company covenants that it will not, unless it obtains the prior written consent of the Placement Agent, make any offer relating to the Securities that would constitute a Company Free Writing Prospectus or that would otherwise constitute a “</w:t>
      </w:r>
      <w:r>
        <w:rPr>
          <w:rFonts w:ascii="Times New Roman;serif" w:hAnsi="Times New Roman;serif"/>
          <w:b w:val="false"/>
          <w:color w:val="000000"/>
          <w:sz w:val="24"/>
          <w:u w:val="single"/>
        </w:rPr>
        <w:t>free writing prospectus</w:t>
      </w:r>
      <w:r>
        <w:rPr>
          <w:color w:val="000000"/>
        </w:rPr>
        <w:t xml:space="preserve">” </w:t>
      </w:r>
      <w:r>
        <w:rPr>
          <w:rFonts w:ascii="Times New Roman;serif" w:hAnsi="Times New Roman;serif"/>
          <w:b w:val="false"/>
          <w:color w:val="000000"/>
          <w:sz w:val="24"/>
        </w:rPr>
        <w:t>(as defined in Rule 405 of the Securities Act) required to be filed by the Company with the Commission or retained by the Company under Rule 433 of the Securities Act. In the event that the Placement Agent expressly consents in writing to any such free writing prospectus (a “</w:t>
      </w:r>
      <w:r>
        <w:rPr>
          <w:rFonts w:ascii="Times New Roman;serif" w:hAnsi="Times New Roman;serif"/>
          <w:b w:val="false"/>
          <w:color w:val="000000"/>
          <w:sz w:val="24"/>
          <w:u w:val="single"/>
        </w:rPr>
        <w:t>Permitted Free Writing Prospectus</w:t>
      </w:r>
      <w:r>
        <w:rPr>
          <w:color w:val="000000"/>
        </w:rPr>
        <w:t>”</w:t>
      </w:r>
      <w:r>
        <w:rPr>
          <w:rFonts w:ascii="Times New Roman;serif" w:hAnsi="Times New Roman;serif"/>
          <w:b w:val="false"/>
          <w:color w:val="000000"/>
          <w:sz w:val="24"/>
        </w:rPr>
        <w:t>), the Company covenants that it shall (i) treat each Permitted Free Writing Prospectus as a Company free writing prospectus, and (ii) comply with the requirements of Rule 164 and 433 of the Securities Act applicable to such Permitted Free Writing Prospectus, including in respect of timely filing with the Commission, legending and record keeping.</w:t>
      </w:r>
    </w:p>
    <w:p>
      <w:pPr>
        <w:pStyle w:val="TextBody"/>
        <w:bidi w:val="0"/>
        <w:spacing w:lineRule="auto" w:line="288"/>
        <w:ind w:left="0" w:right="0" w:firstLine="720"/>
        <w:jc w:val="both"/>
        <w:rPr/>
      </w:pPr>
      <w:r>
        <w:rPr>
          <w:rFonts w:ascii="Times New Roman;serif" w:hAnsi="Times New Roman;serif"/>
          <w:b w:val="false"/>
          <w:color w:val="000000"/>
          <w:sz w:val="24"/>
        </w:rPr>
        <w:t xml:space="preserve">(f) </w:t>
      </w:r>
      <w:r>
        <w:rPr>
          <w:rFonts w:ascii="Times New Roman;serif" w:hAnsi="Times New Roman;serif"/>
          <w:b w:val="false"/>
          <w:color w:val="000000"/>
          <w:sz w:val="24"/>
          <w:u w:val="single"/>
        </w:rPr>
        <w:t>Transfer Agent</w:t>
      </w:r>
      <w:r>
        <w:rPr>
          <w:rFonts w:ascii="Times New Roman;serif" w:hAnsi="Times New Roman;serif"/>
          <w:b w:val="false"/>
          <w:color w:val="000000"/>
          <w:sz w:val="24"/>
        </w:rPr>
        <w:t xml:space="preserve">. The Company will maintain, at its expense, a registrar and transfer agent for the Securities. </w:t>
      </w:r>
    </w:p>
    <w:p>
      <w:pPr>
        <w:pStyle w:val="TextBody"/>
        <w:bidi w:val="0"/>
        <w:spacing w:before="0" w:after="0"/>
        <w:jc w:val="righ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385445"/>
                <wp:effectExtent l="0" t="0" r="0" b="0"/>
                <wp:wrapNone/>
                <wp:docPr id="86" name="Frame8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(g) </w:t>
      </w:r>
      <w:r>
        <w:rPr>
          <w:rFonts w:ascii="Times New Roman;serif" w:hAnsi="Times New Roman;serif"/>
          <w:b w:val="false"/>
          <w:color w:val="000000"/>
          <w:sz w:val="24"/>
          <w:u w:val="single"/>
        </w:rPr>
        <w:t>Earnings Statement</w:t>
      </w:r>
      <w:r>
        <w:rPr>
          <w:rFonts w:ascii="Times New Roman;serif" w:hAnsi="Times New Roman;serif"/>
          <w:b w:val="false"/>
          <w:color w:val="000000"/>
          <w:sz w:val="24"/>
        </w:rPr>
        <w:t>. As soon as practicable and in accordance with applicable requirements under the Securities Act, but in any event not later than 18 months after the Closing Date, the Company will make generally available to its security holders and to the Placement Agent an earnings statement, covering a period of at least 12 consecutive months beginning after the Closing Date, that satisfies the provisions of Section 11(a) and Rule 158 under the Securities Act.</w:t>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(h) </w:t>
      </w:r>
      <w:r>
        <w:rPr>
          <w:rFonts w:ascii="Times New Roman;serif" w:hAnsi="Times New Roman;serif"/>
          <w:b w:val="false"/>
          <w:color w:val="000000"/>
          <w:sz w:val="24"/>
          <w:u w:val="single"/>
        </w:rPr>
        <w:t>Periodic Reporting Obligations</w:t>
      </w:r>
      <w:r>
        <w:rPr>
          <w:rFonts w:ascii="Times New Roman;serif" w:hAnsi="Times New Roman;serif"/>
          <w:b w:val="false"/>
          <w:color w:val="000000"/>
          <w:sz w:val="24"/>
        </w:rPr>
        <w:t xml:space="preserve">. During the Prospectus Delivery Period, the Company will duly file, on a timely basis, with the Commission and the Exchange all reports and documents required to be filed under the Exchange Act within the time periods and in the manner required by the Exchange Act. </w:t>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(i) </w:t>
      </w:r>
      <w:r>
        <w:rPr>
          <w:rFonts w:ascii="Times New Roman;serif" w:hAnsi="Times New Roman;serif"/>
          <w:b w:val="false"/>
          <w:color w:val="000000"/>
          <w:sz w:val="24"/>
          <w:u w:val="single"/>
        </w:rPr>
        <w:t>Additional Documents</w:t>
      </w:r>
      <w:r>
        <w:rPr>
          <w:rFonts w:ascii="Times New Roman;serif" w:hAnsi="Times New Roman;serif"/>
          <w:b w:val="false"/>
          <w:color w:val="000000"/>
          <w:sz w:val="24"/>
        </w:rPr>
        <w:t>. The Company will enter into any subscription, purchase or other customary agreements as the Placement Agent or the Investor deems necessary or appropriate to consummate the Offering, all of which will be in form and substance reasonably acceptable to the Placement Agent and the Investor. The Company agrees that the Placement Agent may rely upon, and each is a third party beneficiary of, the representations and warranties, and applicable covenants, set forth in any such purchase, subscription or other agreement with the Investor in the Offering.</w:t>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(j) </w:t>
      </w:r>
      <w:r>
        <w:rPr>
          <w:rFonts w:ascii="Times New Roman;serif" w:hAnsi="Times New Roman;serif"/>
          <w:b w:val="false"/>
          <w:color w:val="000000"/>
          <w:sz w:val="24"/>
          <w:u w:val="single"/>
        </w:rPr>
        <w:t>No Manipulation of Price</w:t>
      </w:r>
      <w:r>
        <w:rPr>
          <w:rFonts w:ascii="Times New Roman;serif" w:hAnsi="Times New Roman;serif"/>
          <w:b w:val="false"/>
          <w:i/>
          <w:color w:val="000000"/>
          <w:sz w:val="24"/>
        </w:rPr>
        <w:t xml:space="preserve">. </w:t>
      </w:r>
      <w:r>
        <w:rPr>
          <w:rFonts w:ascii="Times New Roman;serif" w:hAnsi="Times New Roman;serif"/>
          <w:b w:val="false"/>
          <w:color w:val="000000"/>
          <w:sz w:val="24"/>
        </w:rPr>
        <w:t>Neither the Company, nor to its knowledge, any of its employees, directors or shareholders, has taken or will take, directly or indirectly, any action designed to or that has constituted or that might reasonably be expected to cause or result in, under the Exchange Act, or otherwise stabilization or manipulation of the price of any security of the Company to facilitate the sale or resale of the Securities.</w:t>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(k) </w:t>
      </w:r>
      <w:r>
        <w:rPr>
          <w:rFonts w:ascii="Times New Roman;serif" w:hAnsi="Times New Roman;serif"/>
          <w:b w:val="false"/>
          <w:color w:val="000000"/>
          <w:sz w:val="24"/>
          <w:u w:val="single"/>
        </w:rPr>
        <w:t>Acknowledgment</w:t>
      </w:r>
      <w:r>
        <w:rPr>
          <w:rFonts w:ascii="Times New Roman;serif" w:hAnsi="Times New Roman;serif"/>
          <w:b w:val="false"/>
          <w:color w:val="000000"/>
          <w:sz w:val="24"/>
        </w:rPr>
        <w:t>. The Company acknowledges that any advice given by the Placement Agent to the Company is solely for the benefit and use of the Board of Directors and may not be used, reproduced, disseminated, quoted or referred to, without the Placement Agent’s prior written consent.</w:t>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(l) </w:t>
      </w:r>
      <w:r>
        <w:rPr>
          <w:rFonts w:ascii="Times New Roman;serif" w:hAnsi="Times New Roman;serif"/>
          <w:b w:val="false"/>
          <w:color w:val="000000"/>
          <w:sz w:val="24"/>
          <w:u w:val="single"/>
        </w:rPr>
        <w:t>Announcement of Offering</w:t>
      </w:r>
      <w:r>
        <w:rPr>
          <w:rFonts w:ascii="Times New Roman;serif" w:hAnsi="Times New Roman;serif"/>
          <w:b w:val="false"/>
          <w:color w:val="000000"/>
          <w:sz w:val="24"/>
        </w:rPr>
        <w:t>. The Company acknowledges and agrees that the Placement Agent may, subsequent to the Closing, make public its involvement with the Offering.</w:t>
      </w:r>
    </w:p>
    <w:p>
      <w:pPr>
        <w:pStyle w:val="TextBody"/>
        <w:bidi w:val="0"/>
        <w:spacing w:lineRule="auto" w:line="288"/>
        <w:ind w:left="0" w:right="0" w:firstLine="720"/>
        <w:jc w:val="both"/>
        <w:rPr/>
      </w:pPr>
      <w:r>
        <w:rPr>
          <w:rFonts w:ascii="Times New Roman;serif" w:hAnsi="Times New Roman;serif"/>
          <w:b w:val="false"/>
          <w:color w:val="000000"/>
          <w:sz w:val="24"/>
        </w:rPr>
        <w:t xml:space="preserve">(m) </w:t>
      </w:r>
      <w:r>
        <w:rPr>
          <w:rFonts w:ascii="Times New Roman;serif" w:hAnsi="Times New Roman;serif"/>
          <w:b w:val="false"/>
          <w:color w:val="000000"/>
          <w:sz w:val="24"/>
          <w:u w:val="single"/>
        </w:rPr>
        <w:t>Reliance on Others</w:t>
      </w:r>
      <w:r>
        <w:rPr>
          <w:rFonts w:ascii="Times New Roman;serif" w:hAnsi="Times New Roman;serif"/>
          <w:b w:val="false"/>
          <w:color w:val="000000"/>
          <w:sz w:val="24"/>
        </w:rPr>
        <w:t>. The Company confirms that it will rely on its own counsel and accountants for legal and accounting advice.</w:t>
      </w:r>
    </w:p>
    <w:p>
      <w:pPr>
        <w:pStyle w:val="TextBody"/>
        <w:bidi w:val="0"/>
        <w:spacing w:before="0" w:after="0"/>
        <w:jc w:val="righ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385445"/>
                <wp:effectExtent l="0" t="0" r="0" b="0"/>
                <wp:wrapNone/>
                <wp:docPr id="87" name="Frame8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(n) </w:t>
      </w:r>
      <w:r>
        <w:rPr>
          <w:rFonts w:ascii="Times New Roman;serif" w:hAnsi="Times New Roman;serif"/>
          <w:b w:val="false"/>
          <w:color w:val="000000"/>
          <w:sz w:val="24"/>
          <w:u w:val="single"/>
        </w:rPr>
        <w:t>Research Matters</w:t>
      </w:r>
      <w:r>
        <w:rPr>
          <w:rFonts w:ascii="Times New Roman;serif" w:hAnsi="Times New Roman;serif"/>
          <w:b w:val="false"/>
          <w:color w:val="000000"/>
          <w:sz w:val="24"/>
        </w:rPr>
        <w:t>. By entering into this Agreement, the Placement Agent does not provide any promise, either explicitly or implicitly, of favorable or continued research coverage of the Company and the Company hereby acknowledges and agrees that the Placement Agent’s selection as a placement agent for the Offering was in no way conditioned, explicitly or implicitly, on the Placement Agent providing favorable or any research coverage of the Company. In accordance with FINRA Rule 2241(b)(2), the parties acknowledge and agree that the Placement Agent has not directly or indirectly offered favorable research, a specific rating or a specific price target, or threatened to change research, a rating or a price target, to the Company or inducement for the receipt of business or compensation. The Company hereby waives and releases, to the fullest extent permitted by law, any claims that the Company may have against the Placement Agent with respect to any conflict of interest that may arise from the fact that the views expressed by their independent research analysts and research departments may be different from or inconsistent with the views or advice communicated to the Company by the Placement Agent’s investment banking divisions. The Company acknowledges that the Placement Agent is a full service securities firm and as such from time to time, subject to applicable securities laws, may effect transactions for its own account or the account of its customers and hold long or short position in debt or equity securities of the Company.</w:t>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(o) </w:t>
      </w:r>
      <w:r>
        <w:rPr>
          <w:rFonts w:ascii="Times New Roman;serif" w:hAnsi="Times New Roman;serif"/>
          <w:b w:val="false"/>
          <w:color w:val="000000"/>
          <w:sz w:val="24"/>
          <w:u w:val="single"/>
        </w:rPr>
        <w:t>FINRA</w:t>
      </w:r>
      <w:r>
        <w:rPr>
          <w:rFonts w:ascii="Times New Roman;serif" w:hAnsi="Times New Roman;serif"/>
          <w:b w:val="false"/>
          <w:color w:val="000000"/>
          <w:sz w:val="24"/>
        </w:rPr>
        <w:t>. The Company shall advise the Placement Agent (who shall make an appropriate filing with FINRA) if it is aware that any officer, director, 10% or greater shareholder of the Company or Person that received the Company’s unregistered equity securities in the past 180 days is or becomes an affiliate or associated person of a FINRA member firm prior to the earlier of the termination of this Agreement or the 60-day period after the effective date of the Registration Statement.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(p) </w:t>
      </w:r>
      <w:r>
        <w:rPr>
          <w:rFonts w:ascii="Times New Roman;serif" w:hAnsi="Times New Roman;serif"/>
          <w:b w:val="false"/>
          <w:color w:val="000000"/>
          <w:sz w:val="24"/>
          <w:u w:val="single"/>
        </w:rPr>
        <w:t>Tail Fee</w:t>
      </w:r>
      <w:r>
        <w:rPr>
          <w:rFonts w:ascii="Times New Roman;serif" w:hAnsi="Times New Roman;serif"/>
          <w:b w:val="false"/>
          <w:color w:val="000000"/>
          <w:sz w:val="24"/>
        </w:rPr>
        <w:t>. Upon the Closing or, if Closing does not happen, the termination of this Agreement by the Company (other than for cause as defined in FINRA Rule 5110(g)(5)(B)), if within three (3) months following such time, the Company completes any financing of equity, equity-linked or debt or other capital raising activity with, or receives any proceeds from, any of the investors wall-crossed in connection with the Offering with the Company’s prior authorization (as evidenced by a written list delivered by the Placement Agent to the Company on the earlier of (A) the Closing Date and (B) the termination of this Agreement), then the Company will pay the Placement Agent upon the closing of such financing or receipt of such proceeds the compensation equivalent to that set forth in Section 1(a)(1).</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Section 5. Conditions of the Obligations of the Placement Agent</w:t>
      </w:r>
      <w:r>
        <w:rPr>
          <w:rFonts w:ascii="Times New Roman;serif" w:hAnsi="Times New Roman;serif"/>
          <w:b w:val="false"/>
          <w:color w:val="000000"/>
          <w:sz w:val="24"/>
        </w:rPr>
        <w:t xml:space="preserve">. </w:t>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 xml:space="preserve">The obligations of the Placement Agent hereunder shall be subject to the accuracy of the representations and warranties on the part of the Company set forth in Section 2 hereof, in each case as of the date hereof and as of the Closing Date as though then made, to the timely performance by each of the Company of its covenants and other obligations hereunder on and as of such dates, and to each of the following additional conditions: </w:t>
      </w:r>
    </w:p>
    <w:p>
      <w:pPr>
        <w:pStyle w:val="TextBody"/>
        <w:bidi w:val="0"/>
        <w:spacing w:before="0" w:after="0"/>
        <w:jc w:val="righ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385445"/>
                <wp:effectExtent l="0" t="0" r="0" b="0"/>
                <wp:wrapNone/>
                <wp:docPr id="88" name="Frame8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(a) </w:t>
      </w:r>
      <w:r>
        <w:rPr>
          <w:rFonts w:ascii="Times New Roman;serif" w:hAnsi="Times New Roman;serif"/>
          <w:b w:val="false"/>
          <w:color w:val="000000"/>
          <w:sz w:val="24"/>
          <w:u w:val="single"/>
        </w:rPr>
        <w:t>Draft Comfort Letter</w:t>
      </w:r>
      <w:r>
        <w:rPr>
          <w:rFonts w:ascii="Times New Roman;serif" w:hAnsi="Times New Roman;serif"/>
          <w:b w:val="false"/>
          <w:color w:val="000000"/>
          <w:sz w:val="24"/>
        </w:rPr>
        <w:t>. On the date hereof, the Placement Agent shall have received, and the Company shall have caused to be delivered to the Placement Agent, a draft letter from CBIZ CPAs P.C., addressed to the Placement Agent, dated as of the date hereof, in form and substance satisfactory to the Placement Agent, along with assurances in form and substance satisfactory to the Placement Agent that a final executed version of such letter, in form and substance satisfactory to the Placement Agent (the “</w:t>
      </w:r>
      <w:r>
        <w:rPr>
          <w:rFonts w:ascii="Times New Roman;serif" w:hAnsi="Times New Roman;serif"/>
          <w:b w:val="false"/>
          <w:color w:val="000000"/>
          <w:sz w:val="24"/>
          <w:u w:val="single"/>
        </w:rPr>
        <w:t>Comfort Letter</w:t>
      </w:r>
      <w:r>
        <w:rPr>
          <w:color w:val="000000"/>
        </w:rPr>
        <w:t>”</w:t>
      </w:r>
      <w:r>
        <w:rPr>
          <w:rFonts w:ascii="Times New Roman;serif" w:hAnsi="Times New Roman;serif"/>
          <w:b w:val="false"/>
          <w:color w:val="000000"/>
          <w:sz w:val="24"/>
        </w:rPr>
        <w:t xml:space="preserve">), will be delivered to the Placement Agent on the Closing Date. The letter shall not disclose any change in the condition (financial or other), earnings, operations, business or prospects of the Company from that set forth in the Incorporated Documents or the applicable Prospectus or Prospectus Supplement, which, in the Placement Agent's sole judgment, is material and adverse and that makes it, in the Placement Agent's sole judgment, impracticable or inadvisable to proceed with the Offering of the Securities as contemplated by such Prospectus. </w:t>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(b) </w:t>
      </w:r>
      <w:r>
        <w:rPr>
          <w:rFonts w:ascii="Times New Roman;serif" w:hAnsi="Times New Roman;serif"/>
          <w:b w:val="false"/>
          <w:color w:val="000000"/>
          <w:sz w:val="24"/>
          <w:u w:val="single"/>
        </w:rPr>
        <w:t>Compliance with Registration Requirements; No Stop Order; No Objection from the FINRA.</w:t>
      </w:r>
      <w:r>
        <w:rPr>
          <w:color w:val="000000"/>
        </w:rPr>
        <w:t xml:space="preserve"> </w:t>
      </w:r>
      <w:r>
        <w:rPr>
          <w:rFonts w:ascii="Times New Roman;serif" w:hAnsi="Times New Roman;serif"/>
          <w:b w:val="false"/>
          <w:color w:val="000000"/>
          <w:sz w:val="24"/>
        </w:rPr>
        <w:t xml:space="preserve">Each Prospectus and “free writing prospectus” (as defined in Rule 405 of the Securities Act), if any, shall have been duly filed with the Commission, as appropriate; no stop order suspending the effectiveness of the Registration Statement or any part thereof shall have been issued and no proceeding for that purpose shall have been initiated or threatened by the Commission; no order preventing or suspending the use of any Prospectus shall have been issued and no proceeding for that purpose shall have been initiated or threatened by the Commission; no order having the effect of ceasing or suspending the distribution of the Securities or any other securities of the Company shall have been issued by any securities commission, securities regulatory authority or stock exchange and no proceedings for that purpose shall have been instituted or shall be pending or, to the knowledge of the Company, contemplated by any securities commission, securities regulatory authority or stock exchange; all requests for additional information on the part of the Commission shall have been complied with; and FINRA shall have raised no objection to the fairness and reasonableness of the placement terms and arrangements. </w:t>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(c) </w:t>
      </w:r>
      <w:r>
        <w:rPr>
          <w:rFonts w:ascii="Times New Roman;serif" w:hAnsi="Times New Roman;serif"/>
          <w:b w:val="false"/>
          <w:color w:val="000000"/>
          <w:sz w:val="24"/>
          <w:u w:val="single"/>
        </w:rPr>
        <w:t>Corporate Proceedings</w:t>
      </w:r>
      <w:r>
        <w:rPr>
          <w:rFonts w:ascii="Times New Roman;serif" w:hAnsi="Times New Roman;serif"/>
          <w:b w:val="false"/>
          <w:color w:val="000000"/>
          <w:sz w:val="24"/>
        </w:rPr>
        <w:t xml:space="preserve">. All corporate proceedings and other legal matters in connection with this Agreement, the Registration Statement and each Prospectus, and the registration, sale and delivery of the Securities, shall have been completed or resolved in a manner reasonably satisfactory to the Placement Agent's counsel, and such counsel shall have been furnished with such papers and information as it may reasonably have requested to enable such counsel to pass upon the matters referred to in this Section 5. </w:t>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(d) </w:t>
      </w:r>
      <w:r>
        <w:rPr>
          <w:rFonts w:ascii="Times New Roman;serif" w:hAnsi="Times New Roman;serif"/>
          <w:b w:val="false"/>
          <w:color w:val="000000"/>
          <w:sz w:val="24"/>
          <w:u w:val="single"/>
        </w:rPr>
        <w:t>No Material Adverse Change</w:t>
      </w:r>
      <w:r>
        <w:rPr>
          <w:rFonts w:ascii="Times New Roman;serif" w:hAnsi="Times New Roman;serif"/>
          <w:b w:val="false"/>
          <w:color w:val="000000"/>
          <w:sz w:val="24"/>
        </w:rPr>
        <w:t>. Subsequent to the execution and delivery of this Agreement and prior to the Closing Date, in the Placement Agent's sole judgment after consultation with the Company, there shall not have occurred any Material Adverse Effect or any material adverse change or development involving a prospective material adverse change in the condition or the business activities, financial or otherwise, of the Company from the latest dates as of which such condition is set forth in the Registration Statement and Prospectus (“</w:t>
      </w:r>
      <w:r>
        <w:rPr>
          <w:rFonts w:ascii="Times New Roman;serif" w:hAnsi="Times New Roman;serif"/>
          <w:b w:val="false"/>
          <w:color w:val="000000"/>
          <w:sz w:val="24"/>
          <w:u w:val="single"/>
        </w:rPr>
        <w:t>Material Adverse Change</w:t>
      </w:r>
      <w:r>
        <w:rPr>
          <w:color w:val="000000"/>
        </w:rPr>
        <w:t>”</w:t>
      </w:r>
      <w:r>
        <w:rPr>
          <w:rFonts w:ascii="Times New Roman;serif" w:hAnsi="Times New Roman;serif"/>
          <w:b w:val="false"/>
          <w:color w:val="000000"/>
          <w:sz w:val="24"/>
        </w:rPr>
        <w:t xml:space="preserve">). </w:t>
      </w:r>
    </w:p>
    <w:p>
      <w:pPr>
        <w:pStyle w:val="TextBody"/>
        <w:bidi w:val="0"/>
        <w:spacing w:lineRule="auto" w:line="288"/>
        <w:ind w:left="0" w:right="0" w:firstLine="720"/>
        <w:jc w:val="both"/>
        <w:rPr/>
      </w:pPr>
      <w:r>
        <w:rPr>
          <w:rFonts w:ascii="Times New Roman;serif" w:hAnsi="Times New Roman;serif"/>
          <w:b w:val="false"/>
          <w:color w:val="000000"/>
          <w:sz w:val="24"/>
        </w:rPr>
        <w:t xml:space="preserve">(e) </w:t>
      </w:r>
      <w:r>
        <w:rPr>
          <w:rFonts w:ascii="Times New Roman;serif" w:hAnsi="Times New Roman;serif"/>
          <w:b w:val="false"/>
          <w:color w:val="000000"/>
          <w:sz w:val="24"/>
          <w:u w:val="single"/>
        </w:rPr>
        <w:t>Opinion of Counsel for the Company</w:t>
      </w:r>
      <w:r>
        <w:rPr>
          <w:rFonts w:ascii="Times New Roman;serif" w:hAnsi="Times New Roman;serif"/>
          <w:b w:val="false"/>
          <w:color w:val="000000"/>
          <w:sz w:val="24"/>
        </w:rPr>
        <w:t xml:space="preserve">. The Placement Agent shall have received on the Closing Date the opinion of Cooley LLP, counsel to the Company, dated as of such Closing Date, addressed to the Placement Agent and in form and substance satisfactory to the Placement Agent. </w:t>
      </w:r>
    </w:p>
    <w:p>
      <w:pPr>
        <w:pStyle w:val="TextBody"/>
        <w:bidi w:val="0"/>
        <w:spacing w:before="0" w:after="0"/>
        <w:jc w:val="righ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385445"/>
                <wp:effectExtent l="0" t="0" r="0" b="0"/>
                <wp:wrapNone/>
                <wp:docPr id="89" name="Frame8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(f) </w:t>
      </w:r>
      <w:r>
        <w:rPr>
          <w:rFonts w:ascii="Times New Roman;serif" w:hAnsi="Times New Roman;serif"/>
          <w:b w:val="false"/>
          <w:color w:val="000000"/>
          <w:sz w:val="24"/>
          <w:u w:val="single"/>
        </w:rPr>
        <w:t>Secretary’s Certificate</w:t>
      </w:r>
      <w:r>
        <w:rPr>
          <w:rFonts w:ascii="Times New Roman;serif" w:hAnsi="Times New Roman;serif"/>
          <w:b w:val="false"/>
          <w:color w:val="000000"/>
          <w:sz w:val="24"/>
        </w:rPr>
        <w:t>. The Placement Agent shall have received on the Closing Date a certificate of the Company, dated as of such Closing Date, signed by the Secretary of the Company, in form and substance satisfactory to the Placement Agent (the “</w:t>
      </w:r>
      <w:r>
        <w:rPr>
          <w:rFonts w:ascii="Times New Roman;serif" w:hAnsi="Times New Roman;serif"/>
          <w:b w:val="false"/>
          <w:color w:val="000000"/>
          <w:sz w:val="24"/>
          <w:u w:val="single"/>
        </w:rPr>
        <w:t>Secretary’s Certificate</w:t>
      </w:r>
      <w:r>
        <w:rPr>
          <w:color w:val="000000"/>
        </w:rPr>
        <w:t>”</w:t>
      </w:r>
      <w:r>
        <w:rPr>
          <w:rFonts w:ascii="Times New Roman;serif" w:hAnsi="Times New Roman;serif"/>
          <w:b w:val="false"/>
          <w:color w:val="000000"/>
          <w:sz w:val="24"/>
        </w:rPr>
        <w:t>).</w:t>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(g) </w:t>
      </w:r>
      <w:r>
        <w:rPr>
          <w:color w:val="000000"/>
          <w:u w:val="single"/>
        </w:rPr>
        <w:t> </w:t>
      </w:r>
      <w:r>
        <w:rPr>
          <w:rFonts w:ascii="Times New Roman;serif" w:hAnsi="Times New Roman;serif"/>
          <w:b w:val="false"/>
          <w:color w:val="000000"/>
          <w:sz w:val="24"/>
          <w:u w:val="single"/>
        </w:rPr>
        <w:t>Chief Financial Officer’s Certificate</w:t>
      </w:r>
      <w:r>
        <w:rPr>
          <w:rFonts w:ascii="Times New Roman;serif" w:hAnsi="Times New Roman;serif"/>
          <w:b w:val="false"/>
          <w:color w:val="000000"/>
          <w:sz w:val="24"/>
        </w:rPr>
        <w:t>. If reasonably requested by the Placement Agent, on the date of this Agreement and the Closing Date, the Company shall have delivered to the Placement Agent a certificate executed by the Chief Financial Officer of the Company, providing “management comfort” with respect to certain financial data included in the Prospectus, dated as of such date, in form and substance satisfactory to the Placement Agent (the “</w:t>
      </w:r>
      <w:r>
        <w:rPr>
          <w:rFonts w:ascii="Times New Roman;serif" w:hAnsi="Times New Roman;serif"/>
          <w:b w:val="false"/>
          <w:color w:val="000000"/>
          <w:sz w:val="24"/>
          <w:u w:val="single"/>
        </w:rPr>
        <w:t>CFO Certificate</w:t>
      </w:r>
      <w:r>
        <w:rPr>
          <w:color w:val="000000"/>
        </w:rPr>
        <w:t>”</w:t>
      </w:r>
      <w:r>
        <w:rPr>
          <w:rFonts w:ascii="Times New Roman;serif" w:hAnsi="Times New Roman;serif"/>
          <w:b w:val="false"/>
          <w:color w:val="000000"/>
          <w:sz w:val="24"/>
        </w:rPr>
        <w:t>).</w:t>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(h) </w:t>
      </w:r>
      <w:r>
        <w:rPr>
          <w:rFonts w:ascii="Times New Roman;serif" w:hAnsi="Times New Roman;serif"/>
          <w:b w:val="false"/>
          <w:color w:val="000000"/>
          <w:sz w:val="24"/>
          <w:u w:val="single"/>
        </w:rPr>
        <w:t>Officers’ Certificate</w:t>
      </w:r>
      <w:r>
        <w:rPr>
          <w:rFonts w:ascii="Times New Roman;serif" w:hAnsi="Times New Roman;serif"/>
          <w:b w:val="false"/>
          <w:color w:val="000000"/>
          <w:sz w:val="24"/>
        </w:rPr>
        <w:t xml:space="preserve">. The Placement Agent shall have received on the Closing Date a certificate of the Company, dated as of such Closing Date, signed by the Chief Executive Officer and Chief Financial Officer of the Company, to the effect that, and the Placement Agent shall be satisfied that, the signers of such certificate have reviewed the Registration Statement, the Incorporated Documents, the Prospectus, and this Agreement and to the further effect that: </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(i)The representations and warranties of the Company in this Agreement are true and correct, as if made on and as of such Closing Date, and the Company has complied with all the agreements and satisfied all the conditions on its part to be performed or satisfied at or prior to such Closing Date; </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(ii)No stop order suspending the effectiveness of the Registration Statement or the use of the Prospectus has been issued and no proceedings for that purpose have been instituted or are pending or, to the Company’s knowledge, threatened under the Securities Act; no order having the effect of ceasing or suspending the distribution of the Securities or any other securities of the Company has been issued by any securities commission, securities regulatory authority or stock exchange in the United States and no proceedings for that purpose have been instituted or are pending or, to the knowledge of the Company, contemplated by any securities commission, securities regulatory authority or stock exchange in the United States; </w:t>
      </w:r>
    </w:p>
    <w:p>
      <w:pPr>
        <w:pStyle w:val="TextBody"/>
        <w:bidi w:val="0"/>
        <w:spacing w:lineRule="auto" w:line="288"/>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 When the Registration Statement became effective, at the time of sale, and at all times subsequent thereto up to the delivery of such certificate, the Registration Statement and the Incorporated Documents, if any, when such documents became effective or were filed with the Commission, and any Prospectus, contained all material information required to be included therein by the Securities Act and the Exchange Act and the applicable rules and regulations of the Commission thereunder, as the case may be, and in all material respects conformed to the requirements of the Securities Act and the Exchange Act and the applicable rules and regulations of the Commission thereunder, as the case may be, and the Registration Statement and the Incorporated Documents, if any, and any Prospectus, did not and do not include any untrue statement of a material fact or omit to state a material fact required to be stated therein or necessary to make the statements therein, in the light of the circumstances under which they were made, not misleading (provided, however, that the preceding representations and warranties contained in this paragraph (iii) shall not apply to any statements or omissions made in reliance upon and in conformity with information furnished in writing to the Company by the Placement Agent expressly for use therein) and, since the effective date of the Registration Statement, there has occurred no event required by the Securities Act and the rules and regulations of the Commission thereunder to be set forth in the Incorporated Documents which has not been so set forth; and</w:t>
      </w:r>
    </w:p>
    <w:p>
      <w:pPr>
        <w:pStyle w:val="TextBody"/>
        <w:bidi w:val="0"/>
        <w:spacing w:before="0" w:after="0"/>
        <w:jc w:val="righ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385445"/>
                <wp:effectExtent l="0" t="0" r="0" b="0"/>
                <wp:wrapNone/>
                <wp:docPr id="90" name="Frame8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(iv) Subsequent to the respective dates as of which information is given in the Registration Statement, the Incorporated Documents and any Prospectus, there has not been: (a) any Material Adverse Change; (b) any transaction that is material to the Company and the Subsidiaries taken as a whole, except transactions entered into in the ordinary course of business; (c) any obligation, direct or contingent, that is material to the Company and the Subsidiaries taken as a whole, incurred by the Company or any Subsidiary, except obligations incurred in the ordinary course of business; (d) any material change in the capital stock (except changes thereto resulting from the exercise of outstanding stock options or warrants or conversion of outstanding preferred stock) or outstanding indebtedness of the Company or any Subsidiary; (e) any dividend or distribution of any kind declared, paid or made on the capital stock of the Company; or (f) any loss or damage (whether or not insured) to the property of the Company or any Subsidiary which has been sustained or will have been sustained which has a Material Adverse Effect.</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 [Reserved] </w:t>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(j) </w:t>
      </w:r>
      <w:r>
        <w:rPr>
          <w:rFonts w:ascii="Times New Roman;serif" w:hAnsi="Times New Roman;serif"/>
          <w:b w:val="false"/>
          <w:color w:val="000000"/>
          <w:sz w:val="24"/>
          <w:u w:val="single"/>
        </w:rPr>
        <w:t>Comfort Letter</w:t>
      </w:r>
      <w:r>
        <w:rPr>
          <w:rFonts w:ascii="Times New Roman;serif" w:hAnsi="Times New Roman;serif"/>
          <w:b w:val="false"/>
          <w:i/>
          <w:color w:val="000000"/>
          <w:sz w:val="24"/>
        </w:rPr>
        <w:t xml:space="preserve">. </w:t>
      </w:r>
      <w:r>
        <w:rPr>
          <w:rFonts w:ascii="Times New Roman;serif" w:hAnsi="Times New Roman;serif"/>
          <w:b w:val="false"/>
          <w:color w:val="000000"/>
          <w:sz w:val="24"/>
        </w:rPr>
        <w:t>On the Closing Date, the Placement Agent shall have received from CBIZ CPAs P.C., or such other independent registered public accounting firm of the Company, the Comfort Letter contemplated by subsection (a) of this Section 5, in form and substance satisfactory to the Placement Agent, and the specified date referred to therein for the carrying out of procedures shall be no more than two business days prior to such Closing Date.</w:t>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(k) </w:t>
      </w:r>
      <w:r>
        <w:rPr>
          <w:rFonts w:ascii="Times New Roman;serif" w:hAnsi="Times New Roman;serif"/>
          <w:b w:val="false"/>
          <w:color w:val="000000"/>
          <w:sz w:val="24"/>
          <w:u w:val="single"/>
        </w:rPr>
        <w:t>Lock-Up Agreements</w:t>
      </w:r>
      <w:r>
        <w:rPr>
          <w:rFonts w:ascii="Times New Roman;serif" w:hAnsi="Times New Roman;serif"/>
          <w:b w:val="false"/>
          <w:color w:val="000000"/>
          <w:sz w:val="24"/>
        </w:rPr>
        <w:t>. On the Closing Date, the Placement Agent shall have received the executed Lock-Up Agreement(s) contemplated by the Purchase Agreement, if any, from each of the Company’s directors and executive officers.</w:t>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(l) </w:t>
      </w:r>
      <w:r>
        <w:rPr>
          <w:rFonts w:ascii="Times New Roman;serif" w:hAnsi="Times New Roman;serif"/>
          <w:b w:val="false"/>
          <w:color w:val="000000"/>
          <w:sz w:val="24"/>
          <w:u w:val="single"/>
        </w:rPr>
        <w:t>Additional Documents</w:t>
      </w:r>
      <w:r>
        <w:rPr>
          <w:rFonts w:ascii="Times New Roman;serif" w:hAnsi="Times New Roman;serif"/>
          <w:b w:val="false"/>
          <w:color w:val="000000"/>
          <w:sz w:val="24"/>
        </w:rPr>
        <w:t xml:space="preserve">. On or before the Closing Date, the Placement Agent and counsel for the Placement Agent shall have received such information and documents as they may reasonably require for the purposes of enabling them to pass upon the issuance and sale of the Securities as contemplated herein, or in order to evidence the accuracy of any of the representations and warranties, or the satisfaction of any of the conditions or agreements, herein contained.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If any condition specified in this Section 5 is not satisfied when and as required to be satisfied, this Agreement may be terminated by the Placement Agent by notice to the Company at any time on or prior to the Closing Date, which termination shall be without liability on the part of any party to any other party, except that Section 6 (Payment of Expenses), Section 7 (Indemnification and Contribution) and Section 8 (Representations and Indemnities to Survive Delivery) shall at all times be effective and shall survive such termination. </w:t>
      </w:r>
    </w:p>
    <w:p>
      <w:pPr>
        <w:pStyle w:val="TextBody"/>
        <w:bidi w:val="0"/>
        <w:spacing w:before="0" w:after="0"/>
        <w:jc w:val="righ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385445"/>
                <wp:effectExtent l="0" t="0" r="0" b="0"/>
                <wp:wrapNone/>
                <wp:docPr id="91" name="Frame9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color w:val="000000"/>
          <w:sz w:val="24"/>
        </w:rPr>
        <w:t>Section 6. Payment of Expenses</w:t>
      </w:r>
      <w:r>
        <w:rPr>
          <w:rFonts w:ascii="Times New Roman;serif" w:hAnsi="Times New Roman;serif"/>
          <w:b w:val="false"/>
          <w:color w:val="000000"/>
          <w:sz w:val="24"/>
        </w:rPr>
        <w:t>.</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The Company, whether or not the transactions contemplated hereunder are consummated or this Agreement is terminated, shall be responsible for and pay all expenses relating to the Offering, including, without limitation, all filing fees and communication expenses relating to the registration of the Securities to be sold in the Offering with the Commission and the filing of the offering materials with FINRA; all fees and expenses relating to the listing of such Securities on such stock exchange as the Company and the Placement Agent together determine; all fees, expenses and disbursements relating to background checks of the Company’s officers and directors; all fees, expenses and disbursements relating to the registration or qualification of such Securities under the “blue sky” securities laws of such states and other jurisdictions as the Placement Agent may reasonably designate (including, without limitation, all filing and registration fees, and the fees and disbursements of the Placement Agent’s counsel at Closing)); the costs of all mailing and printing of the Offering documents (including the transaction documents, any Blue Sky Surveys and, if appropriate, selected dealers’ agreement, Placement Agent’s questionnaire and power of attorney), Registration Statements, prospectuses and all amendments, supplements and exhibits thereto and as many preliminary and final prospectuses as the Placement Agent may reasonably deem necessary; the costs of preparing, printing and delivering certificates representing such Securities; fees and expenses of the transfer agent for such Securities; stock transfer taxes, if any, payable upon the transfer of securities from the Company to the Placement Agent; the fees and expenses of the Company’s accountants, legal counsel and other agents and representatives. Upon the Placement Agent’s request, the Company shall provide funds to pay all such fees, expenses and disbursements. </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385445"/>
                <wp:effectExtent l="0" t="0" r="0" b="0"/>
                <wp:wrapNone/>
                <wp:docPr id="92" name="Frame9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color w:val="000000"/>
          <w:sz w:val="24"/>
        </w:rPr>
        <w:t>Section 7. Indemnification and Contribution</w:t>
      </w:r>
      <w:r>
        <w:rPr>
          <w:rFonts w:ascii="Times New Roman;serif" w:hAnsi="Times New Roman;serif"/>
          <w:b w:val="false"/>
          <w:color w:val="000000"/>
          <w:sz w:val="24"/>
        </w:rPr>
        <w:t xml:space="preserve">. </w:t>
      </w:r>
    </w:p>
    <w:p>
      <w:pPr>
        <w:pStyle w:val="TextBody"/>
        <w:bidi w:val="0"/>
        <w:spacing w:lineRule="auto" w:line="288" w:before="0" w:after="0"/>
        <w:ind w:left="0" w:right="0" w:firstLine="720"/>
        <w:jc w:val="both"/>
        <w:rPr/>
      </w:pPr>
      <w:r>
        <w:rPr>
          <w:rFonts w:ascii="Times New Roman;serif" w:hAnsi="Times New Roman;serif"/>
          <w:b w:val="false"/>
          <w:color w:val="000000"/>
          <w:sz w:val="24"/>
        </w:rPr>
        <w:t>(a) The Company agrees to indemnify and hold harmless the Placement Agent, its affiliates and each person controlling the Placement Agent</w:t>
      </w:r>
      <w:r>
        <w:rPr>
          <w:color w:val="000000"/>
        </w:rPr>
        <w:t> </w:t>
      </w:r>
      <w:r>
        <w:rPr>
          <w:rFonts w:ascii="Times New Roman;serif" w:hAnsi="Times New Roman;serif"/>
          <w:b w:val="false"/>
          <w:color w:val="000000"/>
          <w:sz w:val="24"/>
        </w:rPr>
        <w:t>(within the meaning of Section 15 of the Securities Act), and the directors, officers, agents and employees of the Placement Agent, its affiliates and each such controlling person (the Placement Agent, and each such entity or person. an “</w:t>
      </w:r>
      <w:r>
        <w:rPr>
          <w:rFonts w:ascii="Times New Roman;serif" w:hAnsi="Times New Roman;serif"/>
          <w:b w:val="false"/>
          <w:color w:val="000000"/>
          <w:sz w:val="24"/>
          <w:u w:val="single"/>
        </w:rPr>
        <w:t>Indemnified Person</w:t>
      </w:r>
      <w:r>
        <w:rPr>
          <w:color w:val="000000"/>
        </w:rPr>
        <w:t>”</w:t>
      </w:r>
      <w:r>
        <w:rPr>
          <w:rFonts w:ascii="Times New Roman;serif" w:hAnsi="Times New Roman;serif"/>
          <w:b w:val="false"/>
          <w:color w:val="000000"/>
          <w:sz w:val="24"/>
        </w:rPr>
        <w:t>) from and against any losses, claims, damages, judgments, assessments, costs and other liabilities (collectively, the “</w:t>
      </w:r>
      <w:r>
        <w:rPr>
          <w:rFonts w:ascii="Times New Roman;serif" w:hAnsi="Times New Roman;serif"/>
          <w:b w:val="false"/>
          <w:color w:val="000000"/>
          <w:sz w:val="24"/>
          <w:u w:val="single"/>
        </w:rPr>
        <w:t>Liabilities</w:t>
      </w:r>
      <w:r>
        <w:rPr>
          <w:color w:val="000000"/>
        </w:rPr>
        <w:t>”</w:t>
      </w:r>
      <w:r>
        <w:rPr>
          <w:rFonts w:ascii="Times New Roman;serif" w:hAnsi="Times New Roman;serif"/>
          <w:b w:val="false"/>
          <w:color w:val="000000"/>
          <w:sz w:val="24"/>
        </w:rPr>
        <w:t>), and shall reimburse each Indemnified Person for all reasonable and documented out-of-pocket fees and expenses (including the reasonable and documented out-of-pocket fees and expenses of one counsel for all Indemnified Persons, except as otherwise expressly provided herein) (collectively, the “</w:t>
      </w:r>
      <w:r>
        <w:rPr>
          <w:rFonts w:ascii="Times New Roman;serif" w:hAnsi="Times New Roman;serif"/>
          <w:b w:val="false"/>
          <w:color w:val="000000"/>
          <w:sz w:val="24"/>
          <w:u w:val="single"/>
        </w:rPr>
        <w:t>Expenses</w:t>
      </w:r>
      <w:r>
        <w:rPr>
          <w:color w:val="000000"/>
        </w:rPr>
        <w:t>”</w:t>
      </w:r>
      <w:r>
        <w:rPr>
          <w:rFonts w:ascii="Times New Roman;serif" w:hAnsi="Times New Roman;serif"/>
          <w:b w:val="false"/>
          <w:color w:val="000000"/>
          <w:sz w:val="24"/>
        </w:rPr>
        <w:t xml:space="preserve">) as they are incurred by an Indemnified Person in investigating, preparing, pursuing or defending any actions, whether or not any Indemnified Person is a party thereto, (i) caused by, or arising out of or in connection with, any untrue statement or alleged untrue statement of a material fact contained in the Registration Statement, any Incorporated Document, or any Prospectus or by any omission or alleged omission to state therein a material fact necessary to make the statements therein, in light of the circumstances under which they were made, not misleading (other than untrue statements or alleged untrue statements in, or omissions or alleged omissions from, information relating to an Indemnified Person furnished in writing by or on behalf of such Indemnified Person expressly for use in the Incorporated Documents) or (ii) otherwise arising out of or in connection with advice or services rendered or to be rendered by any Indemnified Person pursuant to this Agreement, the transactions contemplated thereby or any Indemnified Person's actions or inactions in connection with any such advice, services or transactions;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in the case of clause (ii) only, the Company shall not be responsible for any Liabilities or Expenses of any Indemnified Person that are finally judicially determined to have resulted primarily and directly from such Indemnified Person's (x) gross negligence or willful misconduct in connection with any of the advice, actions, inactions or services referred to above or (y) use of any offering materials or information concerning the Company in connection with the offer or sale of the Securities in the Offering which were not authorized for such use by the Company. The Company also agrees to reimburse each Indemnified Person for all Expenses as they are incurred in connection with enforcing such Indemnified Person's rights under this Agreement.</w:t>
      </w:r>
    </w:p>
    <w:p>
      <w:pPr>
        <w:pStyle w:val="TextBody"/>
        <w:bidi w:val="0"/>
        <w:ind w:left="0" w:right="0" w:firstLine="72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385445"/>
                <wp:effectExtent l="0" t="0" r="0" b="0"/>
                <wp:wrapNone/>
                <wp:docPr id="93" name="Frame9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Upon receipt by an Indemnified Person of actual notice of an action against such Indemnified Person with respect to which indemnity may be sought under this Agreement, such Indemnified Person shall promptly notify the Company in writing; provided that failure by any Indemnified Person so to notify the Company shall not relieve the Company from any liability which the Company may have on account of this indemnity or otherwise to such Indemnified Person, except to the extent the Company shall have been prejudiced by such failure. The Company shall, if requested by the Placement Agent or at its own election, have the right to assume the defense of any such action, including the employment of counsel reasonably satisfactory to the Placement Agent, which counsel may also be counsel to the Company. Any Indemnified Person shall have the right to employ separate counsel in any such action and participate in the defense thereof, but the fees and expenses of such counsel shall be at the expense of such Indemnified Person unless: (i) the Company has failed promptly to assume the defense and employ counsel or (ii) the named parties to any such action (including any impeded parties) include such Indemnified Person and the Company, and such Indemnified Person shall have been advised in the reasonable opinion of counsel that there is an actual conflict of interest that prevents the counsel selected by the Company from representing both the Company (or another client of such counsel) and any Indemnified Person; provided that the Company shall not in such event be responsible hereunder for the fees and expenses of more than one firm of separate counsel for all Indemnified Persons in connection with any action or related actions, in addition to any local counsel. The Company shall not be liable for any settlement of any action effected without its written consent (which shall not be unreasonably withheld). In addition, the Company shall not, without the prior written consent of the Placement Agent (which shall not be unreasonably withheld), settle, compromise or consent to the entry of any judgment in or otherwise seek to terminate any pending or threatened action in respect of which indemnification or contribution may be sought hereunder (whether or not such Indemnified Person is a party thereto) unless such settlement, compromise, consent or termination includes an unconditional release of each Indemnified Person from all Liabilities arising out of such action for which indemnification or contribution may be sought hereunder. The indemnification required hereby shall be made by periodic payments of the amount thereof during the course of the investigation or defense, as such expense, loss, damage or liability is incurred and is due and payable, subject to an undertaking by each Indemnified Person to repay such amounts if it is finally judicially determined that such Indemnified Person was not entitled to indemnification hereunder.</w:t>
      </w:r>
    </w:p>
    <w:p>
      <w:pPr>
        <w:pStyle w:val="TextBody"/>
        <w:bidi w:val="0"/>
        <w:ind w:left="0" w:right="0" w:firstLine="72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385445"/>
                <wp:effectExtent l="0" t="0" r="0" b="0"/>
                <wp:wrapNone/>
                <wp:docPr id="94" name="Frame9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txbxContent>
                </v:textbox>
                <w10:wrap type="none"/>
              </v:rect>
            </w:pict>
          </mc:Fallback>
        </mc:AlternateContent>
      </w:r>
    </w:p>
    <w:p>
      <w:pPr>
        <w:pStyle w:val="TextBody"/>
        <w:bidi w:val="0"/>
        <w:spacing w:lineRule="auto" w:line="304"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In the event that the foregoing indemnity is unavailable to an Indemnified Person other than in accordance with this Agreement, the Company shall contribute to the Liabilities and Expenses paid or payable by such Indemnified Person in such proportion as is appropriate to reflect (i) the relative benefits to the Company, on the one hand, and to the Placement Agent and any other Indemnified Person, on the other hand, of the matters contemplated by this Agreement or (ii) if the allocation provided by the immediately preceding clause is not permitted by applicable law, not only such relative benefits but also the relative fault of the Company, on the one hand, and the Placement Agent and any other Indemnified Person, on the other hand, in connection with the matters as to which such Liabilities or Expenses relate, as well as any other relevant equitable considerations; provided that in no event shall the Company contribute less than the amount necessary to ensure that all Indemnified Persons, in the aggregate, are not liable for any Liabilities and Expenses in excess of the amount of fees actually received by the Placement Agent pursuant to this Agreement; provided, further, that in no event shall the Company be required to contribute any amount in respect of Liabilities or Expenses that are finally judicially determined to have resulted primarily and directly from the gross negligence or willful misconduct of the Placement Agent or any other Indemnified Person. For purposes of this paragraph, the relative benefits to the Company, on the one hand, and to the Placement Agent on the other hand, of the matters contemplated by this Agreement shall be deemed to be in the same proportion as (a) the total value paid or contemplated to be paid to or received or contemplated to be received by the Company in the transaction or transactions that are within the scope of this Agreement, whether or not any such transaction is consummated, bears to (b) the fees paid to the Placement Agent under this Agreement. Notwithstanding the above, no person guilty of fraudulent misrepresentation within the meaning of Section 11(f) of the Securities Act, as amended, shall be entitled to contribution from a party who was not guilty of fraudulent misrepresentation.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The Company also agrees that no Indemnified Person shall have any liability (whether direct or indirect, in contract or tort or otherwise) to the Company for or in connection with advice or services rendered or to be rendered by any Indemnified Person pursuant to this Agreement, the transactions contemplated thereby or any Indemnified Person's actions or inactions in connection with any such advice, services or transactions except for Liabilities (and related Expenses) of the Company that are finally judicially determined to have resulted primarily and directly from such Indemnified Person's gross negligence or willful misconduct in connection with any such advice, actions, inactions or services. Without limiting the foregoing, no Indemnified Person shall have any liability for any Liabilities or Expenses arising out of or based upon information provided to the Placement Agent by or on behalf of the Company, or any fraudulent act, misrepresentation, or willful misconduct by the Company or any of its directors, officers, employees, agents, affiliates, advisors, or representatives.</w:t>
      </w:r>
    </w:p>
    <w:p>
      <w:pPr>
        <w:pStyle w:val="TextBody"/>
        <w:bidi w:val="0"/>
        <w:ind w:left="0" w:right="0" w:firstLine="72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385445"/>
                <wp:effectExtent l="0" t="0" r="0" b="0"/>
                <wp:wrapNone/>
                <wp:docPr id="95" name="Frame9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The reimbursement, indemnity and contribution obligations of the Company set forth herein shall apply to any modification of this Agreement and shall remain in full force and effect regardless of any termination of, or the completion of any Indemnified Person's services under or in connection with, this Agreement.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 In no event shall any Indemnified Person, on the one hand, or the Company, any person controlling the Company, or any of their respective directors, officers, employees, agents, affiliates, advisors, or representatives, on the other hand, have any liability to the other for any special, consequential, incidental, or exemplary damages or losses, nor any lost profits, savings, or business opportunity, in connection with this Agreement or the transactions contemplated hereby.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Section 8. Representations and Indemnities to Survive Delivery</w:t>
      </w:r>
      <w:r>
        <w:rPr>
          <w:rFonts w:ascii="Times New Roman;serif" w:hAnsi="Times New Roman;serif"/>
          <w:b w:val="false"/>
          <w:color w:val="000000"/>
          <w:sz w:val="24"/>
        </w:rPr>
        <w:t xml:space="preserve">.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respective indemnities, agreements, representations, warranties and other statements of the Company or any person controlling the Company, of its officers, and of the Placement Agent set forth in or made pursuant to this Agreement will remain in full force and effect, regardless of any investigation made by or on behalf of the Placement Agent, the Company, or any of its or their partners, officers or directors or any controlling person, as the case may be, and will survive delivery of and payment for the Securities sold hereunder and any termination of this Agreement. A successor to a Placement Agent, or to the Company, its directors or officers or any person controlling the Company, shall be entitled to the benefits of the indemnity, contribution and reimbursement agreements contained in this Agreement.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Section 9. Notices</w:t>
      </w:r>
      <w:r>
        <w:rPr>
          <w:rFonts w:ascii="Times New Roman;serif" w:hAnsi="Times New Roman;serif"/>
          <w:b w:val="false"/>
          <w:color w:val="000000"/>
          <w:sz w:val="24"/>
        </w:rPr>
        <w:t xml:space="preserve">.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All communications hereunder shall be in writing and shall be mailed, hand delivered, e-mailed or telecopied and confirmed to the parties hereto as follows: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If to the Placement Agent to the address set forth above, attention: Ryan Gerety, email: rgerety@clearstreet.io</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4"/>
        </w:rPr>
      </w:pPr>
      <w:r>
        <w:rPr>
          <w:rFonts w:ascii="Times New Roman;serif" w:hAnsi="Times New Roman;serif"/>
          <w:b w:val="false"/>
          <w:i/>
          <w:color w:val="000000"/>
          <w:sz w:val="24"/>
        </w:rPr>
        <w:t xml:space="preserve">With a copy to: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Winston Taylor LLP</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800 Capitol Street, Suite 2400</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Houston, TX 77002</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Attn: Michael J. Blankenship</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E-mail: mike.blankenship@winstontaylor.com</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If to the Company: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Solana Company</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1650 Market Street, Suite 3600, PMB 17139084</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Philadelphia, PA 19103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Attn: Agustina Gani Tjandrasuwita</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E-mail: mgani@solanacompany.co</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385445"/>
                <wp:effectExtent l="0" t="0" r="0" b="0"/>
                <wp:wrapNone/>
                <wp:docPr id="96" name="Frame9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i/>
          <w:color w:val="000000"/>
          <w:sz w:val="24"/>
        </w:rPr>
      </w:pPr>
      <w:r>
        <w:rPr>
          <w:rFonts w:ascii="Times New Roman;serif" w:hAnsi="Times New Roman;serif"/>
          <w:b w:val="false"/>
          <w:i/>
          <w:color w:val="000000"/>
          <w:sz w:val="24"/>
        </w:rPr>
        <w:t>With a copy to (which shall not constitute notice):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Cooley LLP</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55 Hudson Yards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New York, NY 10001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Attn: Jason Kent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Email: jkent@cooley.com</w:t>
      </w:r>
    </w:p>
    <w:p>
      <w:pPr>
        <w:pStyle w:val="TextBody"/>
        <w:bidi w:val="0"/>
        <w:spacing w:before="0" w:after="0"/>
        <w:jc w:val="both"/>
        <w:rPr/>
      </w:pPr>
      <w:r>
        <w:rPr/>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Any party hereto may change the address for receipt of communications by giving written notice to the others. </w:t>
      </w:r>
    </w:p>
    <w:p>
      <w:pPr>
        <w:pStyle w:val="TextBody"/>
        <w:bidi w:val="0"/>
        <w:spacing w:lineRule="auto" w:line="288" w:before="0" w:after="0"/>
        <w:jc w:val="both"/>
        <w:rPr/>
      </w:pPr>
      <w:r>
        <w:rPr>
          <w:rFonts w:ascii="Times New Roman;serif" w:hAnsi="Times New Roman;serif"/>
          <w:b/>
          <w:color w:val="000000"/>
          <w:sz w:val="24"/>
        </w:rPr>
        <w:t>Section 10. Successors</w:t>
      </w:r>
      <w:r>
        <w:rPr>
          <w:rFonts w:ascii="Times New Roman;serif" w:hAnsi="Times New Roman;serif"/>
          <w:b w:val="false"/>
          <w:color w:val="000000"/>
          <w:sz w:val="24"/>
        </w:rPr>
        <w:t xml:space="preserve">.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This Agreement will inure to the benefit of and be binding upon the parties hereto, and to the benefit of the employees, officers and directors and controlling persons referred to in Section 7 hereof, and to their respective successors, and personal representative, and no other person will have any right or obligation hereunder.</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Section 11. Partial Unenforceability</w:t>
      </w:r>
      <w:r>
        <w:rPr>
          <w:rFonts w:ascii="Times New Roman;serif" w:hAnsi="Times New Roman;serif"/>
          <w:b w:val="false"/>
          <w:color w:val="000000"/>
          <w:sz w:val="24"/>
        </w:rPr>
        <w:t xml:space="preserve">. </w:t>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The invalidity or unenforceability of any section, paragraph or provision of this Agreement shall 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pStyle w:val="TextBody"/>
        <w:bidi w:val="0"/>
        <w:spacing w:before="0" w:after="0"/>
        <w:jc w:val="righ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385445"/>
                <wp:effectExtent l="0" t="0" r="0" b="0"/>
                <wp:wrapNone/>
                <wp:docPr id="97" name="Frame9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 xml:space="preserve">Section 12. Governing Law. </w:t>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This Agreement will be governed by, and construed in accordance with, the laws of the State of New York applicable to agreements made and to be performed entirely in such State, without regard to the conflicts of laws principles thereof. This Agreement may not be assigned by either party without the prior written consent of the other party. This Agreement shall be binding upon and inure to the benefit of the parties hereto, and their respective successors and permitted assigns. Any right to trial by jury with respect to any dispute arising under this Agreement or any transaction or conduct in connection herewith is waived. Any dispute arising under this Agreement may be brought into the courts of the State of New York or into the Federal Court located in New York, New York and, by execution and delivery of this Agreement, each party hereto hereby accepts for itself and in respect of its property, generally and unconditionally, the jurisdiction of aforesaid courts. Each party hereto hereby irrevocably waives personal service of process and consents to process being served in any such suit, action or proceeding by delivering a copy thereof via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 Each party hereto agrees that a final judgment in any such action, proceeding or counterclaim brought in any such court shall be conclusive and binding upon such party and may be enforced in any other courts to the jurisdiction of which such party is or may be subject, by suit upon such judgment. If either party to this Agreement shall commence an action or proceeding to enforce any provisions of this Agreement, then the prevailing party in such action or proceeding shall be reimbursed by the other party for its attorney's fees and other costs and expenses incurred with the investigation, preparation and prosecution of such action or proceeding.</w:t>
      </w:r>
    </w:p>
    <w:p>
      <w:pPr>
        <w:pStyle w:val="TextBody"/>
        <w:bidi w:val="0"/>
        <w:spacing w:before="0" w:after="0"/>
        <w:jc w:val="righ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385445"/>
                <wp:effectExtent l="0" t="0" r="0" b="0"/>
                <wp:wrapNone/>
                <wp:docPr id="98" name="Frame9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Section 13. General Provisions</w:t>
      </w:r>
      <w:r>
        <w:rPr>
          <w:rFonts w:ascii="Times New Roman;serif" w:hAnsi="Times New Roman;serif"/>
          <w:b w:val="false"/>
          <w:color w:val="000000"/>
          <w:sz w:val="24"/>
        </w:rPr>
        <w:t>.</w:t>
      </w:r>
    </w:p>
    <w:p>
      <w:pPr>
        <w:pStyle w:val="TextBody"/>
        <w:bidi w:val="0"/>
        <w:spacing w:lineRule="auto" w:line="288" w:before="0" w:after="0"/>
        <w:jc w:val="both"/>
        <w:rPr/>
      </w:pPr>
      <w:r>
        <w:rPr>
          <w:rFonts w:ascii="Times New Roman;serif" w:hAnsi="Times New Roman;serif"/>
          <w:b w:val="false"/>
          <w:color w:val="000000"/>
          <w:sz w:val="24"/>
        </w:rPr>
        <w:t>(a) This Agreement (including all contemporaneous side letters between the Company and the Placement Agent) constitutes the entire agreement of the parties to this Agreement and supersedes all prior written or oral and all contemporaneous oral agreements, understandings and negotiations with respect to the subject matter hereof. Notwithstanding anything herein to the contrary, the letter agreement, dated September 15, 2025 (the “</w:t>
      </w:r>
      <w:r>
        <w:rPr>
          <w:rFonts w:ascii="Times New Roman;serif" w:hAnsi="Times New Roman;serif"/>
          <w:b w:val="false"/>
          <w:color w:val="000000"/>
          <w:sz w:val="24"/>
          <w:u w:val="single"/>
        </w:rPr>
        <w:t>Engagement Letter</w:t>
      </w:r>
      <w:r>
        <w:rPr>
          <w:color w:val="000000"/>
        </w:rPr>
        <w:t>”</w:t>
      </w:r>
      <w:r>
        <w:rPr>
          <w:rFonts w:ascii="Times New Roman;serif" w:hAnsi="Times New Roman;serif"/>
          <w:b w:val="false"/>
          <w:color w:val="000000"/>
          <w:sz w:val="24"/>
        </w:rPr>
        <w:t xml:space="preserve">), by and among the Company, the Placement Agent and the other parties thereto shall continue to be effective and the terms therein shall continue to survive and be enforceable by the Placement Agent in accordance with its terms, provided that, in the event of a conflict between the terms of the Engagement Letter and this Agreement, the terms of this Agreement shall prevail. The Non-Circumvention Agreement and Indemnification Agreement, dated as of September 24, 2026, by and between the Placement Agent and the Company shall also continue to be effective and the terms therein shall continue to survive and be enforceable by the Placement Agent in accordance with its terms; provided that, in the event of a conflict between the terms of such agreement and this Agreement, the terms of this Agreement shall prevail. This Agreement may be executed in two or more counterparts, each one of which shall be an original, with the same effect as if the signatures thereto and hereto were upon the same instrument. This Agreement may not be amended or modified unless in writing by all of the parties hereto, and no condition herein (express or implied) may be waived unless waived in writing by each party whom the condition is meant to benefit. Section headings herein are for the convenience of the parties only and shall not affect the construction or interpretation of this Agreement.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The Company acknowledges that in connection with the offering of the Securities: (i) the Placement Agent’s responsibility to the Company is solely contractual and commercial in nature, (ii) the Placement Agent has acted at arm’s length, are not agents of, and owe no fiduciary duties to the Company or any other person, (iii) the Placement Agent owes the Company only those duties and obligations set forth in this Agreement and (iv) the Placement Agent may have interests that differ from those of the Company. The Company waives to the fullest extent permitted by applicable law any claims it may have against the Placement Agent arising from a breach or alleged breach of fiduciary duty in connection with the offering of the Securities.</w:t>
      </w:r>
    </w:p>
    <w:p>
      <w:pPr>
        <w:pStyle w:val="TextBody"/>
        <w:bidi w:val="0"/>
        <w:spacing w:lineRule="auto" w:line="288" w:before="0" w:after="240"/>
        <w:jc w:val="center"/>
        <w:rPr/>
      </w:pPr>
      <w:r>
        <w:rPr>
          <w:rFonts w:ascii="Times New Roman;serif" w:hAnsi="Times New Roman;serif"/>
          <w:b w:val="false"/>
          <w:color w:val="000000"/>
          <w:sz w:val="24"/>
        </w:rPr>
        <w:br/>
        <w:t>[</w:t>
      </w:r>
      <w:r>
        <w:rPr>
          <w:rFonts w:ascii="Times New Roman;serif" w:hAnsi="Times New Roman;serif"/>
          <w:b w:val="false"/>
          <w:i/>
          <w:color w:val="000000"/>
          <w:sz w:val="24"/>
        </w:rPr>
        <w:t>signature pages follow</w:t>
      </w: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385445"/>
                <wp:effectExtent l="0" t="0" r="0" b="0"/>
                <wp:wrapNone/>
                <wp:docPr id="99" name="Frame9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If the foregoing is in accordance with your understanding of our agreement, please sign below whereupon this instrument, along with all counterparts hereof, shall become a binding agreement in accordance with its terms. </w:t>
      </w:r>
    </w:p>
    <w:p>
      <w:pPr>
        <w:pStyle w:val="TextBody"/>
        <w:bidi w:val="0"/>
        <w:spacing w:before="0" w:after="240"/>
        <w:ind w:left="0" w:right="0" w:firstLine="5040"/>
        <w:jc w:val="left"/>
        <w:rPr/>
      </w:pPr>
      <w:r>
        <w:rPr/>
      </w:r>
    </w:p>
    <w:p>
      <w:pPr>
        <w:pStyle w:val="TextBody"/>
        <w:bidi w:val="0"/>
        <w:spacing w:before="0" w:after="240"/>
        <w:ind w:left="0" w:right="0" w:firstLine="5040"/>
        <w:jc w:val="left"/>
        <w:rPr/>
      </w:pPr>
      <w:r>
        <w:rPr/>
      </w:r>
    </w:p>
    <w:p>
      <w:pPr>
        <w:pStyle w:val="TextBody"/>
        <w:bidi w:val="0"/>
        <w:spacing w:lineRule="auto" w:line="288" w:before="0" w:after="240"/>
        <w:ind w:left="0" w:right="0" w:firstLine="5040"/>
        <w:jc w:val="left"/>
        <w:rPr>
          <w:rFonts w:ascii="Times New Roman;serif" w:hAnsi="Times New Roman;serif"/>
          <w:b w:val="false"/>
          <w:color w:val="000000"/>
          <w:sz w:val="24"/>
        </w:rPr>
      </w:pPr>
      <w:r>
        <w:rPr>
          <w:rFonts w:ascii="Times New Roman;serif" w:hAnsi="Times New Roman;serif"/>
          <w:b w:val="false"/>
          <w:color w:val="000000"/>
          <w:sz w:val="24"/>
        </w:rPr>
        <w:t xml:space="preserve">Very truly yours, </w:t>
      </w:r>
    </w:p>
    <w:p>
      <w:pPr>
        <w:pStyle w:val="TextBody"/>
        <w:bidi w:val="0"/>
        <w:spacing w:before="240" w:after="283"/>
        <w:ind w:left="0" w:right="0" w:firstLine="72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 xml:space="preserve">SOLANA COMPANY,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 Delaware corporation</w:t>
      </w:r>
    </w:p>
    <w:p>
      <w:pPr>
        <w:pStyle w:val="TextBody"/>
        <w:bidi w:val="0"/>
        <w:spacing w:before="0" w:after="0"/>
        <w:ind w:left="0" w:right="0" w:firstLine="5040"/>
        <w:jc w:val="left"/>
        <w:rPr/>
      </w:pPr>
      <w:r>
        <w:rPr/>
      </w:r>
    </w:p>
    <w:p>
      <w:pPr>
        <w:pStyle w:val="TextBody"/>
        <w:bidi w:val="0"/>
        <w:spacing w:before="0" w:after="0"/>
        <w:ind w:left="0" w:right="0" w:firstLine="5040"/>
        <w:jc w:val="left"/>
        <w:rPr/>
      </w:pPr>
      <w:r>
        <w:rPr/>
      </w:r>
    </w:p>
    <w:p>
      <w:pPr>
        <w:pStyle w:val="TextBody"/>
        <w:bidi w:val="0"/>
        <w:spacing w:lineRule="auto" w:line="288" w:before="0" w:after="0"/>
        <w:ind w:left="0" w:right="0" w:firstLine="5040"/>
        <w:jc w:val="left"/>
        <w:rPr/>
      </w:pPr>
      <w:r>
        <w:rPr>
          <w:rFonts w:ascii="Times New Roman;serif" w:hAnsi="Times New Roman;serif"/>
          <w:b w:val="false"/>
          <w:color w:val="000000"/>
          <w:sz w:val="24"/>
        </w:rPr>
        <w:t>By: __</w:t>
      </w:r>
      <w:r>
        <w:rPr>
          <w:rFonts w:ascii="Times New Roman;serif" w:hAnsi="Times New Roman;serif"/>
          <w:b w:val="false"/>
          <w:color w:val="000000"/>
          <w:sz w:val="24"/>
          <w:u w:val="single"/>
        </w:rPr>
        <w:t>/s/ Agustina Gani Tjandrasuwita</w:t>
      </w:r>
      <w:r>
        <w:rPr>
          <w:rFonts w:ascii="Times New Roman;serif" w:hAnsi="Times New Roman;serif"/>
          <w:b w:val="false"/>
          <w:color w:val="000000"/>
          <w:sz w:val="24"/>
        </w:rPr>
        <w:t>____</w:t>
      </w:r>
    </w:p>
    <w:p>
      <w:pPr>
        <w:pStyle w:val="TextBody"/>
        <w:bidi w:val="0"/>
        <w:spacing w:before="0" w:after="0"/>
        <w:ind w:left="0" w:right="0" w:firstLine="5040"/>
        <w:jc w:val="left"/>
        <w:rPr/>
      </w:pPr>
      <w:r>
        <w:rPr/>
      </w:r>
    </w:p>
    <w:p>
      <w:pPr>
        <w:pStyle w:val="TextBody"/>
        <w:bidi w:val="0"/>
        <w:spacing w:lineRule="auto" w:line="288" w:before="0" w:after="0"/>
        <w:ind w:left="0" w:right="0" w:firstLine="5040"/>
        <w:jc w:val="left"/>
        <w:rPr>
          <w:rFonts w:ascii="Times New Roman;serif" w:hAnsi="Times New Roman;serif"/>
          <w:b w:val="false"/>
          <w:color w:val="000000"/>
          <w:sz w:val="24"/>
        </w:rPr>
      </w:pPr>
      <w:r>
        <w:rPr>
          <w:rFonts w:ascii="Times New Roman;serif" w:hAnsi="Times New Roman;serif"/>
          <w:b w:val="false"/>
          <w:color w:val="000000"/>
          <w:sz w:val="24"/>
        </w:rPr>
        <w:t>Name: Agustina Gani Tjandrasuwita</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Chief Financial Officer, Chief Operating Officer, Treasurer and Secretary</w:t>
      </w:r>
    </w:p>
    <w:p>
      <w:pPr>
        <w:pStyle w:val="TextBody"/>
        <w:bidi w:val="0"/>
        <w:spacing w:before="0" w:after="0"/>
        <w:jc w:val="left"/>
        <w:rPr/>
      </w:pPr>
      <w:r>
        <w:rPr/>
      </w:r>
    </w:p>
    <w:p>
      <w:pPr>
        <w:pStyle w:val="TextBody"/>
        <w:bidi w:val="0"/>
        <w:spacing w:before="0" w:after="240"/>
        <w:ind w:left="0" w:right="0" w:firstLine="72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256540"/>
                <wp:effectExtent l="0" t="0" r="0" b="0"/>
                <wp:wrapNone/>
                <wp:docPr id="100" name="Frame99"/>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Signature Page to</w:t>
                              <w:br/>
                              <w:t>Placement Agency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Signature Page to</w:t>
                        <w:br/>
                        <w:t>Placement Agency Agreement</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foregoing Placement Agency Agreement is hereby confirmed and accepted as of the date first above written. </w:t>
      </w:r>
    </w:p>
    <w:p>
      <w:pPr>
        <w:pStyle w:val="TextBody"/>
        <w:bidi w:val="0"/>
        <w:spacing w:before="0" w:after="240"/>
        <w:ind w:left="0" w:right="0" w:firstLine="720"/>
        <w:jc w:val="both"/>
        <w:rPr/>
      </w:pPr>
      <w:r>
        <w:rPr/>
      </w:r>
    </w:p>
    <w:tbl>
      <w:tblPr>
        <w:tblW w:w="2430" w:type="dxa"/>
        <w:jc w:val="left"/>
        <w:tblInd w:w="0" w:type="dxa"/>
        <w:tblLayout w:type="fixed"/>
        <w:tblCellMar>
          <w:top w:w="28" w:type="dxa"/>
          <w:left w:w="28" w:type="dxa"/>
          <w:bottom w:w="28" w:type="dxa"/>
          <w:right w:w="28" w:type="dxa"/>
        </w:tblCellMar>
      </w:tblPr>
      <w:tblGrid>
        <w:gridCol w:w="777"/>
        <w:gridCol w:w="684"/>
        <w:gridCol w:w="969"/>
      </w:tblGrid>
      <w:tr>
        <w:trPr/>
        <w:tc>
          <w:tcPr>
            <w:tcW w:w="777"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erif" w:hAnsi="Times New Roman;serif"/>
                <w:b/>
                <w:sz w:val="22"/>
              </w:rPr>
              <w:br/>
            </w:r>
            <w:r>
              <w:rPr>
                <w:rFonts w:ascii="Times New Roman;serif" w:hAnsi="Times New Roman;serif"/>
                <w:b/>
                <w:color w:val="000000"/>
                <w:sz w:val="22"/>
              </w:rPr>
              <w:t>CLEAR STREET LLC</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 ____</w:t>
      </w:r>
      <w:r>
        <w:rPr>
          <w:rFonts w:ascii="Times New Roman;serif" w:hAnsi="Times New Roman;serif"/>
          <w:b w:val="false"/>
          <w:color w:val="000000"/>
          <w:sz w:val="22"/>
          <w:u w:val="single"/>
        </w:rPr>
        <w:t>/s/ Ryan Gerety</w:t>
      </w:r>
      <w:r>
        <w:rPr>
          <w:rFonts w:ascii="Times New Roman;serif" w:hAnsi="Times New Roman;serif"/>
          <w:b w:val="false"/>
          <w:color w:val="000000"/>
          <w:sz w:val="22"/>
        </w:rPr>
        <w:t>________________________</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Ryan Gerety</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Managing Director, Chief Operating Officer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99.1</w:t>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256540"/>
                <wp:effectExtent l="0" t="0" r="0" b="0"/>
                <wp:wrapNone/>
                <wp:docPr id="101" name="Frame100"/>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Signature Page to</w:t>
                              <w:br/>
                              <w:t>Placement Agency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Signature Page to</w:t>
                        <w:br/>
                        <w:t>Placement Agency Agreement</w:t>
                      </w:r>
                    </w:p>
                  </w:txbxContent>
                </v:textbox>
                <w10:wrap type="none"/>
              </v:rect>
            </w:pict>
          </mc:Fallback>
        </mc:AlternateContent>
      </w:r>
    </w:p>
    <w:p>
      <w:pPr>
        <w:pStyle w:val="TextBody"/>
        <w:bidi w:val="0"/>
        <w:spacing w:before="0" w:after="163"/>
        <w:jc w:val="center"/>
        <w:rPr/>
      </w:pPr>
      <w:r>
        <w:rPr/>
      </w:r>
    </w:p>
    <w:p>
      <w:pPr>
        <w:pStyle w:val="TextBody"/>
        <w:bidi w:val="0"/>
        <w:spacing w:lineRule="auto" w:line="319" w:before="0" w:after="0"/>
        <w:jc w:val="center"/>
        <w:rPr>
          <w:rFonts w:ascii="Times New Roman;serif" w:hAnsi="Times New Roman;serif"/>
          <w:b/>
          <w:color w:val="000000"/>
          <w:sz w:val="30"/>
        </w:rPr>
      </w:pPr>
      <w:r>
        <w:rPr>
          <w:rFonts w:ascii="Times New Roman;serif" w:hAnsi="Times New Roman;serif"/>
          <w:b/>
          <w:color w:val="000000"/>
          <w:sz w:val="30"/>
        </w:rPr>
        <w:t>Solana Company (NASDAQ: HSDT) Announces Pricing of $15 Million Registered Direct Offering with a Global Institutional Investor</w:t>
      </w:r>
    </w:p>
    <w:p>
      <w:pPr>
        <w:pStyle w:val="TextBody"/>
        <w:bidi w:val="0"/>
        <w:spacing w:before="0" w:after="0"/>
        <w:jc w:val="left"/>
        <w:rPr/>
      </w:pPr>
      <w:r>
        <w:rPr/>
      </w:r>
    </w:p>
    <w:p>
      <w:pPr>
        <w:pStyle w:val="TextBody"/>
        <w:bidi w:val="0"/>
        <w:spacing w:lineRule="auto" w:line="319" w:before="0" w:after="0"/>
        <w:jc w:val="both"/>
        <w:rPr/>
      </w:pPr>
      <w:r>
        <w:rPr>
          <w:rFonts w:ascii="Times New Roman;serif" w:hAnsi="Times New Roman;serif"/>
          <w:b/>
          <w:color w:val="000000"/>
          <w:sz w:val="22"/>
        </w:rPr>
        <w:t>Philadelphia, PA - September 30, 2026 -</w:t>
      </w:r>
      <w:r>
        <w:rPr>
          <w:color w:val="000000"/>
        </w:rPr>
        <w:t xml:space="preserve"> </w:t>
      </w:r>
      <w:r>
        <w:rPr>
          <w:rFonts w:ascii="Times New Roman;serif" w:hAnsi="Times New Roman;serif"/>
          <w:b w:val="false"/>
          <w:color w:val="1155CC"/>
          <w:sz w:val="22"/>
        </w:rPr>
        <w:t>Solana Company</w:t>
      </w:r>
      <w:r>
        <w:rPr>
          <w:color w:val="000000"/>
        </w:rPr>
        <w:t xml:space="preserve"> </w:t>
      </w:r>
      <w:r>
        <w:rPr>
          <w:rFonts w:ascii="Times New Roman;serif" w:hAnsi="Times New Roman;serif"/>
          <w:b w:val="false"/>
          <w:color w:val="000000"/>
          <w:sz w:val="22"/>
        </w:rPr>
        <w:t xml:space="preserve">(NASDAQ: </w:t>
      </w:r>
      <w:r>
        <w:rPr>
          <w:rFonts w:ascii="Times New Roman;serif" w:hAnsi="Times New Roman;serif"/>
          <w:b w:val="false"/>
          <w:color w:val="000000"/>
          <w:sz w:val="20"/>
        </w:rPr>
        <w:t>HSDT</w:t>
      </w:r>
      <w:r>
        <w:rPr>
          <w:rFonts w:ascii="Times New Roman;serif" w:hAnsi="Times New Roman;serif"/>
          <w:b w:val="false"/>
          <w:color w:val="000000"/>
          <w:sz w:val="22"/>
        </w:rPr>
        <w:t>) (the “Company” or “</w:t>
      </w:r>
      <w:r>
        <w:rPr>
          <w:rFonts w:ascii="Times New Roman;serif" w:hAnsi="Times New Roman;serif"/>
          <w:b w:val="false"/>
          <w:color w:val="000000"/>
          <w:sz w:val="20"/>
        </w:rPr>
        <w:t>HSDT</w:t>
      </w:r>
      <w:r>
        <w:rPr>
          <w:color w:val="000000"/>
        </w:rPr>
        <w:t>”</w:t>
      </w:r>
      <w:r>
        <w:rPr>
          <w:rFonts w:ascii="Times New Roman;serif" w:hAnsi="Times New Roman;serif"/>
          <w:b w:val="false"/>
          <w:color w:val="000000"/>
          <w:sz w:val="22"/>
        </w:rPr>
        <w:t>), a publicly listed digital asset treasury, infrastructure, and services company providing institutional access to the Solana ecosystem, today announced that it has entered into a securities purchase agreement with a single institutional investor. The agreement provides for the purchase and sale of an aggregate of 4,369,356 shares of Class A common stock at a purchase price of $3.433 per share (the “Purchased Shares”) with accompanying warrants to purchase up to 4,369,356 shares of Class A common stock at an exercise price of $3.776 per share (the “Common Warrants”). The Purchased shares were priced at a 5% premium to Net Asset Value (“NAV”) per share and the Common Warrants exercise price was set at a 10% premium to NAV per share. As of September 24, 2026, the Company and its subsidiaries collectively held 2.3 million SOL and $2.3 million of cash and stablecoin holdings, for a total NAV of $278 million based on a SOL price of $119.</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The gross proceeds to the Company from the offering are expected to be approximately </w:t>
      </w:r>
      <w:r>
        <w:rPr>
          <w:rFonts w:ascii="Times New Roman;serif" w:hAnsi="Times New Roman;serif"/>
          <w:b w:val="false"/>
          <w:color w:val="010302"/>
          <w:sz w:val="22"/>
        </w:rPr>
        <w:t>$15 million, before deducting placement agent’s fees and other offering expenses</w:t>
      </w:r>
      <w:r>
        <w:rPr>
          <w:rFonts w:ascii="Times New Roman;serif" w:hAnsi="Times New Roman;serif"/>
          <w:b w:val="false"/>
          <w:color w:val="000000"/>
          <w:sz w:val="22"/>
        </w:rPr>
        <w:t>. The Company intends to use the expected proceeds from the offering to support growth in Solana per share, which includes opportunistically buying back stock based on the Company’s authorized stock buyback program and, to the extent the Company determines it is attractive to shareholders, acquiring Solana to grow the treasury, along with working capital and general corporate purposes, business expansion and other strategic initiatives.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Clear Street served as exclusive placement agent on the offering. The offering is expected to close on or about October 1, 2026, subject to satisfaction of customary closing conditions.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The Class A common stock and warrants being offered in the registered direct offering described above are being offered and sold by the Company in a registered direct offering pursuant to a “shelf” registration statement on Form S-3 (File No. 333-290429), as amended, that became effective on April 8, 2026. The offering of the securities in the registered direct offering is being made only by means of a base prospectus and prospectus supplement that forms a part of the effective registration statement. A final prospectus supplement and the accompanying base prospectus relating to the registered direct offering will be filed with the SEC and will be available on the SEC’s website at www.sec.gov. Electronic copies of the final prospectus supplement and the accompanying base prospectus, when available, may also be obtained, when available, from the Company at 1650 Market Street, Suite 3600, PMB 17139084, Philadelphia, Pennsylvania, by phone at (267) 207-2717 or e-mail at </w:t>
      </w:r>
      <w:r>
        <w:rPr>
          <w:rFonts w:ascii="Times New Roman;serif" w:hAnsi="Times New Roman;serif"/>
          <w:b w:val="false"/>
          <w:color w:val="0563C1"/>
          <w:sz w:val="22"/>
        </w:rPr>
        <w:t>ir@solanacompany.co</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This press release shall not constitute an offer to sell or a solicitation of an offer to buy any of the securities described herein, nor shall there be any sale of these securities in any state or other jurisdiction in which such offer, solicitation or sale would be unlawful prior to the registration or qualification under the securities laws of any such state or other jurisdiction.</w:t>
      </w:r>
    </w:p>
    <w:p>
      <w:pPr>
        <w:pStyle w:val="TextBody"/>
        <w:bidi w:val="0"/>
        <w:jc w:val="both"/>
        <w:rPr/>
      </w:pPr>
      <w:r>
        <w:rPr/>
      </w:r>
    </w:p>
    <w:p>
      <w:pPr>
        <w:pStyle w:val="TextBody"/>
        <w:bidi w:val="0"/>
        <w:spacing w:before="0" w:after="160"/>
        <w:jc w:val="righ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0"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319" w:before="0" w:after="0"/>
        <w:jc w:val="both"/>
        <w:rPr>
          <w:rFonts w:ascii="Times New Roman;serif" w:hAnsi="Times New Roman;serif"/>
          <w:b/>
          <w:color w:val="000000"/>
          <w:sz w:val="22"/>
        </w:rPr>
      </w:pPr>
      <w:r>
        <w:rPr>
          <w:rFonts w:ascii="Times New Roman;serif" w:hAnsi="Times New Roman;serif"/>
          <w:b/>
          <w:color w:val="000000"/>
          <w:sz w:val="22"/>
        </w:rPr>
        <w:t>About Solana Company</w:t>
      </w:r>
    </w:p>
    <w:p>
      <w:pPr>
        <w:pStyle w:val="TextBody"/>
        <w:bidi w:val="0"/>
        <w:spacing w:before="0" w:after="0"/>
        <w:jc w:val="both"/>
        <w:rPr/>
      </w:pPr>
      <w:r>
        <w:rPr/>
      </w:r>
    </w:p>
    <w:p>
      <w:pPr>
        <w:pStyle w:val="TextBody"/>
        <w:bidi w:val="0"/>
        <w:spacing w:lineRule="auto" w:line="319" w:before="0" w:after="0"/>
        <w:jc w:val="both"/>
        <w:rPr/>
      </w:pPr>
      <w:r>
        <w:rPr>
          <w:rFonts w:ascii="Times New Roman;serif" w:hAnsi="Times New Roman;serif"/>
          <w:b w:val="false"/>
          <w:color w:val="000000"/>
          <w:sz w:val="22"/>
        </w:rPr>
        <w:t xml:space="preserve">Solana Company (Nasdaq: </w:t>
      </w:r>
      <w:r>
        <w:rPr>
          <w:rFonts w:ascii="Times New Roman;serif" w:hAnsi="Times New Roman;serif"/>
          <w:b w:val="false"/>
          <w:color w:val="000000"/>
          <w:sz w:val="20"/>
        </w:rPr>
        <w:t>HSDT</w:t>
      </w:r>
      <w:r>
        <w:rPr>
          <w:rFonts w:ascii="Times New Roman;serif" w:hAnsi="Times New Roman;serif"/>
          <w:b w:val="false"/>
          <w:color w:val="000000"/>
          <w:sz w:val="22"/>
        </w:rPr>
        <w:t xml:space="preserve">) is a publicly listed digital asset treasury and infrastructure company purpose-built to maximize SOL per share. The company combines active treasury management, institutional-grade staking and validator operations with bespoke advisory services for financial institutions navigating blockchain adoption. Solana Company executes a self-reinforcing flywheel designed to compound value with every turn. The Company's mission is to put more SOL behind every share, bridging public capital markets with the most commercially viable blockchain for institutions and financial applications. Visit </w:t>
      </w:r>
      <w:r>
        <w:rPr>
          <w:rFonts w:ascii="Times New Roman;serif" w:hAnsi="Times New Roman;serif"/>
          <w:b w:val="false"/>
          <w:color w:val="0563C1"/>
          <w:sz w:val="22"/>
        </w:rPr>
        <w:t>https://www.solanacompany.co/</w:t>
      </w:r>
      <w:r>
        <w:rPr>
          <w:color w:val="000000"/>
        </w:rPr>
        <w:t xml:space="preserve"> </w:t>
      </w:r>
      <w:r>
        <w:rPr>
          <w:rFonts w:ascii="Times New Roman;serif" w:hAnsi="Times New Roman;serif"/>
          <w:b w:val="false"/>
          <w:color w:val="000000"/>
          <w:sz w:val="22"/>
        </w:rPr>
        <w:t xml:space="preserve">for more information. </w:t>
      </w:r>
    </w:p>
    <w:p>
      <w:pPr>
        <w:pStyle w:val="TextBody"/>
        <w:bidi w:val="0"/>
        <w:spacing w:lineRule="auto" w:line="319" w:before="260" w:after="140"/>
        <w:jc w:val="both"/>
        <w:rPr>
          <w:rFonts w:ascii="Times New Roman;serif" w:hAnsi="Times New Roman;serif"/>
          <w:b/>
          <w:color w:val="000000"/>
          <w:sz w:val="22"/>
        </w:rPr>
      </w:pPr>
      <w:r>
        <w:rPr>
          <w:rFonts w:ascii="Times New Roman;serif" w:hAnsi="Times New Roman;serif"/>
          <w:b/>
          <w:color w:val="000000"/>
          <w:sz w:val="22"/>
        </w:rPr>
        <w:t>Forward Looking Statements</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This press release contains statements that constitute “forward-looking statements” within the meaning of the U.S. federal securities laws. In some cases, you can identify forward-looking statements by terminology such as “may”, “will”, “should”, “expect”, “plan”, “intend”, “anticipate”, “believe”, “estimate”, “predict”, “potential” or “continue”, the negative of such terms or other comparable terminology. There can be no assurance that such statements will prove to be accurate and actual results and future events could differ materially from those expressed or implied by such statements. Forward-looking statements may include, among others, expected gross proceeds and closing date of the offering, statements in relation to the expected benefits and implementation of the Company’s digital asset treasury strategy, the build-out of the Company’s validator infrastructure and advisory businesses, the expected timing and amount of validator rewards, the conversion of the Company’s advisory and third-party staking pipelines, the expected benefits of the Company’s strategic partnerships and collaborations, and the Company’s future growth and operational progress.</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2"/>
        </w:rPr>
        <w:t>These forward-looking statements are based on current expectations, estimates, assumptions, and projections, and involve known and unknown risks, uncertainties, and other factors, many of which are beyond the Company’s control, that may cause actual results, performance, or achievements to differ materially from those expressed or implied by such statements. Important factors that may affect actual results include, among others, capital requirements to achieve the Company’s business objectives; expected benefits and implementation of the Company’s digital asset treasury strategy, validator infrastructure and advisory business, strategic partnerships and collaborations, expected staking, yield and broader opportunities across the Solana ecosystem; the Company’s expected token treasury growth; the impact on the Company of global macroeconomic conditions including risks related to logistics challenges, labor shortages, disruptions in the banking system and financial markets; high levels of inflation and high interest rates on the Company’s ability to operate its business and access capital markets; the success of the Company’s business plan; the Company’s operating costs and use of cash; the Company’s ability to achieve significant revenues; and other risks and uncertainties described under “Risk Factors” in the Company’s Annual Report on Form 10-K for the year ended December 31, 2025 and</w:t>
      </w:r>
      <w:r>
        <w:rPr>
          <w:color w:val="000000"/>
        </w:rPr>
        <w:t xml:space="preserve"> </w:t>
      </w:r>
      <w:r>
        <w:rPr>
          <w:rFonts w:ascii="Times New Roman;serif" w:hAnsi="Times New Roman;serif"/>
          <w:b w:val="false"/>
          <w:color w:val="000000"/>
          <w:sz w:val="22"/>
        </w:rPr>
        <w:t>Quarterly Report on Form 10-Q for the quarter ended June 30, 2026. These filings are available at www.sec.gov. The Company undertakes no obligation to update or revise any forward-looking statements, whether as a result of new information, future events, or otherwise, except as required by law.</w:t>
      </w:r>
    </w:p>
    <w:p>
      <w:pPr>
        <w:pStyle w:val="TextBody"/>
        <w:bidi w:val="0"/>
        <w:spacing w:before="0" w:after="0"/>
        <w:jc w:val="both"/>
        <w:rPr/>
      </w:pPr>
      <w:r>
        <w:rPr/>
      </w:r>
    </w:p>
    <w:p>
      <w:pPr>
        <w:pStyle w:val="TextBody"/>
        <w:bidi w:val="0"/>
        <w:spacing w:lineRule="auto" w:line="319" w:before="0" w:after="0"/>
        <w:jc w:val="both"/>
        <w:rPr>
          <w:rFonts w:ascii="Times New Roman;serif" w:hAnsi="Times New Roman;serif"/>
          <w:b/>
          <w:color w:val="000000"/>
          <w:sz w:val="22"/>
        </w:rPr>
      </w:pPr>
      <w:r>
        <w:rPr>
          <w:rFonts w:ascii="Times New Roman;serif" w:hAnsi="Times New Roman;serif"/>
          <w:b/>
          <w:color w:val="000000"/>
          <w:sz w:val="22"/>
        </w:rPr>
        <w:t>Media Contact</w:t>
      </w:r>
    </w:p>
    <w:p>
      <w:pPr>
        <w:pStyle w:val="TextBody"/>
        <w:bidi w:val="0"/>
        <w:spacing w:lineRule="auto" w:line="319" w:before="0" w:after="0"/>
        <w:jc w:val="both"/>
        <w:rPr>
          <w:rFonts w:ascii="Times New Roman;serif" w:hAnsi="Times New Roman;serif"/>
          <w:b w:val="false"/>
          <w:color w:val="000000"/>
          <w:sz w:val="22"/>
        </w:rPr>
      </w:pPr>
      <w:r>
        <w:rPr>
          <w:rFonts w:ascii="Times New Roman;serif" w:hAnsi="Times New Roman;serif"/>
          <w:b w:val="false"/>
          <w:color w:val="000000"/>
          <w:sz w:val="22"/>
        </w:rPr>
        <w:t>M Group Strategic Communications (on behalf of Solana Company)</w:t>
      </w:r>
    </w:p>
    <w:p>
      <w:pPr>
        <w:pStyle w:val="TextBody"/>
        <w:bidi w:val="0"/>
        <w:spacing w:lineRule="auto" w:line="319"/>
        <w:jc w:val="both"/>
        <w:rPr>
          <w:rFonts w:ascii="Times New Roman;serif" w:hAnsi="Times New Roman;serif"/>
          <w:b w:val="false"/>
          <w:color w:val="0563C1"/>
          <w:sz w:val="22"/>
        </w:rPr>
      </w:pPr>
      <w:r>
        <w:rPr>
          <w:rFonts w:ascii="Times New Roman;serif" w:hAnsi="Times New Roman;serif"/>
          <w:b w:val="false"/>
          <w:color w:val="0563C1"/>
          <w:sz w:val="22"/>
        </w:rPr>
        <w:t>solanaco@mgroupsc.com</w:t>
      </w:r>
    </w:p>
    <w:p>
      <w:pPr>
        <w:pStyle w:val="TextBody"/>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99</Pages>
  <Words>50760</Words>
  <Characters>270426</Characters>
  <CharactersWithSpaces>320792</CharactersWithSpaces>
  <Paragraphs>758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