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61"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27"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001-38445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HELIUS MEDICAL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79" w:lineRule="exact"/>
        <w:rPr>
          <w:sz w:val="24"/>
          <w:szCs w:val="24"/>
          <w:color w:val="auto"/>
        </w:rPr>
      </w:pPr>
    </w:p>
    <w:tbl>
      <w:tblPr>
        <w:tblLayout w:type="fixed"/>
        <w:tblInd w:w="1180" w:type="dxa"/>
        <w:tblCellMar>
          <w:top w:w="0" w:type="dxa"/>
          <w:left w:w="0" w:type="dxa"/>
          <w:bottom w:w="0" w:type="dxa"/>
          <w:right w:w="0" w:type="dxa"/>
        </w:tblCellMar>
      </w:tblPr>
      <w:tr>
        <w:trPr>
          <w:trHeight w:val="164"/>
        </w:trPr>
        <w:tc>
          <w:tcPr>
            <w:tcW w:w="4920" w:type="dxa"/>
            <w:vAlign w:val="bottom"/>
          </w:tcPr>
          <w:p>
            <w:pPr>
              <w:jc w:val="center"/>
              <w:ind w:right="2757"/>
              <w:spacing w:after="0"/>
              <w:rPr>
                <w:sz w:val="20"/>
                <w:szCs w:val="20"/>
                <w:color w:val="auto"/>
              </w:rPr>
            </w:pPr>
            <w:r>
              <w:rPr>
                <w:rFonts w:ascii="Arial" w:cs="Arial" w:eastAsia="Arial" w:hAnsi="Arial"/>
                <w:sz w:val="13"/>
                <w:szCs w:val="13"/>
                <w:b w:val="1"/>
                <w:bCs w:val="1"/>
                <w:color w:val="auto"/>
                <w:w w:val="87"/>
              </w:rPr>
              <w:t>Delaware</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36-4787690</w:t>
            </w:r>
          </w:p>
        </w:tc>
      </w:tr>
      <w:tr>
        <w:trPr>
          <w:trHeight w:val="241"/>
        </w:trPr>
        <w:tc>
          <w:tcPr>
            <w:tcW w:w="4920" w:type="dxa"/>
            <w:vAlign w:val="bottom"/>
          </w:tcPr>
          <w:p>
            <w:pPr>
              <w:jc w:val="center"/>
              <w:ind w:right="2757"/>
              <w:spacing w:after="0"/>
              <w:rPr>
                <w:sz w:val="20"/>
                <w:szCs w:val="20"/>
                <w:color w:val="auto"/>
              </w:rPr>
            </w:pPr>
            <w:r>
              <w:rPr>
                <w:rFonts w:ascii="Arial" w:cs="Arial" w:eastAsia="Arial" w:hAnsi="Arial"/>
                <w:sz w:val="13"/>
                <w:szCs w:val="13"/>
                <w:b w:val="1"/>
                <w:bCs w:val="1"/>
                <w:color w:val="auto"/>
                <w:w w:val="88"/>
              </w:rPr>
              <w:t>(State or other jurisdiction of</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920" w:type="dxa"/>
            <w:vAlign w:val="bottom"/>
          </w:tcPr>
          <w:p>
            <w:pPr>
              <w:jc w:val="center"/>
              <w:ind w:right="2757"/>
              <w:spacing w:after="0"/>
              <w:rPr>
                <w:sz w:val="20"/>
                <w:szCs w:val="20"/>
                <w:color w:val="auto"/>
              </w:rPr>
            </w:pPr>
            <w:r>
              <w:rPr>
                <w:rFonts w:ascii="Arial" w:cs="Arial" w:eastAsia="Arial" w:hAnsi="Arial"/>
                <w:sz w:val="13"/>
                <w:szCs w:val="13"/>
                <w:b w:val="1"/>
                <w:bCs w:val="1"/>
                <w:color w:val="auto"/>
                <w:w w:val="89"/>
              </w:rPr>
              <w:t>incorporation or organization)</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920" w:type="dxa"/>
            <w:vAlign w:val="bottom"/>
          </w:tcPr>
          <w:p>
            <w:pPr>
              <w:jc w:val="center"/>
              <w:ind w:right="2757"/>
              <w:spacing w:after="0"/>
              <w:rPr>
                <w:sz w:val="20"/>
                <w:szCs w:val="20"/>
                <w:color w:val="auto"/>
              </w:rPr>
            </w:pPr>
            <w:r>
              <w:rPr>
                <w:rFonts w:ascii="Arial" w:cs="Arial" w:eastAsia="Arial" w:hAnsi="Arial"/>
                <w:sz w:val="13"/>
                <w:szCs w:val="13"/>
                <w:b w:val="1"/>
                <w:bCs w:val="1"/>
                <w:color w:val="auto"/>
                <w:w w:val="88"/>
              </w:rPr>
              <w:t>642 Newtown Yardley Road, Suite 100</w:t>
            </w:r>
          </w:p>
        </w:tc>
        <w:tc>
          <w:tcPr>
            <w:tcW w:w="1160" w:type="dxa"/>
            <w:vAlign w:val="bottom"/>
          </w:tcPr>
          <w:p>
            <w:pPr>
              <w:jc w:val="right"/>
              <w:ind w:right="277"/>
              <w:spacing w:after="0"/>
              <w:rPr>
                <w:sz w:val="20"/>
                <w:szCs w:val="20"/>
                <w:color w:val="auto"/>
              </w:rPr>
            </w:pPr>
            <w:r>
              <w:rPr>
                <w:rFonts w:ascii="Arial" w:cs="Arial" w:eastAsia="Arial" w:hAnsi="Arial"/>
                <w:sz w:val="13"/>
                <w:szCs w:val="13"/>
                <w:b w:val="1"/>
                <w:bCs w:val="1"/>
                <w:color w:val="auto"/>
              </w:rPr>
              <w:t>18940</w:t>
            </w:r>
          </w:p>
        </w:tc>
      </w:tr>
      <w:tr>
        <w:trPr>
          <w:trHeight w:val="135"/>
        </w:trPr>
        <w:tc>
          <w:tcPr>
            <w:tcW w:w="4920" w:type="dxa"/>
            <w:vAlign w:val="bottom"/>
          </w:tcPr>
          <w:p>
            <w:pPr>
              <w:jc w:val="center"/>
              <w:ind w:right="2737"/>
              <w:spacing w:after="0" w:line="135" w:lineRule="exact"/>
              <w:rPr>
                <w:sz w:val="20"/>
                <w:szCs w:val="20"/>
                <w:color w:val="auto"/>
              </w:rPr>
            </w:pPr>
            <w:r>
              <w:rPr>
                <w:rFonts w:ascii="Arial" w:cs="Arial" w:eastAsia="Arial" w:hAnsi="Arial"/>
                <w:sz w:val="13"/>
                <w:szCs w:val="13"/>
                <w:b w:val="1"/>
                <w:bCs w:val="1"/>
                <w:color w:val="auto"/>
                <w:w w:val="86"/>
              </w:rPr>
              <w:t>Newtown, Pennsylvania</w:t>
            </w:r>
          </w:p>
        </w:tc>
        <w:tc>
          <w:tcPr>
            <w:tcW w:w="1160" w:type="dxa"/>
            <w:vAlign w:val="bottom"/>
          </w:tcPr>
          <w:p>
            <w:pPr>
              <w:spacing w:after="0"/>
              <w:rPr>
                <w:sz w:val="11"/>
                <w:szCs w:val="11"/>
                <w:color w:val="auto"/>
              </w:rPr>
            </w:pPr>
          </w:p>
        </w:tc>
      </w:tr>
      <w:tr>
        <w:trPr>
          <w:trHeight w:val="178"/>
        </w:trPr>
        <w:tc>
          <w:tcPr>
            <w:tcW w:w="4920" w:type="dxa"/>
            <w:vAlign w:val="bottom"/>
          </w:tcPr>
          <w:p>
            <w:pPr>
              <w:jc w:val="center"/>
              <w:ind w:right="275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6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(Zip Code)</w:t>
            </w:r>
          </w:p>
        </w:tc>
      </w:tr>
      <w:tr>
        <w:trPr>
          <w:trHeight w:val="200"/>
        </w:trPr>
        <w:tc>
          <w:tcPr>
            <w:tcW w:w="4920" w:type="dxa"/>
            <w:vAlign w:val="bottom"/>
          </w:tcPr>
          <w:p>
            <w:pPr>
              <w:jc w:val="right"/>
              <w:ind w:right="1137"/>
              <w:spacing w:after="0"/>
              <w:rPr>
                <w:sz w:val="20"/>
                <w:szCs w:val="20"/>
                <w:color w:val="auto"/>
              </w:rPr>
            </w:pPr>
            <w:r>
              <w:rPr>
                <w:rFonts w:ascii="Arial" w:cs="Arial" w:eastAsia="Arial" w:hAnsi="Arial"/>
                <w:sz w:val="13"/>
                <w:szCs w:val="13"/>
                <w:b w:val="1"/>
                <w:bCs w:val="1"/>
                <w:color w:val="auto"/>
              </w:rPr>
              <w:t>(215) 944-6100</w:t>
            </w:r>
          </w:p>
        </w:tc>
        <w:tc>
          <w:tcPr>
            <w:tcW w:w="1160" w:type="dxa"/>
            <w:vAlign w:val="bottom"/>
          </w:tcPr>
          <w:p>
            <w:pPr>
              <w:spacing w:after="0"/>
              <w:rPr>
                <w:sz w:val="17"/>
                <w:szCs w:val="17"/>
                <w:color w:val="auto"/>
              </w:rPr>
            </w:pPr>
          </w:p>
        </w:tc>
      </w:tr>
      <w:tr>
        <w:trPr>
          <w:trHeight w:val="164"/>
        </w:trPr>
        <w:tc>
          <w:tcPr>
            <w:tcW w:w="492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160" w:type="dxa"/>
            <w:vAlign w:val="bottom"/>
          </w:tcPr>
          <w:p>
            <w:pPr>
              <w:spacing w:after="0"/>
              <w:rPr>
                <w:sz w:val="14"/>
                <w:szCs w:val="14"/>
                <w:color w:val="auto"/>
              </w:rPr>
            </w:pPr>
          </w:p>
        </w:tc>
      </w:tr>
    </w:tbl>
    <w:p>
      <w:pPr>
        <w:spacing w:after="0" w:line="87"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0"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3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Title of each class</w:t>
            </w: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8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HSDT</w:t>
            </w:r>
          </w:p>
        </w:tc>
        <w:tc>
          <w:tcPr>
            <w:tcW w:w="24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193" w:lineRule="exact"/>
        <w:rPr>
          <w:sz w:val="24"/>
          <w:szCs w:val="24"/>
          <w:color w:val="auto"/>
        </w:rPr>
      </w:pPr>
    </w:p>
    <w:p>
      <w:pPr>
        <w:jc w:val="both"/>
        <w:ind w:left="60" w:right="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Arial" w:cs="Arial" w:eastAsia="Arial" w:hAnsi="Arial"/>
          <w:sz w:val="14"/>
          <w:szCs w:val="14"/>
          <w:color w:val="auto"/>
        </w:rPr>
        <w:t>requirements for the past 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jc w:val="both"/>
        <w:ind w:left="60" w:right="7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jc w:val="both"/>
        <w:ind w:left="60" w:right="5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Arial" w:cs="Arial" w:eastAsia="Arial" w:hAnsi="Arial"/>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Arial" w:cs="Arial" w:eastAsia="Arial" w:hAnsi="Arial"/>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177" w:lineRule="exact"/>
        <w:rPr>
          <w:sz w:val="24"/>
          <w:szCs w:val="24"/>
          <w:color w:val="auto"/>
        </w:rPr>
      </w:pPr>
    </w:p>
    <w:p>
      <w:pPr>
        <w:ind w:left="60" w:right="11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right="1379"/>
        <w:spacing w:after="0" w:line="24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3, 2023, the registrant had 708,247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479425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102235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76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20"/>
                <w:szCs w:val="20"/>
                <w:color w:val="auto"/>
              </w:rPr>
            </w:pPr>
          </w:p>
        </w:tc>
      </w:tr>
      <w:tr>
        <w:trPr>
          <w:trHeight w:val="432"/>
        </w:trPr>
        <w:tc>
          <w:tcPr>
            <w:tcW w:w="7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760" w:type="dxa"/>
            <w:vAlign w:val="bottom"/>
            <w:gridSpan w:val="17"/>
          </w:tcPr>
          <w:p>
            <w:pPr>
              <w:spacing w:after="0"/>
              <w:rPr>
                <w:sz w:val="20"/>
                <w:szCs w:val="20"/>
                <w:color w:val="auto"/>
              </w:rPr>
            </w:pPr>
            <w:r>
              <w:rPr>
                <w:rFonts w:ascii="Arial" w:cs="Arial" w:eastAsia="Arial" w:hAnsi="Arial"/>
                <w:sz w:val="18"/>
                <w:szCs w:val="18"/>
                <w:color w:val="auto"/>
              </w:rPr>
              <w:t>Condensed Consolidated Financial Statements</w:t>
            </w:r>
          </w:p>
        </w:tc>
        <w:tc>
          <w:tcPr>
            <w:tcW w:w="38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8"/>
              </w:rPr>
              <w:t>Unaudited Condensed Consolidated Balance Sheets as of September 30, 2023 and December 31, 2022</w:t>
            </w:r>
          </w:p>
        </w:tc>
        <w:tc>
          <w:tcPr>
            <w:tcW w:w="3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Unaudited Condensed Consolidated Statements of Operations and Comprehensive Loss for the three and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7"/>
          </w:tcPr>
          <w:p>
            <w:pPr>
              <w:spacing w:after="0" w:line="196" w:lineRule="exact"/>
              <w:rPr>
                <w:sz w:val="20"/>
                <w:szCs w:val="20"/>
                <w:color w:val="auto"/>
              </w:rPr>
            </w:pPr>
            <w:r>
              <w:rPr>
                <w:rFonts w:ascii="Arial" w:cs="Arial" w:eastAsia="Arial" w:hAnsi="Arial"/>
                <w:sz w:val="18"/>
                <w:szCs w:val="18"/>
                <w:color w:val="0000EE"/>
              </w:rPr>
              <w:t>nine months ended September 30, 2023 and 2022</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Unaudited Condensed Consolidated Statements of Stockholders’ Equity for the three and nine months</w:t>
            </w:r>
          </w:p>
        </w:tc>
        <w:tc>
          <w:tcPr>
            <w:tcW w:w="40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ended September 30, 2023 and 2022</w:t>
            </w:r>
          </w:p>
        </w:tc>
        <w:tc>
          <w:tcPr>
            <w:tcW w:w="51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Arial" w:cs="Arial" w:eastAsia="Arial" w:hAnsi="Arial"/>
                <w:sz w:val="18"/>
                <w:szCs w:val="18"/>
                <w:color w:val="0000EE"/>
                <w:w w:val="91"/>
              </w:rPr>
              <w:t>Unaudited Condensed Consolidated Statements of Cash Flows for the nine months ended September 30,</w:t>
            </w: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2023 and 2022</w:t>
            </w:r>
          </w:p>
        </w:tc>
        <w:tc>
          <w:tcPr>
            <w:tcW w:w="6440" w:type="dxa"/>
            <w:vAlign w:val="bottom"/>
            <w:tcBorders>
              <w:top w:val="single" w:sz="8" w:color="0000EE"/>
            </w:tcBorders>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9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2.</w:t>
            </w:r>
          </w:p>
        </w:tc>
        <w:tc>
          <w:tcPr>
            <w:tcW w:w="776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76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400" w:type="dxa"/>
            <w:vAlign w:val="bottom"/>
            <w:tcBorders>
              <w:left w:val="single" w:sz="8" w:color="0000EE"/>
            </w:tcBorders>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760" w:type="dxa"/>
            <w:vAlign w:val="bottom"/>
            <w:gridSpan w:val="17"/>
          </w:tcPr>
          <w:p>
            <w:pPr>
              <w:spacing w:after="0"/>
              <w:rPr>
                <w:sz w:val="20"/>
                <w:szCs w:val="20"/>
                <w:color w:val="auto"/>
              </w:rPr>
            </w:pPr>
            <w:r>
              <w:rPr>
                <w:rFonts w:ascii="Arial" w:cs="Arial" w:eastAsia="Arial" w:hAnsi="Arial"/>
                <w:sz w:val="18"/>
                <w:szCs w:val="18"/>
                <w:color w:val="0000EE"/>
              </w:rPr>
              <w:t>Controls and Procedures</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b w:val="1"/>
                <w:bCs w:val="1"/>
                <w:color w:val="0000EE"/>
              </w:rPr>
              <w:t>Part II.</w:t>
            </w:r>
          </w:p>
        </w:tc>
        <w:tc>
          <w:tcPr>
            <w:tcW w:w="7760" w:type="dxa"/>
            <w:vAlign w:val="bottom"/>
            <w:gridSpan w:val="17"/>
          </w:tcPr>
          <w:p>
            <w:pPr>
              <w:spacing w:after="0"/>
              <w:rPr>
                <w:sz w:val="20"/>
                <w:szCs w:val="20"/>
                <w:color w:val="auto"/>
              </w:rPr>
            </w:pPr>
            <w:r>
              <w:rPr>
                <w:rFonts w:ascii="Arial" w:cs="Arial" w:eastAsia="Arial" w:hAnsi="Arial"/>
                <w:sz w:val="18"/>
                <w:szCs w:val="18"/>
                <w:b w:val="1"/>
                <w:bCs w:val="1"/>
                <w:color w:val="0000EE"/>
              </w:rPr>
              <w:t>Other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8"/>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5"/>
              </w:rPr>
              <w:t>Legal Proceedings</w:t>
            </w:r>
          </w:p>
        </w:tc>
        <w:tc>
          <w:tcPr>
            <w:tcW w:w="63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Arial" w:cs="Arial" w:eastAsia="Arial" w:hAnsi="Arial"/>
                <w:sz w:val="18"/>
                <w:szCs w:val="18"/>
                <w:color w:val="0000EE"/>
                <w:w w:val="92"/>
              </w:rPr>
              <w:t>Item 1A.</w:t>
            </w: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120" w:type="dxa"/>
            <w:vAlign w:val="bottom"/>
          </w:tcPr>
          <w:p>
            <w:pPr>
              <w:spacing w:after="0"/>
              <w:rPr>
                <w:sz w:val="24"/>
                <w:szCs w:val="24"/>
                <w:color w:val="auto"/>
              </w:rPr>
            </w:pPr>
          </w:p>
        </w:tc>
        <w:tc>
          <w:tcPr>
            <w:tcW w:w="776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3.</w:t>
            </w:r>
          </w:p>
        </w:tc>
        <w:tc>
          <w:tcPr>
            <w:tcW w:w="7760" w:type="dxa"/>
            <w:vAlign w:val="bottom"/>
            <w:gridSpan w:val="17"/>
          </w:tcPr>
          <w:p>
            <w:pPr>
              <w:spacing w:after="0"/>
              <w:rPr>
                <w:sz w:val="20"/>
                <w:szCs w:val="20"/>
                <w:color w:val="auto"/>
              </w:rPr>
            </w:pPr>
            <w:r>
              <w:rPr>
                <w:rFonts w:ascii="Arial" w:cs="Arial" w:eastAsia="Arial" w:hAnsi="Arial"/>
                <w:sz w:val="18"/>
                <w:szCs w:val="18"/>
                <w:color w:val="0000EE"/>
              </w:rPr>
              <w:t>Defaults Upon Senior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4.</w:t>
            </w:r>
          </w:p>
        </w:tc>
        <w:tc>
          <w:tcPr>
            <w:tcW w:w="776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9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5.</w:t>
            </w:r>
          </w:p>
        </w:tc>
        <w:tc>
          <w:tcPr>
            <w:tcW w:w="776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Arial" w:cs="Arial" w:eastAsia="Arial" w:hAnsi="Arial"/>
                <w:sz w:val="18"/>
                <w:szCs w:val="18"/>
                <w:color w:val="0000EE"/>
              </w:rPr>
              <w:t>Item 6.</w:t>
            </w:r>
          </w:p>
        </w:tc>
        <w:tc>
          <w:tcPr>
            <w:tcW w:w="7760" w:type="dxa"/>
            <w:vAlign w:val="bottom"/>
            <w:gridSpan w:val="17"/>
          </w:tcPr>
          <w:p>
            <w:pPr>
              <w:spacing w:after="0"/>
              <w:rPr>
                <w:sz w:val="20"/>
                <w:szCs w:val="20"/>
                <w:color w:val="auto"/>
              </w:rPr>
            </w:pPr>
            <w:r>
              <w:rPr>
                <w:rFonts w:ascii="Arial" w:cs="Arial" w:eastAsia="Arial" w:hAnsi="Arial"/>
                <w:sz w:val="18"/>
                <w:szCs w:val="18"/>
                <w:color w:val="0000EE"/>
              </w:rPr>
              <w:t>Exhibits</w:t>
            </w: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5"/>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 except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2022</w:t>
            </w:r>
          </w:p>
        </w:tc>
      </w:tr>
      <w:tr>
        <w:trPr>
          <w:trHeight w:val="210"/>
        </w:trPr>
        <w:tc>
          <w:tcPr>
            <w:tcW w:w="6180" w:type="dxa"/>
            <w:vAlign w:val="bottom"/>
            <w:tcBorders>
              <w:top w:val="single" w:sz="8" w:color="CCEEFF"/>
            </w:tcBorders>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09"/>
        </w:trPr>
        <w:tc>
          <w:tcPr>
            <w:tcW w:w="61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 net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9"/>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8,854</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17,287</w:t>
            </w:r>
          </w:p>
        </w:tc>
      </w:tr>
      <w:tr>
        <w:trPr>
          <w:trHeight w:val="197"/>
        </w:trPr>
        <w:tc>
          <w:tcPr>
            <w:tcW w:w="6180" w:type="dxa"/>
            <w:vAlign w:val="bottom"/>
            <w:shd w:val="clear" w:color="auto" w:fill="CCEEFF"/>
          </w:tcPr>
          <w:p>
            <w:pPr>
              <w:ind w:left="11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Derivative liability</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r>
      <w:tr>
        <w:trPr>
          <w:trHeight w:val="21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6180" w:type="dxa"/>
            <w:vAlign w:val="bottom"/>
          </w:tcPr>
          <w:p>
            <w:pPr>
              <w:ind w:left="100"/>
              <w:spacing w:after="0" w:line="201" w:lineRule="exact"/>
              <w:rPr>
                <w:sz w:val="20"/>
                <w:szCs w:val="20"/>
                <w:color w:val="auto"/>
              </w:rPr>
            </w:pPr>
            <w:r>
              <w:rPr>
                <w:rFonts w:ascii="Arial" w:cs="Arial" w:eastAsia="Arial" w:hAnsi="Arial"/>
                <w:sz w:val="18"/>
                <w:szCs w:val="18"/>
                <w:color w:val="auto"/>
                <w:w w:val="91"/>
              </w:rPr>
              <w:t>Class A common stock, $0.001 par value; 150,000,000 shares authorized; 687,799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and 563,974 shares issued and outstanding as of September 30, 2023 and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180" w:type="dxa"/>
            <w:vAlign w:val="bottom"/>
          </w:tcPr>
          <w:p>
            <w:pPr>
              <w:ind w:left="100"/>
              <w:spacing w:after="0"/>
              <w:rPr>
                <w:sz w:val="20"/>
                <w:szCs w:val="20"/>
                <w:color w:val="auto"/>
              </w:rPr>
            </w:pPr>
            <w:r>
              <w:rPr>
                <w:rFonts w:ascii="Arial" w:cs="Arial" w:eastAsia="Arial" w:hAnsi="Arial"/>
                <w:sz w:val="18"/>
                <w:szCs w:val="18"/>
                <w:color w:val="auto"/>
              </w:rPr>
              <w:t>December 31, 2022,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159,645</w:t>
            </w: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(151,107)</w:t>
            </w: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r>
      <w:tr>
        <w:trPr>
          <w:trHeight w:val="210"/>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223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(in thousands, except share and per share data)</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fixed asset impairment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Change in fair value of derivative liability</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(loss) gain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(13.60)</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Weighted average number of common shares outstanding</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667,809</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355,754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573,950</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667,809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355,754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573,950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345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w:t>
      </w: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Class A Common Stock</w:t>
            </w:r>
          </w:p>
        </w:tc>
        <w:tc>
          <w:tcPr>
            <w:tcW w:w="9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2"/>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565,358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$ 160,470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(155,249)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w w:val="99"/>
              </w:rPr>
              <w:t>Issuance of common stock in public offering</w:t>
            </w:r>
          </w:p>
        </w:tc>
        <w:tc>
          <w:tcPr>
            <w:tcW w:w="700" w:type="dxa"/>
            <w:vAlign w:val="bottom"/>
          </w:tcPr>
          <w:p>
            <w:pPr>
              <w:jc w:val="right"/>
              <w:spacing w:after="0"/>
              <w:rPr>
                <w:sz w:val="20"/>
                <w:szCs w:val="20"/>
                <w:color w:val="auto"/>
              </w:rPr>
            </w:pPr>
            <w:r>
              <w:rPr>
                <w:rFonts w:ascii="Arial" w:cs="Arial" w:eastAsia="Arial" w:hAnsi="Arial"/>
                <w:sz w:val="18"/>
                <w:szCs w:val="18"/>
                <w:color w:val="auto"/>
              </w:rPr>
              <w:t>27,875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issuance costs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700" w:type="dxa"/>
            <w:vAlign w:val="bottom"/>
          </w:tcPr>
          <w:p>
            <w:pPr>
              <w:jc w:val="right"/>
              <w:spacing w:after="0"/>
              <w:rPr>
                <w:sz w:val="20"/>
                <w:szCs w:val="20"/>
                <w:color w:val="auto"/>
              </w:rPr>
            </w:pPr>
            <w:r>
              <w:rPr>
                <w:rFonts w:ascii="Arial" w:cs="Arial" w:eastAsia="Arial" w:hAnsi="Arial"/>
                <w:sz w:val="18"/>
                <w:szCs w:val="18"/>
                <w:color w:val="auto"/>
              </w:rPr>
              <w:t>92,910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restricted stock units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(3,663)</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(3,663)</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687,799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$ 162,391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(158,912)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Class A Common Stock</w:t>
            </w:r>
          </w:p>
        </w:tc>
        <w:tc>
          <w:tcPr>
            <w:tcW w:w="9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2"/>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$ 150,669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(145,191)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w w:val="99"/>
              </w:rPr>
              <w:t>Issuance of common stock in public offering</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480,000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8,055</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issuance costs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Settlement of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563,974</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$ 159,413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(146,221)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345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w:t>
      </w: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4"/>
              </w:rPr>
              <w:t>Class A 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564,094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$ 159,645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(151,107)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8"/>
              </w:rPr>
              <w:t>Issuance of common stock in public offering</w:t>
            </w:r>
          </w:p>
        </w:tc>
        <w:tc>
          <w:tcPr>
            <w:tcW w:w="640" w:type="dxa"/>
            <w:vAlign w:val="bottom"/>
          </w:tcPr>
          <w:p>
            <w:pPr>
              <w:jc w:val="right"/>
              <w:spacing w:after="0"/>
              <w:rPr>
                <w:sz w:val="20"/>
                <w:szCs w:val="20"/>
                <w:color w:val="auto"/>
              </w:rPr>
            </w:pPr>
            <w:r>
              <w:rPr>
                <w:rFonts w:ascii="Arial" w:cs="Arial" w:eastAsia="Arial" w:hAnsi="Arial"/>
                <w:sz w:val="18"/>
                <w:szCs w:val="18"/>
                <w:color w:val="auto"/>
              </w:rPr>
              <w:t>27,875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640" w:type="dxa"/>
            <w:vAlign w:val="bottom"/>
          </w:tcPr>
          <w:p>
            <w:pPr>
              <w:jc w:val="right"/>
              <w:spacing w:after="0"/>
              <w:rPr>
                <w:sz w:val="20"/>
                <w:szCs w:val="20"/>
                <w:color w:val="auto"/>
              </w:rPr>
            </w:pPr>
            <w:r>
              <w:rPr>
                <w:rFonts w:ascii="Arial" w:cs="Arial" w:eastAsia="Arial" w:hAnsi="Arial"/>
                <w:sz w:val="18"/>
                <w:szCs w:val="18"/>
                <w:color w:val="auto"/>
              </w:rPr>
              <w:t>92,910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(7,805)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687,799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$ 162,391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(158,912)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96"/>
              </w:rPr>
              <w:t>Class A Common 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$ 149,416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(137,035)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issued under equity line of</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credit</w:t>
            </w:r>
          </w:p>
        </w:tc>
        <w:tc>
          <w:tcPr>
            <w:tcW w:w="640" w:type="dxa"/>
            <w:vAlign w:val="bottom"/>
          </w:tcPr>
          <w:p>
            <w:pPr>
              <w:jc w:val="right"/>
              <w:spacing w:after="0"/>
              <w:rPr>
                <w:sz w:val="20"/>
                <w:szCs w:val="20"/>
                <w:color w:val="auto"/>
              </w:rPr>
            </w:pPr>
            <w:r>
              <w:rPr>
                <w:rFonts w:ascii="Arial" w:cs="Arial" w:eastAsia="Arial" w:hAnsi="Arial"/>
                <w:sz w:val="18"/>
                <w:szCs w:val="18"/>
                <w:color w:val="auto"/>
              </w:rPr>
              <w:t>7,827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 in public offering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Share issuance costs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 of 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Common stock issued for services</w:t>
            </w: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(9,186)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563,974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$ 159,413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(146,221)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4199"/>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Cash Flows </w:t>
      </w:r>
      <w:r>
        <w:rPr>
          <w:rFonts w:ascii="Arial" w:cs="Arial" w:eastAsia="Arial" w:hAnsi="Arial"/>
          <w:sz w:val="18"/>
          <w:szCs w:val="18"/>
          <w:color w:val="auto"/>
        </w:rPr>
        <w:t>(in thousands)</w:t>
      </w:r>
    </w:p>
    <w:p>
      <w:pPr>
        <w:spacing w:after="0" w:line="190"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-3175</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(7,805)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Common stock issued for services</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loss (gain)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Goodwill and fixed asset impairment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(reversal of) inventory reserve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Non-cash operating lease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Share issuance costs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(share issuance costs allocated to derivative liability)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Derivative warrant liability reclassified to equity on exercise of warrants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 proceeds due from transfer agent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2022 that was filed with the Securities and Exchange Commission on March 9, 2023 (“2022 10-K”). Certain information and footnote disclosures normally included in financial statements prepared in accordance with generally accepted accounting principles in the United States of America ("GAAP") have been condensed or omitted.</w:t>
      </w:r>
    </w:p>
    <w:p>
      <w:pPr>
        <w:spacing w:after="0" w:line="166"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There have been no material changes to the Company's significant accounting policies from those described in the 2022 Form 10-K. Certain prior period amounts have been reclassified to conform to the current period presentation.</w:t>
      </w:r>
    </w:p>
    <w:p>
      <w:pPr>
        <w:spacing w:after="0" w:line="124"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Actual results could differ from those estimates.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At the annual meeting of stockholders on May 24, 2023, our stockholders voted to approve a reverse stock split of our outstanding Class A common stock (“Common Stock”) at a ratio in the range of 1-for-10 to 1-for-80 to be determined at the discretion of the Company’s Board of Directors (the “Board”). On August 11, 2023, the Board approved a 1-for-50 reverse stock split of the Company’s issued and outstanding Common Stock (the “Reverse Stock Split”) that became effective 5:00 p.m. Eastern Time on August 16, 2023. Refer to Note 6 for additional information.</w:t>
      </w:r>
    </w:p>
    <w:p>
      <w:pPr>
        <w:spacing w:after="0" w:line="16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All issued and outstanding Common Stock and per share amounts contained in the financial statements have been retroactively adjusted to reflect this Reverse Stock Split for all periods presented. In addition, a proportionate adjustment was made to the per share exercise price and the number of shares issuable upon the exercise of all outstanding stock options, restricted stock units and warrants to purchase shares of Common Stock. Per the warrant agreement for the Public Warrants as noted further in Note 6, the exercise price for these warrants was reset to the volume-weighted average price for the five days following the Reverse Stock Split. A proportionate adjustment was also made to the number of shares reserved for issuance pursuant to the Company’s equity incentive compensation plans to reflect the Reverse Stock Split. Any fraction of a share of Common Stock that was created as a result of the Reverse Stock Split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 effective date. The authorized shares and par value of the Common Stock and preferred stock were not adjusted as a result of the Reverse Stock Split.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 Uncertainty</w:t>
      </w:r>
    </w:p>
    <w:p>
      <w:pPr>
        <w:spacing w:after="0" w:line="225" w:lineRule="exact"/>
        <w:rPr>
          <w:sz w:val="20"/>
          <w:szCs w:val="20"/>
          <w:color w:val="auto"/>
        </w:rPr>
      </w:pPr>
    </w:p>
    <w:p>
      <w:pPr>
        <w:ind w:left="60" w:right="219"/>
        <w:spacing w:after="0" w:line="287" w:lineRule="auto"/>
        <w:rPr>
          <w:sz w:val="20"/>
          <w:szCs w:val="20"/>
          <w:color w:val="auto"/>
        </w:rPr>
      </w:pPr>
      <w:r>
        <w:rPr>
          <w:rFonts w:ascii="Arial" w:cs="Arial" w:eastAsia="Arial" w:hAnsi="Arial"/>
          <w:sz w:val="16"/>
          <w:szCs w:val="16"/>
          <w:color w:val="auto"/>
        </w:rPr>
        <w:t>As of September 30, 2023, the Company had cash, cash equivalents and warrant proceeds receivable from the issuance of Common Stock of $7.0 million. For the nine months ended September 30, 2023, the Company had an operating loss of $10.2 million, and as of September 30, 2023, its accumulated deficit was $158.9 million. For the nine months ended September 30, 2023, the Company had $0.5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consolidated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Global Economic Conditions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Generally, worldwide economic conditions remain uncertain, particularly due to the conflict between Russia and Ukraine, as well as in the Middle East between Israel and Hamas, disruptions in the banking system and financial markets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9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Changes in economic conditions, supply chain constraints, logistics challenges, labor shortages, the effects of conflicts in Ukraine and the Middle East, disruptions in the banking system and financial markets, high levels of inflation and an increase in interest rates have increased costs and have had and may continue to have a negative impact on the Company’s business. Although the Company has taken and may continue to take measures to mitigate these impacts, if these measures are not effective, the Company’s business, financial condition, results of operations, and liquidity could be materially adversely affected.</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spacing w:after="0" w:line="183"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June 2016, the Financial Accounting Standards Board issued Accounting Standards Update 2016</w:t>
      </w:r>
      <w:r>
        <w:rPr>
          <w:rFonts w:ascii="Arial" w:cs="Arial" w:eastAsia="Arial" w:hAnsi="Arial"/>
          <w:sz w:val="18"/>
          <w:szCs w:val="18"/>
          <w:b w:val="1"/>
          <w:bCs w:val="1"/>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recognition of expected credit losses for financial assets held and requires enhanced disclosures regarding significant estimates and judgments used in estimating credit losses</w:t>
      </w:r>
      <w:r>
        <w:rPr>
          <w:rFonts w:ascii="Arial" w:cs="Arial" w:eastAsia="Arial" w:hAnsi="Arial"/>
          <w:sz w:val="18"/>
          <w:szCs w:val="18"/>
          <w:b w:val="1"/>
          <w:bCs w:val="1"/>
          <w:color w:val="auto"/>
        </w:rPr>
        <w:t>.</w:t>
      </w:r>
      <w:r>
        <w:rPr>
          <w:rFonts w:ascii="Arial" w:cs="Arial" w:eastAsia="Arial" w:hAnsi="Arial"/>
          <w:sz w:val="18"/>
          <w:szCs w:val="18"/>
          <w:color w:val="auto"/>
        </w:rPr>
        <w:t xml:space="preserve"> As the Company meets the SEC definition of a Smaller Reporting Company filer, the guidance was effective for fiscal years beginning after December 15, 2022. The adoption of this guidance on January 1, 2023 did not have a material impact on the Company's unaudited condensed consolidated financial statements.</w:t>
      </w:r>
    </w:p>
    <w:p>
      <w:pPr>
        <w:spacing w:after="0" w:line="189"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Components of selected captions in the unaudited condensed consolidated balance sheets consisted of the following:</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Accounts receivable from product sales are net of allowance for credit losses of less than $1 thousand as of both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net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Inventory, gross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reserve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686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nine months ended September 30, 2023, $14 thousand of inventory was written off to the inventory reserve.</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 and other current assets (in thousands)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Inventory related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12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Accrued and other current liabilities (in thousands)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8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60" w:type="dxa"/>
            <w:vAlign w:val="bottom"/>
            <w:vMerge w:val="restart"/>
          </w:tcPr>
          <w:p>
            <w:pPr>
              <w:ind w:left="20"/>
              <w:spacing w:after="0"/>
              <w:rPr>
                <w:sz w:val="20"/>
                <w:szCs w:val="20"/>
                <w:color w:val="auto"/>
              </w:rPr>
            </w:pPr>
            <w:r>
              <w:rPr>
                <w:rFonts w:ascii="Arial" w:cs="Arial" w:eastAsia="Arial" w:hAnsi="Arial"/>
                <w:sz w:val="18"/>
                <w:szCs w:val="18"/>
                <w:color w:val="auto"/>
              </w:rPr>
              <w:t>Insurance payable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benefits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tax</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Exclusive Distribution Agreement</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Deferred revenue as of both September 30, 2023 and December 31, 2022 is comprised of the remaining unamortized amount under these agreements. Revenue recognized is included in other revenue in the Unaudited Condensed Consolidated Statements of Operations and Comprehensive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The Company has two operating leases for office space with lease terms expiring in January 2024 and March 2025. The leases do not contain any options to extend. Operating lease costs for the three and nine months ended September 30, 2023 and 2022 were $14 thousand, $41 thousand, $14 thousand and $42 thousand, respectively.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Maturities of operating lease liabilities as of September 30, 2023 were as follows (in thousands):</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7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7680" w:type="dxa"/>
            <w:vAlign w:val="bottom"/>
          </w:tcPr>
          <w:p>
            <w:pPr>
              <w:ind w:left="120"/>
              <w:spacing w:after="0"/>
              <w:rPr>
                <w:sz w:val="20"/>
                <w:szCs w:val="20"/>
                <w:color w:val="auto"/>
              </w:rPr>
            </w:pPr>
            <w:r>
              <w:rPr>
                <w:rFonts w:ascii="Arial" w:cs="Arial" w:eastAsia="Arial" w:hAnsi="Arial"/>
                <w:sz w:val="18"/>
                <w:szCs w:val="18"/>
                <w:color w:val="auto"/>
              </w:rPr>
              <w:t>Total lease payments</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7680" w:type="dxa"/>
            <w:vAlign w:val="bottom"/>
          </w:tcPr>
          <w:p>
            <w:pPr>
              <w:ind w:left="12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7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Unaudited Condensed Consolidated Financial Statements include financial instruments for which the fair market value of such instruments may differ from amounts reflected on a historical cost basis. Financial instruments of the Company consist of cash equivalents, which were comprised of deposits of excess cash in an unrestricted money market savings account and a money market mutual funds and as of September 30, 2023 and money market savings account and a certificate of deposit December 31, 2022. The carrying value of cash equivalents generally approximates fair value due to their short-term nature.</w:t>
      </w:r>
    </w:p>
    <w:p>
      <w:pPr>
        <w:spacing w:after="0" w:line="192"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Company’s derivative liability as of September 30, 2023 and December 31, 2022 is comprised of warrants issued in connection with the registered public offering completed in August 2022 (“August 2022 Public Offering”) discussed in Note 6. The derivative liability is classified as Level 3 within the fair value hierarchy and is required to be recorded at fair value on a recurring basis. See Note 6 for further information on the fair value of the derivative liability.</w:t>
      </w:r>
    </w:p>
    <w:p>
      <w:pPr>
        <w:spacing w:after="0" w:line="157"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 See Note 11 – Goodwill and Fixed Asset Impairment for further detail.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PREFERRED STOCK AND WARRANTS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June 23, 2023, the Company entered into a Sales Agreement (the “Sales Agreement”) with Roth Capital Partners, LLC (“Roth”) to create an at-the-market offering program (“ATM”) under which the Company may offer and sell shares having an aggregate offering price of up to $2.0 million. Roth is entitled to a commission at a fixed commission rate equal to up to 3% of the gross proceeds pursuant to the Sales Agreement. As of September 30, 2023, 27,875 share issuances of securities have occurred in connection with the ATM generating net proceeds of $0.3M.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On March 23, 2023, the Board of Directors declared a dividend of one one-thousandth of a share of Series B Preferred Stock (“Series B Preferred Stock”) for each outstanding share of Common Stock held of record on April 3, 2023. The value of the Series B Preferred Stock issued in connection with the stock dividend was immaterial.</w:t>
      </w:r>
    </w:p>
    <w:p>
      <w:pPr>
        <w:spacing w:after="0" w:line="165"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The outstanding shares of Series B Preferred Stock will vote together with the outstanding shares of the Company’s Common Stock, as a single class, exclusively with respect to a proposal giving the Board of Directors the authority, as it determines appropriate, to implement a reverse stock split within twelve months following the approval of such proposal by the Company’s stockholders (the “Reverse Stock Split Proposal”), as well as any proposal to adjourn any meeting of stockholders called for the purpose of voting on the foregoing matters (the “Adjournment Proposal”).</w:t>
      </w:r>
    </w:p>
    <w:p>
      <w:pPr>
        <w:spacing w:after="0" w:line="16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No shares of Series B Preferred Stock may be transferred by the holder except in connection with a transfer by such holder of any shares of Common Stock held by such holder.</w:t>
      </w:r>
    </w:p>
    <w:p>
      <w:pPr>
        <w:spacing w:after="0" w:line="170"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Each share of Series B Preferred Stock will entitle the holder to 1,000,000 votes per share and each fraction of a share of Series B Preferred Stock will have a ratable number of votes. The holder of Series B Preferred Stock, as such, will not be entitled to receive dividends.</w:t>
      </w:r>
    </w:p>
    <w:p>
      <w:pPr>
        <w:spacing w:after="0" w:line="184"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All shares of Series B Preferred Stock that are not present in person or by proxy at any meeting of stockholders held to vote on the Reverse Stock Split Proposal and the Adjournment Proposal as of immediately prior to the opening of the polls at such meeting (the “Initial Redemption Time”) will automatically be redeemed in whole, but not in part, by the Company at the Initial Redemption Time without further action on the part of the Company or the holder of shares of Series B Preferred Stock.</w:t>
      </w:r>
    </w:p>
    <w:p>
      <w:pPr>
        <w:spacing w:after="0" w:line="188"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The Series B Preferred Stock is not convertible into, or exchangeable for, shares of any other class or series of stock or other securities of the Company. The Series B Preferred Stock has no stated maturity and is not subject to any sinking fund. The Series B Preferred Stock is not subject to any restriction on the redemption or repurchase of shares by the Company while there is any arrearage in the payment of dividends or sinking fund installments.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Certificate of Designation was filed with the Delaware Secretary of State and became effective on March 24, 2023.</w:t>
      </w:r>
    </w:p>
    <w:p>
      <w:pPr>
        <w:spacing w:after="0" w:line="248"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September 30, 2023, no shareholders of Series B Preferred Stock have requested such redemption.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The Company issued warrants to purchase an aggregate of 720,000 shares of Common Stock (“Public Warrants”) in connection with the August 2022 Public Offering, as more fully described in the 2022 10-K. The Public Warrants did not meet the guidance for being classified as an equity instrument due to a potential price reset prompted by a change in 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57" w:lineRule="auto"/>
        <w:rPr>
          <w:sz w:val="20"/>
          <w:szCs w:val="20"/>
          <w:color w:val="auto"/>
        </w:rPr>
      </w:pPr>
      <w:r>
        <w:rPr>
          <w:rFonts w:ascii="Arial" w:cs="Arial" w:eastAsia="Arial" w:hAnsi="Arial"/>
          <w:sz w:val="18"/>
          <w:szCs w:val="18"/>
          <w:color w:val="auto"/>
        </w:rPr>
        <w:t>unrelated instrument’s conversion rate or, in the event of a fundamental transaction, settlement rights that differ from those of the underlying common stockholders. Accordingly, the Public Warrants are being accounted for as a derivative liability instrument. As a result of the Company’s Reverse Stock Split on August 16, 2023, refer to Note 1, the exercise price on the Public Warrants was reset to $6.9135 per share based on the volume-weighted average price for the five stock trading days post-split.</w:t>
      </w:r>
    </w:p>
    <w:p>
      <w:pPr>
        <w:spacing w:after="0" w:line="18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fair value of the Public Warrants as of September 30, 2023 and December 31, 2022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Warrant term (in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80.90 %</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4.71 %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4.04 %</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0.00 %</w:t>
            </w:r>
          </w:p>
        </w:tc>
      </w:tr>
    </w:tbl>
    <w:p>
      <w:pPr>
        <w:spacing w:after="0" w:line="20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fair value of the derivative liability as of September 30, 2023 and December 31, 2022 was $4.2 million and $6.9 million, respectively. The change in the fair value of the derivative liability was recognized as a component of nonoperating income (expense) in the Company’s Unaudited Condensed Consolidated Statements of Operations and Comprehensive Loss. Public Warrants were exercised to purchase of 92,910 shares of Common Stock at $6.9135 per share for $642 thousand in net proceeds and no Public Warrants were cancelled during the nine months ended September 30, 2023. Of the $642 thousand net proceeds, $207 thousand was received in cash as of September 30, 2023 and $435 thousand was due from the Company’s transfer agent and recorded as other receivables as of September 30, 2023. The portion of the derivative liability relating to the exercised warrants of $628 thousand was reclassified into stockholders’ equity based on the fair value on the date of reclassification. The remaining outstanding Public Warrants to purchase 627,090 shares of Common Stock are classified as a derivative liability at September 30, 2023, are exercisable upon issuance and will expire five years following the date of issuance.</w:t>
      </w:r>
    </w:p>
    <w:p>
      <w:pPr>
        <w:spacing w:after="0" w:line="182" w:lineRule="exact"/>
        <w:rPr>
          <w:sz w:val="20"/>
          <w:szCs w:val="20"/>
          <w:color w:val="auto"/>
        </w:rPr>
      </w:pPr>
    </w:p>
    <w:p>
      <w:pPr>
        <w:ind w:left="60" w:right="419"/>
        <w:spacing w:after="0" w:line="286" w:lineRule="auto"/>
        <w:rPr>
          <w:sz w:val="20"/>
          <w:szCs w:val="20"/>
          <w:color w:val="auto"/>
        </w:rPr>
      </w:pPr>
      <w:r>
        <w:rPr>
          <w:rFonts w:ascii="Arial" w:cs="Arial" w:eastAsia="Arial" w:hAnsi="Arial"/>
          <w:sz w:val="17"/>
          <w:szCs w:val="17"/>
          <w:color w:val="auto"/>
        </w:rPr>
        <w:t>The Company has outstanding equity-classified warrants to purchase 11,853 shares of Common Stock at a weighted average exercise price of $815.98, with expiration dates ranging from October 2023 to February 2026. During the nine months ended September 30, 2023, no equity-classified warrants were exercised or cancelled.</w:t>
      </w:r>
    </w:p>
    <w:p>
      <w:pPr>
        <w:spacing w:after="0" w:line="161"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The Company may issue stock-based compensation awards under the Helius Medical Technologies, Inc. 2022 Equity Incentive Plan (“2022 Plan”) or the Helius Medical Technologies, Inc. 2021 Inducement Plan (as amended, the “Inducement Plan”), as described more fully in the 2022 10-K. On January 1, 2023, pursuant to the automatic increase provision of the 2022 Plan, the number of shares authorized for issuance increased from the initial 22,425 to 264,319. As of September 30, 2023, the remaining shares available for grant were 14,014 under the 2022 Plan and 9,205 under the Inducement Plan.</w:t>
      </w:r>
    </w:p>
    <w:p>
      <w:pPr>
        <w:spacing w:after="0" w:line="19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During the nine months ended September 30, 2023, the Company granted 222,768 stock options out of the 2022 Plan and 500 stock options out of the Inducement Plan at a weighted average exercise price of $14.63 per share. The options vest over one to four years and expire ten years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The following table includes the weighted-average assumptions used in the Black-Scholes option pricing model and the related weighted-average grant-date fair values of stock options granted during the periods indicated: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0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6"/>
        </w:trPr>
        <w:tc>
          <w:tcPr>
            <w:tcW w:w="39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75.26 %</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75.75 %</w:t>
            </w:r>
          </w:p>
        </w:tc>
        <w:tc>
          <w:tcPr>
            <w:tcW w:w="2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79.43 %</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74.94 %</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24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0.00 %</w:t>
            </w:r>
          </w:p>
        </w:tc>
        <w:tc>
          <w:tcPr>
            <w:tcW w:w="2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nine months ended September 30, 2023, the Company's non-employee directors received a grant of 6,644 restricted stock units at weighted average grant date fair value of $7.81 per share.</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As of September 30, 2023, there were an aggregate of 245,972 stock options outstanding with a weighted average exercise price of $77.41 per share and 3,884 unvested restricted stock units outstanding with a weighted average grant date fair value of $7.81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stock-based compensation expense was as follows (in thousands):</w:t>
      </w:r>
    </w:p>
    <w:p>
      <w:pPr>
        <w:spacing w:after="0" w:line="21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49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As of September 30, 2023, the total remaining unrecognized compensation expense related to nonvested stock options and restricted stock units was $2.9 million which will be amortized over the weighted-average remaining requisite service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LOSS PER SHARE</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table below presents the computation of basic and diluted loss per share (in thousands, except share and per share information):</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8"/>
              </w:rPr>
              <w:t>Three Months Ended</w:t>
            </w:r>
          </w:p>
        </w:tc>
        <w:tc>
          <w:tcPr>
            <w:tcW w:w="158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w w:val="95"/>
              </w:rPr>
              <w:t>Net loss available to common stockholders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660" w:type="dxa"/>
            <w:vAlign w:val="bottom"/>
          </w:tcPr>
          <w:p>
            <w:pPr>
              <w:jc w:val="right"/>
              <w:spacing w:after="0"/>
              <w:rPr>
                <w:sz w:val="20"/>
                <w:szCs w:val="20"/>
                <w:color w:val="auto"/>
              </w:rPr>
            </w:pPr>
            <w:r>
              <w:rPr>
                <w:rFonts w:ascii="Arial" w:cs="Arial" w:eastAsia="Arial" w:hAnsi="Arial"/>
                <w:sz w:val="18"/>
                <w:szCs w:val="18"/>
                <w:color w:val="auto"/>
              </w:rPr>
              <w:t>(7,805)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Weighted average common shares outstanding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basic</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667,809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2"/>
              </w:rPr>
              <w:t>355,754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573,950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Loss per share - basic</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660" w:type="dxa"/>
            <w:vAlign w:val="bottom"/>
          </w:tcPr>
          <w:p>
            <w:pPr>
              <w:jc w:val="right"/>
              <w:spacing w:after="0"/>
              <w:rPr>
                <w:sz w:val="20"/>
                <w:szCs w:val="20"/>
                <w:color w:val="auto"/>
              </w:rPr>
            </w:pPr>
            <w:r>
              <w:rPr>
                <w:rFonts w:ascii="Arial" w:cs="Arial" w:eastAsia="Arial" w:hAnsi="Arial"/>
                <w:sz w:val="18"/>
                <w:szCs w:val="18"/>
                <w:color w:val="auto"/>
              </w:rPr>
              <w:t>(13.60)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80" w:type="dxa"/>
            <w:vAlign w:val="bottom"/>
            <w:shd w:val="clear" w:color="auto" w:fill="CCEEFF"/>
          </w:tcPr>
          <w:p>
            <w:pPr>
              <w:ind w:left="80"/>
              <w:spacing w:after="0" w:line="193" w:lineRule="exact"/>
              <w:rPr>
                <w:sz w:val="20"/>
                <w:szCs w:val="20"/>
                <w:color w:val="auto"/>
              </w:rPr>
            </w:pPr>
            <w:r>
              <w:rPr>
                <w:rFonts w:ascii="Arial" w:cs="Arial" w:eastAsia="Arial" w:hAnsi="Arial"/>
                <w:sz w:val="18"/>
                <w:szCs w:val="18"/>
                <w:color w:val="auto"/>
                <w:w w:val="95"/>
              </w:rPr>
              <w:t>Net loss available to common stockholders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shd w:val="clear" w:color="auto" w:fill="CCEEFF"/>
          </w:tcPr>
          <w:p>
            <w:pPr>
              <w:ind w:left="80"/>
              <w:spacing w:after="0" w:line="239"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1"/>
                <w:szCs w:val="21"/>
                <w:color w:val="auto"/>
                <w:vertAlign w:val="superscript"/>
              </w:rPr>
              <w:t>(1)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80" w:type="dxa"/>
            <w:vAlign w:val="bottom"/>
          </w:tcPr>
          <w:p>
            <w:pPr>
              <w:ind w:left="80"/>
              <w:spacing w:after="0" w:line="193" w:lineRule="exact"/>
              <w:rPr>
                <w:sz w:val="20"/>
                <w:szCs w:val="20"/>
                <w:color w:val="auto"/>
              </w:rPr>
            </w:pPr>
            <w:r>
              <w:rPr>
                <w:rFonts w:ascii="Arial" w:cs="Arial" w:eastAsia="Arial" w:hAnsi="Arial"/>
                <w:sz w:val="18"/>
                <w:szCs w:val="18"/>
                <w:color w:val="auto"/>
                <w:w w:val="92"/>
              </w:rPr>
              <w:t>Weighted average common shares outstanding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tcPr>
          <w:p>
            <w:pPr>
              <w:ind w:left="80"/>
              <w:spacing w:after="0" w:line="239" w:lineRule="exact"/>
              <w:rPr>
                <w:sz w:val="20"/>
                <w:szCs w:val="20"/>
                <w:color w:val="auto"/>
              </w:rPr>
            </w:pPr>
            <w:r>
              <w:rPr>
                <w:rFonts w:ascii="Arial" w:cs="Arial" w:eastAsia="Arial" w:hAnsi="Arial"/>
                <w:sz w:val="18"/>
                <w:szCs w:val="18"/>
                <w:color w:val="auto"/>
              </w:rPr>
              <w:t xml:space="preserve">— diluted </w:t>
            </w:r>
            <w:r>
              <w:rPr>
                <w:rFonts w:ascii="Arial" w:cs="Arial" w:eastAsia="Arial" w:hAnsi="Arial"/>
                <w:sz w:val="21"/>
                <w:szCs w:val="21"/>
                <w:color w:val="auto"/>
                <w:vertAlign w:val="superscript"/>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667,809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92"/>
              </w:rPr>
              <w:t>355,754</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573,950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per share — diluted</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right="239" w:hanging="317"/>
        <w:spacing w:after="0" w:line="241" w:lineRule="auto"/>
        <w:tabs>
          <w:tab w:leader="none" w:pos="88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For the three and nine months ended September 30, 2023, no adjustment was made to the numerator and no incremental shares were added to the denominator for the Public Warrants being accounted for as a derivative liability, as the Public Warrants were out-of-the-money during the periods. Refer to Note 6 for additional information about the Public Warrants.</w:t>
      </w:r>
    </w:p>
    <w:p>
      <w:pPr>
        <w:spacing w:after="0" w:line="202"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00" w:type="dxa"/>
            <w:vAlign w:val="bottom"/>
          </w:tcPr>
          <w:p>
            <w:pPr>
              <w:spacing w:after="0"/>
              <w:rPr>
                <w:sz w:val="14"/>
                <w:szCs w:val="14"/>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68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760" w:type="dxa"/>
            <w:vAlign w:val="bottom"/>
          </w:tcPr>
          <w:p>
            <w:pPr>
              <w:jc w:val="right"/>
              <w:spacing w:after="0"/>
              <w:rPr>
                <w:sz w:val="20"/>
                <w:szCs w:val="20"/>
                <w:color w:val="auto"/>
              </w:rPr>
            </w:pPr>
            <w:r>
              <w:rPr>
                <w:rFonts w:ascii="Arial" w:cs="Arial" w:eastAsia="Arial" w:hAnsi="Arial"/>
                <w:sz w:val="18"/>
                <w:szCs w:val="18"/>
                <w:color w:val="auto"/>
              </w:rPr>
              <w:t>3,884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731,853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731,853</w:t>
            </w:r>
          </w:p>
        </w:tc>
      </w:tr>
    </w:tbl>
    <w:p>
      <w:pPr>
        <w:spacing w:after="0" w:line="360" w:lineRule="exact"/>
        <w:rPr>
          <w:sz w:val="20"/>
          <w:szCs w:val="20"/>
          <w:color w:val="auto"/>
        </w:rPr>
      </w:pPr>
    </w:p>
    <w:p>
      <w:pPr>
        <w:ind w:left="360" w:hanging="310"/>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 is obligated under a license agreement with Advanced NeuroRehabilitation, LLC to pay a 4% royalty on net revenue collected from the sale of devices covered by the patent-pending technology. During the three and nine months ended September 30, 2023 and 2022, the Company recorded royalty expense from the sale of devices of approximately $5 thousand, $19 thousand, $8 thousand and $20 thousand, respectively, in its Unaudited Condensed Consolidated Statements of Operations and Comprehensive Loss.</w:t>
      </w:r>
    </w:p>
    <w:p>
      <w:pPr>
        <w:spacing w:after="0" w:line="184" w:lineRule="exact"/>
        <w:rPr>
          <w:sz w:val="20"/>
          <w:szCs w:val="20"/>
          <w:color w:val="auto"/>
        </w:rPr>
      </w:pPr>
    </w:p>
    <w:p>
      <w:pPr>
        <w:ind w:left="460" w:hanging="410"/>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ENTERPRISE-WIDE DISCLOSURES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reportable segment related to the sale of PoNS devices directly to patients in the United States and to clinics in Canada.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revenue disaggregated by geographic area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5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0"/>
        </w:trPr>
        <w:tc>
          <w:tcPr>
            <w:tcW w:w="5460" w:type="dxa"/>
            <w:vAlign w:val="bottom"/>
          </w:tcPr>
          <w:p>
            <w:pPr>
              <w:ind w:left="220"/>
              <w:spacing w:after="0"/>
              <w:rPr>
                <w:sz w:val="20"/>
                <w:szCs w:val="20"/>
                <w:color w:val="auto"/>
              </w:rPr>
            </w:pPr>
            <w:r>
              <w:rPr>
                <w:rFonts w:ascii="Arial" w:cs="Arial" w:eastAsia="Arial" w:hAnsi="Arial"/>
                <w:sz w:val="18"/>
                <w:szCs w:val="18"/>
                <w:color w:val="auto"/>
              </w:rPr>
              <w:t>Total product sales, net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54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Two customers accounted for 91% and 57% of net product sales for the three and nine months ended September 30, 2023 and three customers accounted for 95% of accounts receivable, net as of September 30, 2023. A single customer accounted for 11% and 29% of net product sales for the three and nine months ended September 30, 2022 and a single customer accounted for 89% of accounts receivable, net as of December 31, 2022.</w:t>
      </w:r>
    </w:p>
    <w:p>
      <w:pPr>
        <w:spacing w:after="0" w:line="167" w:lineRule="exact"/>
        <w:rPr>
          <w:sz w:val="20"/>
          <w:szCs w:val="20"/>
          <w:color w:val="auto"/>
        </w:rPr>
      </w:pPr>
    </w:p>
    <w:p>
      <w:pPr>
        <w:ind w:left="440" w:hanging="390"/>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FIXED ASSET IMPAIRMENT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Fixed Asset Impairment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identified an impairment indicator associated with its property and equipment and performed interim impairment tests on the long-lived tangible assets as a result of a planned change of the Company’s contract manufacturing partner to be completed in less than one year from September 30, 2023. The interim impairment tests were performed using estimated market prices. The Company has determined that the fair value of certain long-lived tangible assets is lower than the related book values. Additionally, for certain long-lived tangible assets, it is more likely than not that those long-lived assets will be disposed significantly before the end of their previously estimated useful lives. As a result, impairment charges of $159 thousand were recorded in the third quarter on its long-lived tangible assets.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Goodwill was allocated to and evaluated for impairment at the Company’s one identified reporting unit and was tested for impairment by performing a quantitative test rather than a qualitative evaluation.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significant decline in the price of the Company’s Common Stock following the Company’s registered public offering in August 2022 was considered a triggering event for testing whether goodwill was impaired. The Company performed a quantitative assessment as of September 30, 2022 and determined that the carrying value of the reporting unit exceeded the estimated fair value. As a result, the Company recorded a goodwill impairment charge of $757 thousand, reducing the goodwill balance to zero.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Unless otherwise specified or the context otherwise requires, references to “we,” “us,” “our,” “Helius” or “Company” mean Helius Medical Technologies, Inc. and its wholly owned operating subsidiaries, Helius Medical, Inc. (“HMI”) and Helius Medical Technologies (Canada), Inc. (“HMC”). The interim financial statements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both of which are contained in our Annual Report on Form 10-K for the year ended December 31, 2022 filed with the Securities and Exchange Commission (“SEC”) on March 9, 2023 (the “2022 10-K”). All financial information is stated in U.S. dollars unless otherwise specified. Our Unaudited Condensed Consolidated Financial Statements are prepared in accordance with accounting principles generally accepted in the United States (“U.S. GAAP”).</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spacing w:after="0" w:line="283"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including expected enrollment, receipt of prescriptions and progress of commercialization of the PoNS device in the U.S., the impacts of the current global macroeconomic environment on the Company, the issuance by CMS of rules regarding coverage of emerging technologies, clinical development plans, product development activities, the safety and effectiveness of the Company’s product, the manufacturing plans for the Company’s product, sufficiency of cash and availability of funds, and operating costs.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2022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Helius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200" w:lineRule="exact"/>
        <w:rPr>
          <w:sz w:val="20"/>
          <w:szCs w:val="20"/>
          <w:color w:val="auto"/>
        </w:rPr>
      </w:pPr>
    </w:p>
    <w:p>
      <w:pPr>
        <w:spacing w:after="0" w:line="204"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70" w:lineRule="exact"/>
        <w:rPr>
          <w:sz w:val="20"/>
          <w:szCs w:val="20"/>
          <w:color w:val="auto"/>
        </w:rPr>
      </w:pPr>
    </w:p>
    <w:p>
      <w:pPr>
        <w:ind w:left="60" w:right="99"/>
        <w:spacing w:after="0" w:line="277" w:lineRule="auto"/>
        <w:rPr>
          <w:sz w:val="20"/>
          <w:szCs w:val="20"/>
          <w:color w:val="auto"/>
        </w:rPr>
      </w:pPr>
      <w:r>
        <w:rPr>
          <w:rFonts w:ascii="Arial" w:cs="Arial" w:eastAsia="Arial" w:hAnsi="Arial"/>
          <w:sz w:val="16"/>
          <w:szCs w:val="16"/>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is integral to the overall PoNS solution and is the physical therapy applied by patients during use of the PoNS neuromodulation stimulator. PoNS has marketing clearance in the U.S. for use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Updates</w:t>
      </w:r>
    </w:p>
    <w:p>
      <w:pPr>
        <w:spacing w:after="0" w:line="22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On September 28, 2023, the Company announced that Wolters Kluwer Health – Medi-Span® assigned universal product code numbers to the Company’s PoNS system and mouthpiece. The NDC/UPC/HRI codes for the PoNS system is 64288-00046 at $25,700 and the PoNS mouthpiece is 64288-00043 at $7,900.</w:t>
      </w:r>
    </w:p>
    <w:p>
      <w:pPr>
        <w:spacing w:after="0" w:line="184"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On August 31, 2023, we received formal notification (the “Notification”) from Nasdaq confirming that we have regained compliance, and that we satisfy all other applicable criteria for continued listing on the Nasdaq Stock Market. On March 21, 2023, we received a letter from the Listing Qualifications Staff of The Nasdaq Stock Market, LLC (“Nasdaq”) notifying the Company that Nasdaq granted the Company a 180-day extension, until September 18, 2023, to regain compliance with the requirement for the Company’s Class A common stock (“Common Stock”), to maintain a minimum bid price of $1.00 per share for continued listing on the Nasdaq Stock Market, as set forth in Nasdaq Listing Rule 5550(a)</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 As a result of the determination, the listing matter is closed.</w:t>
      </w:r>
    </w:p>
    <w:p>
      <w:pPr>
        <w:spacing w:after="0" w:line="211"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At the annual meeting of stockholders on May 24, 2023, stockholders voted to approve a reverse stock split of our outstanding Common Stock at a ratio in the range of 1-for-10 to 1-for-80 to be determined at the discretion of the Company’s Board of Directors. Effective 5:00 p.m. on August 16, 2023, the company completed a 1-for-50 reverse stock split of its Common Stock. All share and per share amounts in this Quarterly Report have been reflected on a post-split basis.</w:t>
      </w:r>
    </w:p>
    <w:p>
      <w:pPr>
        <w:spacing w:after="0" w:line="188"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On August 11, 2023, our Board of Directors approved a 1-for-50 reverse stock split of the Company’s issued and outstanding shares of Common Stock (the “Reverse Stock Split”) effective August 16, 2023. On August 15, 2023, the Company filed with the Secretary of State of the State of Delaware a Certificate of Amendment to its Certificate of Incorporation to effect the Reverse Stock Split. The Reverse Stock Split became effective as of 5:00 p.m. Eastern Time on August 16, 2023, and the Company’s Common Stock began trading on a split-adjusted basis when the Nasdaq Stock Market opened on August 17, 2023.</w:t>
      </w:r>
    </w:p>
    <w:p>
      <w:pPr>
        <w:spacing w:after="0" w:line="192"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During the third quarter of 2023, the Company began implementing the transition of the manufacturing of PoNS systems and mouthpieces to Minnetronix, Inc. from its current contract manufacturer, Key Tronic Corporation. The Company expects the bulk of this transition to be completed by the end of 2023 and fully completed by mid-2024.</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Presently, PoNS Therapy is not covered by Center for Medicare and Medicaid (“CMS”) or reimbursed by any third-party payers in the U.S.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move forward and collect additional clinical and real-world data. As such, through our ongoing PoNSTEP study and ongoing registry program, in the second quarter of 2023, resubmitted for unique HCPCS codes upon availability of a body of evidence that we consider adequate and sufficient to address CMS’s questions. We expect to receive a preliminary response to our application from CMS in the fourth quarter of 2023.</w:t>
      </w:r>
    </w:p>
    <w:p>
      <w:pPr>
        <w:spacing w:after="0" w:line="172"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We will continue to monitor the development of CMS’s new pathway for coverage of innovative new devices, Transitional Coverage of Emerging Technology (“TCET”), which is replacing the repealed Medicare Coverage of Innovative Technologies rule. CMS is expected to provide additional information about TCET to the public for comments in 2023. As we follow the evolution of TCET, we will continue to assess our evidence generation strategy to reach the greatest potential to gain CMS reimbursement benefits as a result of our Breakthrough designation in MS.</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Our Patient Therapy Access Program (“PTAP”), launched in June 2022 and effective through June 2023, provided qualifying patients access to PoNS therapy at a significantly reduced price. The PTAP was not renewed and terminated on June 30,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Trends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Generally, worldwide economic conditions remain uncertain, particularly due to the conflicts between Russia and Ukraine, as well as in the Middle East between Israel and Hamas, disruptions in the banking system and financial markets and increased inflation. The general economic and capital market conditions both in the U.S. and worldwide, have been 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spacing w:after="0" w:line="164" w:lineRule="exact"/>
        <w:rPr>
          <w:sz w:val="20"/>
          <w:szCs w:val="20"/>
          <w:color w:val="auto"/>
        </w:rPr>
      </w:pPr>
    </w:p>
    <w:p>
      <w:pPr>
        <w:jc w:val="both"/>
        <w:ind w:left="60" w:right="219"/>
        <w:spacing w:after="0" w:line="296" w:lineRule="auto"/>
        <w:rPr>
          <w:sz w:val="20"/>
          <w:szCs w:val="20"/>
          <w:color w:val="auto"/>
        </w:rPr>
      </w:pPr>
      <w:r>
        <w:rPr>
          <w:rFonts w:ascii="Arial" w:cs="Arial" w:eastAsia="Arial" w:hAnsi="Arial"/>
          <w:sz w:val="16"/>
          <w:szCs w:val="16"/>
          <w:color w:val="auto"/>
        </w:rPr>
        <w:t>Changes in economic conditions, supply chain constraints, logistics challenges, labor shortages, the conflicts in Ukraine and the Middle East, disruptions in the banking system and financial markets, high levels of inflation and an increase in interest rates have increased costs and have had and may continue to have a negative impact on the Company’s business. Although we have taken and may continue to take measures to mitigate these impacts, if these measures are not effective, our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2023 compared to the Three Months Ended September 30, 2022</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2023 and 2022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700" w:type="dxa"/>
            <w:vAlign w:val="bottom"/>
          </w:tcPr>
          <w:p>
            <w:pPr>
              <w:ind w:left="120"/>
              <w:spacing w:after="0"/>
              <w:rPr>
                <w:sz w:val="20"/>
                <w:szCs w:val="20"/>
                <w:color w:val="auto"/>
              </w:rPr>
            </w:pPr>
            <w:r>
              <w:rPr>
                <w:rFonts w:ascii="Arial" w:cs="Arial" w:eastAsia="Arial" w:hAnsi="Arial"/>
                <w:sz w:val="18"/>
                <w:szCs w:val="18"/>
                <w:color w:val="auto"/>
              </w:rPr>
              <w:t>Total product sales,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57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5700" w:type="dxa"/>
            <w:vAlign w:val="bottom"/>
          </w:tcPr>
          <w:p>
            <w:pPr>
              <w:ind w:left="220"/>
              <w:spacing w:after="0"/>
              <w:rPr>
                <w:sz w:val="20"/>
                <w:szCs w:val="20"/>
                <w:color w:val="auto"/>
              </w:rPr>
            </w:pPr>
            <w:r>
              <w:rPr>
                <w:rFonts w:ascii="Arial" w:cs="Arial" w:eastAsia="Arial" w:hAnsi="Arial"/>
                <w:sz w:val="18"/>
                <w:szCs w:val="18"/>
                <w:color w:val="auto"/>
              </w:rPr>
              <w:t>Gross profit (loss)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fixed asset impairment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Change in fair value of derivative liability</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(loss) gain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income (expense),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The decrease in net product sales for the three months ended September 30, 2023 as compared with the same period in the prior year was primarily attributable to decreased unit sales of PoNS systems in the U.S. following the termination of the PTAP on June 30, 2023, partially offset by increased net product sales in Canada.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increase in cost of revenue for the three months ended September 30, 2023 as compared with the same period in the prior year is due to fixed overhead costs, which were primarily comprised of salaries and benefits of employees involved in management of the supply chain and certain production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22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Gross loss for the three months ended September 30, 2023 was $44 thousand compared to gross profit of $95 thousand for the same period in the prior year. This was a result of reduced absorption of fixed overhead costs across the lower unit volume of PoNS system sales in the third quarter of 2023 as compared to the prior year comparable period.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decrease in selling, general and administrative expenses in the third quarter of 2023 as compared to 2022 resulted primarily from a $1.2 million decrease in performance based stock-based compensation, partially offset by a $0.2 million increase in salaries and wages during the current year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Research and development expense was relatively flat year-to-year and was primarily comprised of clinical research and support.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25"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Fixed Asset Impairment</w:t>
      </w:r>
    </w:p>
    <w:p>
      <w:pPr>
        <w:spacing w:after="0" w:line="22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During the three months ended September 30, 2023, we recorded an impairment of $159 thousand for certain machinery used in the production of our inventory. During the three months ended September 30, 2022, we recorded a goodwill impairment charge of $757 thousand, reducing the goodwill balance to zero.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Net interest income for the three months ended September 30, 2023 was primarily attributable to interest income earned on investments of excess cash in an unrestricted money market savings account, money market mutual funds, treasury bills and a certificate of deposit.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22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decrease in the change in fair value of derivative liability for the three months ended September 30, 2023 of $0.4 million was primarily due to the effect of the exercise price reset of the Public Warrants following the Reverse Stock Split.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 in foreign exchange (loss) gain was primarily due to fluctuations in the Canadian to U.S. dollar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2023 and 2022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Product sales, net: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Canada</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product sales, net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revenue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(loss)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Selling, general and administrative expenses</w:t>
            </w: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(1,176)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expense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 and fixed asset impairment</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2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(2,840)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Interest income (expense), net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derivative liability</w:t>
            </w: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Foreign exchange (loss) gain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Nonoperating income (expense), net</w:t>
            </w:r>
          </w:p>
        </w:tc>
        <w:tc>
          <w:tcPr>
            <w:tcW w:w="13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vMerge w:val="restart"/>
          </w:tcPr>
          <w:p>
            <w:pPr>
              <w:jc w:val="right"/>
              <w:ind w:right="79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Net product sales of PoNS systems in the U.S. increased for the nine months ended September 30, 2023 as compared with the same period in the prior year, primarily attributable to patients’ efforts to secure favorable PTAP pricing prior to the termination of PTAP on June 30, 2023 as well as the fact that commercial product sales in the United States did not commence until April 2022. This increase was offset by lower Canada product sales resulting mostly from prior year sales including approximately $120 thousand of revenue recognized in connection with the delivery of the remaining 16 PoNS devices that had been included as noncash consideration in the Company’s acquisition of Heuro Canada, Inc.</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increase in cost of revenue for the nine months ended September 30, 2023 as compared to the prior year was primarily attributable to increased fixed overhead costs, which were primarily comprised of salaries and benefits of employees involved in management of the supply chain.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Gross profit for the nine months ended September 30, 2023, decreased compared to the same period in the prior year. The decrease in gross profit resulted primarily from the increase in fixed overhead costs year over year, and a greater mix of lower margin PoNS system sales under the PTAP in the U.S. during the current year period.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The decrease in selling, general and administrative expenses for the nine months ended September 30, 2023 was primarily the result of a decrease in stock-based compensation of $0.8 million along with decreased personnel costs of $0.4 million and a decrease in insurance of $0.2 million, offset by an increase of $0.3 million in professional services.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decrease in research and development expenses was driven primarily by a decrease in product development expenses and clinical trial activities as we transitioned our focus from product development and clinical trials to U.S. commercialization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25"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Net interest income for the nine months ended September 30, 2023 was primarily attributable to interest income earned on investments of excess cash in an unrestricted money market savings account, money market mutual funds, treasury bills and a certificate of deposit.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22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change in fair value of derivative liability for the nine months ended September 30, 2023 of $2.0 million was due to a decrease in our stock price, partially offset by the effect of the exercise price reset on the Public Warrants due to the Reverse Stock Split.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 in foreign exchange (loss) gain was primarily due to fluctuations in the Canadian to U.S. dollar exchange rates.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summarizes our cash and cash equivalents and working capital as of the end of the periods indicated in the table below (in thousands):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9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14,709</w:t>
            </w:r>
          </w:p>
        </w:tc>
      </w:tr>
    </w:tbl>
    <w:p>
      <w:pPr>
        <w:spacing w:after="0" w:line="200" w:lineRule="exact"/>
        <w:rPr>
          <w:sz w:val="20"/>
          <w:szCs w:val="20"/>
          <w:color w:val="auto"/>
        </w:rPr>
      </w:pPr>
    </w:p>
    <w:p>
      <w:pPr>
        <w:spacing w:after="0" w:line="203"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$16.3 million in net proceeds we received from a public offering of our Common Stock and warrants completed in August 2022 (“August 2022 Public Offering”) as discussed in more detail in Note 8 to our Consolidated Financial Statements included our 2022 10-K. As discussed in more detail in Note 6 to our Unaudited Condensed Consolidated Financial Statements, the Company entered into a sales agreement related to our at-the-market offering program (“ATM”) under which we may offer and sell shares having gross proceeds up to $2.0 million. During the three months ended September 30, 2023 the Company issued and sold shares with gross proceeds of $0.3 million under the ATM. As discussed in more detail in Note 6, the Company received gross proceeds of $0.2 million from the issuance of shares upon the exercise of warrants in the three months ended September 30, 2023.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our cash flows for the nine months ended September 30, 2023 and 2022 (in thousands):</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700" w:type="dxa"/>
            <w:vAlign w:val="bottom"/>
            <w:gridSpan w:val="6"/>
          </w:tcPr>
          <w:p>
            <w:pPr>
              <w:ind w:left="520"/>
              <w:spacing w:after="0"/>
              <w:rPr>
                <w:sz w:val="20"/>
                <w:szCs w:val="20"/>
                <w:color w:val="auto"/>
              </w:rPr>
            </w:pPr>
            <w:r>
              <w:rPr>
                <w:rFonts w:ascii="Arial" w:cs="Arial" w:eastAsia="Arial" w:hAnsi="Arial"/>
                <w:sz w:val="14"/>
                <w:szCs w:val="14"/>
                <w:b w:val="1"/>
                <w:bCs w:val="1"/>
                <w:color w:val="auto"/>
                <w:w w:val="93"/>
              </w:rPr>
              <w:t>Nine Months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(17,414)</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 on cash</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Net increase (decrease) in cash and 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(13,636)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The lower level of cash used in operating activities in the nine months ended September 30, 2023 primarily resulted from the decrease in selling, general and administrative expenses and research and development expenses as compared with the same period in the prior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investing activities are primarily related to the purchases of property and equipment.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During the nine months ended September 30, 2023, we received net proceeds of $0.3 million from the issuance and sale of shares under the ATM. In addition, we received $0.2 million in net proceeds from the exercise of warrants.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Net cash provided by financing activities during the nine months ended September 30, 2022 was $16.9 million, which consisted of $16.3 million in aggregate net proceeds from the issuances of Common Stock in the February 2021 public offering of Common Stock and under the Purchase Agreement, dated September 1, 2021, with Lincoln Park Capital Fund, LLC and $1.3 million from the exercise of warrants and 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Our ability to generate product revenues sufficient to achieve profitability will depend heavily on the successful commercialization of PoNS Therapy in the U.S. Our net loss was $7.8 million and $9.2 million for the nine months ended September 30, 2023 and 2022, respectively. As of September 30, 2023, we had an accumulated deficit of $158.9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w:t>
      </w:r>
    </w:p>
    <w:p>
      <w:pPr>
        <w:spacing w:after="0" w:line="164"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will be sufficient to fund our operations through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7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Our critical accounting policies and estimates are described in Item 7 “Management’s Discussion and Analysis of Financial Condition and Results of Operations — Critical Accounting Policies and Estimates” of our 2022 10-K. There have been no changes in critical accounting policies in the current year from those described in our 2022 10-K.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information set forth in Note 2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During the nine months ended September 30, 2023, our risk factors have not changed materially from those risk factors previously disclosed in our 2022 10-K except as set forth below. You should carefully consider the risk factors discussed in Part I, “Item 1A. Risk Factors” in our 2022 10-K. The risks described in our 2022 10-K are not the only risks facing us. Additional risks and uncertainties not currently known to us or that we currently deem to be immaterial also may materially and adversely affect our business, financial condition and/or operating results.</w:t>
      </w:r>
    </w:p>
    <w:p>
      <w:pPr>
        <w:spacing w:after="0" w:line="16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are currently in the process of transitioning our manufacturing functions to a new contract manufacturer and any delays in the manufacturing process as a result of this transition could harm our business.</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depended on our third-party contract manufacturing partner, Key Tronic Corporation, to manufacture and supply our PoNS device for clinical and commercial purposes. During the third quarter of 2023, the Company began implementing the transition of the manufacturing of PoNS systems and mouthpieces to Minnetronix, Inc. While the Company expects this transition to be fully completed by mid-2024, it is possible that the transition could create delays or disruptions in the manufacturing process. Any delays or disruptions in the manufacturing of our PoNS device during this transition could negatively impact our business.</w:t>
      </w:r>
    </w:p>
    <w:p>
      <w:pPr>
        <w:spacing w:after="0" w:line="18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7900" w:type="dxa"/>
            <w:vAlign w:val="bottom"/>
            <w:gridSpan w:val="19"/>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738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Certificate of Conversion filed with the Delaware Secretary of State on July 18, 2018 (incorporated by</w:t>
              </w:r>
            </w:hyperlink>
          </w:p>
        </w:tc>
        <w:tc>
          <w:tcPr>
            <w:tcW w:w="520" w:type="dxa"/>
            <w:vAlign w:val="bottom"/>
            <w:tcBorders>
              <w:top w:val="single" w:sz="8" w:color="auto"/>
            </w:tcBorders>
            <w:gridSpan w:val="10"/>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reference to Exhibit 3.1 to the Form 10-Q filed August 9, 2018)</w:t>
              </w:r>
            </w:hyperlink>
          </w:p>
        </w:tc>
        <w:tc>
          <w:tcPr>
            <w:tcW w:w="3320" w:type="dxa"/>
            <w:vAlign w:val="bottom"/>
            <w:gridSpan w:val="11"/>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Certificate of Incorporation, as corrected (incorporated by reference to Exhibit 3.1 to the Form 8-K filed</w:t>
              </w:r>
            </w:hyperlink>
          </w:p>
        </w:tc>
        <w:tc>
          <w:tcPr>
            <w:tcW w:w="400" w:type="dxa"/>
            <w:vAlign w:val="bottom"/>
            <w:gridSpan w:val="9"/>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October 30, 2018)</w:t>
              </w:r>
            </w:hyperlink>
          </w:p>
        </w:tc>
        <w:tc>
          <w:tcPr>
            <w:tcW w:w="6580" w:type="dxa"/>
            <w:vAlign w:val="bottom"/>
            <w:gridSpan w:val="17"/>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7900" w:type="dxa"/>
            <w:vAlign w:val="bottom"/>
            <w:gridSpan w:val="19"/>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Certificate of Amendment to Certificate of Incorporation (incorporated by reference to Exhibit 3.1 to the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Form 8-K filed on December 31, 2020)</w:t>
              </w:r>
            </w:hyperlink>
          </w:p>
        </w:tc>
        <w:tc>
          <w:tcPr>
            <w:tcW w:w="4680" w:type="dxa"/>
            <w:vAlign w:val="bottom"/>
            <w:tcBorders>
              <w:top w:val="single" w:sz="8" w:color="0000EE"/>
            </w:tcBorders>
            <w:gridSpan w:val="6"/>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7900" w:type="dxa"/>
            <w:vAlign w:val="bottom"/>
            <w:gridSpan w:val="19"/>
          </w:tcPr>
          <w:p>
            <w:pPr>
              <w:spacing w:after="0" w:line="19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Certificate of Designation of the Series B Preferred Stock of the Registrant (incorporated by reference to</w:t>
              </w:r>
            </w:hyperlink>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19"/>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Exhibit 3.1(a) to the Registrant’s Registration Statement on Form 8-A, filed with the Securities and Exchange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Commission on March 24, 2023)</w:t>
              </w:r>
            </w:hyperlink>
          </w:p>
        </w:tc>
        <w:tc>
          <w:tcPr>
            <w:tcW w:w="55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78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Corrected Certificate of Amendment to Certificate of Incorporation (incorporated by reference to Exhibit 3.1</w:t>
              </w:r>
            </w:hyperlink>
          </w:p>
        </w:tc>
        <w:tc>
          <w:tcPr>
            <w:tcW w:w="6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to the Form 8-K filed on August 16, 2023)</w:t>
              </w:r>
            </w:hyperlink>
          </w:p>
        </w:tc>
        <w:tc>
          <w:tcPr>
            <w:tcW w:w="4840" w:type="dxa"/>
            <w:vAlign w:val="bottom"/>
            <w:gridSpan w:val="13"/>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7900" w:type="dxa"/>
            <w:vAlign w:val="bottom"/>
            <w:gridSpan w:val="19"/>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Bylaws as amended and restated (incorporated by reference to Exhibit 3.3 to the Form 10-Q filed August 9,</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5">
              <w:r>
                <w:rPr>
                  <w:rFonts w:ascii="Arial" w:cs="Arial" w:eastAsia="Arial" w:hAnsi="Arial"/>
                  <w:sz w:val="18"/>
                  <w:szCs w:val="18"/>
                  <w:color w:val="0000EE"/>
                  <w:w w:val="86"/>
                </w:rPr>
                <w:t>2018)</w:t>
              </w:r>
            </w:hyperlink>
          </w:p>
        </w:tc>
        <w:tc>
          <w:tcPr>
            <w:tcW w:w="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78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Certification of Chief Executive Officer pursuant to Rule 13a-14(a) and Rule 15d-14(a), as adopted pursuant</w:t>
            </w:r>
          </w:p>
        </w:tc>
        <w:tc>
          <w:tcPr>
            <w:tcW w:w="8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to Section 302 of the Sarbanes-Oxley Act of 2002</w:t>
            </w:r>
          </w:p>
        </w:tc>
        <w:tc>
          <w:tcPr>
            <w:tcW w:w="430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77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Rule 13a-14(a) and Rule 15d-14(a), as adopted pursuant</w:t>
            </w:r>
          </w:p>
        </w:tc>
        <w:tc>
          <w:tcPr>
            <w:tcW w:w="12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to Section 302 of the Sarbanes-Oxley Act of 2002</w:t>
            </w:r>
          </w:p>
        </w:tc>
        <w:tc>
          <w:tcPr>
            <w:tcW w:w="430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77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w:t>
            </w:r>
          </w:p>
        </w:tc>
        <w:tc>
          <w:tcPr>
            <w:tcW w:w="14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19"/>
          </w:tcPr>
          <w:p>
            <w:pPr>
              <w:spacing w:after="0" w:line="196" w:lineRule="exact"/>
              <w:rPr>
                <w:sz w:val="20"/>
                <w:szCs w:val="20"/>
                <w:color w:val="auto"/>
              </w:rPr>
            </w:pPr>
            <w:r>
              <w:rPr>
                <w:rFonts w:ascii="Arial" w:cs="Arial" w:eastAsia="Arial" w:hAnsi="Arial"/>
                <w:sz w:val="18"/>
                <w:szCs w:val="18"/>
                <w:color w:val="0000EE"/>
              </w:rPr>
              <w:t>906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7900" w:type="dxa"/>
            <w:vAlign w:val="bottom"/>
            <w:gridSpan w:val="19"/>
          </w:tcPr>
          <w:p>
            <w:pPr>
              <w:spacing w:after="0" w:line="196" w:lineRule="exact"/>
              <w:rPr>
                <w:sz w:val="20"/>
                <w:szCs w:val="20"/>
                <w:color w:val="auto"/>
              </w:rPr>
            </w:pPr>
            <w:r>
              <w:rPr>
                <w:rFonts w:ascii="Arial" w:cs="Arial" w:eastAsia="Arial" w:hAnsi="Arial"/>
                <w:sz w:val="18"/>
                <w:szCs w:val="18"/>
                <w:color w:val="0000EE"/>
                <w:w w:val="93"/>
              </w:rPr>
              <w:t>Certification of Chief Financial Officer pursuant to 18 U.S.C. Section 1350, as adopted pursuant to Section</w:t>
            </w: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906 of the Sarbanes-Oxley Act of 2002</w:t>
            </w:r>
          </w:p>
        </w:tc>
        <w:tc>
          <w:tcPr>
            <w:tcW w:w="200" w:type="dxa"/>
            <w:vAlign w:val="bottom"/>
            <w:gridSpan w:val="7"/>
          </w:tcPr>
          <w:p>
            <w:pPr>
              <w:spacing w:after="0"/>
              <w:rPr>
                <w:sz w:val="17"/>
                <w:szCs w:val="17"/>
                <w:color w:val="auto"/>
              </w:rPr>
            </w:pPr>
          </w:p>
        </w:tc>
      </w:tr>
      <w:tr>
        <w:trPr>
          <w:trHeight w:val="222"/>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5080" w:type="dxa"/>
            <w:vAlign w:val="bottom"/>
            <w:gridSpan w:val="15"/>
          </w:tcPr>
          <w:p>
            <w:pPr>
              <w:spacing w:after="0"/>
              <w:rPr>
                <w:sz w:val="19"/>
                <w:szCs w:val="19"/>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9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90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90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90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9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80" w:right="79" w:hanging="330"/>
        <w:spacing w:after="0" w:line="25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November 9, 2023</w:t>
            </w: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3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November 9, 2023</w:t>
            </w: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3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16"/>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Chief Financial Officer, Treasurer and Secretary</w:t>
            </w:r>
          </w:p>
        </w:tc>
      </w:tr>
      <w:tr>
        <w:trPr>
          <w:trHeight w:val="216"/>
        </w:trPr>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(Principal Financial</w:t>
            </w:r>
          </w:p>
        </w:tc>
      </w:tr>
      <w:tr>
        <w:trPr>
          <w:trHeight w:val="230"/>
        </w:trPr>
        <w:tc>
          <w:tcPr>
            <w:tcW w:w="3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report on Form 10-Q for the period ended September 30, 2023 of Helius Medical Technologies, Inc.</w:t>
      </w:r>
    </w:p>
    <w:p>
      <w:pPr>
        <w:spacing w:after="0" w:line="236"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firstLine="640"/>
        <w:spacing w:after="0" w:line="311" w:lineRule="auto"/>
        <w:tabs>
          <w:tab w:leader="none" w:pos="131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340" w:firstLine="640"/>
        <w:spacing w:after="0" w:line="286" w:lineRule="auto"/>
        <w:tabs>
          <w:tab w:leader="none" w:pos="131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340" w:firstLine="640"/>
        <w:spacing w:after="0" w:line="263" w:lineRule="auto"/>
        <w:tabs>
          <w:tab w:leader="none" w:pos="13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40" w:firstLine="640"/>
        <w:spacing w:after="0" w:line="286" w:lineRule="auto"/>
        <w:tabs>
          <w:tab w:leader="none" w:pos="131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40" w:firstLine="640"/>
        <w:spacing w:after="0" w:line="263" w:lineRule="auto"/>
        <w:tabs>
          <w:tab w:leader="none" w:pos="13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40" w:firstLine="640"/>
        <w:spacing w:after="0" w:line="277" w:lineRule="auto"/>
        <w:tabs>
          <w:tab w:leader="none" w:pos="13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November 9, 2023</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992"/>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report on Form 10-Q for the period ended September 30, 2023 of Helius Medical Technologies, Inc.</w:t>
      </w:r>
    </w:p>
    <w:p>
      <w:pPr>
        <w:spacing w:after="0" w:line="236"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firstLine="640"/>
        <w:spacing w:after="0" w:line="311" w:lineRule="auto"/>
        <w:tabs>
          <w:tab w:leader="none" w:pos="131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340" w:firstLine="640"/>
        <w:spacing w:after="0" w:line="286" w:lineRule="auto"/>
        <w:tabs>
          <w:tab w:leader="none" w:pos="131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340" w:firstLine="640"/>
        <w:spacing w:after="0" w:line="263" w:lineRule="auto"/>
        <w:tabs>
          <w:tab w:leader="none" w:pos="13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40" w:firstLine="640"/>
        <w:spacing w:after="0" w:line="286" w:lineRule="auto"/>
        <w:tabs>
          <w:tab w:leader="none" w:pos="131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8"/>
        <w:spacing w:after="0" w:line="263"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40" w:firstLine="640"/>
        <w:spacing w:after="0" w:line="263" w:lineRule="auto"/>
        <w:tabs>
          <w:tab w:leader="none" w:pos="13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40" w:firstLine="640"/>
        <w:spacing w:after="0" w:line="277" w:lineRule="auto"/>
        <w:tabs>
          <w:tab w:leader="none" w:pos="13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Date: November 9, 2023</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209"/>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Jeffrey S. Mathiesen</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04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JUNE 30, 2023 PURSUANT TO 18 U.S.C. SECTION 1350, AS ADOPTED PURSUANT TO SECTION 906 OF THE SARBANES-OXLEY ACT OF 2002</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September 30, 2023 and filed with the Securities and Exchange Commission (“Form 10-Q”).</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November 9, 2023</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JUNE 30, 2023 PURSUANT TO 18 U.S.C. SECTION 1350, AS ADOPTED PURSUANT TO SECTION 906 OF THE SARBANES-OXLEY ACT OF 2002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September 30, 2023 and filed with the Securities and Exchange Commission (“Form 10-Q”).</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November 9, 2023</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5160" w:type="dxa"/>
            <w:vAlign w:val="bottom"/>
          </w:tcPr>
          <w:p>
            <w:pPr>
              <w:spacing w:after="0"/>
              <w:rPr>
                <w:sz w:val="16"/>
                <w:szCs w:val="16"/>
                <w:color w:val="auto"/>
              </w:rPr>
            </w:pP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30"/>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0" Type="http://schemas.openxmlformats.org/officeDocument/2006/relationships/hyperlink" Target="https://www.sec.gov/Archives/edgar/data/0001610853/000156459018020736/hsdt-ex31_66.htm" TargetMode="External"/><Relationship Id="rId41" Type="http://schemas.openxmlformats.org/officeDocument/2006/relationships/hyperlink" Target="https://www.sec.gov/Archives/edgar/data/0001610853/000119312518312155/d646047dex31.htm" TargetMode="External"/><Relationship Id="rId42" Type="http://schemas.openxmlformats.org/officeDocument/2006/relationships/hyperlink" Target="https://www.sec.gov/Archives/edgar/data/0001610853/000156459020058917/hsdt-ex31_7.htm" TargetMode="External"/><Relationship Id="rId43" Type="http://schemas.openxmlformats.org/officeDocument/2006/relationships/hyperlink" Target="https://www.sec.gov/Archives/edgar/data/1610853/000110465923036609/tm2310398d1_ex3-1.htm" TargetMode="External"/><Relationship Id="rId44" Type="http://schemas.openxmlformats.org/officeDocument/2006/relationships/hyperlink" Target="https://www.sec.gov/Archives/edgar/data/1610853/000110465923092276/tm2323789d1_ex3-1.htm" TargetMode="External"/><Relationship Id="rId45" Type="http://schemas.openxmlformats.org/officeDocument/2006/relationships/hyperlink" Target="https://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2023-11-09T15:53:44Z</dcterms:created>
  <dcterms:modified xsi:type="dcterms:W3CDTF">2023-11-09T15:53:44Z</dcterms:modified>
</cp:coreProperties>
</file>