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ind w:right="-19"/>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99060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109220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84" w:lineRule="exact"/>
        <w:rPr>
          <w:sz w:val="24"/>
          <w:szCs w:val="24"/>
          <w:color w:val="auto"/>
        </w:rPr>
      </w:pPr>
    </w:p>
    <w:p>
      <w:pPr>
        <w:ind w:right="5500" w:firstLine="8"/>
        <w:spacing w:after="0" w:line="269" w:lineRule="auto"/>
        <w:tabs>
          <w:tab w:leader="none" w:pos="48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-198755</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p>
      <w:pPr>
        <w:spacing w:after="0" w:line="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-71755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35"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For the transition period from _____ to _____</w:t>
      </w:r>
    </w:p>
    <w:p>
      <w:pPr>
        <w:spacing w:after="0" w:line="4"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Commission File No. 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22225</wp:posOffset>
            </wp:positionV>
            <wp:extent cx="1594485" cy="805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448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left="4040"/>
        <w:spacing w:after="0"/>
        <w:rPr>
          <w:sz w:val="20"/>
          <w:szCs w:val="20"/>
          <w:color w:val="auto"/>
        </w:rPr>
      </w:pPr>
      <w:r>
        <w:rPr>
          <w:rFonts w:ascii="Arial" w:cs="Arial" w:eastAsia="Arial" w:hAnsi="Arial"/>
          <w:sz w:val="14"/>
          <w:szCs w:val="14"/>
          <w:b w:val="1"/>
          <w:bCs w:val="1"/>
          <w:color w:val="auto"/>
        </w:rPr>
        <w:t>HELIUS MEDICAL TECHNOLOGIES, INC.</w:t>
      </w:r>
    </w:p>
    <w:p>
      <w:pPr>
        <w:spacing w:after="0" w:line="4" w:lineRule="exact"/>
        <w:rPr>
          <w:sz w:val="24"/>
          <w:szCs w:val="24"/>
          <w:color w:val="auto"/>
        </w:rPr>
      </w:pPr>
    </w:p>
    <w:p>
      <w:pPr>
        <w:jc w:val="center"/>
        <w:ind w:left="404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122555</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12" w:lineRule="exact"/>
        <w:rPr>
          <w:sz w:val="24"/>
          <w:szCs w:val="24"/>
          <w:color w:val="auto"/>
        </w:rPr>
      </w:pPr>
    </w:p>
    <w:p>
      <w:pPr>
        <w:jc w:val="center"/>
        <w:ind w:right="1700"/>
        <w:spacing w:after="0"/>
        <w:rPr>
          <w:sz w:val="20"/>
          <w:szCs w:val="20"/>
          <w:color w:val="auto"/>
        </w:rPr>
      </w:pPr>
      <w:r>
        <w:rPr>
          <w:rFonts w:ascii="Arial" w:cs="Arial" w:eastAsia="Arial" w:hAnsi="Arial"/>
          <w:sz w:val="14"/>
          <w:szCs w:val="14"/>
          <w:b w:val="1"/>
          <w:bCs w:val="1"/>
          <w:color w:val="auto"/>
        </w:rPr>
        <w:t>Delaware</w:t>
      </w:r>
    </w:p>
    <w:p>
      <w:pPr>
        <w:ind w:left="1860"/>
        <w:spacing w:after="0" w:line="226" w:lineRule="auto"/>
        <w:rPr>
          <w:sz w:val="20"/>
          <w:szCs w:val="20"/>
          <w:color w:val="auto"/>
        </w:rPr>
      </w:pPr>
      <w:r>
        <w:rPr>
          <w:rFonts w:ascii="Arial" w:cs="Arial" w:eastAsia="Arial" w:hAnsi="Arial"/>
          <w:sz w:val="14"/>
          <w:szCs w:val="14"/>
          <w:b w:val="1"/>
          <w:bCs w:val="1"/>
          <w:color w:val="auto"/>
        </w:rPr>
        <w:t>(State or other jurisdiction of</w:t>
      </w:r>
    </w:p>
    <w:p>
      <w:pPr>
        <w:ind w:left="1820"/>
        <w:spacing w:after="0"/>
        <w:rPr>
          <w:sz w:val="20"/>
          <w:szCs w:val="20"/>
          <w:color w:val="auto"/>
        </w:rPr>
      </w:pPr>
      <w:r>
        <w:rPr>
          <w:rFonts w:ascii="Arial" w:cs="Arial" w:eastAsia="Arial" w:hAnsi="Arial"/>
          <w:sz w:val="14"/>
          <w:szCs w:val="14"/>
          <w:b w:val="1"/>
          <w:bCs w:val="1"/>
          <w:color w:val="auto"/>
        </w:rPr>
        <w:t>incorporation or organization)</w:t>
      </w:r>
    </w:p>
    <w:p>
      <w:pPr>
        <w:spacing w:after="0" w:line="2" w:lineRule="exact"/>
        <w:rPr>
          <w:sz w:val="24"/>
          <w:szCs w:val="24"/>
          <w:color w:val="auto"/>
        </w:rPr>
      </w:pPr>
    </w:p>
    <w:p>
      <w:pPr>
        <w:jc w:val="center"/>
        <w:ind w:right="1700"/>
        <w:spacing w:after="0"/>
        <w:rPr>
          <w:sz w:val="20"/>
          <w:szCs w:val="20"/>
          <w:color w:val="auto"/>
        </w:rPr>
      </w:pPr>
      <w:r>
        <w:rPr>
          <w:rFonts w:ascii="Arial" w:cs="Arial" w:eastAsia="Arial" w:hAnsi="Arial"/>
          <w:sz w:val="14"/>
          <w:szCs w:val="14"/>
          <w:b w:val="1"/>
          <w:bCs w:val="1"/>
          <w:color w:val="auto"/>
        </w:rPr>
        <w:t>642 Newtown Yardley Road, Suite 100</w:t>
      </w:r>
    </w:p>
    <w:p>
      <w:pPr>
        <w:jc w:val="center"/>
        <w:ind w:right="1700"/>
        <w:spacing w:after="0" w:line="221" w:lineRule="auto"/>
        <w:rPr>
          <w:sz w:val="20"/>
          <w:szCs w:val="20"/>
          <w:color w:val="auto"/>
        </w:rPr>
      </w:pPr>
      <w:r>
        <w:rPr>
          <w:rFonts w:ascii="Arial" w:cs="Arial" w:eastAsia="Arial" w:hAnsi="Arial"/>
          <w:sz w:val="14"/>
          <w:szCs w:val="14"/>
          <w:b w:val="1"/>
          <w:bCs w:val="1"/>
          <w:color w:val="auto"/>
        </w:rPr>
        <w:t>Newtown, Pennsylvania</w:t>
      </w:r>
    </w:p>
    <w:p>
      <w:pPr>
        <w:jc w:val="center"/>
        <w:ind w:right="17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36-4787690</w:t>
      </w:r>
    </w:p>
    <w:p>
      <w:pPr>
        <w:ind w:left="60"/>
        <w:spacing w:after="0" w:line="226" w:lineRule="auto"/>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jc w:val="center"/>
        <w:ind w:right="2180"/>
        <w:spacing w:after="0"/>
        <w:rPr>
          <w:sz w:val="20"/>
          <w:szCs w:val="20"/>
          <w:color w:val="auto"/>
        </w:rPr>
      </w:pPr>
      <w:r>
        <w:rPr>
          <w:rFonts w:ascii="Arial" w:cs="Arial" w:eastAsia="Arial" w:hAnsi="Arial"/>
          <w:sz w:val="14"/>
          <w:szCs w:val="14"/>
          <w:b w:val="1"/>
          <w:bCs w:val="1"/>
          <w:color w:val="auto"/>
        </w:rPr>
        <w:t>18940</w:t>
      </w:r>
    </w:p>
    <w:p>
      <w:pPr>
        <w:spacing w:after="0" w:line="120"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(Zip Code)</w:t>
      </w:r>
    </w:p>
    <w:p>
      <w:pPr>
        <w:spacing w:after="0" w:line="203" w:lineRule="exact"/>
        <w:rPr>
          <w:sz w:val="24"/>
          <w:szCs w:val="24"/>
          <w:color w:val="auto"/>
        </w:rPr>
      </w:pPr>
    </w:p>
    <w:p>
      <w:pPr>
        <w:sectPr>
          <w:pgSz w:w="11900" w:h="16838" w:orient="portrait"/>
          <w:cols w:equalWidth="0" w:num="2">
            <w:col w:w="7220" w:space="700"/>
            <w:col w:w="3320"/>
          </w:cols>
          <w:pgMar w:left="320" w:top="400"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(215) 944-6100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80" w:type="dxa"/>
            <w:vAlign w:val="bottom"/>
          </w:tcPr>
          <w:p>
            <w:pPr>
              <w:spacing w:after="0"/>
              <w:rPr>
                <w:sz w:val="15"/>
                <w:szCs w:val="15"/>
                <w:color w:val="auto"/>
              </w:rPr>
            </w:pPr>
          </w:p>
        </w:tc>
        <w:tc>
          <w:tcPr>
            <w:tcW w:w="3040" w:type="dxa"/>
            <w:vAlign w:val="bottom"/>
            <w:gridSpan w:val="5"/>
          </w:tcPr>
          <w:p>
            <w:pPr>
              <w:jc w:val="center"/>
              <w:ind w:right="920"/>
              <w:spacing w:after="0"/>
              <w:rPr>
                <w:sz w:val="20"/>
                <w:szCs w:val="20"/>
                <w:color w:val="auto"/>
              </w:rPr>
            </w:pPr>
            <w:r>
              <w:rPr>
                <w:rFonts w:ascii="Arial" w:cs="Arial" w:eastAsia="Arial" w:hAnsi="Arial"/>
                <w:sz w:val="14"/>
                <w:szCs w:val="14"/>
                <w:b w:val="1"/>
                <w:bCs w:val="1"/>
                <w:color w:val="auto"/>
                <w:w w:val="94"/>
              </w:rPr>
              <w:t>Trading Symbol</w:t>
            </w:r>
          </w:p>
        </w:tc>
        <w:tc>
          <w:tcPr>
            <w:tcW w:w="3820" w:type="dxa"/>
            <w:vAlign w:val="bottom"/>
          </w:tcPr>
          <w:p>
            <w:pPr>
              <w:jc w:val="center"/>
              <w:ind w:right="76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53"/>
        </w:trPr>
        <w:tc>
          <w:tcPr>
            <w:tcW w:w="43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Class A Common Stock, $0.001 par value per share</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HSDT</w:t>
            </w:r>
          </w:p>
        </w:tc>
        <w:tc>
          <w:tcPr>
            <w:tcW w:w="6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820" w:type="dxa"/>
            <w:vAlign w:val="bottom"/>
            <w:tcBorders>
              <w:top w:val="single" w:sz="8" w:color="auto"/>
            </w:tcBorders>
          </w:tcPr>
          <w:p>
            <w:pPr>
              <w:jc w:val="center"/>
              <w:ind w:right="768"/>
              <w:spacing w:after="0" w:line="153" w:lineRule="exact"/>
              <w:rPr>
                <w:sz w:val="20"/>
                <w:szCs w:val="20"/>
                <w:color w:val="auto"/>
              </w:rPr>
            </w:pPr>
            <w:r>
              <w:rPr>
                <w:rFonts w:ascii="Arial" w:cs="Arial" w:eastAsia="Arial" w:hAnsi="Arial"/>
                <w:sz w:val="14"/>
                <w:szCs w:val="14"/>
                <w:b w:val="1"/>
                <w:bCs w:val="1"/>
                <w:color w:val="auto"/>
                <w:w w:val="96"/>
              </w:rPr>
              <w:t>The Nasdaq Stock Market LLC</w:t>
            </w:r>
          </w:p>
        </w:tc>
      </w:tr>
      <w:tr>
        <w:trPr>
          <w:trHeight w:val="186"/>
        </w:trPr>
        <w:tc>
          <w:tcPr>
            <w:tcW w:w="11240" w:type="dxa"/>
            <w:vAlign w:val="bottom"/>
            <w:gridSpan w:val="8"/>
          </w:tcPr>
          <w:p>
            <w:pPr>
              <w:ind w:left="370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r>
      <w:tr>
        <w:trPr>
          <w:trHeight w:val="147"/>
        </w:trPr>
        <w:tc>
          <w:tcPr>
            <w:tcW w:w="4380" w:type="dxa"/>
            <w:vAlign w:val="bottom"/>
            <w:gridSpan w:val="2"/>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spacing w:after="0"/>
              <w:rPr>
                <w:sz w:val="12"/>
                <w:szCs w:val="12"/>
                <w:color w:val="auto"/>
              </w:rPr>
            </w:pPr>
          </w:p>
        </w:tc>
        <w:tc>
          <w:tcPr>
            <w:tcW w:w="4380" w:type="dxa"/>
            <w:vAlign w:val="bottom"/>
            <w:gridSpan w:val="2"/>
          </w:tcPr>
          <w:p>
            <w:pPr>
              <w:spacing w:after="0"/>
              <w:rPr>
                <w:sz w:val="12"/>
                <w:szCs w:val="12"/>
                <w:color w:val="auto"/>
              </w:rPr>
            </w:pPr>
          </w:p>
        </w:tc>
      </w:tr>
      <w:tr>
        <w:trPr>
          <w:trHeight w:val="204"/>
        </w:trPr>
        <w:tc>
          <w:tcPr>
            <w:tcW w:w="11240" w:type="dxa"/>
            <w:vAlign w:val="bottom"/>
            <w:gridSpan w:val="8"/>
          </w:tcPr>
          <w:p>
            <w:pPr>
              <w:ind w:left="50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26"/>
        </w:trPr>
        <w:tc>
          <w:tcPr>
            <w:tcW w:w="7420" w:type="dxa"/>
            <w:vAlign w:val="bottom"/>
            <w:gridSpan w:val="7"/>
          </w:tcPr>
          <w:p>
            <w:pPr>
              <w:ind w:left="50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15(d) of the Act. Yes </w:t>
            </w:r>
            <w:r>
              <w:rPr>
                <w:rFonts w:ascii="MS PGothic" w:cs="MS PGothic" w:eastAsia="MS PGothic" w:hAnsi="MS PGothic"/>
                <w:sz w:val="14"/>
                <w:szCs w:val="14"/>
                <w:color w:val="auto"/>
                <w:w w:val="94"/>
              </w:rPr>
              <w:t>☐</w:t>
            </w:r>
          </w:p>
        </w:tc>
        <w:tc>
          <w:tcPr>
            <w:tcW w:w="382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4" w:lineRule="exact"/>
        <w:rPr>
          <w:sz w:val="24"/>
          <w:szCs w:val="24"/>
          <w:color w:val="auto"/>
        </w:rPr>
      </w:pPr>
    </w:p>
    <w:p>
      <w:pPr>
        <w:jc w:val="both"/>
        <w:ind w:firstLine="496"/>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ind w:firstLine="496"/>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496"/>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p>
      <w:pPr>
        <w:spacing w:after="0" w:line="161" w:lineRule="exact"/>
        <w:tabs>
          <w:tab w:leader="none" w:pos="84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63" w:lineRule="exact"/>
        <w:rPr>
          <w:sz w:val="24"/>
          <w:szCs w:val="24"/>
          <w:color w:val="auto"/>
        </w:rPr>
      </w:pPr>
    </w:p>
    <w:p>
      <w:pPr>
        <w:spacing w:after="0" w:line="161" w:lineRule="exact"/>
        <w:tabs>
          <w:tab w:leader="none" w:pos="846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2" w:lineRule="exact"/>
        <w:rPr>
          <w:sz w:val="24"/>
          <w:szCs w:val="24"/>
          <w:color w:val="auto"/>
        </w:rPr>
      </w:pPr>
    </w:p>
    <w:p>
      <w:pPr>
        <w:ind w:left="84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35" w:lineRule="exact"/>
        <w:rPr>
          <w:sz w:val="24"/>
          <w:szCs w:val="24"/>
          <w:color w:val="auto"/>
        </w:rPr>
      </w:pPr>
    </w:p>
    <w:p>
      <w:pPr>
        <w:jc w:val="both"/>
        <w:ind w:firstLine="496"/>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0" w:firstLine="496"/>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500"/>
        <w:spacing w:after="0" w:line="161" w:lineRule="exact"/>
        <w:tabs>
          <w:tab w:leader="none" w:pos="70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jc w:val="both"/>
        <w:ind w:firstLine="496"/>
        <w:spacing w:after="0" w:line="246" w:lineRule="auto"/>
        <w:rPr>
          <w:sz w:val="20"/>
          <w:szCs w:val="20"/>
          <w:color w:val="auto"/>
        </w:rPr>
      </w:pPr>
      <w:r>
        <w:rPr>
          <w:rFonts w:ascii="Arial" w:cs="Arial" w:eastAsia="Arial" w:hAnsi="Arial"/>
          <w:sz w:val="14"/>
          <w:szCs w:val="14"/>
          <w:color w:val="auto"/>
        </w:rPr>
        <w:t>The aggregate market value of the common equity held by non-affiliates of the registrant on June 30, 2020, based on the closing price on that date of $14.945, was approximately $17,405,309. As of March 5, 2021, there were 2,311,099 shares of the registrant’s Class A common stock outstanding.</w:t>
      </w:r>
    </w:p>
    <w:p>
      <w:pPr>
        <w:spacing w:after="0" w:line="1" w:lineRule="exact"/>
        <w:rPr>
          <w:sz w:val="24"/>
          <w:szCs w:val="24"/>
          <w:color w:val="auto"/>
        </w:rPr>
      </w:pPr>
    </w:p>
    <w:p>
      <w:pPr>
        <w:ind w:left="46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1"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Portions of the registrant’s Definitive Proxy Statement to be filed with the Commission pursuant to Regulation 14A in connection with the registrant’s 2021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90"/>
              </w:rPr>
              <w:t>Item</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300" w:type="dxa"/>
            <w:vAlign w:val="bottom"/>
            <w:gridSpan w:val="4"/>
          </w:tcPr>
          <w:p>
            <w:pPr>
              <w:jc w:val="center"/>
              <w:ind w:right="4600"/>
              <w:spacing w:after="0"/>
              <w:rPr>
                <w:sz w:val="20"/>
                <w:szCs w:val="20"/>
                <w:color w:val="auto"/>
              </w:rPr>
            </w:pPr>
            <w:r>
              <w:rPr>
                <w:rFonts w:ascii="Arial" w:cs="Arial" w:eastAsia="Arial" w:hAnsi="Arial"/>
                <w:sz w:val="14"/>
                <w:szCs w:val="14"/>
                <w:b w:val="1"/>
                <w:bCs w:val="1"/>
                <w:color w:val="auto"/>
                <w:w w:val="90"/>
              </w:rPr>
              <w:t>Description</w:t>
            </w:r>
          </w:p>
        </w:tc>
        <w:tc>
          <w:tcPr>
            <w:tcW w:w="4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83"/>
              </w:rPr>
              <w:t>Page</w:t>
            </w:r>
          </w:p>
        </w:tc>
      </w:tr>
      <w:tr>
        <w:trPr>
          <w:trHeight w:val="331"/>
        </w:trPr>
        <w:tc>
          <w:tcPr>
            <w:tcW w:w="3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0" w:type="dxa"/>
            <w:vAlign w:val="bottom"/>
            <w:tcBorders>
              <w:top w:val="single" w:sz="8" w:color="auto"/>
            </w:tcBorders>
          </w:tcPr>
          <w:p>
            <w:pPr>
              <w:jc w:val="center"/>
              <w:spacing w:after="0"/>
              <w:rPr>
                <w:rFonts w:ascii="Arial" w:cs="Arial" w:eastAsia="Arial" w:hAnsi="Arial"/>
                <w:sz w:val="18"/>
                <w:szCs w:val="18"/>
                <w:b w:val="1"/>
                <w:bCs w:val="1"/>
                <w:u w:val="single" w:color="auto"/>
                <w:color w:val="0000EE"/>
                <w:w w:val="98"/>
              </w:rPr>
            </w:pPr>
            <w:hyperlink w:anchor="page6">
              <w:r>
                <w:rPr>
                  <w:rFonts w:ascii="Arial" w:cs="Arial" w:eastAsia="Arial" w:hAnsi="Arial"/>
                  <w:sz w:val="18"/>
                  <w:szCs w:val="18"/>
                  <w:b w:val="1"/>
                  <w:bCs w:val="1"/>
                  <w:u w:val="single" w:color="auto"/>
                  <w:color w:val="0000EE"/>
                  <w:w w:val="98"/>
                </w:rPr>
                <w:t>PART I</w:t>
              </w:r>
            </w:hyperlink>
          </w:p>
        </w:tc>
        <w:tc>
          <w:tcPr>
            <w:tcW w:w="4600" w:type="dxa"/>
            <w:vAlign w:val="bottom"/>
            <w:gridSpan w:val="3"/>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5</w:t>
            </w:r>
          </w:p>
        </w:tc>
      </w:tr>
      <w:tr>
        <w:trPr>
          <w:trHeight w:val="323"/>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8"/>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8"/>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9680" w:type="dxa"/>
            <w:vAlign w:val="bottom"/>
            <w:gridSpan w:val="8"/>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UNRESOLVED STAFF COMMENTS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8"/>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PROPERTIES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8"/>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LEGAL PROCEEDINGS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8"/>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MINE SAFETY DISCLOSURES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338"/>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300" w:type="dxa"/>
            <w:vAlign w:val="bottom"/>
            <w:gridSpan w:val="4"/>
          </w:tcPr>
          <w:p>
            <w:pPr>
              <w:jc w:val="center"/>
              <w:ind w:right="4600"/>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PART II</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97"/>
        </w:trPr>
        <w:tc>
          <w:tcPr>
            <w:tcW w:w="11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8"/>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MARKET FOR REGISTRANT’S COMMON EQUITY, RELATED STOCKHOLDER MATTERS AND ISSUER PURCHASES</w:t>
              </w:r>
            </w:hyperlink>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OF EQUITY SECURITIES</w:t>
              </w:r>
            </w:hyperlink>
          </w:p>
        </w:tc>
        <w:tc>
          <w:tcPr>
            <w:tcW w:w="7100" w:type="dxa"/>
            <w:vAlign w:val="bottom"/>
            <w:tcBorders>
              <w:top w:val="single" w:sz="8" w:color="0000EE"/>
            </w:tcBorders>
            <w:gridSpan w:val="3"/>
          </w:tcPr>
          <w:p>
            <w:pPr>
              <w:spacing w:after="0"/>
              <w:rPr>
                <w:sz w:val="17"/>
                <w:szCs w:val="17"/>
                <w:color w:val="auto"/>
              </w:rPr>
            </w:pPr>
          </w:p>
        </w:tc>
        <w:tc>
          <w:tcPr>
            <w:tcW w:w="340" w:type="dxa"/>
            <w:vAlign w:val="bottom"/>
            <w:gridSpan w:val="2"/>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w:t>
            </w:r>
          </w:p>
        </w:tc>
      </w:tr>
      <w:tr>
        <w:trPr>
          <w:trHeight w:val="438"/>
        </w:trPr>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8"/>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SELECTED FINANCIAL DATA</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ITEM 7.</w:t>
            </w:r>
          </w:p>
        </w:tc>
        <w:tc>
          <w:tcPr>
            <w:tcW w:w="9680" w:type="dxa"/>
            <w:vAlign w:val="bottom"/>
            <w:gridSpan w:val="8"/>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9680" w:type="dxa"/>
            <w:vAlign w:val="bottom"/>
            <w:gridSpan w:val="8"/>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QUANTITATIVE AND QUALITATIVE DISCLOSURES ABOUT MARKET RISK</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ITEM 8.</w:t>
            </w:r>
          </w:p>
        </w:tc>
        <w:tc>
          <w:tcPr>
            <w:tcW w:w="9680" w:type="dxa"/>
            <w:vAlign w:val="bottom"/>
            <w:gridSpan w:val="8"/>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FINANCIAL STATEMENTS AND SUPPLEMENTARY DATA</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ITEM 9.</w:t>
            </w:r>
          </w:p>
        </w:tc>
        <w:tc>
          <w:tcPr>
            <w:tcW w:w="9680" w:type="dxa"/>
            <w:vAlign w:val="bottom"/>
            <w:gridSpan w:val="8"/>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CHANGES IN AND DISAGREEMENTS WITH ACCOUNTANTS ON ACCOUNTING AND FINANCIAL DISCLOSURE</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9680" w:type="dxa"/>
            <w:vAlign w:val="bottom"/>
            <w:gridSpan w:val="8"/>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CONTROLS AND PROCEDURES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14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9680" w:type="dxa"/>
            <w:vAlign w:val="bottom"/>
            <w:gridSpan w:val="8"/>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OTHER INFORMATION</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338"/>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40" w:type="dxa"/>
            <w:vAlign w:val="bottom"/>
            <w:gridSpan w:val="5"/>
          </w:tcPr>
          <w:p>
            <w:pPr>
              <w:jc w:val="center"/>
              <w:ind w:right="2480"/>
              <w:spacing w:after="0"/>
              <w:rPr>
                <w:rFonts w:ascii="Arial" w:cs="Arial" w:eastAsia="Arial" w:hAnsi="Arial"/>
                <w:sz w:val="18"/>
                <w:szCs w:val="18"/>
                <w:b w:val="1"/>
                <w:bCs w:val="1"/>
                <w:u w:val="single" w:color="auto"/>
                <w:color w:val="0000EE"/>
              </w:rPr>
            </w:pPr>
            <w:hyperlink w:anchor="page75">
              <w:r>
                <w:rPr>
                  <w:rFonts w:ascii="Arial" w:cs="Arial" w:eastAsia="Arial" w:hAnsi="Arial"/>
                  <w:sz w:val="18"/>
                  <w:szCs w:val="18"/>
                  <w:b w:val="1"/>
                  <w:bCs w:val="1"/>
                  <w:u w:val="single" w:color="auto"/>
                  <w:color w:val="0000EE"/>
                </w:rPr>
                <w:t>PART III</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323"/>
        </w:trPr>
        <w:tc>
          <w:tcPr>
            <w:tcW w:w="114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9680" w:type="dxa"/>
            <w:vAlign w:val="bottom"/>
            <w:gridSpan w:val="8"/>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DIRECTORS, EXECUTIVE OFFICERS AND CORPORATE GOVERNANCE</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9680" w:type="dxa"/>
            <w:vAlign w:val="bottom"/>
            <w:gridSpan w:val="8"/>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EXECUTIVE COMPENSATION</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190"/>
        </w:trPr>
        <w:tc>
          <w:tcPr>
            <w:tcW w:w="1140" w:type="dxa"/>
            <w:vAlign w:val="bottom"/>
            <w:gridSpan w:val="3"/>
          </w:tcPr>
          <w:p>
            <w:pPr>
              <w:spacing w:after="0" w:line="190" w:lineRule="exact"/>
              <w:rPr>
                <w:sz w:val="20"/>
                <w:szCs w:val="20"/>
                <w:color w:val="auto"/>
              </w:rPr>
            </w:pPr>
            <w:r>
              <w:rPr>
                <w:rFonts w:ascii="Arial" w:cs="Arial" w:eastAsia="Arial" w:hAnsi="Arial"/>
                <w:sz w:val="18"/>
                <w:szCs w:val="18"/>
                <w:color w:val="auto"/>
              </w:rPr>
              <w:t>ITEM 12.</w:t>
            </w:r>
          </w:p>
        </w:tc>
        <w:tc>
          <w:tcPr>
            <w:tcW w:w="9680" w:type="dxa"/>
            <w:vAlign w:val="bottom"/>
            <w:gridSpan w:val="8"/>
          </w:tcPr>
          <w:p>
            <w:pPr>
              <w:spacing w:after="0" w:line="190"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SECURITY OWNERSHIP OF CERTAIN BENEFICIAL OWNERS AND MANAGEMENT AND RELATED STOCKHOLDER</w:t>
              </w:r>
            </w:hyperlink>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1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MATTERS</w:t>
              </w:r>
            </w:hyperlink>
          </w:p>
        </w:tc>
        <w:tc>
          <w:tcPr>
            <w:tcW w:w="32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11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64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222"/>
        </w:trPr>
        <w:tc>
          <w:tcPr>
            <w:tcW w:w="114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9680" w:type="dxa"/>
            <w:vAlign w:val="bottom"/>
            <w:gridSpan w:val="8"/>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CERTAIN RELATIONSHIPS AND RELATED TRANSACTIONS, AND DIRECTOR INDEPENDENCE</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14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9680" w:type="dxa"/>
            <w:vAlign w:val="bottom"/>
            <w:gridSpan w:val="8"/>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PRINCIPAL ACCOUNTANT FEES AND SERVICES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338"/>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40" w:type="dxa"/>
            <w:vAlign w:val="bottom"/>
            <w:gridSpan w:val="5"/>
          </w:tcPr>
          <w:p>
            <w:pPr>
              <w:jc w:val="center"/>
              <w:ind w:right="2480"/>
              <w:spacing w:after="0"/>
              <w:rPr>
                <w:rFonts w:ascii="Arial" w:cs="Arial" w:eastAsia="Arial" w:hAnsi="Arial"/>
                <w:sz w:val="18"/>
                <w:szCs w:val="18"/>
                <w:b w:val="1"/>
                <w:bCs w:val="1"/>
                <w:u w:val="single" w:color="auto"/>
                <w:color w:val="0000EE"/>
              </w:rPr>
            </w:pPr>
            <w:hyperlink w:anchor="page76">
              <w:r>
                <w:rPr>
                  <w:rFonts w:ascii="Arial" w:cs="Arial" w:eastAsia="Arial" w:hAnsi="Arial"/>
                  <w:sz w:val="18"/>
                  <w:szCs w:val="18"/>
                  <w:b w:val="1"/>
                  <w:bCs w:val="1"/>
                  <w:u w:val="single" w:color="auto"/>
                  <w:color w:val="0000EE"/>
                </w:rPr>
                <w:t>PART IV</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323"/>
        </w:trPr>
        <w:tc>
          <w:tcPr>
            <w:tcW w:w="114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9680" w:type="dxa"/>
            <w:vAlign w:val="bottom"/>
            <w:gridSpan w:val="8"/>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EXHIBITS, FINANCIAL STATEMENT SCHEDULES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140" w:type="dxa"/>
            <w:vAlign w:val="bottom"/>
            <w:gridSpan w:val="3"/>
          </w:tcPr>
          <w:p>
            <w:pPr>
              <w:spacing w:after="0"/>
              <w:rPr>
                <w:sz w:val="20"/>
                <w:szCs w:val="20"/>
                <w:color w:val="auto"/>
              </w:rPr>
            </w:pPr>
            <w:r>
              <w:rPr>
                <w:rFonts w:ascii="Arial" w:cs="Arial" w:eastAsia="Arial" w:hAnsi="Arial"/>
                <w:sz w:val="18"/>
                <w:szCs w:val="18"/>
                <w:color w:val="auto"/>
              </w:rPr>
              <w:t>ITEM 16.</w:t>
            </w:r>
          </w:p>
        </w:tc>
        <w:tc>
          <w:tcPr>
            <w:tcW w:w="9680" w:type="dxa"/>
            <w:vAlign w:val="bottom"/>
            <w:gridSpan w:val="8"/>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FORM 10-K SUMMARY</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77</w:t>
            </w:r>
          </w:p>
        </w:tc>
      </w:tr>
    </w:tbl>
    <w:p>
      <w:pPr>
        <w:spacing w:after="0" w:line="107" w:lineRule="exact"/>
        <w:rPr>
          <w:sz w:val="20"/>
          <w:szCs w:val="20"/>
          <w:color w:val="auto"/>
        </w:rPr>
      </w:pPr>
    </w:p>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SIGNATURES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8"/>
          <w:szCs w:val="18"/>
          <w:color w:val="auto"/>
        </w:rPr>
        <w:t>In this Annual Report on Form 10-K, unless otherwise specified, references to “we,” “us,” “our,” “Helius” or “the Company” mean Helius Medical Technologies, Inc. and its wholly owned subsidiaries, Helius Medical, Inc, or HMI, Helius NeuroRehab, Inc., or HNR, Helius Medical Technologies (Canada), Inc., or HMC, and Helius Canada Acquisition Ltd., or HCA, unless the context otherwise requires. All financial information is stated in U.S. dollars unless otherwise specified. Our financial statements are prepared in accordance with accounting principles generally accepted in the United States, or U.S. GAAP.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on Form 10-K, or the Annual Report, includes certain statements that may constitute “forward-looking statements.” All statements contained in this Annual Report, other than statements of historical facts, that address events or developments that the Company expects to occur, are forward-looking statements. These statements are based on management’s expectations at the time the statements are made and are subject to risks, uncertainty, and changes in circumstances, which may cause actual results, performance, financial condition or achievements to differ materially from anticipated results, performance, financial condition or achievements. All statements contained herein that are not clearly historical in nature are forward-looking and the words “anticipate,” “believe,” “calls for,” “could” “depends,” “estimate,” “expect,” “extrapolate,” “foresee,” “goal,” “intend,” “likely,” “might,” “plan,” “project,” “propose,” “potential,” “target,” “think,” and similar expressions, or that events or conditions “may,” “should occur” “will,” “would,” or any similar expressions are generally intended to identify forward-looking statements.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forward-looking statements in this Annual Report include but are not limited to statements relating to: clinical development plans, product development activities, our product candidate success, plans for U.S. Food and Drug Administration, or FDA, filings and their subsequent approvals, other foreign or domestic regulatory filings by us or our collaboration partners, including filings with CE Mark and the Therapeutic Goods Administration, our ability to commercialize the product(s), either independently or with collaboration partners, the safety and effectiveness of our product candidate, the timeline for our improvement plans, our market awareness, our ability to compete effectively, the ability and limitation of our manufacturing source(s), our distribution network, the adequacy of our intellectual property protection, our future patent approvals, our future expenses and cash flow, our ability to become profitable, our future financing arrangements, our accountants’ future perspective including any going concerns, any future stock price, our ability to build the necessary commercial infrastructure and to use existing reimbursement codes or receive reimbursement codes from the American Medical Association and the U.S. Department of Health and Human Services, and our ability to receive reimbursement coverage under Medicare, Medicaid or under other insurance plans.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forward-looking statements are necessarily based upon a number of estimates and assumptions that, while considered reasonable by Helius, are inherently subject to significant business, economic, competitive political and social uncertainties and contingencies. The factors and assumptions used by management of the Company to develop such forward-looking statements include, but are not limited to, obtaining positive results of clinical trials, obtaining regulatory clearances, general business and economic conditions, the availability of financing on reasonable terms, the Company’s ability to attract and retain skilled staff, market competition, the assumption that our relationships with our manufacturer and other third parties will be maintained, the products and technology offered by the Company’s competitors and the Company’s ability to protect patents and proprietary rights.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believe the expectations expressed in such forward-looking statements are based on reasonable assumptions at the time they were made, they are subject to risks and uncertainties, known and unknown, which could cause actual results and developments to differ materially from those expressed or implied in such statements. Forward-looking statements are not guarantees of future performance and actual results may differ significantly from such forward-looking statements.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You should refer to the “Risk Factors” section of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forward-looking statements speak only as of the date of this Annual Report. Except as required by law, we assume no obligation to update or revise these forward-looking statements for any reason, even if new information becomes available in the future. You should, however, review the factors and risks and other information we describe in the reports we will file from time to time with the Securities and Exchange Commission (the “SEC”) after the date of this Annual Report.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business is subject to a number of risks, as fully described in “Item 1A. Risk Factors” in this Annual Report. The principal factors and uncertainties include, among others:</w:t>
      </w:r>
    </w:p>
    <w:p>
      <w:pPr>
        <w:spacing w:after="0" w:line="170"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may not achieve or sustain profitability in the future;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require additional financing to carry out our plan of operations, and failure to obtain such financing may cause our business to fail;</w:t>
      </w:r>
    </w:p>
    <w:p>
      <w:pPr>
        <w:spacing w:after="0" w:line="236" w:lineRule="exact"/>
        <w:rPr>
          <w:rFonts w:ascii="Arial" w:cs="Arial" w:eastAsia="Arial" w:hAnsi="Arial"/>
          <w:sz w:val="17"/>
          <w:szCs w:val="17"/>
          <w:color w:val="auto"/>
        </w:rPr>
      </w:pPr>
    </w:p>
    <w:p>
      <w:pPr>
        <w:ind w:left="740" w:right="34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only have one product candidate, the PoNS device, which is authorized for commercial distribution in Canada, and we have not obtained authorization to distribute the PoNS device commercially in the United States, Europe or Australia and may never obtain such authorization;</w:t>
      </w:r>
    </w:p>
    <w:p>
      <w:pPr>
        <w:spacing w:after="0" w:line="183"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substantial delays in planned clinical trials, and planned clinical trials may fail to demonstrate the safety and efficacy of the PoNS device to the satisfaction of regulatory authorities;</w:t>
      </w:r>
    </w:p>
    <w:p>
      <w:pPr>
        <w:spacing w:after="0" w:line="170"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Generation of revenue related to the PoNS technology is dependent on the PoNS Treatment being prescribed by physicians in the United States and our ability to train physical therapists in the supervision of the use of the PoNS Treatment;</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awareness of the PoNS device is limited, and the neuromodulation market is new and uncertain;</w:t>
      </w:r>
    </w:p>
    <w:p>
      <w:pPr>
        <w:spacing w:after="0" w:line="22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third-party scientists and research institutions, in part, for research and development and on third parties for the manufacture and distribution of our product;</w:t>
      </w:r>
    </w:p>
    <w:p>
      <w:pPr>
        <w:spacing w:after="0" w:line="170"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outbreaks of communicable diseases may continue to materially and adversely affect our business, financial condition and results of operations;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parties may gain access to our technology if our intellectual property protection is insufficient;</w:t>
      </w:r>
    </w:p>
    <w:p>
      <w:pPr>
        <w:spacing w:after="0" w:line="225"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various litigation claims and legal proceedings, including intellectual property litigation, which may adversely affect our business;</w:t>
      </w:r>
    </w:p>
    <w:p>
      <w:pPr>
        <w:spacing w:after="0" w:line="170" w:lineRule="exact"/>
        <w:rPr>
          <w:rFonts w:ascii="Arial" w:cs="Arial" w:eastAsia="Arial" w:hAnsi="Arial"/>
          <w:sz w:val="18"/>
          <w:szCs w:val="18"/>
          <w:color w:val="auto"/>
        </w:rPr>
      </w:pPr>
    </w:p>
    <w:p>
      <w:pPr>
        <w:ind w:left="740" w:right="380" w:hanging="368"/>
        <w:spacing w:after="0" w:line="34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Commercialization of our product outside of Canada is dependent on obtaining market authorization from the FDA and foreign regulatory authorities, which will require significant time, research, development, and clinical study expenditures and ultimately may not be successful;</w:t>
      </w:r>
    </w:p>
    <w:p>
      <w:pPr>
        <w:spacing w:after="0" w:line="123" w:lineRule="exact"/>
        <w:rPr>
          <w:rFonts w:ascii="Arial" w:cs="Arial" w:eastAsia="Arial" w:hAnsi="Arial"/>
          <w:sz w:val="16"/>
          <w:szCs w:val="16"/>
          <w:color w:val="auto"/>
        </w:rPr>
      </w:pPr>
    </w:p>
    <w:p>
      <w:pPr>
        <w:ind w:left="740" w:right="2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secure contracts with workers’ compensation and third-party administrators or rehabilitation clinics could have a negative impact on our sales and would have a material adverse effect on our business, financial condition and operating results;</w:t>
      </w:r>
    </w:p>
    <w:p>
      <w:pPr>
        <w:spacing w:after="0" w:line="170"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a reimbursement code from the U.S. Department of Health and Human Services so that the PoNS device is covered by Medicare and Medicaid could have a negative impact on our intended sales and would have a material adverse effect on our business, financial condition and operating results;</w:t>
      </w:r>
    </w:p>
    <w:p>
      <w:pPr>
        <w:spacing w:after="0" w:line="18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comply with healthcare laws, we could face substantial penalties and financial exposure;</w:t>
      </w:r>
    </w:p>
    <w:p>
      <w:pPr>
        <w:spacing w:after="0" w:line="225" w:lineRule="exact"/>
        <w:rPr>
          <w:rFonts w:ascii="Arial" w:cs="Arial" w:eastAsia="Arial" w:hAnsi="Arial"/>
          <w:sz w:val="18"/>
          <w:szCs w:val="18"/>
          <w:color w:val="auto"/>
        </w:rPr>
      </w:pPr>
    </w:p>
    <w:p>
      <w:pPr>
        <w:ind w:left="740" w:right="6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ongoing government scrutiny and regulation in connection with the development of product candidates and following marketing authorization;</w:t>
      </w:r>
    </w:p>
    <w:p>
      <w:pPr>
        <w:spacing w:after="0" w:line="170"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After commercialization, a product recall or the discovery of serious safety issues with our products could have a significant adverse impact on us; and</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been the victim of a cyber-related crime, and our controls may not be successful in avoiding future cyber-related crimes.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this Annual Report, we reference information, statistics and estimates regarding the medical devices and healthcare industries. We have obtained this information from various third-party sources, including industry and general publications, reports by market research firms and other sources. This information involves a number of assumptions and limitations, and we have not independently verified the accuracy or completeness of this information. Some data and other information are also based on the good faith estimates of management, which are derived from our research, review of internal surveys, general information discussed in the industry, and third-party sources. We believe that these external sources and estimates are reliable but have not independently verified them. The industries in which we operate are subject to a high degree of uncertainty, change, and risk due to a variety of factors, including those described in “Item 1A. Risk Factors.” These and other factors could cause results to differ materially from those expressed in this Annual Report and other publications.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non-invasive technologies targeted at reducing symptoms of neurological disease or trauma.</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first product, known as the Portable Neuromodulation Stimulator, or PoNS</w:t>
      </w:r>
      <w:r>
        <w:rPr>
          <w:rFonts w:ascii="Arial" w:cs="Arial" w:eastAsia="Arial" w:hAnsi="Arial"/>
          <w:sz w:val="15"/>
          <w:szCs w:val="15"/>
          <w:color w:val="auto"/>
        </w:rPr>
        <w:t>TM</w:t>
      </w:r>
      <w:r>
        <w:rPr>
          <w:rFonts w:ascii="Arial" w:cs="Arial" w:eastAsia="Arial" w:hAnsi="Arial"/>
          <w:sz w:val="18"/>
          <w:szCs w:val="18"/>
          <w:color w:val="auto"/>
        </w:rPr>
        <w:t>, is authorized for sale in Canada as a class II, non-implantable medical device intended for use as a short term treatment (14 weeks) of gait deficit due to symptoms from multiple sclerosis, or MS, and balance deficit due to mild-to-moderate traumatic brain injury, or mmTBI, and is to be used in conjunction with supervised therapeutic exercise, or PoNS Treatment</w:t>
      </w:r>
      <w:r>
        <w:rPr>
          <w:rFonts w:ascii="Arial" w:cs="Arial" w:eastAsia="Arial" w:hAnsi="Arial"/>
          <w:sz w:val="15"/>
          <w:szCs w:val="15"/>
          <w:color w:val="auto"/>
        </w:rPr>
        <w:t>TM</w:t>
      </w:r>
      <w:r>
        <w:rPr>
          <w:rFonts w:ascii="Arial" w:cs="Arial" w:eastAsia="Arial" w:hAnsi="Arial"/>
          <w:sz w:val="18"/>
          <w:szCs w:val="18"/>
          <w:color w:val="auto"/>
        </w:rPr>
        <w:t>. It is an investigational medical device in the United States, the European Union, or EU, and Australia, or AUS. The device is currently under review for de novo classification and clearance by the U.S. Food and Drug Administration, or the FDA, as a potential treatment for gait deficit due to symptoms of MS. It is also under premarket review by the AUS Therapeutic Goods Administration. PoNS Treatment™ is not currently commercially available in the United States, the European Union or Australia.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PoNS Device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PoNS device is a non-implantable investigational medical device comprised of a controller and a mouthpiece that are connected by a cord. The controller is worn around the neck and the mouthpiece sits on the tongue during treatment. PoNS Treatment, or the “Treatment”, utilizes the PoNS device in conjunction with supervised therapeutic exercise and / or cognitive therapy. The Treatment consists of condition specific exercises for movement control, balance and gait training, and breathing and awareness training that are designed to focus on the individual patient’s functional deficits. The Treatment is 14 weeks and is delivered through authorized PoNS treatment clinics by certified PoNS trainers, with the first 2 weeks in a clinic. The remaining 12 weeks are completed at home with weekly clinic visits to monitor progress, assess improvements and ensure the therapy level is still appropriate. When the device is on, the 143 gold-plated electrodes on the mouthpiece send mild electrical signals to the tongue. These impulses stimulate sensory nerves in the tongue that have direct pathways to the brain, through the brain stem. The combination of mild stimulation with supervised therapeutic exercise may enhance the neuroplastic effect, potentially resulting in functional improvements in balance and gait. During each clinic visit and at the end of the 14-week Treatment, the clinic downloads the PoNS usage data from the device and reviews it with the patient. This usage data in combination with the detail of the completed treatment assessments gives the clinician and the patient a unique and powerful method to assess treatment progress. The patient initiates their Treatment sessions under the supervision of the clinicians through regular check ins.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research has shown that translingual neurostimulation activates two major cranial nerves –the trigeminal nerve, and the facial nerve, which creates a flow of neural impulses that are delivered directly into the brain stem and cerebellum – the main control centers for multiple functions including sensory perception and movement. From the brain stem, these impulses travel throughout the brain and may activate or reactivate neurons and structures involved in human function. Researchers believe that supervised therapeutic exercise with neurostimulation can initiate changes in the brain, supporting the rebuilding and reorganizing (neuroplasticity) of multiple areas of the brain.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PoNS device is ergonomically designed for patient comfort, is relatively light, contains a replaceable hygienic mouthpiece and a rechargeable battery with built-in technology to allow for tracking of the patient’s usage, including time and intensity of treatments. See 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-34290</wp:posOffset>
            </wp:positionV>
            <wp:extent cx="1508760" cy="1508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876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Figure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Portable Neuromodulation Stimulator, PoNS device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mouthpiece of the PoNS device sits on the front third of the tongue and is held in place by the lips and closed mouth. See 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168910</wp:posOffset>
            </wp:positionV>
            <wp:extent cx="3171825" cy="2297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182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Figure 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rechargeable lithium polymer battery with built-in charge safety circuitry provides power. While the voltage and pulse timing to each electrode are programmed into the device and cannot be altered, the user can adjust the stimulus intensity, which is achieved by adjusting the electrical pulse width. The sensation produced by the mouthpiece is similar to the feeling of drinking a carbonated beverage. The patented waveform is specifically designed to minimize the potential for tissue irritation.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Multiple Sclerosis and Current Available Treatments</w:t>
      </w:r>
    </w:p>
    <w:p>
      <w:pPr>
        <w:spacing w:after="0" w:line="225" w:lineRule="exact"/>
        <w:rPr>
          <w:sz w:val="20"/>
          <w:szCs w:val="20"/>
          <w:color w:val="auto"/>
        </w:rPr>
      </w:pPr>
    </w:p>
    <w:p>
      <w:pPr>
        <w:jc w:val="both"/>
        <w:ind w:right="100"/>
        <w:spacing w:after="0" w:line="291" w:lineRule="auto"/>
        <w:rPr>
          <w:sz w:val="20"/>
          <w:szCs w:val="20"/>
          <w:color w:val="auto"/>
        </w:rPr>
      </w:pPr>
      <w:r>
        <w:rPr>
          <w:rFonts w:ascii="Arial" w:cs="Arial" w:eastAsia="Arial" w:hAnsi="Arial"/>
          <w:sz w:val="16"/>
          <w:szCs w:val="16"/>
          <w:color w:val="auto"/>
        </w:rPr>
        <w:t>Multiple Sclerosis, or MS, is currently classified as an autoimmune disease of the central nervous system. The disease attacks the myelin, the protective covering of the nerve necessary for the transmission of nerve impulses through nerve fibers, causing inflammation and often damaging the myelin. Damage to the myelin is variable, depending on the course of the disease, which influences the type and severity of symptoms. MS is unpredictable and can cause symptoms such as extreme fatigue, lack of coordination, weakness, tingling, impaired sensation, vision problems, bladder problems, cognitive impairment and mood changes. Its effects can be physical and emotional with a substantial financial burden. Currently there is no cure and patients with MS experience a progressive decline in health over time. There are a variety of treatments available for MS, some of which are experimental, including pharmaceutical, dietary, and surgical, which may or may not be covered by government or private health insurance.</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Findings from a National MS Society study estimate that nearly 1 million people in the United States are living with MS of which approximately 25-30% are on Medicare and 93,000 people in Canada are living with MS. The National MS Society estimates that 2.3 million people live with MS globally. The United States and Canada have the highest rates of MS, with 309 cases per 100,000 in the United States, and 291 cases per 100,000 in Canada, respectively. Given the nature of this neurodegenerative disease, these individuals and their caretakers are active in exploring treatment options that may resolve or delay the progression of symptoms. There is also a well-established advocacy framework.</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Mobility disability and walking impairment are among the most debilitating consequences of MS with approximately 85% of individuals diagnosed with MS reporting gait impairment as a major limitation in their daily lives. Gait is one of the most important bodily functions for MS patients and gait parameters, such as walking speed and stride length, have been shown to be significant predicators of patient independence in daily activities. A survey of 436 patients found that 45% reported a mobility disability in the first month following diagnosis, with upwards of 90% of patients reporting a mobility disability within 10 years of their diagnosis. Additionally, 50-80% of MS patients suffer from balance and gait dysfunction and over 50% fall at least once a year. It has also been reported that unemployment rates in MS patients range from 24-80% with higher rates associated with decreased ambulation and mobility. The Centers for Disease Control, or CDC, reports that individuals with disabilities, like MS, that result in limited mobility are at greater risk for health problems including injury, mental health and depression, overweight and obesity, pain, pressure sores or ulcers and other issues.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A 2016 economic analysis of MS found the total lifetime costs per person with MS to be $4.1 million, with average yearly healthcare costs ranging from $30 thousand to $100 thousand based on the severity of the disease. Since the exact cause of MS is still unknown, there is no known prevention. Although there is no cure for MS yet, treatments can manage symptoms. MS medications are designed to lessen the frequency of relapses and slow the progression of the disease, but none have proven to halt progression of the disease.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While there are several disease-modifying medications approved by the U.S. Food and Drug Administration to treat MS, only one drug approved by FDA and Heath Canada, Ampyra® (dalfampridine), is indicated for the improvement </w:t>
      </w:r>
      <w:r>
        <w:rPr>
          <w:rFonts w:ascii="Arial" w:cs="Arial" w:eastAsia="Arial" w:hAnsi="Arial"/>
          <w:sz w:val="18"/>
          <w:szCs w:val="18"/>
          <w:color w:val="231F20"/>
        </w:rPr>
        <w:t>of gait speed in patients with MS, which offers the closest comparison to</w:t>
      </w:r>
      <w:r>
        <w:rPr>
          <w:rFonts w:ascii="Arial" w:cs="Arial" w:eastAsia="Arial" w:hAnsi="Arial"/>
          <w:sz w:val="18"/>
          <w:szCs w:val="18"/>
          <w:color w:val="auto"/>
        </w:rPr>
        <w:t xml:space="preserve"> </w:t>
      </w:r>
      <w:r>
        <w:rPr>
          <w:rFonts w:ascii="Arial" w:cs="Arial" w:eastAsia="Arial" w:hAnsi="Arial"/>
          <w:sz w:val="18"/>
          <w:szCs w:val="18"/>
          <w:color w:val="231F20"/>
        </w:rPr>
        <w:t>the effects of PoNS Treatment on improvement in gait.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mmTBI and Current Available Treatments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are an estimated 14.5 million people globally, with over 1.5 million in the United States and 350,000 in Canada, living with balance deficit due to mmTBI. Every year in Canada and the United States there are approximately 20,000 and 420,000 newly diagnosed mmTBIs, respectively, resulting in balance deficit. This condition often has a significant impact on one’s quality of life, negatively affecting independence, employability, productivity, mental health and participation in the community. Rehabilitation is often required following a mmTBI for resulting motor, cognitive and behavioral impairments. The current standard of care to address balance issues following a mmTBI is supervised therapeutic exercise. While supervised therapeutic exercise can help to promote balance recovery, individuals are often unable to return to their full function and are left living with a balance deficit.</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the development of the PoNS device, there were no cleared treatments that were clinically indicated to treat balance deficit. A few studies have suggested that supervised therapeutic exercise aimed at improving balance and gait may be mildly effective for rehabilitation in the mmTBI population. However, to our knowledge, no mid-to-late stage clinical studies have reported improvements in function of the magnitude that would be considered evidence of systematic recovery of normal function, nor have any studies demonstrated that supervised therapeutic exercise alone has a lasting effect on balance and gait. Given the small number of published studies, the small number of patients enrolled in the studies of which we are aware, the varying range of interventional protocols employed in such studies and the lower levels of study design, it is difficult to draw any conclusions regarding the effectiveness and dosing parameters of using supervised therapeutic exercise alone for the treatment of balance deficit following mmTBI. Consequently, we believe that there is a large potential commercial opportunity for the PoNS Treatment in the treatment of balance deficit due to mmTBI. Our goal is to establish the PoNS Treatment as the standard of care for this condition all over the world.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PoNS Clinical Trials and Scientific Support in MS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two peer reviewed published clinical trials reporting on the results of clinical trials comparing active PoNS + PT vs Placebo PoNS + PT in subjects with mild and moderate MS. (</w:t>
      </w:r>
      <w:r>
        <w:rPr>
          <w:rFonts w:ascii="Arial" w:cs="Arial" w:eastAsia="Arial" w:hAnsi="Arial"/>
          <w:sz w:val="18"/>
          <w:szCs w:val="18"/>
          <w:i w:val="1"/>
          <w:iCs w:val="1"/>
          <w:color w:val="auto"/>
        </w:rPr>
        <w:t>Tyler et al. Journal of NeuroEngineering and Rehabilitation 2014, 11:79 and Leonard et al. Multiple Sclerosis</w:t>
      </w:r>
      <w:r>
        <w:rPr>
          <w:rFonts w:ascii="Arial" w:cs="Arial" w:eastAsia="Arial" w:hAnsi="Arial"/>
          <w:sz w:val="18"/>
          <w:szCs w:val="18"/>
          <w:color w:val="auto"/>
        </w:rPr>
        <w:t xml:space="preserve"> </w:t>
      </w:r>
      <w:r>
        <w:rPr>
          <w:rFonts w:ascii="Arial" w:cs="Arial" w:eastAsia="Arial" w:hAnsi="Arial"/>
          <w:sz w:val="18"/>
          <w:szCs w:val="18"/>
          <w:i w:val="1"/>
          <w:iCs w:val="1"/>
          <w:color w:val="auto"/>
        </w:rPr>
        <w:t>Journal Experimental, Translational and Clinical January-March 2017: 19 DOI: 10.1177/ 2055217317690561)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Summary results of the Tyler study in 20 patients with mild and moderate MS:</w:t>
      </w:r>
    </w:p>
    <w:p>
      <w:pPr>
        <w:spacing w:after="0" w:line="225" w:lineRule="exact"/>
        <w:rPr>
          <w:sz w:val="20"/>
          <w:szCs w:val="20"/>
          <w:color w:val="auto"/>
        </w:rPr>
      </w:pPr>
    </w:p>
    <w:p>
      <w:pPr>
        <w:ind w:left="740" w:right="20" w:hanging="368"/>
        <w:spacing w:after="0" w:line="25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 comparison of the Dynamic Gait Index (DGI), a measure of the ability to walk, after 14 weeks of treatment of 10 subjects treated with active PoNS + PT Vs 10 subjects treated with placebo PoNS + PT</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showed a statistically significant change (p&lt;0.005) in favor of the Active PoNS group.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Summary results from the Leonard study in 14 patients treated with mild and moderate MS:</w:t>
      </w:r>
    </w:p>
    <w:p>
      <w:pPr>
        <w:spacing w:after="0" w:line="225" w:lineRule="exact"/>
        <w:rPr>
          <w:sz w:val="20"/>
          <w:szCs w:val="20"/>
          <w:color w:val="auto"/>
        </w:rPr>
      </w:pPr>
    </w:p>
    <w:p>
      <w:pPr>
        <w:jc w:val="both"/>
        <w:ind w:left="780" w:hanging="367"/>
        <w:spacing w:after="0" w:line="263"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week 14 there was a statistically significant improvement p=0.001 in the Sensory Organization Test (SOT), a test of subject’s ability to balance, versus baseline for the 7 subjects in the active PoNS treated group and non-significant change in the 7 subjects in placebo PoNS treated group vs baseline.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Summary of Real-World Evidence in MS patients treated with PoNS in Canada.</w:t>
      </w:r>
    </w:p>
    <w:p>
      <w:pPr>
        <w:spacing w:after="0" w:line="225" w:lineRule="exact"/>
        <w:rPr>
          <w:sz w:val="20"/>
          <w:szCs w:val="20"/>
          <w:color w:val="auto"/>
        </w:rPr>
      </w:pPr>
    </w:p>
    <w:p>
      <w:pPr>
        <w:ind w:left="740" w:hanging="368"/>
        <w:spacing w:after="0" w:line="258"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Treatment outcomes for patients treated in Canada are captured in the company developed validated data capture system. 43 patients with MS were treated with PoNS in Canada between March 2019 and December 2019.</w:t>
      </w:r>
    </w:p>
    <w:p>
      <w:pPr>
        <w:spacing w:after="0" w:line="1" w:lineRule="exact"/>
        <w:rPr>
          <w:rFonts w:ascii="Arial" w:cs="Arial" w:eastAsia="Arial" w:hAnsi="Arial"/>
          <w:sz w:val="18"/>
          <w:szCs w:val="18"/>
          <w:color w:val="auto"/>
        </w:rPr>
      </w:pPr>
    </w:p>
    <w:p>
      <w:pPr>
        <w:ind w:left="740" w:right="20" w:hanging="368"/>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Using all available data from the treated MS patients, the mean improvement from baseline to Week 14 in the FGA (functional gait assessment) was 4.53 (95% CI 3.35 to 5.72). Based on observed data, the median improvement was 5 points.</w:t>
      </w:r>
    </w:p>
    <w:p>
      <w:pPr>
        <w:ind w:left="740" w:hanging="368"/>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56.7% had an improvement at Week 14 greater than or equal to 4 points, the minimum detectable change. This finding is remarkable given that the RWE data set consisted of patients with chronic MS with long durations of disease.</w:t>
      </w: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Given the excellent safety profile, these data support a positive benefit risk ratio in the real-world setting.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PoNS Clinical Trials and Scientific Support in mmTBI</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There are two peer reviewed published clinical trials reporting on the results of the PoNS Treatment for persons with mmTBI: Ptito A, Papa, L, Gregory, K, Folmer, RL, Walker, WC, Prabhakaran, V, Wardini, R, Skinner, KL, Yochelson, M, (2020). “A Prospective, Multicenter Study to Assess the Safety and Efficacy of Translingual Neurostimulation Plus Physical Therapy for the Treatment of a Chronic Balance Deficit Due to Mild-to-Moderate Traumatic Brain Injury”. </w:t>
      </w:r>
      <w:r>
        <w:rPr>
          <w:rFonts w:ascii="Arial" w:cs="Arial" w:eastAsia="Arial" w:hAnsi="Arial"/>
          <w:sz w:val="16"/>
          <w:szCs w:val="16"/>
          <w:i w:val="1"/>
          <w:iCs w:val="1"/>
          <w:color w:val="auto"/>
        </w:rPr>
        <w:t>Neuromodulation: Technology at the Neural Interface</w:t>
      </w:r>
      <w:r>
        <w:rPr>
          <w:rFonts w:ascii="Arial" w:cs="Arial" w:eastAsia="Arial" w:hAnsi="Arial"/>
          <w:sz w:val="16"/>
          <w:szCs w:val="16"/>
          <w:color w:val="auto"/>
        </w:rPr>
        <w:t>. The second is from the Long-Term Treatment study in mmTBI Trial: Tyler, ME, Skinner, KL, Prabhakaran, V, Kaczmarek, KA, Danilov, YP (2019). “Translingual neurostimulation for the treatment of chronic symptoms due to mild-to-moderate traumatic brain injury.” Archives of Rehabilitation Research and Clinical Translation; 1(304):100026 which are detailed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PoNS Registrational Clinical Trial in mmTBI</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completed our registrational clinical trial of the PoNS Treatment for persons with mmTBI in 2017. It was a double-blind randomized, controlled study of the safety and effectiveness of the PoNS Treatment using translingual noninvasive stimulation in participants with balance deficit due to mmTBI.</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trial was launched in 2015 in conjunction with the U.S. Army Medical Research and Materiel Command, or the USAMRMC, and was conducted at seven sites in the United States and Canada. The trial evaluated 122 randomized participants between the ages of 18 and 65 years. Each participant received five weeks of treatment, two weeks in clinic and three weeks at home. The treatment consisted of physical therapy geared toward the functional capability of each individual participant. Enrolled participants worked with a certified PoNS trainer and were randomized to receive either a high-frequency pulse, or HFP, (25.7 million pulses per 20-minute treatment) or a low-frequency pulse, or LFP, (13,728 pulses per 20-minute treatment) PoNS device. While the HFP and the LFP devices were identical, the frequency of the pulses was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Design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participants provided a prior neuroradiologic report (obtained at least one year after the most recent mmTBI), if available, and completed demographic and quality of life surveys and a medical history during an initial screening visit. Participants who met the initial screening entrance criteria were scheduled for an MRI of the head, a neuropsychiatric evaluation, the NeuroCom Sensory Organization Test, or SOT, to evaluate balance, and a 20-minute walk on the treadmill to evaluate fitness. Key eligibility criteria to participate in the study included the following:</w:t>
      </w:r>
    </w:p>
    <w:p>
      <w:pPr>
        <w:spacing w:after="0" w:line="171"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Male or female, 18 to 65 years of age.</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1-year post most recent mmTBI at the time of screening.</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Had participated in a focused physical rehabilitation program for mmTBI and had been deemed by the treating clinician to have reached a plateau.</w:t>
      </w: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Had a balance disorder SOT composite score of at least 16 points below the normative value for the participant’s age.</w:t>
      </w:r>
    </w:p>
    <w:p>
      <w:pPr>
        <w:spacing w:after="0" w:line="9" w:lineRule="exact"/>
        <w:rPr>
          <w:rFonts w:ascii="Arial" w:cs="Arial" w:eastAsia="Arial" w:hAnsi="Arial"/>
          <w:sz w:val="18"/>
          <w:szCs w:val="18"/>
          <w:color w:val="auto"/>
        </w:rPr>
      </w:pPr>
    </w:p>
    <w:p>
      <w:pPr>
        <w:ind w:left="740" w:right="20" w:hanging="368"/>
        <w:spacing w:after="0" w:line="260"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Stable neurologic status, as determined from the participant’s medical records and the trial physician’s opinion based on no new or changing symptoms.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Participants meeting all the eligibility criteria, and who were not disqualified by exclusion criteria applicable to the trial, were enrolled and randomly assigned in blocks of four to receive an HFP or LFP device. Randomization occurred at each site, according to the randomization plan developed by the clinical research organization. An objective balance assessment was performed using the composite score from the SOT, which measures balance using computerized sensors that objectively measure participants’ ability to maintain balance under six different conditions. The SOT is a widely used measurement tool for balance disorder associated with TBI and was used as the primary efficacy endpoint for the trial. According to published clinical trial data, patients that received physical therapy alone to treat balance deficit related to mmTBI improved by an average of ten to 13 points on the SOT scale, a 0 to 100 scale, and clinical experience shows those patients tend to drift back to baseline levels when physical therapy is discontinued. On average, participants entered the trial with an SOT composite score of approximately 40, which is a score that indicates substantially compromised functional balance. In the trial, an SOT responder was defined as a participant with an improvement of at least 15 points in his/her SOT composite score from baseline to the end of five weeks of PoNS Treatment, a level of change that to our knowledge, has not been achieved in clinical trials of patients with mmTBI-related balance disorder undergoing standard of care physical therapy.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trial’s statistical analysis plan stated that, if the outcome of the primary effectiveness endpoint showed that PoNS Treatment in the HFP and LFP arms both produced responses of greater than 15 points on the SOT composite score that were not significantly different from one another, the secondary endpoint would be calculated by combining the two groups and comparing the response to baseline at week two and week five. This would imply that both devices had a clinical effect.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both"/>
        <w:ind w:left="380"/>
        <w:spacing w:after="0" w:line="273" w:lineRule="auto"/>
        <w:rPr>
          <w:sz w:val="20"/>
          <w:szCs w:val="20"/>
          <w:color w:val="auto"/>
        </w:rPr>
      </w:pPr>
      <w:r>
        <w:rPr>
          <w:rFonts w:ascii="Arial" w:cs="Arial" w:eastAsia="Arial" w:hAnsi="Arial"/>
          <w:sz w:val="17"/>
          <w:szCs w:val="17"/>
          <w:color w:val="auto"/>
        </w:rPr>
        <w:t>The primary effectiveness endpoint demonstrated a trend toward a higher responder rate in the HFP arm (with 71.2% of subjects experiencing a greater than 15 point improvement on the SOT composite score) than in the LFP arm (with 63.5% of subjects experiencing a greater than 15 point improvement on the SOT composite score), p&lt;0.081. The primary effectiveness endpoint was not reached because of the significant therapeutic effect observed in the LFP arm. Because both arms produced responses of greater than 15 points on the SOT composite score that were not significantly different from one another, the secondary effectiveness endpoint was calculated per the statistical analysis plan, as described above. The secondary effectiveness endpoints demonstrated statistically and clinically significant increases in SOT composite scores:</w:t>
      </w:r>
    </w:p>
    <w:p>
      <w:pPr>
        <w:spacing w:after="0" w:line="178" w:lineRule="exact"/>
        <w:rPr>
          <w:sz w:val="20"/>
          <w:szCs w:val="20"/>
          <w:color w:val="auto"/>
        </w:rPr>
      </w:pPr>
    </w:p>
    <w:p>
      <w:pPr>
        <w:ind w:left="1460" w:hanging="359"/>
        <w:spacing w:after="0"/>
        <w:tabs>
          <w:tab w:leader="none" w:pos="146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The mean improvement at two weeks for the pooled arms was 18.3 points, P&lt;0.0005.</w:t>
      </w:r>
    </w:p>
    <w:p>
      <w:pPr>
        <w:spacing w:after="0" w:line="7" w:lineRule="exact"/>
        <w:rPr>
          <w:rFonts w:ascii="Courier New" w:cs="Courier New" w:eastAsia="Courier New" w:hAnsi="Courier New"/>
          <w:sz w:val="18"/>
          <w:szCs w:val="18"/>
          <w:color w:val="auto"/>
        </w:rPr>
      </w:pPr>
    </w:p>
    <w:p>
      <w:pPr>
        <w:ind w:left="1460" w:hanging="359"/>
        <w:spacing w:after="0" w:line="232" w:lineRule="auto"/>
        <w:tabs>
          <w:tab w:leader="none" w:pos="146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The mean improvement at five weeks for the pooled arms was 24.6 points, P&lt;0.0005.</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majority of patients who have a balance disorder associated with mmTBI are subjected to a higher risk of falls and headaches, the primary safety endpoint was an improvement in the frequency of falls as determined by daily event recording on the participant data case report form during the in-clinic phase of the study (week two). The secondary safety endpoint was the frequency and severity of headaches, as measured by the Headache Disability Index at baseline and at the end of treatment, which was at week five.</w:t>
      </w:r>
    </w:p>
    <w:p>
      <w:pPr>
        <w:spacing w:after="0" w:line="187" w:lineRule="exact"/>
        <w:rPr>
          <w:sz w:val="20"/>
          <w:szCs w:val="20"/>
          <w:color w:val="auto"/>
        </w:rPr>
      </w:pPr>
    </w:p>
    <w:p>
      <w:pPr>
        <w:ind w:left="1460" w:right="760" w:hanging="359"/>
        <w:spacing w:after="0" w:line="249" w:lineRule="auto"/>
        <w:tabs>
          <w:tab w:leader="none" w:pos="146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We successfully met the primary and secondary safety endpoints as measured by a decrease in falls at week two a decrease in headaches at week five, respectively, in both treatment groups.</w:t>
      </w:r>
    </w:p>
    <w:p>
      <w:pPr>
        <w:ind w:left="1460" w:hanging="359"/>
        <w:spacing w:after="0" w:line="232" w:lineRule="auto"/>
        <w:tabs>
          <w:tab w:leader="none" w:pos="146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There were no serious device related adverse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PoNS Long-Term Treatment Trial in mmTBI: A 26-Week Study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study was performed to understand the durability of response to the PoNS Treatment. This double-blind randomized controlled study in patients with mmTBI was completed in 2017 at the Tactile Communication Neurorehabilitation Laboratory at the University of Wisconsin-Madison and was sponsored by the U.S. Army. The study was conducted with 22 and 21 participants randomized to the HFP and LFP PoNS Treatment arms, respectively. Participants underwent 14 weeks of active treatment identical in format to the treatment regime in our registrational clinical trial described above, followed by a 12-week washout period when participants discontinued the PoNS Treatment and were told to resume normal daily lifestyles with no specified physical therapy regime. SOT composite scores were captured at specific time points throughout the study, including at 14 weeks and after the 12-week washout (26 weeks).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study results were as follows:</w:t>
      </w:r>
    </w:p>
    <w:p>
      <w:pPr>
        <w:spacing w:after="0" w:line="225" w:lineRule="exact"/>
        <w:rPr>
          <w:sz w:val="20"/>
          <w:szCs w:val="20"/>
          <w:color w:val="auto"/>
        </w:rPr>
      </w:pPr>
    </w:p>
    <w:p>
      <w:pPr>
        <w:ind w:left="1460" w:right="180" w:hanging="359"/>
        <w:spacing w:after="0" w:line="249" w:lineRule="auto"/>
        <w:tabs>
          <w:tab w:leader="none" w:pos="146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There was no statistical difference between the HFP and LFP PoNS Treatment arms mirroring the results of the registrational clinical trial.</w:t>
      </w:r>
    </w:p>
    <w:p>
      <w:pPr>
        <w:ind w:left="1460" w:right="820" w:hanging="359"/>
        <w:spacing w:after="0" w:line="241" w:lineRule="auto"/>
        <w:tabs>
          <w:tab w:leader="none" w:pos="146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On average, participants entered the study with an SOT composite score of approximately 40, which is a score that indicates substantially compromised functional balance.</w:t>
      </w:r>
    </w:p>
    <w:p>
      <w:pPr>
        <w:ind w:left="1460" w:right="240" w:hanging="359"/>
        <w:spacing w:after="0" w:line="241" w:lineRule="auto"/>
        <w:tabs>
          <w:tab w:leader="none" w:pos="146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At the end of 14 weeks of active treatment with the HFP PoNS arm, patients showed improvements on average of 29.8 points on the SOT composite score.</w:t>
      </w:r>
    </w:p>
    <w:p>
      <w:pPr>
        <w:ind w:left="1460" w:right="140" w:hanging="359"/>
        <w:spacing w:after="0" w:line="242" w:lineRule="auto"/>
        <w:tabs>
          <w:tab w:leader="none" w:pos="146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After the 12-week washout period, the participants, on average, maintained the same SOT composite score as after 14 weeks of PoNS treatment.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Conclusion:</w:t>
      </w:r>
    </w:p>
    <w:p>
      <w:pPr>
        <w:spacing w:after="0" w:line="225" w:lineRule="exact"/>
        <w:rPr>
          <w:sz w:val="20"/>
          <w:szCs w:val="20"/>
          <w:color w:val="auto"/>
        </w:rPr>
      </w:pPr>
    </w:p>
    <w:p>
      <w:pPr>
        <w:jc w:val="both"/>
        <w:ind w:left="1460" w:hanging="359"/>
        <w:spacing w:after="0" w:line="291" w:lineRule="auto"/>
        <w:tabs>
          <w:tab w:leader="none" w:pos="1460" w:val="left"/>
        </w:tabs>
        <w:numPr>
          <w:ilvl w:val="0"/>
          <w:numId w:val="11"/>
        </w:numPr>
        <w:rPr>
          <w:rFonts w:ascii="Courier New" w:cs="Courier New" w:eastAsia="Courier New" w:hAnsi="Courier New"/>
          <w:sz w:val="16"/>
          <w:szCs w:val="16"/>
          <w:color w:val="auto"/>
        </w:rPr>
      </w:pPr>
      <w:r>
        <w:rPr>
          <w:rFonts w:ascii="Arial" w:cs="Arial" w:eastAsia="Arial" w:hAnsi="Arial"/>
          <w:sz w:val="16"/>
          <w:szCs w:val="16"/>
          <w:color w:val="auto"/>
        </w:rPr>
        <w:t>The study demonstrated that the PoNS Treatment could, on average, allow patients with mmTBI who had balance deficit and other injury-related functional disabilities, achieve an SOT composite score in the normal range in 14 weeks and maintain that benefit after a 12-week washout period. We believe that this data supports the durability of the response to the treatment and the potential restoration of the balance system. Furthermore, in a subset of nine participants, sequential magnetic resonance imaging, or MRI, scans were performed that showed increased grey matter volume in the cerebellum and elsewhere, commensurate with improved balance.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Conclusion From the Two mmTBI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most significant observations from the two mmTBI trials are:</w:t>
      </w:r>
    </w:p>
    <w:p>
      <w:pPr>
        <w:spacing w:after="0" w:line="225" w:lineRule="exact"/>
        <w:rPr>
          <w:sz w:val="20"/>
          <w:szCs w:val="20"/>
          <w:color w:val="auto"/>
        </w:rPr>
      </w:pPr>
    </w:p>
    <w:p>
      <w:pPr>
        <w:ind w:left="740" w:right="30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registrational and long-term treatment trials combined were the largest non-implantable neuromodulation trials in balance and gait deficit due to mmTBI ever performed.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left="740" w:right="480" w:hanging="368"/>
        <w:spacing w:after="0" w:line="258"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Participants who had a chronic balance disorder resistant to conventional physical therapy were, on average, in the normal range of balance following the 14 weeks of treatment.</w:t>
      </w:r>
    </w:p>
    <w:p>
      <w:pPr>
        <w:spacing w:after="0" w:line="1" w:lineRule="exact"/>
        <w:rPr>
          <w:rFonts w:ascii="Arial" w:cs="Arial" w:eastAsia="Arial" w:hAnsi="Arial"/>
          <w:sz w:val="18"/>
          <w:szCs w:val="18"/>
          <w:color w:val="auto"/>
        </w:rPr>
      </w:pPr>
    </w:p>
    <w:p>
      <w:pPr>
        <w:ind w:left="740" w:right="4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PoNS Treatment in one data set also resulted, on average, in patients maintaining the improvement for at least a 12-week period suggesting a permanent improvement in participants’ balance issues.</w:t>
      </w: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were no differences in clinical outcomes across the clinical trial sites performing both trials.</w:t>
      </w:r>
    </w:p>
    <w:p>
      <w:pPr>
        <w:spacing w:after="0" w:line="9" w:lineRule="exact"/>
        <w:rPr>
          <w:rFonts w:ascii="Arial" w:cs="Arial" w:eastAsia="Arial" w:hAnsi="Arial"/>
          <w:sz w:val="18"/>
          <w:szCs w:val="18"/>
          <w:color w:val="auto"/>
        </w:rPr>
      </w:pPr>
    </w:p>
    <w:p>
      <w:pPr>
        <w:ind w:left="740" w:right="52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were no differences at baseline in age, sex, time from injury, amount of previous physical therapy, level of disability or adherence to therapy in each of the treatment groups.</w:t>
      </w:r>
    </w:p>
    <w:p>
      <w:pPr>
        <w:ind w:left="740" w:hanging="368"/>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difference in therapeutic effect noted between high and low frequency pulse groups may suggest that there was an independent device effect.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Status Worldwide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Regulatory Status: mmTBI and 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17, 2018, we received our Canadian marketing authorization from Health Canada allowing us to commercialize the PoNS device in Canada for use as a short-term treatment (14 weeks) of balance deficit due to mmTBI.</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18, 2020, we received our Canadian marketing authorization from Health Canada allowing us to commercialize the PoNS device for the treatment of gait deficit in patients with mild and moderate MS symptoms. Our market MS authorization application comprised objective statistical evidence as well as independently reviewed clinical research analysis. We believe this label expansion will significantly expand our addressable market opportunity in Canada to include a patient population that is motivated to pursue treatment options which may resolve or delay the progression of MS gait deficit symptoms.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We believe the existing published data and real-world evidence with use of the PoNS for the treatment of gait disorder in patients with MS are sufficient to demonstrate a favorable risk/benefit profile, as required for de novo classification and clearance to enable US marketability. Novel treatments for MS are highlighted as a specific target of the FDA as a high unmet medical need disease.</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7, 2020 we received Breakthrough Designation for the PoNS device as a potential treatment for gait deficit due to symptoms of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FDA’s mission to protect and promote public health.</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Breakthrough Devices Program replaces the Expedited Access Pathway and Priority Review for medical devices. The FDA considers devices granted designation under the Expedited Access Pathway to be part of the Breakthrough Devices Program.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Breakthrough Devices Program offers manufacturers an opportunity to interact with the FDA's experts through several different program options to efficiently address topics as they arise during the premarket review phase, which can help manufacturers receive feedback from the FDA and identify areas of agreement in a timely way. Manufacturers can also expect prioritized review of their submission.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Breakthrough Device Designation does not change the requirements for approval of an application for a marketing authorization under section 510(k) of the Food, Drug, and Cosmetic 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19, 2020, we announced that we received a request for additional information from the FDA related to the Company’s request for de novo classification and clearance of the PoNS device. During the substantive review phase of a request for de novo classification and clearance, FDA may request additional information in order to obtain information necessary for the FDA to continue or complete its review and, in such instances, places its review on hold until the requested information is submitted. The FDA’s request for additional information was received approximately 75 days from the submission date, which is consistent with FDA’s expected timing for review of a Breakthrough Designated product in the de novo pathway, such as the PoNS device. The FDA’s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request for additional information included requests for additional analysis of clinical data and proposed certain labeling modifications. On January 11, 2021, we announced that we submitted our formal response to the FDA’s request for additional information.</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14, 2021, the Centers for Medicare &amp; Medicaid Services, or CMS, issued the final rule (CMS-3372-F), 42 C.F.R. § 405.603 on the new Medicare coverage pathway referred to as Medicare Coverage of Innovative Technology, or MCIT, for FDA-designated breakthrough medical devices. The MCIT rule will provide national Medicare coverage as early as the same day as FDA market authorization for breakthrough devices and coverage would last for four years. To be eligible for coverage through MCIT, the breakthrough device must be used for the FDA approved or cleared indication(s) for use and receive FDA clearance. Manufacturers will be able to opt in to MCIT and choose a start date for coverage anytime within two years from the date of FDA market authorization, but coverage will only be valid for four years from market authorization regardless of opt in date. At the end of the four year period, manufacturers are expected to have obtained coding for the specific product which can then be used as the reimbursement pathway for commercial payers. We are working to understand current Medicare requirements and policies for coverage, coding, and payment of durable medical equipment and assess how the PoNS device may be treated with respect to coding, coverage, and reimbursement under the Medicare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mmTBI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and clearance of the PoNS device from the FDA for the treatment of balance deficit due to mmTBI.</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In April 2019, we announced the FDA had completed its review and had denied our request for de novo classification and clearance of the PoNS device for the treatment of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receipt of the FDA’s final minutes from the pre-submission meeting, we finalized our clinical protocol for a new trial, TBI-002, intended to support a request for de novo classification and clearance of the PoNS device. TBI-002 will be a multi-center, randomized trial in the U.S. and Canada consisting of 103 subjects with balance deficit due to mmTBI. Although TBI-002 will take longer and be more costly than the design that we had discussed at our October 2019 pre-submission meeting, we believe that the chances of obtaining FDA de novo classification and clearance will be significantly increased if we incorporate the FDA’s pre-submission feedback into this next trial design.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TBI-002 will proceed in two phases: a run-in phase, followed by a treatment phase. During the run-in phase, all subjects will receive 5 weeks of physical therapy alone. Subjects will then be randomized and assigned to one of two groups in the treatment phase where subjects will either receive up to 10 weeks of physical therapy with the PoNS device or 10 weeks of physical therapy without the PoNS device. The primary effectiveness endpoint of TBI-002 will be a responder analysis.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COVID-19 pandemic, our expectation was that we would move forward with the revised protocol and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looking at other indications, including stroke, cerebral palsy, Parkinson’s disease, baby boomers balance, and neurological wellness.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European Regulatory Status</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231F20"/>
        </w:rPr>
        <w:t xml:space="preserve">In December 2018, we submitted an application for a CE Mark, which, if approved, would allow us to market the PoNS device in the EU. </w:t>
      </w:r>
      <w:r>
        <w:rPr>
          <w:rFonts w:ascii="Arial" w:cs="Arial" w:eastAsia="Arial" w:hAnsi="Arial"/>
          <w:sz w:val="18"/>
          <w:szCs w:val="18"/>
          <w:color w:val="000000"/>
        </w:rPr>
        <w:t>During the</w:t>
      </w:r>
      <w:r>
        <w:rPr>
          <w:rFonts w:ascii="Arial" w:cs="Arial" w:eastAsia="Arial" w:hAnsi="Arial"/>
          <w:sz w:val="18"/>
          <w:szCs w:val="18"/>
          <w:color w:val="231F20"/>
        </w:rPr>
        <w:t xml:space="preserve"> </w:t>
      </w:r>
      <w:r>
        <w:rPr>
          <w:rFonts w:ascii="Arial" w:cs="Arial" w:eastAsia="Arial" w:hAnsi="Arial"/>
          <w:sz w:val="18"/>
          <w:szCs w:val="18"/>
          <w:color w:val="000000"/>
        </w:rPr>
        <w:t xml:space="preserve">second quarter of 2019, we engaged with regulators in Europe to answer questions that we received from them as part of their review of our PoNS device for CE marking. </w:t>
      </w:r>
      <w:r>
        <w:rPr>
          <w:rFonts w:ascii="Arial" w:cs="Arial" w:eastAsia="Arial" w:hAnsi="Arial"/>
          <w:sz w:val="18"/>
          <w:szCs w:val="18"/>
          <w:color w:val="231F20"/>
        </w:rPr>
        <w:t>In August 2019, we withdrew our</w:t>
      </w:r>
      <w:r>
        <w:rPr>
          <w:rFonts w:ascii="Arial" w:cs="Arial" w:eastAsia="Arial" w:hAnsi="Arial"/>
          <w:sz w:val="18"/>
          <w:szCs w:val="18"/>
          <w:color w:val="000000"/>
        </w:rPr>
        <w:t xml:space="preserve"> application from the EU marketing process due to uncertainty in Europe caused by the switch from the Medical Device Directive, or MDD, to the Medical Device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ind w:right="160"/>
        <w:spacing w:after="0" w:line="263" w:lineRule="auto"/>
        <w:rPr>
          <w:sz w:val="20"/>
          <w:szCs w:val="20"/>
          <w:color w:val="auto"/>
        </w:rPr>
      </w:pPr>
      <w:r>
        <w:rPr>
          <w:rFonts w:ascii="Arial" w:cs="Arial" w:eastAsia="Arial" w:hAnsi="Arial"/>
          <w:sz w:val="18"/>
          <w:szCs w:val="18"/>
          <w:color w:val="auto"/>
        </w:rPr>
        <w:t>Regulation, or MDR, Brexit, and the withdrawal of Lloyd’s Register Quality Assurance, our notified body, from the EU notified body business. We have engaged G-MED NA (North America) as our new ISO registrar and new notified body and will reconsider submitting to the EU when conditions stabilize.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Australian Regulatory Status</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the third quarter of 2019, we initiated the submission of our application to the TGA. We supplemented our submission with additional data based on questions supplied to date and provided responses to additional questions during the third quarter of 2020. We are currently awaiting additional feedback from the TGA on our application.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 and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Army Partnership</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Between 2013 and 2015, we entered into a series of agreements with the U.S. Army to determine if the PoNS Treatment could be developed for commercial use in the treatment of service members with balance deficit related to mmTBI, or the U.S. Army Agreement. Under the U.S. Army Agreement, we were the sole regulatory sponsor and oversaw and executed all required clinical studies. The U.S. Army reimbursed us for the initially budgeted costs related to the registrational clinical trial of the safety and effectiveness of the PoNS Treatment for balance deficits related to mmTBI, up to a maximum amount of $3.0 million.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2018, the U.S. Army Combat Capabilities Development Command Army Research Laboratories, or Army Laboratories, notified us of their intention to terminate the Master Cooperative Research and Development Agreement, or the CRADA, effective December 31, 2018. In December 2018, the U.S. Army notified us that it was amending the U.S. Army Agreement to provide that our obligations under the contract were satisfied upon our submission of an application for marketing authorization of the PoNS device to the FDA.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satisfaction of the U.S. Army Agreement and the termination of the CRADA concluded our formal contractual relationships with the U.S. Army. We are currently focusing on partnering with the relevant departments in the U.S. Department of Defense, or DOD, and U.S. Department of Veterans Affairs, or Veterans Affairs and other independent advocacy groups, to obtain reimbursement, upon FDA marketing authorization, for U.S. military personnel using our PoNS Treatment.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we received a total of approximately $3.0 million with respect to reimbursements for expenses owed to us for completion of development milestones. All reimbursement amounts received were credited directly to research and development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Strategic Alliance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2018, we entered into an exclusive strategic alliance agreement with Health Tech Connex, Inc., or HTC, and Heuro Canada Inc., or Heuro, a newly formed wholly owned subsidiary of HTC, to establish three founding clinics to treat patients and create a replicable model for future clinic expansion. Under the terms of the agreement, the parties developed a clinic system to facilitate the commercialization of the PoNS Treatment in Canada. Under the terms of the agreement, the parties contracted with the clinics and developed a model for the clinics to deliver clinical services, featuring the PoNS Treatment, to manage neurological conditions.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2019, we entered into the clinic expansion phase of the alliance with the addition of up to three new PoNS authorized clinics, bringing the total number of clinics authorized to treat patients with the PoNS device to five in Canada.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October 30, 2019, the exclusive strategic alliance agreement provided for HTC to pay us CAD$750 thousand in three annual payments of CAD$250 thousand beginning December 31, 2019, in consideration for the exclusivity right we granted to Heuro. We and HTC governed the agreement through a joint steering committee, and each funded up to 50% of Heuro’s operating budget as agreed to by the joint steering committee and shared in the net profits and losses of Heuro on a 50/50 basis.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2019, we engaged with HTC through the joint steering committee in discussions regarding the future development of the commercialization of the PoNS device and PoNS Treatment in Canada. As we worked with Heuro to expand the commercial infrastructure, the complexity and feasibility of using a franchise model to build a market for PoNS including the physical therapy component became challenging. By acquiring Heuro, as noted below, we were able to streamline the decision-making process and increase our ability to react to evolving market factors as the market for the PoNS Treatment is being developed.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7"/>
          <w:szCs w:val="17"/>
          <w:color w:val="auto"/>
        </w:rPr>
        <w:t>On October 30, 2019, we and HTC entered into a Share Purchase Agreement, or the SPA, whereby we, through our wholly owned subsidiary, acquired Heuro from HTC. Under the terms of the SPA, total consideration of approximately $1.6 million was paid to HTC, which included (1) the repayment to HTC for their investment in the set-up of Heuro’s initial commercial infrastructure including the establishment of five authorized PoNS clinics across Canada, (2) the current market value of 55 PoNS devices which we also are to provide to HTC under the SPA, (3) the CAD$750 thousand receivable from the September 2018 strategic alliance agreement and (4) the sale of exclusivity rights granted to HTC in the Co-Promotion Agreement, as defined below, to provide PoNS Treatment in the Fraser Valley and Vancouver metro regions of British Columbia.</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Share Purchase Agreement, on October 30, 2019, we entered into a Clinical Research and Co-Promotion Agreement with HTC, or the Co-Promotion Agreement, whereby each company will promote the sales of the PoNS Treatment and the NeuroCatch</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device throughout Canada. This co-promotion arrangement terminates upon the earlier of the collection of data from 200 patients in Canada and December 31, 2020. The co-promotion arrangement terminated on December 31, 2020. Also, subject to certain terms and conditions, we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us and on terms no less favorable than the then-current standard terms and conditions. This exclusivity right has an initial term of ten years, renewable by HTC for one additional ten year term upon sixty days’ written notice to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A&amp;B Asset Purchase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2015, we entered into a strategic agreement with A&amp;B (HK) Company Ltd., or A&amp;B, an investment and development company based in Hong Kong for the development and commercialization of the PoNS Treatment in China, Hong Kong, Macau, Taiwan and Singapore, collectively referred to as the Territories. The agreement transferred ownership of certain of our Asian patents, patent applications, and product support material for the PoNS device from us to A&amp;B and granted to A&amp;B, among other things, an exclusive license to market, promote, distribute and sell the PoNS device solely within the Territories. Pursuant to the agreement, A&amp;B has assumed all development, patent (both application and defense), future manufacturing, clinical trial, and regulatory clearance costs for the Territories. A&amp;B and us will share and transfer ownership of any intellectual property or support material (developed by either party) for each of our respective geographies.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agreement, A&amp;B agreed to provide us with a $7.0 million funding commitment, consisting of an initial $2.0 million convertible promissory note and a $5.0 million funding commitment. On October 9, 2015, we received the conversion notice on the promissory note and, on November 10, 2015, we issued 11,904 shares of common stock at a price of $168.00 per share and 5,952 warrants exercisable at $252.00 per share for a period of three years from the date of issuance. On December 29, 2015, we drew down the $5.0 million funding commitment through the January 7, 2016 issuance of 31,746 shares of common stock at a price of $157.50 per share and 15,873 warrants exercisable at $236.25 per share for a period of three years from the date of issuance. In November 2017, A&amp;B exercised 5,952 warrants at a price of $252.00 per share and we received gross proceeds of $1.5 million. During the first quarter of 2018, A&amp;B exercised its remaining 15,873 warrants at a price of $236.25 per share and we received gross proceeds of $3.8 million.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A&amp;B executed a transfer agreement whereby A&amp;B transferred all the assets under the A&amp;B asset purchase agreement with us to China Medical Systems Medical Limited, or CMS, a Malaysian based Hong Kong listed company and an affiliate of A&amp;B. In February 2019, we executed a novation deed whereby CMS irrevocably assigned and transferred all of its rights, obligations and assets under the transfer agreement to CMS Medical Hong Kong Limited, a Hong Kong-based investment holding company principally engaged in the manufacture, marketing, promotion and sales of pharmaceutical products. We are currently working with CMS in providing regulatory support of its application to the National Medical Products Administration for marketing authorization in China.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Manufacturing and Logistics Services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we entered into an agreement with Cambridge Consultants LLC, or Cambridge, pursuant to which Cambridge assumed responsibilities for key aspects of the design and development of the PoNS device. As part of the agreement, Cambridge will validate the performance of the engineering, design verification testing and product documentation to support our FDA submission. Cambridge will also assist us in the identification of, and transition to, our commercial-scale manufacturer.</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29, 2017, we selected Key Tronic Corporation, or Key Tronic, as our contract-manufacturing partner for the PoNS device after a competitive selection process. The commercial design of the PoNS device is manufactured and assembled at Key Tronic’s facilities located in Oakdale, Minnesota. Key Tronic manufactured devices for engineering and design verification testing and for our FDA submission as well as commercial devices for launch inventory. Key Tronic has multiple locations across the United States, Mexico and China with back-up manufacturing capabilities to help mitigate the risk of a single source provider. We remain ultimately responsible for the compliance of our submissions and products, and activities performed on our behalf.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We place an emphasis on protecting our patented technology, trade secrets and know-how and only share confidential information on an as needed basis. Key Tronic is registered as a medical device manufacturer in good standing with the FDA and along with Cambridge are certified in accordance with International Organization for Standardization, or ISO, 13485, a comprehensive quality management system for the design and manufacture of medical devices.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30, 2016, HMI received our ISO 13485:2003 certification, which was updated to the 2016 version of the standard during the fourth quarter of 2018 along with receiving our Medical Device Single Audit Plan, or MDSAP, for the United States and Canada, with the scope of the MDSAP certification expanded to include Australia during the third quarter of 2019.</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2019, we entered into an agreement with McKesson Specialty Care Distribution LLC, or McKesson, pursuant to which McKesson will provide a comprehensive array of logistical, account management and related distribution services for the commercialization of the PoNS device in the United States. This agreement was terminated in the second quarter of 2019 following the FDA’s denial of our request for de novo classification and clearance of the PoNS device for mmTBI.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Commercialization Efforts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a real-world results perspective, in Canada thus far, the collective experience of our patients that have completed the 14-week PoNS Treatment have been encouraging. Consistent with what we saw in our two clinical trials, one for 5 weeks and the other for 14 weeks, commercial MS and TBI patients are demonstrating improvements in balance and gait within the first two weeks followed by continued improvement over the following twelve weeks. The majority of patients have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PoNS Treatment in Canada.</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March 2019 marked the commercialization of our PoNS Treatment in Canada, where PoNS became the first and only device authorized by Health Canada for the treatment of balance deficit due to mmTBI. Throughout 2019, we made important progress in advancing and refining our commercialization strategy in Canada building access, awareness and credibility for the PoNS Treatment. These efforts, which were led by our local Canadian commercial team, included the establishment of our authorized clinic network throughout Canada, launching digital marketing campaigns, and building key opinion leader and advocacy networks.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third quarter of 2019, we made the strategic decision to change our business model in Canada in order to accelerate the adoption of our novel technology. On October 30, 2019, we acquired the Heuro Canada operating entity from HTC which allowed us to streamline the decision-making process and increase our ability to react to evolving market factors as the market for the PoNS Treatment is being developed.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18, 2020, the Company received notification that its Canadian Class II license amendment application for the treatment of gait deficit in patients with mild and moderate symptoms from MS, when used in conjunction with physical therapy, was successful and received marketing authorization for PoNS from Health Canada.</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in-depth market analysis and field intelligence, our Canadian commercial team began an expansion plan to increase the number of authorized PoNS clinics. In the first two months of 2020, we authorized 7 new clinic locations for a total of 14 clinic locations to provide PoNS Treatment across Canada. As of June 30, 2020, we had 20 clinic locations which we increased to 22 clinic locations as of September 30, 2020 and to 31 clinic locations as of December 31, 2020. Beginning in 2021, in addition to continuing to increase the number of clinic locations, we have shifted our focus to driving patient throughput to these 31 clinics. Sales performance in Canada continues to be impacted by the COVID-19 pandemic due to the space restrictions that the provincial governments have imposed as well as the risk tolerance of patients and therapists.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collaboration with Toronto Rehabilitation Institute (part of University Health Network) we are continuing our clinical experience program, the results of which we will look to publish in 2021.</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continue to refine our go-to-market pricing model based on direct market feedback. Our modified pricing approach is focused on reducing the need for clinics and patients to pay large, upfront costs at the start of treatment. We have also experimented with various promotional pricing programs resulting in lower unit prices for both PoNS system purchases and mouthpieces in order to increase access to the PoNS treatment and drive market awareness which we expect to result in an increase in the volume of units sold, which was seen in the second half of 2020 when compared to the second half of 2019. We intend to keep the promotional pricing in place at least through the first half of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The value dossiers for mmTBI and MS that were created in mid-2020 to fully demonstrate in both scientific and financial terms, the merits of PoNS Treatment for claimants are now being implemented along with submissions from clinics on behalf of their patients. The dossier is provided to our clinics across Canada to submit as part of treatment plans with reimbursement applications to the payer community. Our reimbursement strategy for mmTBI continues to focus on the auto collision insurance and workers’ compensation, or WC, market as well as long-term disability cases. Our reimbursement strategy for MS is focused on commercial insurers/extended health benefits.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overall PoNS Treatment strategy, we are also gathering comprehensive health economic assessments of treatment outcomes. These data will, in-turn, be used to support our applications for workers compensation, auto insurance and commercial insurance reimbursement initiatives in Canada, the United States and other markets around the world. The Canadian commercial experience will be extremely valuable to prepare us for our launches in the United States and internationally.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Pre-Commercialization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United States, the PoNS device is an investigational device pending our request to the FDA for de novo classification and clearance of the PoNS device for the treatment of gait deficit due to symptoms from MS, to be used as an adjunct to a supervised therapeutic exercise program which was submitted on August 4, 2020.</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this pre-commercial phase, we are working on the development of our commercial strategy focused on working with CMS on attaining four years of Medicare coverage under the MCIT pathway for PoNS as a breakthrough designated device, attaining distribution licenses and beginning to build relationships with key large neurorehabilitation centers, which focus on treatment of MS patients. We continue to generate important data on outcomes of the PoNS Treatment gathered from Real World Evidence generated from treatment of patients in Canada and ensuring that our scientific data is presented at many of the key national and international neurology and neuromodulation meetings. We believe this scientific dissemination will begin to pave the way to establishing the PoNS Treatment as the standard of care for the treatment of MS-related gait deficit following FDA marketing authorization, if received.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Clinical Experience Programs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2018, we initiated a series of clinical experience programs, or CEPs, to prepare for a potential U.S. commercial launch. Originally, our CEPs were designed learn from and build relationships with large key neurorehabilitation clinics, train and certify physical therapists and generate health economic, return-to-work and clinical data to inform our payer strategy.</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Overall, we enrolled five clinic centers in the U.S. to carry out the CEPs: the </w:t>
      </w:r>
      <w:r>
        <w:rPr>
          <w:rFonts w:ascii="Arial" w:cs="Arial" w:eastAsia="Arial" w:hAnsi="Arial"/>
          <w:sz w:val="16"/>
          <w:szCs w:val="16"/>
          <w:color w:val="231F20"/>
        </w:rPr>
        <w:t>Ohio State University Wexner Medical Center, a leading neurorehabilitation</w:t>
      </w:r>
      <w:r>
        <w:rPr>
          <w:rFonts w:ascii="Arial" w:cs="Arial" w:eastAsia="Arial" w:hAnsi="Arial"/>
          <w:sz w:val="16"/>
          <w:szCs w:val="16"/>
          <w:color w:val="auto"/>
        </w:rPr>
        <w:t xml:space="preserve"> </w:t>
      </w:r>
      <w:r>
        <w:rPr>
          <w:rFonts w:ascii="Arial" w:cs="Arial" w:eastAsia="Arial" w:hAnsi="Arial"/>
          <w:sz w:val="16"/>
          <w:szCs w:val="16"/>
          <w:color w:val="231F20"/>
        </w:rPr>
        <w:t>center located in Columbus, OH; Northwell Health’s Feinstein Institute for Medical Research in Manhasset, NY; Oregon Health &amp; Science University in Portland, OR; Kessler Institute for Rehabilitation and Kessler Foundation in Hanover, NJ; and the Baylor Research Institute in Dallas, TX.</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receipt of Canadian marketing authorization of our PoNS device earlier than anticipated, we were able rely on our early Canadian commercialization activities to provide us with the health economic, return-to-work and clinical data that we had planned to generate in the CEPs.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While we cancelled the CEP programs during 2019 after the denial by FDA for the mmTBI indication, we have maintained solid relationships with the U.S. sites and expect several to become clinical trial sites for TBI-002, if pursued based on the availability of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Commercialization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commercialize the PoNS Treatment in the United States following FDA marketing authorization, if received, we plan to target a subset of neurorehabilitation centers that have been profiled as early adopters to develop a network of PoNS certified neurorehabilitation centers that will be trained to deliver the PoNS Treatment. Care of patients with MS is concentrated in major neurorehabilitation centers that often have a network of outpatient rehabilitation clinics, where most of the PoNS Treatment will take place. We believe that a small, specialty sales force, calling on new technology review boards for trial and in-house physicians, neurologists, physiatrists and physical therapists, will be sufficient to drive trial and adoption of the PoNS Treatment in certified neurorehabilitation centers. Importantly, this focused strategy will also allow us to inspect whether we are generating patient outcomes similar to those seen in our clinical trials.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planning to pursue Medicare coverage for PoNS under the CMS voluntary MCIT program within the Durable Medical Equipment, or DME, benefit category. While there are no currently applicable Healthcare Common Procedure Coding System, or HCPCS, codes to describe the PoNS system or Mouthpiece, our expectation is that we will use miscellaneous codes – E1399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spacing w:after="0" w:line="290" w:lineRule="auto"/>
        <w:rPr>
          <w:sz w:val="20"/>
          <w:szCs w:val="20"/>
          <w:color w:val="auto"/>
        </w:rPr>
      </w:pPr>
      <w:r>
        <w:rPr>
          <w:rFonts w:ascii="Arial" w:cs="Arial" w:eastAsia="Arial" w:hAnsi="Arial"/>
          <w:sz w:val="16"/>
          <w:szCs w:val="16"/>
          <w:color w:val="auto"/>
        </w:rPr>
        <w:t>(Miscellaneous durable medical equipment) and A9999 (Miscellaneous DME supply or accessory, not otherwise specified) until specific HCPCS codes are created. We intend to apply for a unique HCPCS code upon FDA authorization, if received, based on timing of our anticipated clearance. We also intend to provide broad access and reimbursement for the PoNS Treatment over time through Commercial insurers. At launch, prior to the initiation of CMS or broad payer coverage, we anticipate the primary source of sales will be self-pay patients. We will support the cost of the PoNS Treatment by collaborating with third parties to provide self-pay patients with financing options as well as working with advocacy groups and charitable organizations to help self-pay patients access our technology. In general, we anticipate at least a 24-month window to obtain broad coverage and reimbursement among government and private payers. We plan to work in parallel with non-traditional payers, such as WC, auto insurance and the military, by engaging with them and providing them with relevant health economic and return-to-work data obtained through our Canadian commercial experience.</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the satisfaction of our clinical development contract with the U.S. Army, we are focusing on partnering with relevant departments in the DOD and Veterans Affairs to obtain reimbursement, upon FDA marketing authorization, for U.S. military personnel using our PoNS Treatment. These two initiatives, among others, offer the potential to expand access more expeditiously to these high-unmet need patient populations.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in Other Markets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submitted an application for a CE Mark in December 2018. In preparation for our launch in the United Kingdom, or UK, and the EU, we entered into a consulting agreement with a UK-based company with expertise in the development of new services in the healthcare industry to leverage local market insights to develop a comprehensive commercialization strategy and tactical plan for launch of the PoNS Treatment in the UK. As previously described, in August 2019, we withdrew our application from the EU marketing and will revisit our UK and EU commercialization upon receipt of marketing clearance.</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submitted an application to the TGA in Australia during the third quarter of 2019. We supplemented our submission with additional data based on questions supplied to date and provided responses to additional questions during the third quarter of 2020. We are currently awaiting additional feedback from the TGA on our application. We are working with consultants in Australia with expertise in market development to build our go-to-market strategy.</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have marketing authorization to commercialize the PoNS Treatment in Russia and Uzbekistan. To date, we have not delivered any commercial devices in any of these territories and we will re-evaluate our strategic opportunities again at a later point in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adversely impacted by the COVID-19 pandemic and global economic conditions. The outbreak and spread of COVID-19 has significantly increased economic uncertainty. Authorities implemented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limited operations to 50% capacity during the second half of 2020. Some patients have begun to return to these clinics for treatment, but patients have been and may continue to be less willing to return to the clinics due to COVID-19, impacting our commercial activities and our customer engagement efforts. We have expanded our services to include remote training and treatment, but the long-term viability of these remote programs is still being assessed. In addition, the resurgence of COVID-19 cases across Canada in the fourth quarter of 2020 has led to further restrictions on clinic activities.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while we do not currently have any clinical trials underway, we are running clinical experience programs in Canada and have experienced delays in the programs as trial participant attendance has generally decreased as a result of the pandemic, and clinics and clinical research sites have experienced delays and difficulties in recruiting and re-hiring clinical site staff, leading to further delays in the development and approval of the Company’s product candidate. As noted above, prior to the COVID-19 pandemic, our expectation was that we would move forward with the launch of our TBI-002 trial and we had estimated that enrollment would begin in April 2020 with the completion of the trial and submission to the FDA in the second quarter of 2021. The launch of the TBI-002 trial has been temporarily suspended and we are evaluating our options for funding and timing to commence the trial, while also evaluating the potential pursuit of other indications.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COVID-19 pandemic and other outbreaks may cause delays in or the suspension of our business partners manufacturing operations, our research and product development activities, our regulatory workstreams, our research and development activities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other important commercial functions. We are also dependent upon our suppliers for the manufacture of our PoNS device, and in the second quarter of 2020, two of our business partners diverted resources towards other activities related to COVID-19, resulting in delays in the development and manufacturing of our product.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the Company’s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extent to which the COVID-19 pandemic will continue to impact our business, results of operations and financial condition will depend on future developments, which are highly uncertain and cannot be predicted. We do not know yet the full extent of the impact of COVID-19 on its business, operations or the global economy as a whole.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Reimbursement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non-traditional payers may be among the earliest to provide coverage and reimbursement for the PoNS Treatment. Therefore, we are considering focusing initially on gaining coverage for the PoNS Treatment through WC payers. WC is an entitlement for injured workers, and payers are responsible for both medical and indemnity claims. Because these payers are responsible for both medical expenses and lost wages, they have an incentive to seek ways to help injured workers to return to work. As part of our commercial treatment program in Canada, we will collect both outcomes and return to work data, which we plan to utilize with WC payers to demonstrate both the clinical and economic value associated with the PoNS Treatment.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Reimbursement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 the clearance of the PoNS device for FDA marketing authorization, if received, we plan to engage with select payer segments to obtain coverage and reimbursement for the PoNS Treatment. We intend to combine evidence from our clinical trials and real-world experience from commercial clinics in Canada, to demonstrate the value proposition of the PoNS Treatment to payers and support favorable coverage and reimbursement decisions.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 CMS Medicare coverage pathway, MCIT, for FDA-designated breakthrough medical devices will be our primary initial pathway for MS. The MCIT rule will provide national Medicare coverage as early as the same day as FDA market authorization for breakthrough devices and coverage would last for four years. Once we are able to secure reimbursement through the MCIT pathway, we expect this will increase engagement with commercial payers to accelerate coverage.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Similarly, military payers have an interest in reducing both medical costs and shortening the time to return to work for people who were injured while serving our country. We are working toward establishing relationships with thought leaders affiliated with the Department of Defense and Veterans Affairs, and will focus on obtaining reimbursement through this payer segment upon clearance for mmTBI, if received. We anticipate that the same clinical and economic evidence that we will use with WC payers will also help to support gaining coverage and reimbursement for the PoNS Treatment military payers.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neurostimulation market is predominantly comprised of invasive technologies that are not directly competitive with our technology. Our competitors in the industry are predominantly large, publicly-traded companies that have a history in the market, have significantly easier access to capital and other resources and have an established product pipeline. The combined clinical research and product development done by the industry, including by us and all of our competitors, is uncovering the beneficial effects of neurostimulation which now establishes neuromodulation as a valid and scientifically supported approach to the treatment of neurological conditions, and accordingly, we expect for competition in the non-invasive space to grow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However, we believe that we will have the first-mover advantage in the non-invasive neurostimulation space.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PoNS Treatment introduces an innovative target and method of stimulation, because targeting the tongue for neurostimulation provides several advantages that competitively distinguish the PoNS Treatment, which are discussed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Advantages of the PoNS Treatment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PoNS Treatment offers the following benefits over existing neurostimulation technologies:</w:t>
      </w:r>
    </w:p>
    <w:p>
      <w:pPr>
        <w:spacing w:after="0" w:line="225" w:lineRule="exact"/>
        <w:rPr>
          <w:sz w:val="20"/>
          <w:szCs w:val="20"/>
          <w:color w:val="auto"/>
        </w:rPr>
      </w:pPr>
    </w:p>
    <w:p>
      <w:pPr>
        <w:jc w:val="both"/>
        <w:ind w:left="1000" w:hanging="493"/>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PoNS Treatment stimulates the trigeminal nerve which developing science has implicated to be beneficial in some neurological disorder models. The PoNS Treatment stimulates the lingual part of the nerve through the tongue, while other technologies stimulate other branches of the trigeminal nerve. It is the largest branch, having the highest amount of nerve fibers of the three branches. We believe this will be an advantage in our therapy.</w:t>
      </w:r>
    </w:p>
    <w:p>
      <w:pPr>
        <w:spacing w:after="0" w:line="186"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Stimulating the tongue also allows for the simultaneous stimulation of a second cranial nerve found in the tongue, the facial nerve. The ability to stimulate more than one nerve alone differentiates us from our competition. However, it has not been scientifically proven that stimulating additional nerves adds to the efficacy or safety of the PoNS Treatment.</w:t>
      </w:r>
    </w:p>
    <w:p>
      <w:pPr>
        <w:spacing w:after="0" w:line="183"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tongue has an anatomically unique surface with a high density of receptors, a consistently moist and conductive environment, constant pH, constant temperature and a direct connection to the brain through at least two cranial nerves.</w:t>
      </w:r>
    </w:p>
    <w:p>
      <w:pPr>
        <w:spacing w:after="0" w:line="170"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Scientific studies suggest that the trigeminal cranial nerves offer a high-bandwidth pathway for impulses to directly affect the central nervous system. The trigeminal nerves project directly onto several areas of the brain, primarily the brainstem (trigeminal and solitary nuclei), cerebellum, cochlear nuclei and spinal cord. Secondary targets include the limbic system, basal ganglia and thalamus. We believe that this range of projections will allow impulses to be sent through sites regulating dozens of functions.</w:t>
      </w:r>
    </w:p>
    <w:p>
      <w:pPr>
        <w:spacing w:after="0" w:line="186" w:lineRule="exact"/>
        <w:rPr>
          <w:rFonts w:ascii="Arial" w:cs="Arial" w:eastAsia="Arial" w:hAnsi="Arial"/>
          <w:sz w:val="18"/>
          <w:szCs w:val="18"/>
          <w:color w:val="auto"/>
        </w:rPr>
      </w:pPr>
    </w:p>
    <w:p>
      <w:pPr>
        <w:jc w:val="both"/>
        <w:ind w:left="1000" w:right="20" w:hanging="493"/>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Unlike deep brain stimulation devices, implantable vagal nerve devices and other invasive forms of electrical stimulation, the tongue allows for neurostimulation to be delivered non-invasively and portably. This opens the door for the integration of neurostimulation with a wide range of therapies previously unexplored for neurological rehabilitation.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Second Amended and Restated Patent Sub-License, or the Sublicense Agreement, dated June 6, 2014 entered into between Advanced NeuroRehabilitation LLC, or ANR, and HMI, ANR has granted HMI a worldwide, exclusive license to make, have made, use, lease and sell devices utilizing certain patent applications, which are collectively referred to as the “Patent Pending Rights.” The Patent Pending Rights relate to the PoNS device and include the following patents and patent applications, which cover a device that noninvasively delivers neurostimulation through the skin or intra-orally to the brain stem via various nerves including the trigeminal and facial nerves: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U.S. Patent</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U.S.</w:t>
            </w: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Issue Date</w:t>
            </w:r>
          </w:p>
        </w:tc>
        <w:tc>
          <w:tcPr>
            <w:tcW w:w="470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Patent No.</w:t>
            </w:r>
          </w:p>
        </w:tc>
        <w:tc>
          <w:tcPr>
            <w:tcW w:w="1180" w:type="dxa"/>
            <w:vAlign w:val="bottom"/>
            <w:gridSpan w:val="2"/>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12/348,301</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1/4/2009</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8,849,407</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9/30/2014</w:t>
            </w:r>
          </w:p>
        </w:tc>
        <w:tc>
          <w:tcPr>
            <w:tcW w:w="180" w:type="dxa"/>
            <w:vAlign w:val="bottom"/>
            <w:tcBorders>
              <w:top w:val="single" w:sz="8" w:color="CFF0FC"/>
            </w:tcBorders>
            <w:shd w:val="clear" w:color="auto" w:fill="CFF0FC"/>
          </w:tcPr>
          <w:p>
            <w:pPr>
              <w:spacing w:after="0"/>
              <w:rPr>
                <w:sz w:val="18"/>
                <w:szCs w:val="18"/>
                <w:color w:val="auto"/>
              </w:rPr>
            </w:pPr>
          </w:p>
        </w:tc>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non-invasive neurostimulation of the skin combined with</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3"/>
              </w:rPr>
              <w:t>simultaneous physical therapy to provide neurorehabilitation of</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6"/>
              </w:rPr>
              <w:t>a patient to treat various maladies including, e.g., TBI, stroke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and Alzheimer’s disease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14/340,144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7/24/2014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8,909,345</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12/9/2014</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non-invasive neurostimulation within a patient’s mouth</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6"/>
              </w:rPr>
              <w:t>combined with physical therapy to provide neurorehabilitation</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2"/>
              </w:rPr>
              <w:t>of a patient to treat various maladies including, e.g., TBI, stroke,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and Alzheimer’s disease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14/341,141</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7/25/2014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9,020,612</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4/28/2015</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non-invasive neurostimulation within a patient’s mouth</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4"/>
              </w:rPr>
              <w:t>combined with cognitive therapy to provide neurorehabilitation</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5"/>
              </w:rPr>
              <w:t>of a patient resulting in improved reading comprehension and</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increased attention span as well as the treatment various</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maladies including, but not limited to, TBI, stroke, and</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Alzheimer’s disease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14/615,766</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2/6/2015</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9,656,078</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5/23/2017</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non-invasive neurostimulation within a patient’s mouth</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combined with stimulation of the patient’s vision, hearing,</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1"/>
              </w:rPr>
              <w:t>vestibular systems, or somatosensory systems for the treatment</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of tinnitus</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14/689,462</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4/17/2015</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9,597,501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3/21/2017</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3"/>
              </w:rPr>
              <w:t>non-invasive neurostimulation of a patient’s skin combined with</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cognitive therapy to provide neurorehabilitation of a patient</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8"/>
              </w:rPr>
              <w:t>resulting in improved reading comprehension and increased</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attention span as well as the treatment various maladies</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including, e.g., TBI, stroke, and Alzheimer’s disease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14/815,171</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7/31/2015</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9,597,504</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3/21/2017</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6"/>
              </w:rPr>
              <w:t>non-invasive neurostimulation of a patient’s mouth combined</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6"/>
              </w:rPr>
              <w:t>with therapy to provide neurorehabilitation of a patient, with a</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focus on features of a neurostimulation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15/207,029</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7/11/2016</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9,656,069</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5/23/2017</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7"/>
              </w:rPr>
              <w:t>non-invasive neurostimulation of a subject’s oral cavity while</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88"/>
              </w:rPr>
              <w:t>the subject engages in an exercise in order to enhance a subject’s</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proficiency in the exercise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15/283,894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10/3/2016</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ind w:left="13"/>
              <w:spacing w:after="0"/>
              <w:rPr>
                <w:sz w:val="20"/>
                <w:szCs w:val="20"/>
                <w:color w:val="auto"/>
              </w:rPr>
            </w:pPr>
            <w:r>
              <w:rPr>
                <w:rFonts w:ascii="Arial" w:cs="Arial" w:eastAsia="Arial" w:hAnsi="Arial"/>
                <w:sz w:val="18"/>
                <w:szCs w:val="18"/>
                <w:color w:val="auto"/>
                <w:w w:val="90"/>
              </w:rPr>
              <w:t>10,258,790</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4/16/2019</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5"/>
              </w:rPr>
              <w:t>non-invasive neurostimulation of a subject’s oral cavity or skin</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3"/>
              </w:rPr>
              <w:t>while the subject engages in a physical or cognitive exercise in</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order to enhance a subject’s proficiency in the exercise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15/602,060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5/22/2017</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0"/>
              </w:rPr>
              <w:t>10,328,263</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6/25/2019</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5"/>
              </w:rPr>
              <w:t>non-invasive neurostimulation within a patient’s mouth or on a</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patient’s skin combined with an exercise for treatment of a</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disorder affecting sleep patterns</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61/019,061</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1/4/2008</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Expired</w:t>
            </w: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N/A</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470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8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(Provisional)</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61/020,265</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1/10/2008</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4"/>
              </w:rPr>
              <w:t>Expired</w:t>
            </w:r>
          </w:p>
        </w:tc>
        <w:tc>
          <w:tcPr>
            <w:tcW w:w="120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9"/>
              </w:rPr>
              <w:t>N/A</w:t>
            </w:r>
          </w:p>
        </w:tc>
        <w:tc>
          <w:tcPr>
            <w:tcW w:w="11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rPr>
              <w:t>N/A</w:t>
            </w: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8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3"/>
              </w:rPr>
              <w:t>(Provisional)</w:t>
            </w: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U.S. Patent Nos. 8,909,345; 9,020,612; 9,656,078; 9,597,501; 9,597,504; 9,656,069; 10,258,790; and 10,328,263 claim priority to U.S. Patent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8,849,407.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spacing w:after="0" w:line="275" w:lineRule="auto"/>
        <w:rPr>
          <w:sz w:val="20"/>
          <w:szCs w:val="20"/>
          <w:color w:val="auto"/>
        </w:rPr>
      </w:pPr>
      <w:r>
        <w:rPr>
          <w:rFonts w:ascii="Arial" w:cs="Arial" w:eastAsia="Arial" w:hAnsi="Arial"/>
          <w:sz w:val="17"/>
          <w:szCs w:val="17"/>
          <w:color w:val="auto"/>
        </w:rPr>
        <w:t>A U.S. provisional patent application provides the means to establish an early effective filing date for a later filed nonprovisional patent application. Therefore, though the two provisional applications have expired, they establish a priority date for U.S. Patent Nos. 8,849,407; 8,909,345; 9,020,612; 9,656,078; 9,597,501; 9,597,504; 9,656,069; 10,258,790; and 10,328,263, and any future filings that claim priority. We intend to file additional continuation applications in the United States Patent and Trademark Office, or USPTO, claiming priority to U.S. Provisional Patent Application Nos. 61/019,061 and 61/020,265 to protect other aspects of the PoNS device and related non-invasive neurostimulation techniques.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ANR holds an interest in the Patent Pending Rights pursuant to an exclusive license from the inventors. U.S. Patent Nos. 8,909,345; 9,020,612; 9,656,078; 9,597,501; 9,597,504; 9,656,069; 10,258,790; and 10,328,263 are included in the exclusive license as the exclusive license agreement covers (i) U.S. Patent Application No. 12/348,301 (now U.S. Patent No. 8,849,407) and Provisional Application No. 61/019,061, (ii) any patents issuing therefrom and (iii) any patents claiming priority to U.S. Patent Application No. 12/348,301 or Provisional Application No. 61/019,061, which U.S. Patent Nos. 8,909,345; 9,020,612; 9,656,078; 9,597,501; 9,597,504; 9,656,069; 10,258,790; and 10,328,263 claim priority through such provisional application as well as through Provisional Application 61/020,265.</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ANR has agreed that ownership of any improvements, enhancements or derivative works of the Patent Pending Rights that are developed by HMI or ANR shall be owned by HMI, provided that if HMI decides not to patent such improvements, ANR may choose to pursue patent rights independently. Pursuant to the Sublicense Agreement, HMI has agreed to pay ANR royalties equal to 4% of HMI’s revenues collected from the sale of devices covered by the Patent Pending Rights and services related to the therapy or use of devices covered by the Patent Pending Rights in therapy services. The Sublicense Agreement provides that the sublicense granted by ANR to HMI, if in good standing, shall not be cancelled; limited or impaired in any way should there be a termination of the master license granted by the inventors to ANR, which was acknowledged by the inventors in the Sublicense Agreement. On June 6, 2014, HMI and ANR entered into a second amended and restated sublicense agreement, or the Second Sublicense Agreement, which acknowledges the Reverse Merger (see “Our Corporate History - Acquisition of Helius Medical, Inc and Concurrent Financing” below) and adds us as a party to the agreement.</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license of the Patent Pending Rights is subject to the right of the government of the United States, which funded certain research relating to the development of the PoNS device, to a nonexclusive, non-transferable, irrevocable, paid up license to use the Patent Pending Rights for governmental purposes. In addition, HMI has granted a perpetual, royalty-free license to the Patent Pending Rights back to ANR for non-profit research and development activities, which do not compete with HMI’s business and to produce and derive revenues from devices and services in connection with investigational uses of the PoNS device and related technology.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license of the Patent Pending Rights is also subject to the terms of the CRADA. In the event that we are not willing or unable to commercialize the PoNS technology within four years from the expiration of the CRADA, the Company is required to transfer possession, ownership and sponsorship/holdership of the regulation application, regulatory correspondence and supporting regulatory information related technology to USAMRMC and grant the U.S. Government a non-exclusive, irrevocable license to any patent, copyright, data rights, proprietary information or regulatory information for the U.S. Government to commercialize the technology.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Owned Intellectual Property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9, 2021, we have filed 36 U.S. patent applications related to various technical and ornamental aspects of the PoNS device: 17 non-provisional patent applications that describe various technical features in the current version device and 19 design patent applications describing various ornamental designs. We are the sole assignee for these 36 U.S. patent filings. In addition to the first issued patent (U.S. Patent No. 9,072,889), the USPTO has issued 13 utility patents and 20 design patents as summarized in the table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U.S. Patent</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U.S. Patent</w:t>
            </w: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Issue Date</w:t>
            </w:r>
          </w:p>
        </w:tc>
        <w:tc>
          <w:tcPr>
            <w:tcW w:w="470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Subject Matter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14/558,768</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9,072,889</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7/7/2015</w:t>
            </w:r>
          </w:p>
        </w:tc>
        <w:tc>
          <w:tcPr>
            <w:tcW w:w="180" w:type="dxa"/>
            <w:vAlign w:val="bottom"/>
            <w:tcBorders>
              <w:top w:val="single" w:sz="8" w:color="CFF0FC"/>
            </w:tcBorders>
            <w:shd w:val="clear" w:color="auto" w:fill="CFF0FC"/>
          </w:tcPr>
          <w:p>
            <w:pPr>
              <w:spacing w:after="0"/>
              <w:rPr>
                <w:sz w:val="18"/>
                <w:szCs w:val="18"/>
                <w:color w:val="auto"/>
              </w:rPr>
            </w:pPr>
          </w:p>
        </w:tc>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patent covering overall system design, including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controller and mouthpiece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14/559,123</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9,272,133</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3/1/2016</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covering strain relief mechanisms for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connection between the mouthpiece and the controller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14/558,787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9,227,051</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1/5/2016</w:t>
            </w:r>
          </w:p>
        </w:tc>
        <w:tc>
          <w:tcPr>
            <w:tcW w:w="180" w:type="dxa"/>
            <w:vAlign w:val="bottom"/>
            <w:shd w:val="clear" w:color="auto" w:fill="CFF0FC"/>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shape of the mouthpiece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14/558,789</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9,283,377</w:t>
            </w:r>
          </w:p>
        </w:tc>
        <w:tc>
          <w:tcPr>
            <w:tcW w:w="2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3/15/2016</w:t>
            </w:r>
          </w:p>
        </w:tc>
        <w:tc>
          <w:tcPr>
            <w:tcW w:w="1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covering center of gravity of the mouthpiece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14/559,080</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9,415,209</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8/16/2016</w:t>
            </w:r>
          </w:p>
        </w:tc>
        <w:tc>
          <w:tcPr>
            <w:tcW w:w="180" w:type="dxa"/>
            <w:vAlign w:val="bottom"/>
            <w:shd w:val="clear" w:color="auto" w:fill="CFF0FC"/>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structural support of the mouthpiece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14/559,105</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9,415,210</w:t>
            </w:r>
          </w:p>
        </w:tc>
        <w:tc>
          <w:tcPr>
            <w:tcW w:w="2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8/16/2016</w:t>
            </w:r>
          </w:p>
        </w:tc>
        <w:tc>
          <w:tcPr>
            <w:tcW w:w="1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covering glue wells of the mouthpiece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14/727,100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6/1/2015</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9,616,222</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4/11/2017</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overall system design, including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controller and mechanical details of the mouthpiece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14/558,775</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9,981,127</w:t>
            </w:r>
          </w:p>
        </w:tc>
        <w:tc>
          <w:tcPr>
            <w:tcW w:w="2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5/29/2018</w:t>
            </w:r>
          </w:p>
        </w:tc>
        <w:tc>
          <w:tcPr>
            <w:tcW w:w="18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aspects of the controller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14/558,784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9,789,306</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10/17/2017</w:t>
            </w:r>
          </w:p>
        </w:tc>
        <w:tc>
          <w:tcPr>
            <w:tcW w:w="180" w:type="dxa"/>
            <w:vAlign w:val="bottom"/>
            <w:shd w:val="clear" w:color="auto" w:fill="CFF0FC"/>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authentication techniques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14/559,045</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9,993,640</w:t>
            </w:r>
          </w:p>
        </w:tc>
        <w:tc>
          <w:tcPr>
            <w:tcW w:w="2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6/12/2018</w:t>
            </w:r>
          </w:p>
        </w:tc>
        <w:tc>
          <w:tcPr>
            <w:tcW w:w="1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covering the locators of the mouthpiece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14/559,118</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9,656,060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5/23/2017</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methods of manufacturing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mouthpiece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15/484,077</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4/21/2017</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ind w:left="12"/>
              <w:spacing w:after="0"/>
              <w:rPr>
                <w:sz w:val="20"/>
                <w:szCs w:val="20"/>
                <w:color w:val="auto"/>
              </w:rPr>
            </w:pPr>
            <w:r>
              <w:rPr>
                <w:rFonts w:ascii="Arial" w:cs="Arial" w:eastAsia="Arial" w:hAnsi="Arial"/>
                <w:sz w:val="18"/>
                <w:szCs w:val="18"/>
                <w:color w:val="auto"/>
                <w:w w:val="90"/>
              </w:rPr>
              <w:t>10,258,790</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4/16/2019</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application covering overall system design, including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controller and mechanical details of the mouthpiece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15/602,055</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9/5/2017</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0"/>
              </w:rPr>
              <w:t>10,463,850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11/5/2019</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application covering methods of manufacturing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mouthpiece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16/005,624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6/11/2018</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ind w:left="12"/>
              <w:spacing w:after="0"/>
              <w:rPr>
                <w:sz w:val="20"/>
                <w:szCs w:val="20"/>
                <w:color w:val="auto"/>
              </w:rPr>
            </w:pPr>
            <w:r>
              <w:rPr>
                <w:rFonts w:ascii="Arial" w:cs="Arial" w:eastAsia="Arial" w:hAnsi="Arial"/>
                <w:sz w:val="18"/>
                <w:szCs w:val="18"/>
                <w:color w:val="auto"/>
                <w:w w:val="90"/>
              </w:rPr>
              <w:t>10,709,887</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7/14/2020</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application covering methods of placing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mouthpiece in a patient’s mouth prior to engaging in NINM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16/384,016</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4/15/2019</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7"/>
              </w:rPr>
              <w:t>Pending</w:t>
            </w:r>
          </w:p>
        </w:tc>
        <w:tc>
          <w:tcPr>
            <w:tcW w:w="120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9"/>
              </w:rPr>
              <w:t>N/A</w:t>
            </w:r>
          </w:p>
        </w:tc>
        <w:tc>
          <w:tcPr>
            <w:tcW w:w="11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rPr>
              <w:t>N/A</w:t>
            </w: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application covering overall system design,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5"/>
              </w:rPr>
              <w:t>including controller and mechanical details of the mouthpiece,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where controller and mouthpiece communicate wirelessly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16/376,595</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4/5/2019</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Pending</w:t>
            </w: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N/A</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4700" w:type="dxa"/>
            <w:vAlign w:val="bottom"/>
          </w:tcPr>
          <w:p>
            <w:pPr>
              <w:spacing w:after="0"/>
              <w:rPr>
                <w:sz w:val="20"/>
                <w:szCs w:val="20"/>
                <w:color w:val="auto"/>
              </w:rPr>
            </w:pPr>
            <w:r>
              <w:rPr>
                <w:rFonts w:ascii="Arial" w:cs="Arial" w:eastAsia="Arial" w:hAnsi="Arial"/>
                <w:sz w:val="18"/>
                <w:szCs w:val="18"/>
                <w:color w:val="auto"/>
              </w:rPr>
              <w:t>Utility patent application covering non-invasive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neurostimulation of a subject’s oral cavity or skin while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5"/>
              </w:rPr>
              <w:t>subject engages in a physical or cognitive exercise in order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enhance a subject’s proficiency in the exercise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29/510,741</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0"/>
              </w:rPr>
              <w:t>D750264</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2/23/2016</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9"/>
              </w:rPr>
              <w:t>Design patent covering an alternative version of the current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PoNS device (over-ear double boom design)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29/510,742</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D749746</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2/16/2016</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9"/>
              </w:rPr>
              <w:t>Design patent covering an alternative version of the current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PoNS device (overhead minimal interference design)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29/510,743</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0"/>
              </w:rPr>
              <w:t>D752236</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3/22/2016</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1"/>
              </w:rPr>
              <w:t>Design patent covering system design used in the current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29/510,745</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D750265</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2/23/2016</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0"/>
              </w:rPr>
              <w:t>Design patent covering an alternative mouthpiece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551"/>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U.S. Patent</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U.S. Patent</w:t>
            </w: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Issue Date</w:t>
            </w:r>
          </w:p>
        </w:tc>
        <w:tc>
          <w:tcPr>
            <w:tcW w:w="180" w:type="dxa"/>
            <w:vAlign w:val="bottom"/>
          </w:tcPr>
          <w:p>
            <w:pPr>
              <w:spacing w:after="0"/>
              <w:rPr>
                <w:sz w:val="14"/>
                <w:szCs w:val="1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29/510,754</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D750794</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3/1/2016</w:t>
            </w:r>
          </w:p>
        </w:tc>
        <w:tc>
          <w:tcPr>
            <w:tcW w:w="180" w:type="dxa"/>
            <w:vAlign w:val="bottom"/>
            <w:tcBorders>
              <w:top w:val="single" w:sz="8" w:color="CFF0FC"/>
            </w:tcBorders>
            <w:shd w:val="clear" w:color="auto" w:fill="CFF0FC"/>
          </w:tcPr>
          <w:p>
            <w:pPr>
              <w:spacing w:after="0"/>
              <w:rPr>
                <w:sz w:val="19"/>
                <w:szCs w:val="19"/>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Design patent covering the controller used in the PoNS device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29/510,755</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D751215</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3/8/2016</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Design patent covering an alternative controller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29/510,746</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D750266</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2/23/2016</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29/510,749</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D750268</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2/23/2016</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29/510,747</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D751213</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3/8/2016</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29/510,748</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D750267</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2/23/2016</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29/510,750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D753315</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4/5/2016</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6"/>
              </w:rPr>
              <w:t>Design patent covering mouthpiece used in the current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29/510,751</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D751722</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3/15/2016</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Design patent covering an alternative controller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29/510,752</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D752766</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3/29/2016</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4"/>
              </w:rPr>
              <w:t>Design patent covering an alternative controller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29/510,753</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D753316</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4/5/2016</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Design patent covering an alternative controller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29/510,744</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D760397</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6/28/2016</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7"/>
              </w:rPr>
              <w:t>Design patent covering alternative system design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29/510,756</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D759830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6/21/2016</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7"/>
              </w:rPr>
              <w:t>Design patent covering alternative system design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29/681,984</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2/28/2019</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D891084</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7/28/2020</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2"/>
              </w:rPr>
              <w:t>Design patent covering mouthpiece retainer case design used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the 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29/681,990</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2/28/2019</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D894601</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9/1/2020</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7"/>
              </w:rPr>
              <w:t>Design patent covering carry case design used in the current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29/682,001</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2/28/2019</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2"/>
              </w:rPr>
              <w:t>D907,221</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1/5/2021</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7"/>
              </w:rPr>
              <w:t>Design patent covering alternative system design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11"/>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In addition to our U.S. patents, we have been granted 18 foreign utility patents (eight in Australia, five in Russia, two in Israel, two in Europe (validated in France, Germany, Italy, UK and Spain) and one in Eurasia, or EA, (validated in all eight Eurasian member-states), and 28 foreign design patents (three in Australia, seven in Canada, three in Russia, and fifteen registered community designs in Europe), as detailed in the tables below.</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Foreign Utility Patents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Australian Application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Australian</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180" w:type="dxa"/>
            <w:vAlign w:val="bottom"/>
          </w:tcPr>
          <w:p>
            <w:pPr>
              <w:spacing w:after="0"/>
              <w:rPr>
                <w:sz w:val="14"/>
                <w:szCs w:val="1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2015355211</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6/4/2017</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2015355211</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11/16/2017</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patent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mechanical details of the mouthpiece</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2015355212</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6/4/2017</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2015355212</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12/21/2017</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patent covering center of gravity of the mouthpiece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2017218934</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8/19/2017</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2017218934</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1/3/2018</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Utility patent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mechanical details of the mouthpiece</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2017276270</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12/13/2017</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2017276270</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6/28/2018</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patent covering authentication techniques</w:t>
            </w:r>
          </w:p>
        </w:tc>
        <w:tc>
          <w:tcPr>
            <w:tcW w:w="0" w:type="dxa"/>
            <w:vAlign w:val="bottom"/>
          </w:tcPr>
          <w:p>
            <w:pPr>
              <w:spacing w:after="0"/>
              <w:rPr>
                <w:sz w:val="1"/>
                <w:szCs w:val="1"/>
                <w:color w:val="auto"/>
              </w:rPr>
            </w:pPr>
          </w:p>
        </w:tc>
      </w:tr>
      <w:tr>
        <w:trPr>
          <w:trHeight w:val="229"/>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2018204184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6/11/2018</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2018204184</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10/25/2018</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Utility patent covering aspects of the controller</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2017228517</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9/11/2017</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2017228517</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1/24/2019</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application covering the shape of the mouthpiece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2018247259</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10/11/2018</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2018247259</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11/28/2019</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Utility patent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mouthpiece, and authentication techniques</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2019200175</w:t>
            </w:r>
          </w:p>
        </w:tc>
        <w:tc>
          <w:tcPr>
            <w:tcW w:w="1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1/7/2019</w:t>
            </w:r>
          </w:p>
        </w:tc>
        <w:tc>
          <w:tcPr>
            <w:tcW w:w="18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2019200175</w:t>
            </w:r>
          </w:p>
        </w:tc>
        <w:tc>
          <w:tcPr>
            <w:tcW w:w="1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10/24/2019</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patent covering the locators of the mouthpiece</w:t>
            </w:r>
          </w:p>
        </w:tc>
        <w:tc>
          <w:tcPr>
            <w:tcW w:w="0" w:type="dxa"/>
            <w:vAlign w:val="bottom"/>
          </w:tcPr>
          <w:p>
            <w:pPr>
              <w:spacing w:after="0"/>
              <w:rPr>
                <w:sz w:val="1"/>
                <w:szCs w:val="1"/>
                <w:color w:val="auto"/>
              </w:rPr>
            </w:pPr>
          </w:p>
        </w:tc>
      </w:tr>
      <w:tr>
        <w:trPr>
          <w:trHeight w:val="368"/>
        </w:trPr>
        <w:tc>
          <w:tcPr>
            <w:tcW w:w="1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Eurasian Application No.</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Eurasian</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vMerge w:val="continue"/>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201790009</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1/10/2017</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28551</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11/30/2017</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patent covering methods for non-invasively aiding</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(validated in</w:t>
            </w:r>
          </w:p>
        </w:tc>
        <w:tc>
          <w:tcPr>
            <w:tcW w:w="1000" w:type="dxa"/>
            <w:vAlign w:val="bottom"/>
            <w:shd w:val="clear" w:color="auto" w:fill="CFF0FC"/>
          </w:tcPr>
          <w:p>
            <w:pPr>
              <w:spacing w:after="0"/>
              <w:rPr>
                <w:sz w:val="18"/>
                <w:szCs w:val="18"/>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8"/>
              </w:rPr>
              <w:t>neurorehabilitation using intraoral stimulation in combination</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9"/>
              </w:rPr>
              <w:t>8 EA states)</w:t>
            </w: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with an exercise regimen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66" w:right="339" w:bottom="1440" w:gutter="0" w:footer="0" w:header="0"/>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European Application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European</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15813638.2</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7/1/2019</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3226962</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7/3/2019</w:t>
            </w:r>
          </w:p>
        </w:tc>
        <w:tc>
          <w:tcPr>
            <w:tcW w:w="0" w:type="dxa"/>
            <w:vAlign w:val="bottom"/>
          </w:tcPr>
          <w:p>
            <w:pPr>
              <w:spacing w:after="0"/>
              <w:rPr>
                <w:sz w:val="1"/>
                <w:szCs w:val="1"/>
                <w:color w:val="auto"/>
              </w:rPr>
            </w:pPr>
          </w:p>
        </w:tc>
      </w:tr>
      <w:tr>
        <w:trPr>
          <w:trHeight w:val="44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15812899.1</w:t>
            </w:r>
          </w:p>
        </w:tc>
        <w:tc>
          <w:tcPr>
            <w:tcW w:w="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8/6/2019</w:t>
            </w:r>
          </w:p>
        </w:tc>
        <w:tc>
          <w:tcPr>
            <w:tcW w:w="18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3226961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8/7/2019</w:t>
            </w:r>
          </w:p>
        </w:tc>
        <w:tc>
          <w:tcPr>
            <w:tcW w:w="0" w:type="dxa"/>
            <w:vAlign w:val="bottom"/>
          </w:tcPr>
          <w:p>
            <w:pPr>
              <w:spacing w:after="0"/>
              <w:rPr>
                <w:sz w:val="1"/>
                <w:szCs w:val="1"/>
                <w:color w:val="auto"/>
              </w:rPr>
            </w:pPr>
          </w:p>
        </w:tc>
      </w:tr>
      <w:tr>
        <w:trPr>
          <w:trHeight w:val="369"/>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Russian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Russian</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2017123125</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6/1/2017</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2649512</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4/3/2018</w:t>
            </w:r>
          </w:p>
        </w:tc>
        <w:tc>
          <w:tcPr>
            <w:tcW w:w="0" w:type="dxa"/>
            <w:vAlign w:val="bottom"/>
          </w:tcPr>
          <w:p>
            <w:pPr>
              <w:spacing w:after="0"/>
              <w:rPr>
                <w:sz w:val="1"/>
                <w:szCs w:val="1"/>
                <w:color w:val="auto"/>
              </w:rPr>
            </w:pPr>
          </w:p>
        </w:tc>
      </w:tr>
      <w:tr>
        <w:trPr>
          <w:trHeight w:val="55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2017123041</w:t>
            </w:r>
          </w:p>
        </w:tc>
        <w:tc>
          <w:tcPr>
            <w:tcW w:w="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6/1/2017</w:t>
            </w:r>
          </w:p>
        </w:tc>
        <w:tc>
          <w:tcPr>
            <w:tcW w:w="18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2652571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4/26/2016</w:t>
            </w:r>
          </w:p>
        </w:tc>
        <w:tc>
          <w:tcPr>
            <w:tcW w:w="0" w:type="dxa"/>
            <w:vAlign w:val="bottom"/>
          </w:tcPr>
          <w:p>
            <w:pPr>
              <w:spacing w:after="0"/>
              <w:rPr>
                <w:sz w:val="1"/>
                <w:szCs w:val="1"/>
                <w:color w:val="auto"/>
              </w:rPr>
            </w:pPr>
          </w:p>
        </w:tc>
      </w:tr>
      <w:tr>
        <w:trPr>
          <w:trHeight w:val="33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2018108570</w:t>
            </w:r>
          </w:p>
        </w:tc>
        <w:tc>
          <w:tcPr>
            <w:tcW w:w="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3/12/2018</w:t>
            </w:r>
          </w:p>
        </w:tc>
        <w:tc>
          <w:tcPr>
            <w:tcW w:w="18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2665385</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8/29/2018</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2018129619</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8/14/2019</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2686950</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5/6/2019</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2018112065</w:t>
            </w:r>
          </w:p>
        </w:tc>
        <w:tc>
          <w:tcPr>
            <w:tcW w:w="1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3/28/2018</w:t>
            </w:r>
          </w:p>
        </w:tc>
        <w:tc>
          <w:tcPr>
            <w:tcW w:w="18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2686044</w:t>
            </w:r>
          </w:p>
        </w:tc>
        <w:tc>
          <w:tcPr>
            <w:tcW w:w="1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4/23/2019</w:t>
            </w:r>
          </w:p>
        </w:tc>
        <w:tc>
          <w:tcPr>
            <w:tcW w:w="0" w:type="dxa"/>
            <w:vAlign w:val="bottom"/>
          </w:tcPr>
          <w:p>
            <w:pPr>
              <w:spacing w:after="0"/>
              <w:rPr>
                <w:sz w:val="1"/>
                <w:szCs w:val="1"/>
                <w:color w:val="auto"/>
              </w:rPr>
            </w:pPr>
          </w:p>
        </w:tc>
      </w:tr>
      <w:tr>
        <w:trPr>
          <w:trHeight w:val="369"/>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Israeli</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Israeli</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252649</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6/4/2017</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252649</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12/21/2018</w:t>
            </w:r>
          </w:p>
        </w:tc>
        <w:tc>
          <w:tcPr>
            <w:tcW w:w="0" w:type="dxa"/>
            <w:vAlign w:val="bottom"/>
          </w:tcPr>
          <w:p>
            <w:pPr>
              <w:spacing w:after="0"/>
              <w:rPr>
                <w:sz w:val="1"/>
                <w:szCs w:val="1"/>
                <w:color w:val="auto"/>
              </w:rPr>
            </w:pPr>
          </w:p>
        </w:tc>
      </w:tr>
      <w:tr>
        <w:trPr>
          <w:trHeight w:val="33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252648</w:t>
            </w:r>
          </w:p>
        </w:tc>
        <w:tc>
          <w:tcPr>
            <w:tcW w:w="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6/1/2017</w:t>
            </w:r>
          </w:p>
        </w:tc>
        <w:tc>
          <w:tcPr>
            <w:tcW w:w="18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252648</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8/31/2019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-2502535</wp:posOffset>
            </wp:positionV>
            <wp:extent cx="7132320"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Subject Matter</w:t>
      </w:r>
    </w:p>
    <w:p>
      <w:pPr>
        <w:spacing w:after="0" w:line="25"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Utility application covering overall system design, including controller and mouthpiece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Utility application covering shape of the mouthpiece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Subject Matter</w:t>
      </w:r>
    </w:p>
    <w:p>
      <w:pPr>
        <w:spacing w:after="0" w:line="25" w:lineRule="exact"/>
        <w:rPr>
          <w:sz w:val="20"/>
          <w:szCs w:val="20"/>
          <w:color w:val="auto"/>
        </w:rPr>
      </w:pPr>
    </w:p>
    <w:p>
      <w:pPr>
        <w:ind w:right="740"/>
        <w:spacing w:after="0" w:line="257" w:lineRule="auto"/>
        <w:rPr>
          <w:sz w:val="20"/>
          <w:szCs w:val="20"/>
          <w:color w:val="auto"/>
        </w:rPr>
      </w:pPr>
      <w:r>
        <w:rPr>
          <w:rFonts w:ascii="Arial" w:cs="Arial" w:eastAsia="Arial" w:hAnsi="Arial"/>
          <w:sz w:val="18"/>
          <w:szCs w:val="18"/>
          <w:color w:val="auto"/>
        </w:rPr>
        <w:t>Utility patent covering overall system design, including controller and mouthpiece</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Design patent covering the controller design currently used in the PoNS device</w:t>
      </w:r>
    </w:p>
    <w:p>
      <w:pPr>
        <w:spacing w:after="0"/>
        <w:rPr>
          <w:sz w:val="20"/>
          <w:szCs w:val="20"/>
          <w:color w:val="auto"/>
        </w:rPr>
      </w:pPr>
      <w:r>
        <w:rPr>
          <w:rFonts w:ascii="Arial" w:cs="Arial" w:eastAsia="Arial" w:hAnsi="Arial"/>
          <w:sz w:val="18"/>
          <w:szCs w:val="18"/>
          <w:color w:val="auto"/>
        </w:rPr>
        <w:t>Utility patent covering center of gravity of the mouthpiece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Utility patent covering authentication techniques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Utility patent covering center of gravity of the mouthpiece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Subject Matter</w:t>
      </w:r>
    </w:p>
    <w:p>
      <w:pPr>
        <w:spacing w:after="0" w:line="25" w:lineRule="exact"/>
        <w:rPr>
          <w:sz w:val="20"/>
          <w:szCs w:val="20"/>
          <w:color w:val="auto"/>
        </w:rPr>
      </w:pPr>
    </w:p>
    <w:p>
      <w:pPr>
        <w:ind w:right="540"/>
        <w:spacing w:after="0" w:line="270" w:lineRule="auto"/>
        <w:rPr>
          <w:sz w:val="20"/>
          <w:szCs w:val="20"/>
          <w:color w:val="auto"/>
        </w:rPr>
      </w:pPr>
      <w:r>
        <w:rPr>
          <w:rFonts w:ascii="Arial" w:cs="Arial" w:eastAsia="Arial" w:hAnsi="Arial"/>
          <w:sz w:val="18"/>
          <w:szCs w:val="18"/>
          <w:color w:val="auto"/>
        </w:rPr>
        <w:t>Utility patent covering center of gravity of the mouthpiece Utility patent covering overall system design, including controller and mouthpiece</w:t>
      </w:r>
    </w:p>
    <w:p>
      <w:pPr>
        <w:spacing w:after="0" w:line="200" w:lineRule="exact"/>
        <w:rPr>
          <w:sz w:val="20"/>
          <w:szCs w:val="20"/>
          <w:color w:val="auto"/>
        </w:rPr>
      </w:pPr>
    </w:p>
    <w:p>
      <w:pPr>
        <w:sectPr>
          <w:pgSz w:w="11900" w:h="16838" w:orient="portrait"/>
          <w:cols w:equalWidth="0" w:num="2">
            <w:col w:w="6320" w:space="180"/>
            <w:col w:w="4740"/>
          </w:cols>
          <w:pgMar w:left="320" w:top="166" w:right="339" w:bottom="1440" w:gutter="0" w:footer="0" w:header="0"/>
          <w:type w:val="continuous"/>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Foreign Design Patents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Russian Design</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20" w:type="dxa"/>
            <w:vAlign w:val="bottom"/>
          </w:tcPr>
          <w:p>
            <w:pPr>
              <w:spacing w:after="0"/>
              <w:rPr>
                <w:sz w:val="14"/>
                <w:szCs w:val="14"/>
                <w:color w:val="auto"/>
              </w:rPr>
            </w:pPr>
          </w:p>
        </w:tc>
        <w:tc>
          <w:tcPr>
            <w:tcW w:w="11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4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Russian</w:t>
            </w:r>
          </w:p>
        </w:tc>
        <w:tc>
          <w:tcPr>
            <w:tcW w:w="40" w:type="dxa"/>
            <w:vAlign w:val="bottom"/>
          </w:tcPr>
          <w:p>
            <w:pPr>
              <w:spacing w:after="0"/>
              <w:rPr>
                <w:sz w:val="14"/>
                <w:szCs w:val="14"/>
                <w:color w:val="auto"/>
              </w:rPr>
            </w:pPr>
          </w:p>
        </w:tc>
        <w:tc>
          <w:tcPr>
            <w:tcW w:w="11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Issue Date</w:t>
            </w:r>
          </w:p>
        </w:tc>
        <w:tc>
          <w:tcPr>
            <w:tcW w:w="40" w:type="dxa"/>
            <w:vAlign w:val="bottom"/>
          </w:tcPr>
          <w:p>
            <w:pPr>
              <w:spacing w:after="0"/>
              <w:rPr>
                <w:sz w:val="14"/>
                <w:szCs w:val="14"/>
                <w:color w:val="auto"/>
              </w:rPr>
            </w:pPr>
          </w:p>
        </w:tc>
        <w:tc>
          <w:tcPr>
            <w:tcW w:w="474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Subject Matter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Application No.</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2015501883</w:t>
            </w: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6/3/2015</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7"/>
              </w:rPr>
              <w:t>98981</w:t>
            </w: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2"/>
              </w:rPr>
              <w:t>7/16/2016</w:t>
            </w: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7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4"/>
              </w:rPr>
              <w:t>Design patent covering the system design currently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2015501882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6/3/2015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7"/>
              </w:rPr>
              <w:t>99240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42598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3"/>
              </w:rPr>
              <w:t>Design patent covering the mouthpiece design currently used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the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2015501881</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6/3/2015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7"/>
              </w:rPr>
              <w:t>98947</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7/16/2016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Design patent covering the controller design currently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Canadian Design</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20" w:type="dxa"/>
            <w:vAlign w:val="bottom"/>
          </w:tcPr>
          <w:p>
            <w:pPr>
              <w:spacing w:after="0"/>
              <w:rPr>
                <w:sz w:val="24"/>
                <w:szCs w:val="24"/>
                <w:color w:val="auto"/>
              </w:rPr>
            </w:pPr>
          </w:p>
        </w:tc>
        <w:tc>
          <w:tcPr>
            <w:tcW w:w="11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4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Canadian</w:t>
            </w:r>
          </w:p>
        </w:tc>
        <w:tc>
          <w:tcPr>
            <w:tcW w:w="40" w:type="dxa"/>
            <w:vAlign w:val="bottom"/>
          </w:tcPr>
          <w:p>
            <w:pPr>
              <w:spacing w:after="0"/>
              <w:rPr>
                <w:sz w:val="24"/>
                <w:szCs w:val="24"/>
                <w:color w:val="auto"/>
              </w:rPr>
            </w:pPr>
          </w:p>
        </w:tc>
        <w:tc>
          <w:tcPr>
            <w:tcW w:w="11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Issue Date</w:t>
            </w:r>
          </w:p>
        </w:tc>
        <w:tc>
          <w:tcPr>
            <w:tcW w:w="40" w:type="dxa"/>
            <w:vAlign w:val="bottom"/>
          </w:tcPr>
          <w:p>
            <w:pPr>
              <w:spacing w:after="0"/>
              <w:rPr>
                <w:sz w:val="24"/>
                <w:szCs w:val="24"/>
                <w:color w:val="auto"/>
              </w:rPr>
            </w:pPr>
          </w:p>
        </w:tc>
        <w:tc>
          <w:tcPr>
            <w:tcW w:w="474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Subject Matter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Application No.</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162676</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162676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Design patent covering system design used in the current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162672</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162672</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162671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162671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162674</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162674</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Design patent covering mouthpiece used in the current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162675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162675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5"/>
              </w:rPr>
              <w:t>Design patent covering an alternative controller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162670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162670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6"/>
              </w:rPr>
              <w:t>Design patent covering the controller used in the PoNS device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162673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162673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3"/>
              </w:rPr>
              <w:t>Design patent covering system design used in the current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EU Community Design</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20" w:type="dxa"/>
            <w:vAlign w:val="bottom"/>
          </w:tcPr>
          <w:p>
            <w:pPr>
              <w:spacing w:after="0"/>
              <w:rPr>
                <w:sz w:val="24"/>
                <w:szCs w:val="24"/>
                <w:color w:val="auto"/>
              </w:rPr>
            </w:pPr>
          </w:p>
        </w:tc>
        <w:tc>
          <w:tcPr>
            <w:tcW w:w="11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8"/>
              </w:rPr>
              <w:t>Status</w:t>
            </w:r>
          </w:p>
        </w:tc>
        <w:tc>
          <w:tcPr>
            <w:tcW w:w="4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EU Community</w:t>
            </w:r>
          </w:p>
        </w:tc>
        <w:tc>
          <w:tcPr>
            <w:tcW w:w="40" w:type="dxa"/>
            <w:vAlign w:val="bottom"/>
          </w:tcPr>
          <w:p>
            <w:pPr>
              <w:spacing w:after="0"/>
              <w:rPr>
                <w:sz w:val="24"/>
                <w:szCs w:val="24"/>
                <w:color w:val="auto"/>
              </w:rPr>
            </w:pP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4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Design Reg. No.</w:t>
            </w: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002712026</w:t>
            </w: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6/3/2015</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86"/>
              </w:rPr>
              <w:t>Issued</w:t>
            </w: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002712026-</w:t>
            </w: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9/4/2015</w:t>
            </w: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Design patents covering several aspects of the system design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0001 -</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currently used in the PoNS device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002712026-</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7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0007</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7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006753877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8/23/2019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006753877-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10/24/2019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w w:val="93"/>
              </w:rPr>
              <w:t>Design patents covering the controller design used in the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0001 –</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006753877-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0008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Australian Design</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20" w:type="dxa"/>
            <w:vAlign w:val="bottom"/>
          </w:tcPr>
          <w:p>
            <w:pPr>
              <w:spacing w:after="0"/>
              <w:rPr>
                <w:sz w:val="24"/>
                <w:szCs w:val="24"/>
                <w:color w:val="auto"/>
              </w:rPr>
            </w:pPr>
          </w:p>
        </w:tc>
        <w:tc>
          <w:tcPr>
            <w:tcW w:w="11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8"/>
              </w:rPr>
              <w:t>Status</w:t>
            </w:r>
          </w:p>
        </w:tc>
        <w:tc>
          <w:tcPr>
            <w:tcW w:w="4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Australian</w:t>
            </w:r>
          </w:p>
        </w:tc>
        <w:tc>
          <w:tcPr>
            <w:tcW w:w="40" w:type="dxa"/>
            <w:vAlign w:val="bottom"/>
          </w:tcPr>
          <w:p>
            <w:pPr>
              <w:spacing w:after="0"/>
              <w:rPr>
                <w:sz w:val="24"/>
                <w:szCs w:val="24"/>
                <w:color w:val="auto"/>
              </w:rPr>
            </w:pP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4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Patent No.</w:t>
            </w: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201914827</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8/26/2019</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86"/>
              </w:rPr>
              <w:t>Issued</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201914827</w:t>
            </w: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10/8/2019</w:t>
            </w: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3"/>
              </w:rPr>
              <w:t>Design patent covering system design used in the PoNS device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201914900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8/28/2019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0"/>
              </w:rPr>
              <w:t>201914900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10/24/2019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w w:val="95"/>
              </w:rPr>
              <w:t>Design patent covering the controller design used in the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201914906</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8/28/2019</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center"/>
              <w:ind w:right="16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201914906</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10/23/2019</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1"/>
              </w:rPr>
              <w:t>Design patent covering the mouthpiece design used in the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50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Further, we have seven foreign utility patent applications that are currently pending: one application in Australia, and two applications in each of Canada, Europe, and Russia and three design patent applications that are currently pending in Russia: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Australian Application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Australian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14"/>
                <w:szCs w:val="1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2019246836</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10/9/2019</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Pending</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patent application covering methods of placing a</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mouthpiece in a patient's mouth prior to engaging in NINM</w:t>
            </w:r>
          </w:p>
        </w:tc>
        <w:tc>
          <w:tcPr>
            <w:tcW w:w="0" w:type="dxa"/>
            <w:vAlign w:val="bottom"/>
          </w:tcPr>
          <w:p>
            <w:pPr>
              <w:spacing w:after="0"/>
              <w:rPr>
                <w:sz w:val="1"/>
                <w:szCs w:val="1"/>
                <w:color w:val="auto"/>
              </w:rPr>
            </w:pPr>
          </w:p>
        </w:tc>
      </w:tr>
      <w:tr>
        <w:trPr>
          <w:trHeight w:val="369"/>
        </w:trPr>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Canadian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Canadian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2969729</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6/2/2017</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Pending</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application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mouthpiece, and authentication techniques</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8"/>
              </w:rPr>
              <w:t>2969731</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6/2/2017</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7"/>
              </w:rPr>
              <w:t>Utility application covering various aspects of the mouthpiece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such as shape, center of gravity, and the locators</w:t>
            </w:r>
          </w:p>
        </w:tc>
        <w:tc>
          <w:tcPr>
            <w:tcW w:w="0" w:type="dxa"/>
            <w:vAlign w:val="bottom"/>
          </w:tcPr>
          <w:p>
            <w:pPr>
              <w:spacing w:after="0"/>
              <w:rPr>
                <w:sz w:val="1"/>
                <w:szCs w:val="1"/>
                <w:color w:val="auto"/>
              </w:rPr>
            </w:pPr>
          </w:p>
        </w:tc>
      </w:tr>
      <w:tr>
        <w:trPr>
          <w:trHeight w:val="369"/>
        </w:trPr>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European Application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European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19183730.1</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7/1/2019</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Pending</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application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mouthpiece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19190373.1</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8/6/2019</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patent application covering methods of placing a</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mouthpiece in a patient's mouth prior to engaging in NINM</w:t>
            </w:r>
          </w:p>
        </w:tc>
        <w:tc>
          <w:tcPr>
            <w:tcW w:w="0" w:type="dxa"/>
            <w:vAlign w:val="bottom"/>
          </w:tcPr>
          <w:p>
            <w:pPr>
              <w:spacing w:after="0"/>
              <w:rPr>
                <w:sz w:val="1"/>
                <w:szCs w:val="1"/>
                <w:color w:val="auto"/>
              </w:rPr>
            </w:pPr>
          </w:p>
        </w:tc>
      </w:tr>
      <w:tr>
        <w:trPr>
          <w:trHeight w:val="369"/>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Russian   Application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Russian Patent</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2019112637</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4/25/2019</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Pending</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9"/>
                <w:szCs w:val="19"/>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patent application covering aspects of the controller</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2019109970</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4/4/2019</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2"/>
              </w:rPr>
              <w:t>Utility patent application covering the locators of the mouthpiece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2019503625</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8/28/2019</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3"/>
              </w:rPr>
              <w:t>Design patent application covering the mouthpiece design used</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in the PoNS 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2019503624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8/28/2019</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3"/>
              </w:rPr>
              <w:t>Design patent application covering the controller design used in</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the PoNS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2019503623</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8/28/2019</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1"/>
              </w:rPr>
              <w:t>Design patent application covering the system design used in the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PoNS device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Currently, we own rights in four trademarks: PoNS, Helius, Helius Medical, and Helius Medical Technologies. We own the rights to the PoNS mark by virtue of an assignment agreement having an effective date of October 27, 2014 and entered into with ANR and the inventors of the PoNS technology. We are also the owner of the rights in the Helius, Helius Medical, and Helius Medical Technologies marks.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the owner of the rights in PoNS, Helius and Helius Medical Technologies marks in Canada. We have also applied for the PoNS trademark in Europe, Russia, China, Australia, New Zealand and Israel. We have also applied for the Helius mark in the U.S., Australia and Canada, and the Helius Medical mark in the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products under development and our operations are subject to significant government regulation. In the United States, our products are regulated as medical devices by the FDA and other federal, state, and local regulatory authorities. The following is a general description of the review and marketing authorization process of the FDA for medical devices.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FDA Regulation of Medical Devices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FDA and other U.S. and foreign governmental agencies regulate, among other things, the following activities with respect to medical devices:</w:t>
      </w:r>
    </w:p>
    <w:p>
      <w:pPr>
        <w:spacing w:after="0" w:line="237"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storage and safety;</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9" w:lineRule="exact"/>
        <w:rPr>
          <w:rFonts w:ascii="Arial" w:cs="Arial" w:eastAsia="Arial" w:hAnsi="Arial"/>
          <w:sz w:val="18"/>
          <w:szCs w:val="18"/>
          <w:color w:val="auto"/>
        </w:rPr>
      </w:pPr>
    </w:p>
    <w:p>
      <w:pPr>
        <w:ind w:left="1000" w:hanging="493"/>
        <w:spacing w:after="0" w:line="250"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United States, numerous laws and regulations govern all the processes by which medical devices are brought to market and marketed. These include the Food, Drug, and Cosmetic, or FD&amp;C Act and the FDA’s implementation of regulations, among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Review, Clearance and Approval Processes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Unless an exemption applies, each medical device commercially distributed in the United States requires either FDA clearance of a 510(k) premarket notification, approval of a premarket approval, or PMA, or approval of a de novo application. Under the FDCA, medical devices are classified into one of three classes—Class I, Class II or Class III— depending on the degree of risk associated with each medical device and the extent of manufacturer and regulatory control needed to ensure its safety and effectiveness. Classification of a device is important because the class to which a device is assigned determines, among other things, the necessity and type of FDA review required prior to marketing the device.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process,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will place the device, or the particular use of the device, into Class III, and the device sponsor must then fulfill much more rigorous premarketing requirements.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 A PMA application, which is intended to demonstrate that the device is safe and effective, must be supported by extensive data, typically including data from preclinical studies and human clinical trials.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PoNS device is likely to be regulated as a Class II medical device. We therefore utilized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to seek classification and U.S. marketing authorization for the PoNS device for gait deficit in MS, because there is no predicate cleared or approved by the FDA for commercial distribution and no existing classification decision by the FDA for such a device.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jc w:val="both"/>
        <w:spacing w:after="0" w:line="272" w:lineRule="auto"/>
        <w:rPr>
          <w:sz w:val="20"/>
          <w:szCs w:val="20"/>
          <w:color w:val="auto"/>
        </w:rPr>
      </w:pPr>
      <w:r>
        <w:rPr>
          <w:rFonts w:ascii="Arial" w:cs="Arial" w:eastAsia="Arial" w:hAnsi="Arial"/>
          <w:sz w:val="17"/>
          <w:szCs w:val="17"/>
          <w:color w:val="auto"/>
        </w:rPr>
        <w:t>If the FDA requires us to go through a lengthier, more rigorous examination for the PoNS device for gait deficit in MS, introducing the product could be delayed or canceled, which could cause our commercial launch for the PoNS device for gait deficit in MS in the United States to be delayed or to not occur. In addition, the FDA may determine that the PoNS device requires the more costly, lengthy and uncertain PMA process. For example, if the FDA disagrees with our determination that the de novo classification procedures are the appropriate path to obtain marketing authorizations for the PoNS device in MS, the FDA may require us to submit a PMA application, which is generally more costly and uncertain and can take from one to three years, or longer, from the time the application is submitted to the FDA until an approval is obtained. Further, even with respect to those future products where a PMA may not be required, we cannot be certain that we will be able to obtain 510(k) clearances with respect to our PoNS device.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510(k) Clearance Process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Before the FDA will accept a 510(k) submission for substantive review, the FDA will first assess whether the submission satisfies a minimum threshold of acceptability. If the FDA determines that the 510(k) submission is incomplete,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Once the 510(k) submission is accepted for review, by regulation, the FDA has 90 days to review and issue a determination. As a practical matter, clearance often takes longer. The FDA may require additional information, including clinical data, to make a determination regarding substantial equivalence.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 novo Classification Process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If a previously unclassified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procedure. This procedure allows a manufacturer whose novel device is automatically classified into Class III to request classification of its medical device into Class I or Class II on the basis that the device presents low or moderate risk, rather than requiring the submission and approval of a PMA. Prior to the enactment of the Food and Drug Administration Safety and Innovation Act, or FDASIA, in July 2012, a medical device could only be eligible for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if the manufacturer first submitted a 510(k) pre-market notification and received a determination from the FDA that the device was not substantially equivalent. FDASIA streamlined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pathway by permitting manufacturers to request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directly without first submitting a 510(k) pre-market notification to the FDA and receiving a not substantially equivalent determination. Under FDASIA, the FDA was required to classify the device within 120 days following receipt of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application. If the manufacturer sought reclassification into Class II, the manufacturer was to include a draft proposal for special controls necessary to provide a reasonable assurance of the safety and effectiveness of the medical device. The FDA may reject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utilized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process to request our marketing authorization for the PoNS device for gait deficit in MS, and we plan to seek Class</w:t>
      </w:r>
    </w:p>
    <w:p>
      <w:pPr>
        <w:spacing w:after="0" w:line="46" w:lineRule="exact"/>
        <w:rPr>
          <w:sz w:val="20"/>
          <w:szCs w:val="20"/>
          <w:color w:val="auto"/>
        </w:rPr>
      </w:pPr>
    </w:p>
    <w:p>
      <w:pPr>
        <w:ind w:firstLine="8"/>
        <w:spacing w:after="0" w:line="260" w:lineRule="auto"/>
        <w:tabs>
          <w:tab w:leader="none" w:pos="1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classification. In order to be placed in Class II, the FDA would need reasonable assurance of safety and effectiveness of the PoNS device. Under Class II, general controls (e.g., premarket notification) and special controls (e.g., specific performance testing) would be applicable.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Obtaining FDA marketing authorization, de novo classification and clearance, or approval for medical devices is expensive and uncertain, generally takes several years, and generally requires detailed and comprehensive scientific and clinical data. Notwithstanding the expense, these efforts may never result in FDA authorization for commercial distribution. Even if we were to obtain regulatory authorization, it may not be for the uses we believe are important or commercially attractive, in which case we would not be permitted to market our product for those uses.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Clinical trials are typically required to support a PMA and are sometimes required to support a 510(k) or de novo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as defined by the FDA, to human health,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If the device is considered a "non-significant risk," IDE submission to FDA is not required. Instead, only approval from the Institutional Review Board, or IRB, overseeing the investigation at each clinical trial site is required.</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study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 keeping requirements.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after a trial begins, the sponsor, the FDA or the IRB could suspend or terminate a clinical trial at any time for various reasons, including a belief that the risks to study subjects outweigh the anticipated benefits. Even if a clinical trial is completed, there can be no assurance that the data generated during a clinical study will meet the safety and effectiveness endpoints or otherwise produce results that will lead the FDA to grant marketing clearance or approval.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Pervasive and Continuing U.S. Food and Drug Administration Regulation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After a device is cleared or approved for marketing, numerous and pervasive regulatory requirements continue to apply. These include:</w:t>
      </w:r>
    </w:p>
    <w:p>
      <w:pPr>
        <w:spacing w:after="0" w:line="225"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establishment registration and device listing with the FDA;</w:t>
      </w:r>
    </w:p>
    <w:p>
      <w:pPr>
        <w:spacing w:after="0" w:line="23" w:lineRule="exact"/>
        <w:rPr>
          <w:rFonts w:ascii="Arial" w:cs="Arial" w:eastAsia="Arial" w:hAnsi="Arial"/>
          <w:sz w:val="18"/>
          <w:szCs w:val="18"/>
          <w:color w:val="231F20"/>
        </w:rPr>
      </w:pPr>
    </w:p>
    <w:p>
      <w:pPr>
        <w:ind w:left="740" w:hanging="368"/>
        <w:spacing w:after="0" w:line="250" w:lineRule="auto"/>
        <w:tabs>
          <w:tab w:leader="none" w:pos="7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QSR requirements, which require manufacturers, including third-party manufacturers, to follow stringent design, testing, control, documentation and other quality assurance procedures during all aspects of the design and manufacturing process;</w:t>
      </w:r>
    </w:p>
    <w:p>
      <w:pPr>
        <w:ind w:left="740" w:hanging="368"/>
        <w:spacing w:after="0"/>
        <w:tabs>
          <w:tab w:leader="none" w:pos="740" w:val="left"/>
        </w:tabs>
        <w:numPr>
          <w:ilvl w:val="0"/>
          <w:numId w:val="17"/>
        </w:numPr>
        <w:rPr>
          <w:rFonts w:ascii="Arial" w:cs="Arial" w:eastAsia="Arial" w:hAnsi="Arial"/>
          <w:sz w:val="16"/>
          <w:szCs w:val="16"/>
          <w:color w:val="231F20"/>
        </w:rPr>
      </w:pPr>
      <w:r>
        <w:rPr>
          <w:rFonts w:ascii="Arial" w:cs="Arial" w:eastAsia="Arial" w:hAnsi="Arial"/>
          <w:sz w:val="16"/>
          <w:szCs w:val="16"/>
          <w:color w:val="231F20"/>
        </w:rPr>
        <w:t>labeling regulations and FDA prohibitions against the promotion of investigational products, or ‘‘off-label’’ uses of cleared or approved products;</w:t>
      </w:r>
    </w:p>
    <w:p>
      <w:pPr>
        <w:spacing w:after="0" w:line="32" w:lineRule="exact"/>
        <w:rPr>
          <w:rFonts w:ascii="Arial" w:cs="Arial" w:eastAsia="Arial" w:hAnsi="Arial"/>
          <w:sz w:val="16"/>
          <w:szCs w:val="16"/>
          <w:color w:val="231F20"/>
        </w:rPr>
      </w:pPr>
    </w:p>
    <w:p>
      <w:pPr>
        <w:ind w:left="740" w:hanging="368"/>
        <w:spacing w:after="0"/>
        <w:tabs>
          <w:tab w:leader="none" w:pos="7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requirements related to promotional activities;</w:t>
      </w:r>
    </w:p>
    <w:p>
      <w:pPr>
        <w:spacing w:after="0" w:line="9" w:lineRule="exact"/>
        <w:rPr>
          <w:rFonts w:ascii="Arial" w:cs="Arial" w:eastAsia="Arial" w:hAnsi="Arial"/>
          <w:sz w:val="18"/>
          <w:szCs w:val="18"/>
          <w:color w:val="231F20"/>
        </w:rPr>
      </w:pPr>
    </w:p>
    <w:p>
      <w:pPr>
        <w:ind w:left="740" w:hanging="368"/>
        <w:spacing w:after="0" w:line="250" w:lineRule="auto"/>
        <w:tabs>
          <w:tab w:leader="none" w:pos="7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clearance or approval of product modifications to 510(k)-cleared devices that could significantly affect safety or effectiveness or that would constitute a major change in intended use of one of our cleared devices;</w:t>
      </w:r>
    </w:p>
    <w:p>
      <w:pPr>
        <w:jc w:val="both"/>
        <w:ind w:left="740" w:hanging="368"/>
        <w:spacing w:after="0" w:line="250" w:lineRule="auto"/>
        <w:tabs>
          <w:tab w:leader="none" w:pos="7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 w:lineRule="exact"/>
        <w:rPr>
          <w:rFonts w:ascii="Arial" w:cs="Arial" w:eastAsia="Arial" w:hAnsi="Arial"/>
          <w:sz w:val="18"/>
          <w:szCs w:val="18"/>
          <w:color w:val="231F20"/>
        </w:rPr>
      </w:pPr>
    </w:p>
    <w:p>
      <w:pPr>
        <w:ind w:left="740" w:hanging="368"/>
        <w:spacing w:after="0" w:line="281" w:lineRule="auto"/>
        <w:tabs>
          <w:tab w:leader="none" w:pos="740" w:val="left"/>
        </w:tabs>
        <w:numPr>
          <w:ilvl w:val="0"/>
          <w:numId w:val="17"/>
        </w:numPr>
        <w:rPr>
          <w:rFonts w:ascii="Arial" w:cs="Arial" w:eastAsia="Arial" w:hAnsi="Arial"/>
          <w:sz w:val="16"/>
          <w:szCs w:val="16"/>
          <w:color w:val="231F20"/>
        </w:rPr>
      </w:pPr>
      <w:r>
        <w:rPr>
          <w:rFonts w:ascii="Arial" w:cs="Arial" w:eastAsia="Arial" w:hAnsi="Arial"/>
          <w:sz w:val="16"/>
          <w:szCs w:val="16"/>
          <w:color w:val="231F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 w:lineRule="exact"/>
        <w:rPr>
          <w:rFonts w:ascii="Arial" w:cs="Arial" w:eastAsia="Arial" w:hAnsi="Arial"/>
          <w:sz w:val="16"/>
          <w:szCs w:val="16"/>
          <w:color w:val="231F20"/>
        </w:rPr>
      </w:pPr>
    </w:p>
    <w:p>
      <w:pPr>
        <w:ind w:left="740" w:hanging="368"/>
        <w:spacing w:after="0" w:line="250" w:lineRule="auto"/>
        <w:tabs>
          <w:tab w:leader="none" w:pos="7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FDA’s recall authority, whereby the agency can order device manufacturers to recall from the market a product that is in violation of governing laws and regulations; and</w:t>
      </w:r>
    </w:p>
    <w:p>
      <w:pPr>
        <w:ind w:left="740" w:hanging="368"/>
        <w:spacing w:after="0" w:line="260" w:lineRule="auto"/>
        <w:tabs>
          <w:tab w:leader="none" w:pos="7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post-market surveillance activities and regulations, which apply when deemed by the FDA to be necessary to protect the public health or to provide additional safety and effectiveness data for the device.</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Advertising and promotion of medical devices, in addition to being regulated by the FDA, are also regulated by the FTC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promotional materials or training constitutes promotion of an unapproved or uncleared use, it could request that modification of promotional materials or subject a company to regulatory or enforcement actions. It is also possible that other federal, state or foreign enforcement authorities might take action if they consider promotional or training materials to constitute promotion of an unapproved or uncleared use, which could result in significant fines or penalties under other statutory authorities, such as laws prohibiting false claims for reimbursement.</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Healthcare providers, physicians, and third party payers will play a primary role in the recommendation and use of any products for which we obtain marketing approval. Our future arrangements with third party payers, healthcare providers and physicians may expose us to broadly applicable fraud and abuse and other healthcare laws and regulations that may constrain the business or financial arrangements and relationships through which we market, sell and distribute any device for which we obtain marketing approval. In the United States, our activities are potentially subject to regulation by various federal, state and local authorities in addition to the FDA, including the CMS, other divisions of the United States Department of Health and Human Services (e.g., the Office of Inspector General), the United States Department of Justice and individual United States Attorney offices within the Department of Justice, and state and local governments. The applicable laws and regulations include the federal health care programs Anti-Kickback Statute, or AKS, and the federal Civil False Claims Act.</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The AKS makes it illegal for any person, including a device manufacturer (or a party acting on its behalf), to knowingly and willfully solicit, receive, offer or pay any remuneration, directly or indirectly, in cash or in kind, that is intended to induce or reward referrals, including the purchase, recommendation, or order of a particular device, for which payment may be made under a federal healthcare program, such as Medicare or Medicaid. Violations of this law are punishable by up to ten years in prison, criminal fines, administrative civil money penalties and exclusion from participation in federal healthcare programs. In addition, a person or entity does not need to have actual knowledge of the statute or specific intent to violate it.</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The Federal Civil False Claims Act imposes civil penalties, including through civil whistleblower or qui tam actions, against individuals or entities (including manufacturers) for, among other things, knowingly presenting, or causing to be presented, false or fraudulent claims for payment of government funds or making a false statement or record material to payment of a false claim or avoiding, decreasing or concealing an obligation to pay money to the federal government. Penalties for a False Claims Act violation include three times the actual damages sustained by the government, plus mandatory civil penalties of between $11,463 and $22,927 (adjusted annually for inflation) for each separate false claim and the potential for exclusion from participation in federal healthcare programs. Conduct that violates the False Claims Act also may implicate various federal criminal statutes. The government may deem manufacturers to have “caused” the submission of false or fraudulent claims by, for example, providing inaccurate billing or coding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231F20"/>
        </w:rPr>
        <w:t>information to customers or promoting a product off-label. Claims which include items or services resulting from a violation of the federal AKS also are deemed false or fraudulent claims for purposes of the False Claims Act. Our future marketing and activities relating to the reporting of wholesaler or estimated retail prices for our products and other information affecting federal, state and third-party reimbursement for our products, and the sale and marketing of our product and any future product candidates, are subject to scrutiny under this law.</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The manufacturing processes associated with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design history file, device history records, and complaint files. As a manufacturer, we are subject to periodic scheduled or unscheduled inspections by the FDA. Any failure to maintain compliance with the QSR requirements could result in the shut-down of, or restrictions on manufacturing operations and the recall or seizure of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31F20"/>
        </w:rPr>
        <w:t>The FDA has broad regulatory compliance and enforcement powers. If the FDA determines that a company has failed to comply with applicable regulatory requirements, it can take a variety of compliance or enforcement actions, which may result in any of the following sanctions:</w:t>
      </w:r>
    </w:p>
    <w:p>
      <w:pPr>
        <w:spacing w:after="0" w:line="146" w:lineRule="exact"/>
        <w:rPr>
          <w:sz w:val="20"/>
          <w:szCs w:val="20"/>
          <w:color w:val="auto"/>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untitled letters, warning letters, fines, injunctions, consent decrees and civil penalties;</w:t>
      </w:r>
    </w:p>
    <w:p>
      <w:pPr>
        <w:spacing w:after="0" w:line="23"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unanticipated expenditures to address or defend such actions</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customer notifications for repair, replacement, refunds;</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recall, detention or seizure of our products;</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operating restrictions or partial suspension or total shutdown of production;</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refusing or delaying our requests for 510(k) clearance or PMA approval of new products or modified products;</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operating restrictions;</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withdrawing 510(k) clearances or PMA approvals that have already been granted;</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refusal to grant export approval for our products; or</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criminal prosecution.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Canada</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After a medical device has been approved for commercial use in Canada, there are a number of Health Canada requirements that must be adhered to including but not limited to the following:</w:t>
      </w:r>
    </w:p>
    <w:p>
      <w:pPr>
        <w:spacing w:after="0" w:line="170" w:lineRule="exact"/>
        <w:rPr>
          <w:sz w:val="20"/>
          <w:szCs w:val="20"/>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license renewals;</w:t>
      </w:r>
    </w:p>
    <w:p>
      <w:pPr>
        <w:spacing w:after="0" w:line="23"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labeling regulations, which prohibit “misbranded” devices from entering the market, as well as prohibit on the promotion of products for unapproved or “off-label” use and impose other restrictions on labeling including truthfulness and accuracy;</w:t>
      </w: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assessment of product modifications for significant changes that would require license amendments;</w:t>
      </w:r>
    </w:p>
    <w:p>
      <w:pPr>
        <w:spacing w:after="0" w:line="9" w:lineRule="exact"/>
        <w:rPr>
          <w:rFonts w:ascii="Arial" w:cs="Arial" w:eastAsia="Arial" w:hAnsi="Arial"/>
          <w:sz w:val="18"/>
          <w:szCs w:val="18"/>
          <w:color w:val="auto"/>
        </w:rPr>
      </w:pPr>
    </w:p>
    <w:p>
      <w:pPr>
        <w:jc w:val="both"/>
        <w:ind w:left="740" w:hanging="368"/>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post-market surveillance including medical device reporting, which requires manufacturers report to Health Canada if their device may have caused or contributed to a death or serious injury, or malfunctioned in a way that would likely cause or contribute to a death or serious injury if it were to recur; and</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post-approval restrictions or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submitted an application for a CE Mark of the PoNS device with our UK based notified body in December 2018. </w:t>
      </w:r>
      <w:r>
        <w:rPr>
          <w:rFonts w:ascii="Arial" w:cs="Arial" w:eastAsia="Arial" w:hAnsi="Arial"/>
          <w:sz w:val="18"/>
          <w:szCs w:val="18"/>
          <w:color w:val="231F20"/>
        </w:rPr>
        <w:t>In August 2019 we withdrew our</w:t>
      </w:r>
      <w:r>
        <w:rPr>
          <w:rFonts w:ascii="Arial" w:cs="Arial" w:eastAsia="Arial" w:hAnsi="Arial"/>
          <w:sz w:val="18"/>
          <w:szCs w:val="18"/>
          <w:color w:val="auto"/>
        </w:rPr>
        <w:t xml:space="preserve"> application from the EU marketing process due to notified body activities being delayed by Brexit and the upcoming medical devices regulation changes. We have engaged G-MED NA as our notified body and will reconsider submitting to the EU when conditions stabilize. The successful completion of this review would result in marketing authorization for the sale of the PoNS device in the EU. Some EU member states have additional notification requirements that we expect to satisfy before we launch our PoNS Treatment in those member states. Once the PoNS device is placed into the EU market, post market requirements apply including but not limited to:</w:t>
      </w:r>
    </w:p>
    <w:p>
      <w:pPr>
        <w:spacing w:after="0" w:line="192" w:lineRule="exact"/>
        <w:rPr>
          <w:sz w:val="20"/>
          <w:szCs w:val="20"/>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ensuring that the labeling promotes only approved use(s) of the device;</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assessment of product modifications for significant changes may require license amendments;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both"/>
        <w:ind w:left="740" w:hanging="368"/>
        <w:spacing w:after="0" w:line="255"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post-market surveillance including vigilance reporting, which requires manufacturers report to authorities if our PoNS device caused or contributed to a death or serious injury, or malfunctioned in a way that would likely cause or contribute to a death or serious injury if it were to recur; and</w:t>
      </w:r>
    </w:p>
    <w:p>
      <w:pPr>
        <w:spacing w:after="0" w:line="2"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post-approval restrictions or conditions.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submitted our application for marketing authorization to the TGA during the third quarter of 2019. We supplemented our submission with additional data based on questions supplied to date and provided responses to additional questions during the third quarter of 2020. We are currently awaiting additional feedback from the TGA on our application.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Payer Coverage and Reimbursement</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Significant uncertainty exists as to whether coverage and reimbursement of the PoNS Treatment will develop; but we intend to seek reimbursement through private or governmental third-party payers in the future. In both the United States and foreign markets, our ability to commercialize the PoNS device successfully, and to attract commercialization partners for the PoNS device, depends in part on the availability of adequate financial coverage and reimbursement from third-party payers, including, in the United States, governmental payers such as the Medicare and Medicaid programs, managed care organizations, and private health insurers. Medicare is a federally funded program managed by the CMS, through local contractors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and it is both federally and state funded and managed by each state. The federal government sets general guidelines for Medicaid and each state creates specific regulations or other guidelines that govern its individual program. Each payer, whether governmental or private, has its own process and standards for determining whether it will cover and reimburse a procedure or particular product. Private payers often rely on the lead of the governmental payers in rendering coverage and reimbursement determinations. Therefore, achieving favorable CMS coverage and reimbursement is usually a significant gating issue for successful introduction of a new product. On January 12, 2021, the CMS stated that it is finalizing a new Medicare coverage pathway, MCIT, for FDA-designated breakthrough medical devices. The MCIT rule will provide national Medicare coverage as early as the same day as FDA market authorization for breakthrough devices and coverage would last for four years. The competitive position of the PoNS device will depend, in part, upon the extent of coverage and adequate reimbursement for such product and for the procedures in which such product is used. Prices at which we or our customers seek reimbursement for the PoNS device can be subject to challenge, reduction or denial by the government and other payers.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we do receive approval for third-party or government reimbursement for our product, the marketability of such product may suffer if the government and commercial third-party payers fail to provide adequate coverage and reimbursement. An emphasis on cost containment measures in the United States has increased and we expect it will continue. Coverage policies and third-party reimbursement rates may change at any time. Even if favorable coverage and reimbursement status is attained if and when we receive regulatory approval, less favorable coverage policies and reimbursement rates may be implemented in the future.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State and federal healthcare reform measures may be adopted in the future, any of which may result in additional reductions in Medicare and other healthcare funding and otherwise affect the prices we may obtain for our product candidate for which we may obtain regulatory approval or the frequency with which any such product candidate is prescribed or used.</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in some foreign countries, the proposed pricing for a medical device must be approved before it may be lawfully marketed. The requirements governing medical device pricing vary widely from country to country. For example, the European Union provides options for its member states to restrict the range of medical devices for which their national health insurance systems provide reimbursement and to control the prices of medical devices. In some countries, we may be required to conduct a clinical study or other studies that compare the cost-effectiveness of our medical device to other available therapies in order to obtain or maintain reimbursement or pricing approval. Historically, products launched in the European Union do not follow price structures of the United States and generally tend to be priced significantly lower. Publication of discounts by third-party payers or authorities may lead to further pressure on the prices or reimbursement levels within the country of publication and other countries. If pricing is set at unsatisfactory levels or if reimbursement of our medical device is unavailable or limited in scope or amount, our revenues from sales by us or our strategic partners and the potential profitability of any of our medical devices in those countries would be negatively affected.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Data Privacy and Security Laws; Breaches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Medical device companies may be subject to U.S. federal and state health information privacy, security and data breach notification laws, which may govern the collection, use, disclosure and protection of health-related and other personal information. The Health Insurance Portability and Accountability Act of 1996, or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as the result of a breach of unsecured protected health information, or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certain state laws govern the privacy and security of health information in certain circumstances, some of which may be more stringent, broader in scope or offer greater individual rights with respect to PHI, than HIPAA, and many of which differ from each other, thus complicating compliance efforts. Failure to comply with these laws, where applicable, can result in the imposition of significant civil and/or criminal penalties and private litigation. For example, California enacted the California Consumer Privacy Act, or the CCPA, on June 28, 2018,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Additionally, many of the more ambiguous provisions of the CCPA have yet to be fully interpreted and applied, and numerous amendments have been proposed and are working their way through legislature. Consequently, the CCPA currently presents many compliance questions that remain unresolved. The CCPA may increase our compliance costs and potential liability. In addition to the CCPA, numerous other states’ legislatures are considering similar laws that will require ongoing compliance efforts and investment.</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European Union, as of May 25, 2018, Regulation 2016/676, known as the General Data Protection Regulation, or GDPR, replaced the Data Protection Directive with respect to the processing of personal data in the European Union. The GDPR imposes many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increased requirements pertaining to health data and pseudonymized (i.e., key-coded) data and additional obligations when we contract third-party processors in connection with the processing of the personal data. The GDPR allows EU member states to make additional laws and regulations further limiting the processing of genetic, biometric or health data. Failure to comply with the requirements of GDPR and the applicable national data protection laws of the EU member states may result in fines of up to €20 million or up to 4% of the total worldwide annual turnover of the preceding financial year, whichever is higher, and other administrative penalties.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History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and Arrangement with Boomerang Oil, Inc.</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were originally incorporated in British Columbia, Canada on March 13, 2014 under the British Columbia Business Corporations Act, or the BCBCA, as “0996445 B.C. Ltd.” On March 25, 2014, and amended on April 8, 2014, we entered into an arrangement agreement with Boomerang Oil, Inc. (formerly known as 0922327 B.C. Ltd.) and 0995162 B.C. Ltd. to reorganize the business structure of such three entities in such a manner which would allow Boomerang Oil, Inc. to spin us out to become an independent entity that is a reporting issuer in Canada and for us to complete a reverse take-over of 0995162 B.C. Ltd. As a result of the arrangement agreement, we became a reporting issuer in the provinces of British Columbia and Alberta. In addition, the arrangement resulted in 0995162 B.C. Ltd. becoming our wholly owned subsidiary. The assets of 0995162 B.C. Ltd. consisted of cash and 0995162 B.C. Ltd.’s interest in a letter agreement pursuant to which it had agreed to acquire all of the outstanding shares of HMI, a Delaware corporation, and to seek a listing on a recognized stock exchange.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Reincorporation in Wyoming</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May 23, 2014, we changed our name to “Helius Medical Technologies, Inc.” and filed articles of continuation with the Wyoming Secretary of State office to reincorporate from being a corporation governed by the BCBCA to a corporation governed by the Wyoming Business Corporation Act.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NeuroHabilitation Corporation and Concurrent Financing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13, 2014, we completed the acquisition of NeuroHabilitation Corporation, or NHC, by way of an agreement and plan of merger. We refer to this transaction as the Reverse Merger. Pursuant to the agreement and plan of merger, HMT Mergersub, Inc., our wholly owned subsidiary, merged with and into NHC with NHC as the surviving corporation. In connection with the Reverse Merger, we issued an aggregate of 201,714 shares of our common stock to the former shareholders of HMI. The Reverse Merger was deemed to be a capital transaction in substance and recorded as a reverse recapitalization of NHC whereby NHC is deemed to be the continuing, surviving entity for accounting purposes, but through reorganization, has deemed to have adopted the capital structure of Helius. On December 21, 2018, NHC changed its name to Helius Medical, Inc.</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Reverse Merger, we completed a non-brokered private placement financing of $7.02 million (CAD$7.62 million) by issuing 87,085 subscription receipts. Pursuant to its terms, each subscription receipt automatically converted into one unit upon satisfaction of certain escrow release conditions, which had been satisfied. Each unit consisted of one share of our common stock and one-half of one share purchase warrant with each whole warrant being exercisable at CAD$175.00 per share for a period of two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Functional Currency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April 1, 2018, our functional currency was the Canadian dollar, or CAD$. We re-assessed our functional currency and as of April 1, 2018, our functional currency changed from the CAD$ to the U.S. dollar based on management’s analysis of changes in the primary economic environment in which we operate. The change in functional currency was accounted for prospectively from April 1, 2018 and financial statements prior to and including the period ended March 31, 2018 were not restated for the change in functional currency.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Reincorporation in Delaware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28, 2018, at our 2018 Annual Meeting of Shareholders, our shareholders approved our reincorporation from the state of Wyoming to the state of Delaware. On July 20, 2018, we completed the reincorporation to the state of Delaware.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of Helius NeuroRehab Inc.</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2019, we formed Helius NeuroRehab, Inc., or HNR, a Delaware corporation, which is a wholly owned subsidiary of Helius Medical Technologies, Inc. to operate a clinic focusing on the delivery of PoNS Treatment to patients with balance and gait disorders if and when FDA clearance is received.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of Helius Canada Acquisition Ltd. and Acquisition of Heuro Canada Inc.</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10, 2019, we formed HCA, a company incorporated under the federal laws of Canada, which is a wholly owned subsidiary of HMC, a company incorporated under the federal laws of Canada. On October 30, 2019, we acquired Heuro, a company incorporated under the federal laws of Canada, as a wholly owned subsidiary of HCA, from HTC.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of our Common Stock</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Following our Reverse Merger, we obtained approval of the listing of our common stock on the Canadian Securities Exchange, or CSE, on June 23, 2014. On April 18, 2016, our common stock was listed on the TSX under the symbol “HSM.” At the same time, we delisted our common stock from the CSE. The Company’s common stock also began trading on the OTC Markets, or OTCQB, under the ticker symbol “HSDT” on February 10, 2015. On April 11, 2018, our common stock began trading on the Nasdaq Capital Market under the ticker symbol “HSDT” and ceased to trade on the OTCBQ.</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2020, we received notice from the Staff of Nasdaq (the “Staff”) that the bid price for our common stock had closed below $1.00 per share for the prior 30-consecutive business day period and that we had been granted a 180-day grace period, through September 21, 2020, to regain compliance with Nasdaq Marketplace Rule 5550(a)(2) (the “Minimum Bid Price Rule”). Thereafter, on April 17, 2020, we received an additional notice from the Staff indicating that Nasdaq had temporarily stayed enforcement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Minimum Bid Price Rule through June 30, 2020 and, accordingly, the 180-day grace period applicable to the Company would not expire until December 3, 2020.</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4, 2020, we received notice from the Staff indicating that we were not eligible for an additional 180 day extension to meet the Minimum Bid Price Rule. As a result, the Staff determined that our securities would be subject to delisting unless we timely requested a hearing before the Panel. We timely submitted a request for a hearing before the Panel, which request stayed any suspension or delisting action by Nasdaq at least until the hearing process concludes and any extension granted by the Panel expires. On January 15, 2021, we received notice from the Staff that our bid price deficiency had been cured, and that we were in compliance with all applicable listing standards, and so the scheduled hearing before the Panel was cancelled.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 xml:space="preserve">Effective after the close of business on January 22, 2018, we completed a 1-for-5 reverse stock split of our common stock. </w:t>
      </w:r>
      <w:r>
        <w:rPr>
          <w:rFonts w:ascii="Arial" w:cs="Arial" w:eastAsia="Arial" w:hAnsi="Arial"/>
          <w:sz w:val="18"/>
          <w:szCs w:val="18"/>
          <w:color w:val="000000"/>
        </w:rPr>
        <w:t>All share and per share amounts</w:t>
      </w:r>
      <w:r>
        <w:rPr>
          <w:rFonts w:ascii="Arial" w:cs="Arial" w:eastAsia="Arial" w:hAnsi="Arial"/>
          <w:sz w:val="18"/>
          <w:szCs w:val="18"/>
          <w:color w:val="231F20"/>
        </w:rPr>
        <w:t xml:space="preserve"> </w:t>
      </w:r>
      <w:r>
        <w:rPr>
          <w:rFonts w:ascii="Arial" w:cs="Arial" w:eastAsia="Arial" w:hAnsi="Arial"/>
          <w:sz w:val="18"/>
          <w:szCs w:val="18"/>
          <w:color w:val="000000"/>
        </w:rPr>
        <w:t>in this Annual Report have been reflected on a post-split basis.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a special meeting of our stockholders on December 28, 2020, our stockholders approved a reverse split of our outstanding common stock at a ratio in the range of 1-for-5 to 1-for-35 to be determined at the discretion of our board of directors, whereby each outstanding 5 to 35 shares would be combined, converted and changed into 1 share of our common stock, to enable us to comply with Nasdaq’s continued listing requirements.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such meeting, our board of directors approved a final reverse stock split ratio of 1-for-35, and we filed with the Secretary of State of the State of Delaware a Certificate of Amendment to our Certificate of Incorporation to effect the reverse stock split. The reverse stock split was effective as of 5:00 pm Eastern Time on December 31, 2020, and our common stock began trading on a split-adjusted basis on The Nasdaq Capital Market and Toronto Stock Exchange on January 4, 2021. The reverse stock split did not change the par value of our stock or the authorized number of common or preferred shares. All share and per share amounts for all periods presented in this Annual Report have been retroactively adjusted for the reverse stock split effected on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principal executive offices are located at 642 Newtown Yardley Road, Suite 100, Newtown, PA 18940 and our telephone number is 215-944-6100. We maintain a corporate website at www.heliusmedical.com. We make available free of charge through our Internet website our annual reports on Form 10-K, quarterly reports on Form 10-Q and current reports on Form 8-K, and any amendments to these reports, as soon as its reasonably practicable after we electronically file such material with, or furnish such material to the SEC. We are not including the information on our website as a part of, nor incorporating it by reference into this Annual Report. Additionally, the SEC maintains a website that contains annual, quarterly, and current reports, proxy statements, and other information that issuers (including us) file electronically with the SEC. The SEC’s website address is http://www.sec.gov.</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neurotechnology company focused on neurological wellness through the development, licensing or acquisition of non-invasive technologies targeted at reducing symptoms of neurological disease or trauma, our human capital is important to the long-term success of our company.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Our People. </w:t>
      </w:r>
      <w:r>
        <w:rPr>
          <w:rFonts w:ascii="Arial" w:cs="Arial" w:eastAsia="Arial" w:hAnsi="Arial"/>
          <w:sz w:val="18"/>
          <w:szCs w:val="18"/>
          <w:color w:val="auto"/>
        </w:rPr>
        <w:t>We believe our diverse workforce is comprised of engaged individuals with appropriate qualifications and competencies to support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Our senior management team has an average of over 25 years of experience in the health sciences industry with recognized leadership expertise in their functional areas.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change in our United States regulatory timeline in 2019, we prioritized our resources to support our resubmission to the FDA and commercialization efforts in Canada. As a result, in April 2019, we reduced our workforce by over 30% to scale back the staff that was hired to prepare for our commercial launch in the United States while maintaining the necessary distribution, regulatory and quality system infrastructure to support our commercial launch in Canada. As of December 31, 2019, we had 19 full time employees and four consultants. During 2020, we maintained a similarly sized workforce, and as such, as of December 31, 2020, we had 19 full time employees, no part time employees, two full time consultants and five part time consultants.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 of our employees were covered by collective bargaining agreements. We have not experienced any interruptions of operations due to disputes with our employees.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Talent Acquisition, Development and Retention. </w:t>
      </w:r>
      <w:r>
        <w:rPr>
          <w:rFonts w:ascii="Arial" w:cs="Arial" w:eastAsia="Arial" w:hAnsi="Arial"/>
          <w:sz w:val="18"/>
          <w:szCs w:val="18"/>
          <w:color w:val="auto"/>
        </w:rPr>
        <w:t>Hiring, developing, and retaining high-performing employees is important to our operations and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creating experiences that foster growth, performance and retention. Retaining and acquiring the right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talent in this competitive environment, particularly at speed and scale, will continue to be a priority if we obtain FDA de novo classification and clearance of the PoNS device. Our workforce reflects talent from diverse perspectives.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Compensation, Benefits, Safety and Wellness. </w:t>
      </w:r>
      <w:r>
        <w:rPr>
          <w:rFonts w:ascii="Arial" w:cs="Arial" w:eastAsia="Arial" w:hAnsi="Arial"/>
          <w:sz w:val="18"/>
          <w:szCs w:val="18"/>
          <w:color w:val="auto"/>
        </w:rPr>
        <w:t>In addition to offering market competitive salaries and wages, we offer comprehensive health benefits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employees.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An investment in our securities has a high degree of risk. Before you invest you should carefully consider the risks and uncertainties described below and the other information in this Annual Report. Any of the risks and uncertainties set forth herein could materially and adversely affect our business, results of operations and financial condition, which in turn could materially and adversely affect the trading price or value of our securities. Additional risks not currently known to us or which we consider immaterial based on information currently available to us may also materially adversely affect us. As a result, you could lose all or part of your investment.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substantial net losses since our inception and anticipate that we will continue to incur substantial net losses for the foreseeable future. We may never achieve or sustain profitability.</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incurred substantial net losses since our inception. For the years ended December 31, 2020 and 2019, we incurred a net loss of $14.1 million and $9.8 million, respectively, and used cash in operations of $11.7 million and $21.0 million, respectively. We have an accumulated deficit of $118.9 million as of December 31, 2020. Our losses have resulted primarily from costs incurred in connection with our design, manufacturing and development activities, research and development activities, building our commercial infrastructure, stock-based compensation, legal, advertising, marketing and investor relations, and general and administrative expenses associated with our operations. While we have received a medical device license from Health Canada to market the PoNS device in Canada, and even if we are successful in obtaining marketing authorization from the FDA in order to launch our PoNS device in the United States or additional foreign regulatory authorities to launch outside of the United States, we expect to continue to incur substantial losses for the foreseeable future as we continue to research and develop and seek regulatory marketing authorization for our product candidate.</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subject to all of the business risks and uncertainties associated with any new business enterprise, including under-capitalization, cash shortages, limitations with respect to personnel, financial and other resources, lack of significant revenue and the risk that we will not achieve our growth objective. If sales revenue from any product candidate that receives marketing authorization from the FDA or other regulatory body is insufficient, if we are unable to develop and commercialize any of our potential product candidates, or if our product development is delayed, we may never achieve or sustain profitability.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require additional financing to carry out our plan of operations and if we are unable to obtain such financing, our business may fail.</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our inception through December 31, 2020, we have generated over $2.0 million in revenue from the commercial sales of products or services. Because we have generated limited revenues from commercialization, our operations to date have been principally financed through public and private offerings of our common stock and convertible debt and exercises of options and warrants. There are a number of conditions that we must satisfy before we will be able to generate sufficient revenue to fund our operations, including but not limited to the recruitment of patients for treatment in Canada, manufacturing of a commercially viable version of the PoNS device and demonstration of effectiveness sufficient to generate commercial orders by customers for our product. Moreover, because we expect that the revenue opportunity in the United States is significantly greater than in Canada, we believe our ability to generate significant revenue in the future will be dependent upon the receipt of FDA marketing authorization of the PoNS device.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factors raise substantial doubt about our ability to continue as a going concern through at least 12 months from the date of this Annual Report. While we had $3.3 million of cash as of December 31, 2020 and received net proceeds of $10.9 million in the aggregate from the exercise of outstanding warrants and the issuance and sale of common stock and warrants in a public offering subsequent to December 31, 2020, we do not currently have sufficient resources to accomplish all of the above conditions necessary for us to generate sufficient revenues to achieve profitability, and we will require additional financing to fund our operations beyond the beginning of the first quarter of 2022. There is no guarantee that such funding will be available at all or in sufficient amounts to satisfy our required expenditures.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are unable to obtain additional financing as needed, we may be forced to reduce the scope of our operations and planned capital expenditures or sell certain assets, including intellectual property, and we may be forced to cease or wind down operations, seek protection under the provisions of the U.S. Bankruptcy Code, or liquidate and dissolve our company, which would have a material adverse effect on the value of our common stock.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Raising additional capital by issuing securities or through debt financings or licensing arrangements may cause dilution to our existing stockholders, restrict our operations or require us to relinquish rights to our technologies or product candidate on terms unfavorable to us.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operations to date have principally been financed by public and private offerings of our common stock and convertible debt and exercises of options and warrants and, since inception, we have raised $118.9 million in gross proceeds from equity financings. Until we can generate significant revenue from product sales, if ever, we expect to finance our operations through the sale of equity, debt financings, or other capital sources, including potential collaborations with other companies or other strategic transactions. To the extent that we raise additional capital through the sale of equity or convertible debt securities, your ownership interest will be diluted, and the terms of such securities may include liquidation or other preferences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partnerships with third parties, we may have to relinquish valuable rights to our technologies or product candidate, future revenue streams, research programs or product candidate, or otherwise grant licenses on terms that are not favorable to us. If we are unable to raise additional capital when needed, we may be required to delay, limit, reduce or terminate our product development or commercialization efforts for our product candidate or our preclinical product candidates, or grant rights to develop and market potential future product candidates that we would otherwise prefer to develop and market ourselves. Any of these events could adversely affect our ability to achieve our product development and commercialization goals and have a material adverse effect on our business, financial condition and results of operations.</w:t>
      </w:r>
    </w:p>
    <w:p>
      <w:pPr>
        <w:spacing w:after="0" w:line="18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independent registered public accounting firm has included an explanatory paragraph relating to our ability to continue as a going concern in its report on our audited financial statements. We may be unable to continue to operate without the threat of liquidation for the foreseeable future.</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our management’s assessment, our report from our independent registered public accounting firm for the fiscal year ended December 31, 2020 includes an explanatory paragraph stating that our recurring losses from operations and net capital deficiency raise substantial doubt about our ability to continue as a going concern. If we are unable to obtain sufficient funding, our business, prospects, financial condition and results of operations will be materially and adversely affected and we may be unable to continue as a going concern. Future reports from our independent registered public accounting firm may also contain statements expressing substantial doubt about our ability to continue as a going concern. We believe our existing capital resources will be sufficient to fund our operations into the first quarter of 2022. We have based this estimate on assumptions that may prove to be wrong, and we could exhaust our available capital resources sooner than we expect. We expect our expenses to increase over time in connection with our ongoing activities, particularly if and as we: invest in marketing and distribution capabilities in support of potentially commercializing our PoNS device in the U.S., if approved; make improvements to our manufacturing process and product design; launch the TBI-002 trial or conduct other trials of the PoNS device; pursue further regulatory approvals; maintain, expand and protect our intellectual property portfolio; and add additional personnel. There can be no assurance that we will be successful in raising additional capital or that such capital, if available, will be on terms that are acceptable to us. If we are unable to continue as a going concern, we may have to liquidate our assets and may receive less than the value at which those assets are carried on our consolidated financial statements, and investors will likely lose all or a part of their investment.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only have one product candidate, which is still in development, and we have not obtained authorization from the FDA to commercially distribute the device in the United States, a CE Mark for commercial distribution in Europe or from the TGA for commercial distribution in Australia, and we may never obtain such authorizations.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have no products authorized for commercial distribution in either the United States, Europe or Australia, or in any other country outside of Canada. We are developing the PoNS device for use in the neuromodulation market, but we cannot begin marketing and selling the device in the United States, Europe or Australia until we obtain applicable authorizations from the FDA, European Union (Notified Body) or Therapeutic Goods Administration in Australia, respectively. While we have submitted applications for regulatory marketing authorization in the United States and Australia, the process of obtaining regulatory authorization is expensive and time-consuming and can vary substantially based upon, among other things, the type, complexity and novelty of a product. Changes in regulatory policy, changes in or the enactment of additional statutes or regulations, or changes in regulatory review for each submitted product application may cause delays in the authorization of a product candidate or rejection of a regulatory application altogether.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In April 2019, the FDA declined our request for de novo classification of the PoNS device for use to improve balance in patients with mmTBI. In reaching its conclusion, the FDA noted that it did not have sufficient information to discern the relative independent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spacing w:after="0" w:line="271" w:lineRule="auto"/>
        <w:rPr>
          <w:sz w:val="20"/>
          <w:szCs w:val="20"/>
          <w:color w:val="auto"/>
        </w:rPr>
      </w:pPr>
      <w:r>
        <w:rPr>
          <w:rFonts w:ascii="Arial" w:cs="Arial" w:eastAsia="Arial" w:hAnsi="Arial"/>
          <w:sz w:val="17"/>
          <w:szCs w:val="17"/>
          <w:color w:val="231F20"/>
        </w:rPr>
        <w:t>contributions of the PoNS device and physical therapy to establish sufficient evidence of effectiveness based on our clinical trials. 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 Based on the receipt of the FDA’s final minutes from the pre-submission meeting, we finalized our clinical protocol for a new trial, TBI-002, intended to support a request for de novo classification and clearance of the PoNS device. T</w:t>
      </w:r>
      <w:r>
        <w:rPr>
          <w:rFonts w:ascii="Arial" w:cs="Arial" w:eastAsia="Arial" w:hAnsi="Arial"/>
          <w:sz w:val="17"/>
          <w:szCs w:val="17"/>
          <w:color w:val="000000"/>
        </w:rPr>
        <w:t>he launch of the TBI-002 trial has been temporarily suspended, and we are evaluating our options for</w:t>
      </w:r>
      <w:r>
        <w:rPr>
          <w:rFonts w:ascii="Arial" w:cs="Arial" w:eastAsia="Arial" w:hAnsi="Arial"/>
          <w:sz w:val="17"/>
          <w:szCs w:val="17"/>
          <w:color w:val="231F20"/>
        </w:rPr>
        <w:t xml:space="preserve"> </w:t>
      </w:r>
      <w:r>
        <w:rPr>
          <w:rFonts w:ascii="Arial" w:cs="Arial" w:eastAsia="Arial" w:hAnsi="Arial"/>
          <w:sz w:val="17"/>
          <w:szCs w:val="17"/>
          <w:color w:val="000000"/>
        </w:rPr>
        <w:t>funding and timing to commence the trial or potentially look at other indications.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On May 7, 2020, we received Breakthrough Designation for the PoNS device as a potential treatment for gait deficit due to symptoms of MS, to be used as an adjunct to a supervised therapeutic exercise program. 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19, 2020, we announced that we received a request for additional information from the FDA related to our request for de novo classification and clearance of the PoNS device, which includes requests for additional analysis of clinical data and proposes certain labeling modifications. On January 11, 2021, we announced that we submitted our formal response to the FDA’s request for additional information.</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FDA has substantial discretion in the de novo review process and may refuse to accept our application or may decide that our data are insufficient to grant the de novo request and require additional pre-clinical, clinical, or other studies. In addition, varying interpretations of the data obtained from pre-clinical and clinical testing could delay, limit, or prevent marketing authorization from the FDA or other regulatory authorities. Any marketing authorization from the FDA we ultimately obtain may be limited or subject to restrictions or post-market commitments that render the product candidate not commercially viable. If our attempts to obtain marketing authorization are unsuccessful, we may be unable to generate sufficient revenue to sustain and grow our business, and our business, financial condition, and results of operations will be materially adversely affected.</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are able to complete development of the PoNS device and obtain marketing authorization of the PoNS device for the treatment of gait deficit in patients with MS in the United States, Europe or Australia, we plan to develop the PoNS device for other indications, or symptoms caused by neurological disorders. We would be required to commit our own resources to fund development of any other indications and each would require separate FDA clearance or other marketing authorization. The costs of such development efforts and FDA clearance or other marketing authorization could be substantial and would likely require additional funding, and each such indication would be subject to the same foregoing risks and uncertainties for FDA clearance/authorization.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has adversely impacted, and may continue to materially and adversely impact, our business, financial condition and results of operations.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adversely impacted by the COVID-19 pandemic and global economic conditions. The outbreak and spread of COVID-19 has significantly increased economic uncertainty. Authorities implemented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limited operations to 50% capacity during the second half of 2020. Some patients have begun to return to these clinics for treatment, but patients have been and may continue to be less willing to return to the clinics due to COVID-19, impacting our commercial activities and our customer engagement efforts. We have expanded our services to include remote training and treatment, but the long-term viability of these remote programs is still being assessed. In addition, the resurgence of COVID-19 cases across Canada in the fourth quarter of 2020 has led to further restrictions on clinic activities. Additionally, while we do not currently have any clinical trials underway, we are running clinical experience programs in Canada and have experienced delays in the programs as trial participant attendance has generally decreased as a result of the pandemic, and clinics and clinical research sites have experienced delays and difficulties in recruiting and re-hiring clinical site staff, leading to further delays in the development and approval of the Company’s product candidate. As noted above, prior to the COVID-19 pandemic, our expectation was that we would move forward with the launch of our TBI-002 trial and we had estimated that enrollment would begin in April 2020 with the completion of the trial and submission to the FDA in the second quarter of 2021. However, the launch of the TBI-002 trial has been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temporarily suspended and we are evaluating our options for funding and timing to commence the trial or potentially looking at other indications.</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 partners diverted resources towards other activities related to COVID-19, resulting in delays in the development and manufacturing of our product.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the Company’s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COVID-19 pandemic continues, we may experience additional disruptions that could severely impact our business and planned clinical trials including:</w:t>
      </w:r>
    </w:p>
    <w:p>
      <w:pPr>
        <w:spacing w:after="0" w:line="170" w:lineRule="exact"/>
        <w:rPr>
          <w:sz w:val="20"/>
          <w:szCs w:val="20"/>
          <w:color w:val="auto"/>
        </w:rPr>
      </w:pPr>
    </w:p>
    <w:p>
      <w:pPr>
        <w:ind w:left="740" w:hanging="368"/>
        <w:spacing w:after="0" w:line="258"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on clinical trials, including the diversion of hospitals serving as clinical trial sites and hospital staff supporting the conduct of clinical trials;</w:t>
      </w:r>
    </w:p>
    <w:p>
      <w:pPr>
        <w:spacing w:after="0" w:line="1" w:lineRule="exact"/>
        <w:rPr>
          <w:rFonts w:ascii="Arial" w:cs="Arial" w:eastAsia="Arial" w:hAnsi="Arial"/>
          <w:sz w:val="18"/>
          <w:szCs w:val="18"/>
          <w:color w:val="auto"/>
        </w:rPr>
      </w:pPr>
    </w:p>
    <w:p>
      <w:pPr>
        <w:ind w:left="740" w:right="20" w:hanging="368"/>
        <w:spacing w:after="0" w:line="250"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 on travel imposed or recommended by federal or state governments, employers and others;</w:t>
      </w: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 in which clinical trials are conducted and may result in unexpected costs;</w:t>
      </w:r>
    </w:p>
    <w:p>
      <w:pPr>
        <w:ind w:left="740" w:hanging="368"/>
        <w:spacing w:after="0" w:line="250"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ind w:left="740" w:hanging="368"/>
        <w:spacing w:after="0" w:line="260"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in the timing of our interactions with the FDA due to absenteeism by federal employees or the diversion of their efforts and attention to approval of other therapeutics or other activities related to COVID-19.</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risks specifically described above, the COVID-19 pandemic has exacerbated and precipitated the other risks described herein, and may continue to do so. The extent to which the COVID-19 pandemic will continue to impact the Company’s business, results of operations and financial condition will depend on future developments, which are highly uncertain and cannot be predicted. The Company does not know yet the full extent of the impact of COVID-19 on its business, operations or the global economy as a whole.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PoNS technology is a novel form of neurostimulation therapy, and the medical community tends not to adopt new therapies very rapidly. If physicians elect not to prescribe the PoNS Treatment, or if we cannot train physical therapists in the supervision of the use of the PoNS Treatment, we will be unable to generate significant revenue, if any.</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deployment strategy in the United States depends on physicians prescribing the PoNS Treatment to patients with relevant neurological disorders and physical therapists being trained in the supervision of patients’ use of our treatment. Novel technologies are usually more slowly adopted by the medical community, as the medical community tends to be very conservative. Physicians may elect not to use our products for a variety of reasons, including:</w:t>
      </w:r>
    </w:p>
    <w:p>
      <w:pPr>
        <w:spacing w:after="0" w:line="149"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or perceived lack of evidence supporting the beneficial characteristics of our technology;</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limited long-term data on the use of PoNS technology for therapy;</w:t>
      </w:r>
    </w:p>
    <w:p>
      <w:pPr>
        <w:spacing w:after="0" w:line="9" w:lineRule="exact"/>
        <w:rPr>
          <w:rFonts w:ascii="Arial" w:cs="Arial" w:eastAsia="Arial" w:hAnsi="Arial"/>
          <w:sz w:val="18"/>
          <w:szCs w:val="18"/>
          <w:color w:val="auto"/>
        </w:rPr>
      </w:pPr>
    </w:p>
    <w:p>
      <w:pPr>
        <w:ind w:left="1000" w:hanging="493"/>
        <w:spacing w:after="0" w:line="250"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physicians’ perception that there are insufficient advantages of our product relative to currently available products or compared to supervised therapeutic exercise alone;</w:t>
      </w: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effectively train physical therapists in the supervision of patients’ use of the therapy;</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our commercial infrastructure to successfully launch;</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hospitals may choose not to purchase our product;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group purchasing organizations may choose not to contract for our product, thus limiting availability of our products to hospital purchasers;</w:t>
      </w:r>
    </w:p>
    <w:p>
      <w:pPr>
        <w:spacing w:after="0" w:line="32" w:lineRule="exact"/>
        <w:rPr>
          <w:rFonts w:ascii="Arial" w:cs="Arial" w:eastAsia="Arial" w:hAnsi="Arial"/>
          <w:sz w:val="16"/>
          <w:szCs w:val="16"/>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coverage or adequate payment from managed care plans and other third-party payers for our product;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Medicare, Medicaid or other third-party payers may limit or not permit reimbursement for our product;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development or improvement of competitive products.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medical community is slow to adopt, or declines to adopt our PoNS device for neurostimulation therapy, we will not be able to generate significant revenues, if any, which would have a material adverse effect on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There is limited market awareness of our product, and the neuromodulation market is new and uncertain.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is currently limited market awareness of our product. In order to succeed, we must, among other things, increase market awareness of our PoNS Treatment and implement a sales and marketing strategy. If we fail in any of these endeavors or experience delays in pursuing them, we will not generate revenues as planned and will need to curtail operations or seek additional financing earlier than otherwise anticipated. In addition, if the neuromodulation market fails to become more integrated in neurological therapy, it could have a materially adverse effect on our business and financial position.</w:t>
      </w:r>
    </w:p>
    <w:p>
      <w:pPr>
        <w:spacing w:after="0" w:line="15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face significant competition in an environment of rapid technological change, and our competitors may develop devices or products that are more advanced or more effective than ours are which may adversely affect our financial condition and our ability to successfully market the PoNS device.</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neurostimulation market involves rapidly developing technology. Our competitors in the industry are predominantly large companies with longer operating histories, with significantly easier access to capital and other resources and an established product pipeline than us. The combined clinical research and product development done by the industry, including by us and all of our competitors, is foundational, and neurostimulation has slowly become integrated into neurological therapy. This foundation has allowed new and innovative neurostimulation companies to enter the market. New developments occur rapidly, and we anticipate that we will face increasing competition as new companies enter our market.</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can be no assurance that we will be able to establish ourselves in the neurostimulation market, or, if established, that we will be able to maintain our market position, if any. Our commercial opportunity may be reduced if our competitors develop new or improved products that are more convenient, more effective or less expensive than our product candidate is. Competitors also may obtain FDA or other regulatory marketing authorization for their products more rapidly or earlier than we may obtain marketing authorization for ours, which could result in our competitors establishing a strong market position before we are able to enter the market. Additionally, technologies developed by our competitors may render the PoNS device uneconomical or obsolete.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continue to be, dependent in significant part on outside scientists and third-party research institutions for our research and development in order to be able to commercialize our product candidate.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a limited number of employees and resources available to perform the research and development necessary to commercialize our PoNS Treatment and potential future product candidates. We therefore rely, and will continue to rely, on third-party research institutions, collaborators and consultants for this capability.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third parties for the manufacture and distribution of our product and the loss of our third-party manufacturer and distributor could harm our business.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depend on our third-party contract manufacturing partner to manufacture and supply our PoNS device for clinical and commercial purposes, and this contract manufacturer manufactured the units for our engineering and device verification testing and is building the launch quantities for commercialization. Additionally, we depend on a different third-party distribution partner to warehouse and ship our products to customers. Our reliance on a third-party manufacturer and a distribution provider to supply us with our PoNS device and to provide such other distribution services exposes us to risks that could delay our sales or result in higher costs or lost product revenues. In addition, our manufacturers could encounter difficulties, including, but not limited to, those caused by the COVID-19 pandemic, in securing long-lead time components, achieving volume production, quality control and quality assurance or suffer shortages of qualified personnel, which could result in their inability to manufacture sufficient quantities of our commercially available product to meet market demand. Our third-party manufacturer or distributor may also fail to follow and remain in compliance with the FDA-mandated Quality System Regulations, or QSR, compliance which is required for all medical devices, or fail to document their compliance to QSRs, either of which could lead to significant delays in the availability of materials for our product and/or FDA enforcement actions against them and/or us.</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are unable to obtain adequate supplies of our product that meet our specifications and quality standards, it will be difficult for us to compete effectively. While we have supply and quality agreements in place with our manufacturer, they may change the terms of our future orders or choose not to supply us with products in the future. Furthermore, if such manufacturer fails to perform its obligations, we may be forced to purchase our product from other third-party manufacturers, which we may not be able to do on reasonable terms or in sufficient time, if at all. In addition,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or the reverification of an existing manufacturer could negatively affect our ability to produce and distribute our product in a timely manner.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b w:val="1"/>
          <w:bCs w:val="1"/>
          <w:i w:val="1"/>
          <w:iCs w:val="1"/>
          <w:color w:val="auto"/>
        </w:rPr>
        <w:t>In order to be successful, we must expand our product lines beyond our PoNS Treatment for gait deficit due to symptoms from MS or balance deficit due to mmTBI, but we may not be able to do so in a timely fashion and at expected costs, or at all.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be successful, we will need to expand our product lines beyond our PoNS Treatment for gait deficit due to symptoms from MS or balance deficit due to mmTBI. To succeed in our commercialization efforts, we must effectively continue product development and testing, obtain regulatory authorizations, and enhance our sales, marketing and market access and reimbursement capabilities. There is no assurance that we will succeed in developing a future product candidate or in bringing any of our current or potential future product candidates to market outside of Canada. If we fail in bringing our product candidates to market, or experience delays in doing so, we will not generate revenues as planned and will need to curtail operations or seek additiona</w:t>
      </w:r>
      <w:r>
        <w:rPr>
          <w:rFonts w:ascii="Arial" w:cs="Arial" w:eastAsia="Arial" w:hAnsi="Arial"/>
          <w:sz w:val="18"/>
          <w:szCs w:val="18"/>
          <w:color w:val="0000FF"/>
        </w:rPr>
        <w:t>l</w:t>
      </w:r>
      <w:r>
        <w:rPr>
          <w:rFonts w:ascii="Arial" w:cs="Arial" w:eastAsia="Arial" w:hAnsi="Arial"/>
          <w:sz w:val="18"/>
          <w:szCs w:val="18"/>
          <w:color w:val="auto"/>
        </w:rPr>
        <w:t xml:space="preserve"> financing earlier than otherwise anticipated.</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development of additional products is subject to the risks of failure inherent in the development of new, state of the art products, and products based on new technologies. These risks include: (a) delays in product development or manufacturing; (b) unplanned expenditures for product development or manufacturing; (c) failure of new products to have the desired effect or an acceptable accuracy and/or safety profile; (d) emergence of superior or equivalent products; (e) failure by any potential collaborative partners to successfully develop products; and (f) the dependence on third parties for the manufacture, development and sale of our products. Because of these risks, our research and development efforts or those of potential collaborative partners may not result in any commercially viable products. If a significant portion of these development efforts is not successfully completed, or any products are not commercially successful, we are less likely to generate significant revenues, or become profitable. The failure to perform such activities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intellectual property protection is inadequate, competitors may gain access to our technology and undermine our competitive position.</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regard our intended and future intellectual property as important to our success, and we intend to rely on patent law to protect our proprietary rights. Despite our precautions, unauthorized third parties may copy certain portions of our devices or products or reverse engineer or obtain and use information that we regard as proprietary. We may seek additional patents in the future. We do not know if any future patent application will be issued with the scope of the claims, we seek, if at all or whether any patents we receive will be challenged or invalidated. Thus, we cannot assure you that any intellectual property rights that we may receive can be successfully asserted in the future or that they will not be invalidated, circumvented or challenged. In addition, the laws of some foreign countries do not protect proprietary rights to the same extent, as do the laws of the United States. Our means of protecting any proprietary rights we may receive in the United States or abroad may not be adequate and competitors may independently develop a similar technology. Any failure to protect our proprietary information and any successful intellectual property challenges or infringement proceedings against us could have a material adverse effect on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various litigation claims and legal proceedings, including intellectual property litigation, such as patent infringement claims, which could adversely affect our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 well as certain of our directors and officers, may be subject to claims or lawsuits. These lawsuits may result in significant legal fees and expenses and could divert management’s time and other resources. If the claims contained in these lawsuits are successfully asserted against us, we could be liable for damages and be required to alter or cease certain of our business practices or product lines. Any of these outcomes could cause our business, financial performance and cash position to be negatively impacted.</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our commercial success will also depend, in part, on not infringing on the patents or proprietary rights of others. There can be no assurance that the technologies and products used or developed by us will not infringe such rights. If such infringement occurs and we are not able to obtain a license from the relevant third party, we will not be able to continue the development, manufacture, use, or sale of any such infringing technology or product. There can be no assurance that necessary licenses to third-party technology will be available at all or on commercially reasonable terms. In some cases, litigation or other proceedings may be necessary to defend against or assert claims of infringement or to determine the scope and validity of the proprietary rights of third parties. Any potential litigation could result in substantial costs to, and diversion of, our resources and could have a material and adverse impact on us.</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 adverse outcome in any such litigation or proceeding could subject us to significant liabilities, require us to cease using the subject technology or require us to license the subject technology from the third party, all of which could have a material adverse effect on our business.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There are risks to our intellectual property based on our international business operations.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face risks to our technology and intellectual property as a result of our conducting business outside of the United States, including as a result of our strategic arrangement with A&amp;B (and subsequent transfer of assets to CMS and CMS Medical Hong Kong Limited), and particularly in jurisdictions that do not have comparable levels of protection of corporate proprietary information and assets such as intellectual property, trademarks, trade secrets, know-how and customer information and records. While these risks are common to many companies, conducting business in certain foreign jurisdictions, housing technology, data and intellectual property abroad, or licensing technology to joint ventures with foreign partners may have more significant exposure. Pursuant to our agreement with A&amp;B, we transferred ownership of certain of our Asian patents, patent applications, and product support material for the PoNS device from us to A&amp;B and granted to A&amp;B, among other things, an exclusive license to market, promote, distribute and sell the PoNS device solely within specified Asian territories. Subsequently. A&amp;B partnered with other companies in other foreign jurisdictions in connection with the development and manufacturing of the PoNS device, which may expose us to material risks of theft of our proprietary information and other intellectual property, including technical data, manufacturing processes, data sets or other sensitive information. For example, our product or components may be reverse engineered by other business partners or other parties, which could result in our patents being infringed or our know-how or trade secrets stolen. The risk can be by direct intrusion wherein technology and intellectual property is stolen or compromised through cyber intrusions or physical theft through corporate espionage, including with the assistance of insiders, or via more indirect routes.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Before we can market and sell our products, we will be required to obtain marketing authorization from the FDA and foreign regulatory authorities. These authorizations will take significant time and require significant research, development, and clinical study expenditures, and ultimately may not succeed.</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Before we begin to label and market the PoNS Treatment for use in the United States, we are required to obtain marketing authorization via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and clearance request for our product or approval of pre-market approval application from the FDA, unless an exemption from pre-market review applies. We will also be required to comply with costly and more often time-consuming regulatory requirements by foreign regulatory authorities, including Europe and Australia, if we want to sell our products outside of the United States, other than Canada, where the PoNS Treatment is authorized for sale as a class II, non-implantable, medical device for treatment of gait deficit due to symptoms from MS and balance deficit due to mmTBI in conjunction with supervised therapeutic exercise. The process of obtaining regulatory authorizations or approvals, including completion of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to market a medical device can be costly and time consuming, and we may not be able to successfully obtain pre-market reviews on a timely basis, if at all.</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In April 2019, the FDA declined our request for de novo classification of the PoNS device for use to improve balance in patients with mmTBI. In reaching its conclusion, the FDA noted that it did not have sufficient information to discern the relative independent contributions of the PoNS device and physical therapy to establish sufficient evidence of effectiveness based on our clinical trials. 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 Based on the receipt of the FDA’s final minutes from the pre-submission meeting, we finalized our clinical protocol for a new trial, TBI-002, intended to support a request for de novo classification and clearance of the PoNS device. T</w:t>
      </w:r>
      <w:r>
        <w:rPr>
          <w:rFonts w:ascii="Arial" w:cs="Arial" w:eastAsia="Arial" w:hAnsi="Arial"/>
          <w:sz w:val="18"/>
          <w:szCs w:val="18"/>
          <w:color w:val="000000"/>
        </w:rPr>
        <w:t>he launch of the TBI-002 trial has been temporarily suspended, and we are evaluating our options for funding and timing to commence the trial or potentially look at other indications.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On May 7, 2020, we received Breakthrough Designation for the PoNS device as a potential treatment for gait deficit due to symptoms of MS, to be used as an adjunct to a supervised therapeutic exercise program. 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19, 2020, we announced that we received a request for additional information from the FDA related to our request for de novo classification and clearance of the PoNS device, which includes requests for additional analysis of clinical data and proposes certain labeling modifications. On January 11, 2021, we announced that we submitted our formal response to the FDA’s request for additional information.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has substantial discretion in the de novo review process and may refuse to accept our application or may decide that our data are insufficient to grant the de novo request and require additional pre-clinical, clinical, or other studies. In addition, varying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ind w:right="20"/>
        <w:spacing w:after="0" w:line="277" w:lineRule="auto"/>
        <w:rPr>
          <w:sz w:val="20"/>
          <w:szCs w:val="20"/>
          <w:color w:val="auto"/>
        </w:rPr>
      </w:pPr>
      <w:r>
        <w:rPr>
          <w:rFonts w:ascii="Arial" w:cs="Arial" w:eastAsia="Arial" w:hAnsi="Arial"/>
          <w:sz w:val="18"/>
          <w:szCs w:val="18"/>
          <w:color w:val="auto"/>
        </w:rPr>
        <w:t>interpretations of the data obtained from pre-clinical and clinical testing could delay, limit, or prevent marketing authorization from the FDA or other regulatory authorities.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the FDA requires us to go through a lengthier, more rigorous examination for the PoNS device for MS or any other indication we may pursue, introducing the product could be delayed or canceled, which would cause our launch to be delayed or cancelled. In addition, the FDA may determine that the PoNS device requires the more costly, lengthy and uncertain pre-market approval process. For example, if the FDA disagrees with our determination that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procedures are the appropriate path to obtain marketing authorization for the PoNS device, the FDA may require us to submit a PMA application, which is generally more costly and more burdensome and can take several years from the time the application is submitted to the FDA until an approval is obtained.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Moreover, in addition to continuing our pursuit of an indication for mmTBI with the FDA, we are currently considering the development of the PoNS device for other potential indications, including stroke, cerebral palsy, Parkinson’s disease, baby boomers balance, and neurological wellness, as well as expanding the label of our current indications. At this time, we do not know what pathways the FDA or other regulatory authorities will require us to utilize for these additional indications. We may be required to pursue marketing authorization via more rigorous pathways, such as a PMA application in the United States, which may require more development work than we are currently planning. This would delay the potential marketing authorization for such indications, potentially make marketing authorization more difficult to obtain, and increase our costs.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FDA marketing authorization will be costly, may result in time-consuming delays and will subject us to ongoing compliance costs and regulatory risk for non-compliance.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Obtaining FDA marketing authorization,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and clearance, or PMA approval for medical devices can be expensive and uncertain, generally takes from several months to several years, and generally requires detailed and comprehensive scientific and clinical data. Notwithstanding the expense, these efforts may never result in FDA authorization. Even if we were to obtain regulatory authorization, it may not be for the uses we believe are important or commercially attractive, in which case we would not be permitted to market our product for those uses.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FDA can delay, limit or deny authorization of a device for many reasons, including:</w:t>
      </w:r>
    </w:p>
    <w:p>
      <w:pPr>
        <w:spacing w:after="0" w:line="225"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be able to demonstrate to the FDA’s satisfaction that our product candidate is safe and effective for its intended users;</w:t>
      </w:r>
    </w:p>
    <w:p>
      <w:pPr>
        <w:spacing w:after="0" w:line="34" w:lineRule="exact"/>
        <w:rPr>
          <w:rFonts w:ascii="Arial" w:cs="Arial" w:eastAsia="Arial" w:hAnsi="Arial"/>
          <w:sz w:val="17"/>
          <w:szCs w:val="17"/>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authorization, where required;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the FDA may change its authorization policies, adopt additional regulations or revise existing regulations, or take other actions, which may prevent or delay marketing authorization of our products under development. Any delay in, or failure to receive or maintain clearance or approval for our product candidate could prevent us from generating revenue from our product candidate and adversely affect our business operations and financial results.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Even if granted, a 510(k) clearance,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and clearance, or pre-market approval for any future product would likely place substantial restrictions on how our device is marketed or sold, and FDA will continue to place considerable restrictions on our products and operations. For example, the manufacture of medical devices must comply with FDA’s QSR. In addition, manufacturers must register their manufacturing facilities, list the products with FDA, and comply with requirements relating to labeling, marketing, complaint handling, adverse event and medical device reporting, reporting of corrections and removals, and import and export. FDA monitors compliance with the QSR 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w:t>
      </w:r>
    </w:p>
    <w:p>
      <w:pPr>
        <w:spacing w:after="0" w:line="192"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notifications of repair, replacement, refunds, detention or seizure of our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refusing or delaying requests for marketing authorization of new products or modified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withdrawing marketing authorizations that have already been granted;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refusing to provide Certificates for Foreign Government;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refusing to grant export approval for our products; or</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pursuing criminal prosecution.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spacing w:after="0" w:line="263" w:lineRule="auto"/>
        <w:rPr>
          <w:sz w:val="20"/>
          <w:szCs w:val="20"/>
          <w:color w:val="auto"/>
        </w:rPr>
      </w:pPr>
      <w:r>
        <w:rPr>
          <w:rFonts w:ascii="Arial" w:cs="Arial" w:eastAsia="Arial" w:hAnsi="Arial"/>
          <w:sz w:val="18"/>
          <w:szCs w:val="18"/>
          <w:color w:val="auto"/>
        </w:rPr>
        <w:t>Additionally, the FDA and other regulatory authorities have broad enforcement powers. Regulatory enforcement or inquiries, or other increased scrutiny on us, could affect the perceived safety and efficacy of our product candidate and dissuade our customers from using our product candidate, if and when it is authorized for marketing.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conduct clinical trials to support a future de novo submission or PMA application for the PoNS device and we expect to be required to conduct clinical trials to support regulatory marketing authorization for future product candidates.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order to commercialize our product candidate in the United States, we may be required by the FDA to submit an application for premarket approval, or PMA, for review and approval by the FDA. A PMA application must be submitted to the FDA if our device cannot be cleared through the 510(k) clearance process, down classified via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or is not exempt from premarket review by the FDA. In April 2019, the FDA declined our </w:t>
      </w:r>
      <w:r>
        <w:rPr>
          <w:rFonts w:ascii="Arial" w:cs="Arial" w:eastAsia="Arial" w:hAnsi="Arial"/>
          <w:sz w:val="16"/>
          <w:szCs w:val="16"/>
          <w:color w:val="231F20"/>
        </w:rPr>
        <w:t>request for</w:t>
      </w:r>
      <w:r>
        <w:rPr>
          <w:rFonts w:ascii="Arial" w:cs="Arial" w:eastAsia="Arial" w:hAnsi="Arial"/>
          <w:sz w:val="16"/>
          <w:szCs w:val="16"/>
          <w:color w:val="auto"/>
        </w:rPr>
        <w:t xml:space="preserve"> </w:t>
      </w:r>
      <w:r>
        <w:rPr>
          <w:rFonts w:ascii="Arial" w:cs="Arial" w:eastAsia="Arial" w:hAnsi="Arial"/>
          <w:sz w:val="16"/>
          <w:szCs w:val="16"/>
          <w:i w:val="1"/>
          <w:iCs w:val="1"/>
          <w:color w:val="231F20"/>
        </w:rPr>
        <w:t>de</w:t>
      </w:r>
      <w:r>
        <w:rPr>
          <w:rFonts w:ascii="Arial" w:cs="Arial" w:eastAsia="Arial" w:hAnsi="Arial"/>
          <w:sz w:val="16"/>
          <w:szCs w:val="16"/>
          <w:color w:val="auto"/>
        </w:rPr>
        <w:t xml:space="preserve"> </w:t>
      </w:r>
      <w:r>
        <w:rPr>
          <w:rFonts w:ascii="Arial" w:cs="Arial" w:eastAsia="Arial" w:hAnsi="Arial"/>
          <w:sz w:val="16"/>
          <w:szCs w:val="16"/>
          <w:i w:val="1"/>
          <w:iCs w:val="1"/>
          <w:color w:val="231F20"/>
        </w:rPr>
        <w:t xml:space="preserve">novo </w:t>
      </w:r>
      <w:r>
        <w:rPr>
          <w:rFonts w:ascii="Arial" w:cs="Arial" w:eastAsia="Arial" w:hAnsi="Arial"/>
          <w:sz w:val="16"/>
          <w:szCs w:val="16"/>
          <w:color w:val="231F20"/>
        </w:rPr>
        <w:t>classification and clearance for mmTBI. Following a pre-submission meeting with the FDA, we finalized our clinical protocol for a new trial, TBI-002, intended to support a request for de novo classification and clearance of the PoNS device. The launch of the TBI-002 trial has been temporarily suspended, and we are evaluating our options for funding and timing to commence the trial or potentially look at other indications.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On May 7, 2020, we received Breakthrough Designation for the PoNS device as a potential treatment for gait deficit due to symptoms of MS, to be used as an adjunct to a supervised therapeutic exercise program. 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19, 2020, we announced that we received a request for additional information from the FDA related to our request for de novo classification and clearance of the PoNS device, which includes requests for additional analysis of clinical data and proposes certain labeling modifications. On January 11, 2021, we announced that we submitted our formal response to the FDA’s request for additional information.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could also be required to submit a PMA application for potential future product candidates. If we are required by the FDA to submit a PMA application, the FDA will also require us to conduct clinical trials. We will receive marketing authorization from the FDA to commercialize products requiring a clinical trial only if we can demonstrate to the satisfaction of the FDA, through well designed and properly conducted clinical trials, that our product candidate is safe, effective, and otherwise meet the appropriate standards required for marketing authorization for specified indications.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and may continue to encounter substantial delays in planned clinical trials, or our planned clinical trials for other indications using the PoNS device may fail to demonstrate the safety and efficacy of the PoNS device to the satisfaction of applicable regulatory authorities.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described above, following the FDA’s denial of our request for de novo classification and clearance for mmTBI in April 2019, in January 2020 we finalized our clinical protocol for TBI-002 intended to support a request for de novo classification and clearance of the PoNS device for mmTBI. Prior to the COVID-19 pandemic, our expectation was that we would move forward with the revised protocol and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While we currently have no ongoing clinical trials, we expect that we will need to conduct further clinical trials, including the TBI-002 trial if we continue to pursue de novo classification and clearance for mmTBI in the United States. Clinical trials are complex, expensive, time consuming, uncertain as to outcome and are subject to substantial and unanticipated delays. Before we may begin clinical trials, if a clinical trial is determined to present a significant risk, we may be required to submit and obtain approval for an investigational device exemption, or IDE, that describes, among other things, the manufacture of, and controls for, the device and a complete investigational plan. Clinical trials generally involve a substantial number of patients in a multi-year study. Because we do not have the infrastructure necessary to conduct clinical trials, we will have to hire one or more contract research organizations, or CROs, to conduct trials on our behalf. CRO contract negotiations may be costly and time consuming and we will rely heavily on the CRO to ensure that our trials are conducted in accordance with regulatory and industry standards. We may encounter problems with our clinical trials and any of those problems could cause us or the FDA to suspend those trials or delay the analysis of the data derived from them. Moreover, any failure to abide by the applicable regulatory requirements by us, our CROs, and/or clinical trial sites may result in regulatory enforcement action against such third parties or us.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guarantee that clinical trials will be conducted as planned or completed on schedule, if at all. A failure of one or more clinical trial can occur at any stage of testing. Delays, including, but not limited to those caused by the COVID-19 pandemic, can be costly and could negatively affect our ability to complete a clinical trial and may allow our competitors to bring products to market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18"/>
          <w:szCs w:val="18"/>
          <w:color w:val="auto"/>
        </w:rPr>
        <w:t>before we do, which could impair our ability to successfully commercialize the PoNS device. If we are unable to complete such planned clinical trials, or are unsuccessful in doing so, we may be unable to advance the PoNS device to regulatory authorization and commercialization, which would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substantially dependent on third parties to conduct our clinical trials.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we may conduct clinical trials to obtain FDA marketing authorization, we will need to rely heavily on third parties over the course of our clinical trials, and as a result will have limited control over the clinical investigators and limited visibility into their day-to-day activities. Nevertheless, we are responsible for ensuring that each of our studies is conducted in accordance with the applicable protocol and legal, regulatory and scientific standards, and our reliance on third parties does not relieve us of our regulatory responsibilities. These third parties and we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or may subject them or us to regulatory enforcement actions. We cannot be certain that, upon inspection, such regulatory authorities will determine that any of our clinical trials comply with the cGCP regulations. In addition, our clinical trials may be required to be conducted with a large number of test patients. Our failure or any failure by these third parties to comply with these regulations or to recruit a sufficient number of patients may require us to repeat clinical trials, which would delay the regulatory marketing authorization process. Moreover, our business may be implicated if any of these third parties violates federal or state fraud and abuse or false claims laws and regulations or healthcare privacy and security laws.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marketing authorization of or successfully commercialize our product candidate. As a result, our financial results and the commercial prospects for our product candidate would be harmed, our costs could increase, and our ability to generate revenue could be delayed.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any of our relationships terminate with these third-party CROs, we may not be able to enter into arrangements with alternative CROs or do so on commercially reasonable terms. Switching or adding additional CROs involves additional cost and requires management time and focus. In addition, there is a natural transition period when a new CRO begins work. As a result, delays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suspend or discontinue clinical trials due to side effects or other safety risks that could preclude approval of our products.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clinical trials may be suspended at any time for a number of reasons. We may voluntarily suspend or terminate our clinical trials if at any time we believe that they present an unacceptable risk to participants.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participants.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secure contracts with WC and third-party administrators or rehabilitation clinics who treat patients with gait deficit due to symptoms from MS or balance issues associated with mmTBI, this could have a negative impact on our intended sales and would have a material adverse effect on our business, financial condition and operating results.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of our commercialization strategies includes leveraging WC payers to drive early reimbursements and entice Medicaid and commercial payers through third party administrators and rehabilitation clinics. Should we fail in securing such contracts it could have a material adverse effect on our intended sales projections, which would affect our financial conditions and operating results. In addition, until we are successful in engaging WC payers, Medicaid and other third party commercial payers to cover the cost of the PoNS device for their insured customers, we expect our initial sales of the PoNS device will be via cash paid by patients. As a result, we may not be able to sell our PoNS device in commercially reasonable quantities depending on the cost of the device to cash payers.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a reimbursement code from the U.S. Department of Health and Human Services so that the PoNS device is covered under Medicare and Medicaid, this could have a negative impact on our intended sales and would have a material adverse effect on our business, financial condition and operating results.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plan to submit an application to the U.S. Department of Health and Human Services for a reimbursement code so that the PoNS device is covered under Medicare and Medicaid. However, there can be no assurance that our application will be successful, or that we will be able to obtain a reimbursement code in a timely manner. In the event that we do not obtain a reimbursement code for the PoNS device, our customers may be unable to obtain reimbursement for their purchases under private or government-sponsored insurance plans, which could have a negative impact on our sales and have a material adverse effect on our business, financial condition and operating results. In addition, Medicare and its administrative contractors as well as other insurers must find that the PoNS device meets their medical necessity requirements for the treatment of patients with mmTBI or they will not pay for the treatment. In addition, there is a risk that the payment amount for the PoNS device is either too low or too high to incentivize customer adoption.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hospitals and other healthcare providers are unable to obtain coverage or adequate reimbursement for procedures performed with our products, our product will not likely be widely used.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the commercial success of our existing product and any future products will depend, in part, on the extent to which governmental payers at the federal and state levels, including Medicare and Medicaid, private health insurers and other third-party payers provide coverage for and establish adequate reimbursement levels for procedures utilizing our products. On January 12, 2021, the CMS stated that it is finalizing a new Medicare coverage pathway, Medicare Coverage of Innovative Technology, or “MCIT,” for FDA-designated breakthrough medical devices. The MCIT rule will provide national Medicare coverage as early as the same day as FDA market authorization for breakthrough devices and coverage would last for four years. Manufacturers will be able to opt-in to MCIT and choose a start date for coverage anytime within two years from the date of FDA market authorization. Hospitals and other healthcare providers that purchase our product for treatment of their patients generally rely on third-party payers to pay for all or part of the costs and fees associated with our products as part of a “bundled” rate for the associated procedures. The existence of coverage and adequate reimbursement for our products and the procedures performed with them by government and private payers is critical to market acceptance of our existing and future products. Neither hospitals nor physicians are likely to use our product and any future products if they do not receive adequate reimbursement for the procedures utilizing our products.</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private payers currently base their reimbursement policies on the coverage decisions and payment amounts determined by the CMS, which administers the Medicare program. Others may adopt different coverage or reimbursement policies for procedures performed with our products, while some governmental programs, such as Medicaid, have reimbursement policies that vary from state to state, some of which may not pay for the procedures performed with our products in an adequate amount, if at all. A Medicare national or local coverage decision denying coverage for one or more of our products could result in private and other third-party payers also denying coverage for our products. Third-party payers also may deny reimbursement for our products if they determine that a product used in a procedure was not medically necessary, was not used in accordance with cost-effective treatment methods, as determined by the third-party payer, or was used for an unapproved use. Unfavorable coverage or reimbursement decisions by government programs or private payers underscore the uncertainty that our product face in the market and could have a material adverse effect on our business.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hospitals and clinics in the United States belong to group purchasing organizations, which typically incentivize their hospital members to make a relatively large proportion of purchases from a limited number of vendors of similar products that have contracted to offer discounted prices. Accordingly, the commercial success of our products may also depend to some extent on our ability to either negotiate favorable purchase contracts with key group purchasing organizations and/or persuade hospitals and clinics to purchase our product “off contract.”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healthcare industry in the United States has experienced a trend toward cost containment as government and private payers seek to control healthcare costs by paying service providers lower rates. While we believe that hospitals will be able to obtain coverage for procedures using our products, the level of payment available to them for such procedures may change over time. State and federal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spacing w:after="0" w:line="270" w:lineRule="auto"/>
        <w:rPr>
          <w:sz w:val="20"/>
          <w:szCs w:val="20"/>
          <w:color w:val="auto"/>
        </w:rPr>
      </w:pPr>
      <w:r>
        <w:rPr>
          <w:rFonts w:ascii="Arial" w:cs="Arial" w:eastAsia="Arial" w:hAnsi="Arial"/>
          <w:sz w:val="17"/>
          <w:szCs w:val="17"/>
          <w:color w:val="auto"/>
        </w:rPr>
        <w:t>healthcare programs, such as Medicare and Medicaid, closely regulate provider payment levels and have sought to contain, and sometimes reduce, payment levels. Private payers frequently follow government payment policies and are likewise interested in controlling increases in the cost of medical care. In addition, some payers are adopting pay-for-performance programs that differentiate payments to healthcare providers based on the achievement of documented quality-of-care metrics, cost efficiencies, or patient outcomes. These programs are intended to provide incentives to providers to deliver the same or better results while consuming fewer resources. Because of these programs, and related payer efforts to reduce payment levels, hospitals and other providers are seeking ways to reduce their costs, including the amounts they pay to medical device manufacturers. We may not be able to sell our product profitably if third-party payers deny or discontinue coverage or reduce their levels of payment below that which we project, or if our production costs increase at a greater rate than payment levels. Adverse changes in payment rates by payers to hospitals could adversely affect our ability to market, sell our products, and negatively affect our financial performance.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payers, that reimbursement will be available or, if available, that the third-party payers’ reimbursement policies will not adversely affect our ability to sell our product profitably. Any failure to receive regulatory or reimbursement approvals would negatively affect market acceptance of our products in any international markets in which those approvals are being sought.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do not have a product available for sale in the United States. If, however, we achieve this goal, the availability of payments from Medicare, Medicaid or other third-party payers would mean that many healthcare laws would place limitations and requirements on the manner in which we conduct our business, including our sales and promotional activities and interactions with healthcare professionals and facilities. In some instances, our interactions with healthcare professionals and facilities that occurred prior to commercialization (e.g., the granting of stock options) could have implications at a later date. The laws that may affect our ability to operate include, among others: (i) 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payers that are false or fraudulent, and which may apply to entities like us if we provide coding and billing advice to customers, or under theories of “implied certification” where the government and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relators may allege that device companies are liable where a product that was paid for by the government in whole or in part was promoted “off-label,” lacked necessary marketing authorization, or failed to comply with good manufacturing practices or other laws; (iii) transparency laws and related reporting and/or disclosures such as the Sunshine Act; and/or (iv) state law equivalents of each of the above federal laws, such as anti-kickback and false claims laws which may apply to items or services reimbursed by any third-party payer, including commercial insurers, many of which differ from their federal counterparts in significant ways, thus complicating compliance efforts.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Any action against us for violation of these laws, even if we successfully defend against it, could cause us to incur significant legal expenses and divert our management’s attention from the operation of our business.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communications regarding product candidates, even while in development, are subject to extensive government scrutiny. We may be subject to governmental, regulatory and other legal proceedings relative to advertising, promotion, and marketing, and communications with study subjects and healthcare professionals, which could have a significant negative effect on our business.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governmental oversight and associated civil and criminal enforcement relating to medical device advertising, promotion, and marketing, and such enforcement is evolving and intensifying. Communications regarding our products in development and regarding our clinical trials may subject us to enforcement if they do not comply with applicable laws. In the United States, we are potentially subject to enforcement from the FDA, other divisions of the Department of Health and Human Services, the U.S. Federal Trade Commission, or the FTC, the Department of Justice, and state and local governments. Other parties, including private plaintiffs, also are commonly bringing suit against pharmaceutical and medical device companies. We may be subject to liability based on the actions of individual employees and third-party contractors carrying out activities on our behalf.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jc w:val="both"/>
        <w:spacing w:after="0" w:line="381" w:lineRule="auto"/>
        <w:rPr>
          <w:sz w:val="20"/>
          <w:szCs w:val="20"/>
          <w:color w:val="auto"/>
        </w:rPr>
      </w:pPr>
      <w:r>
        <w:rPr>
          <w:rFonts w:ascii="Arial" w:cs="Arial" w:eastAsia="Arial" w:hAnsi="Arial"/>
          <w:sz w:val="15"/>
          <w:szCs w:val="15"/>
          <w:b w:val="1"/>
          <w:bCs w:val="1"/>
          <w:i w:val="1"/>
          <w:iCs w:val="1"/>
          <w:color w:val="auto"/>
        </w:rPr>
        <w:t>Even after marketing authorization for our product is obtained, we are subject to extensive post-market regulation by the FDA and equivalent foreign competent authorities. Our failure to meet strict regulatory requirements could require us to pay fines, incur other costs or even close our facilities.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after we have obtained the proper regulatory clearance or approval to market a product, the FDA has the power to require us to conduct post-market studies. These studies can be very expensive and time-consuming to conduct. Failure to complete such studies in a timely manner could result in the revocation of clearance or approval and the recall or withdrawal of the product, which could prevent us from generating sales from that product in the United States.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FDA has broad enforcement powers, and any regulatory enforcement actions or inquiries, or other increased scrutiny on us, could dissuade some healthcare professionals from using our products and adversely affect our reputation and the perceived safety and efficacy of our products.</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also required to comply with the FDA’s Quality System Regulation, or QSR, which covers the methods used in, and the facilities and controls used for, the design, manufacture, quality assurance, labeling, packaging, sterilization, storage, shipping, installation and servicing of our marketed products.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FDA enforces these requirements via periodic announced and unannounced inspections of manufacturing facilities. In addition, in the future, regulatory authorities and/or customers may require specific packaging of sterile products, which could increase our costs and the price of our products.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After commercialization, a recall of our products, either voluntarily or at the direction of a governmental authority, or a foreign competent authority, or the discovery of serious safety issues with our products, could have a significant adverse impact on 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and similar foreign governmental authorities such as the competent authorities of the European Economic Area countries or Health Canada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deficiencies in our products are found. A government-mandated or voluntary recall by us could occur as a result of an unacceptable risk to health, component failures, manufacturing errors, design or labeling defects or other deficiencies and issues.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FDA requires that certain classifications of voluntary recalls of devices be reported to the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Any recalls of any of our products would divert managerial and financial resources and could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Any future failure by us or one of our suppliers to comply with applicable statutes and regulations administered by the FDA, or the failure to timely and adequately respond to any adverse inspectional observations or product safety issues, could result in any of the following enforcement actions:</w:t>
      </w:r>
    </w:p>
    <w:p>
      <w:pPr>
        <w:spacing w:after="0" w:line="146" w:lineRule="exact"/>
        <w:rPr>
          <w:sz w:val="20"/>
          <w:szCs w:val="20"/>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 recall, detention or seizure of our products;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refusing or delaying our requests for 510(k) clearance,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clearance, PMA approval, NDA, or BLA of new products or modified products;</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withdrawing clearances or approvals that have already been granted;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U.S. legislative or FDA regulatory reforms may make it more difficult and costly for us to obtain regulatory approval of our product and to manufacture, market and distribute our products after marketing authorization is obtained.</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For example, the recent change in administration may impact our business and industry. Namely,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executive actions will be implemented, or whether they will be rescinded or replaced under the current Biden administration. The policies and priorities of a new administration are unknown and could materially impact the regulation governing our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Any changes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any new products would have an adverse effect on our ability to expand our business. If we are slow or unable to adapt to changes in existing requirements or the adoption of new requirements or policies, or if we are not able to maintain regulatory compliance, we may lose any marketing clearance that we may have obtained and we may not achieve or sustain profitability.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expenses are greater than anticipated, then we will have fewer funds with which to pursue our plan of operations and our financing requirements will be greater than anticipated.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find that the costs of carrying out our plan of operations are greater than we anticipate. We expect our expenses to increase over time in connection with our ongoing activities, particularly if and as we: invest in marketing and distribution capabilities in support of potentially commercializing our PoNS device in the U.S., if approved; make improvements to our manufacturing process and product design; launch the TBI-002 trial or conduct other trials of the PoNS device; pursue further regulatory approvals; maintain, expand and protect our intellectual property portfolio; and add additional personnel. Increased operating costs may cause the amount of financing that we require to increase. Investors may be more reluctant to provide additional financing if we cannot demonstrate that we can control our operating costs. There is no assurance that additional financing required as a result of our operating costs being greater than anticipated will be available to us. If we do not control our operating expenses, then we will have fewer funds with which to carry out our plan of operations with the result that our business may fail.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Section 382 of the Internal Revenue Code of 1986, as amended, or the Code substantial changes in a corporation’s ownership may limit the amount of net operating losses, or NOLs, that can be utilized annually in the future to offset the corporation’s (and the corporation’s affiliates’) U.S. federal and state taxable income. Specifically, this limitation may arise in the event of a cumulative change in ownership of more than 50% within any three-year period. The amount of the annual limitation is determined based on the value of the corporation that underwent the ownership change, immediately before the ownership change. Subsequent ownership changes may further affect any limitation in future years (including by way of exercising of warrants).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undertake a study to analyze and determine if any historical ownership changes of us or our subsidiary HMI have occurred to determine if there are any permanent limitations on our ability to utilize NOLs in the future. If we determine that an ownership change has occurred, the limitations on the use of our NOLs could increase our U.S. federal and state tax liability and reduce the amount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cash available for distribution to shareholders or otherwise adversely affect the value of an investment in our common stock or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build an effective distribution network for our product.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currently have very few employees and we may either build internal capabilities or rely on distributors to sell our product. We cannot assure you that we will succeed in building an internal team or entering into and maintaining productive arrangements with an adequate number of distributors that are sufficiently committed to selling our products. The establishment of a distribution network is expensive and time consuming. As we launch new products and increase our marketing effort with respect to existing products, we will need to continue to hire, train, retain and motivate skilled resources with significant technical knowledge. In addition, the commissions we pay for product sales could increase over time, which would result in higher sales and marketing expenses. Furthermore, if we were to rely on distributors, the current and potential distributors may market and sell the products of our competitors. Even if the distributors market and sell our product, our competitors may be able, by offering higher commission payments or other incentives, to persuade these distributors to reduce or terminate their sales and marketing efforts related to our product. The distributors may also help competitors solicit business from our existing customers. Some of our independent distributors may likely account for a significant portion of our sales volume, and, if we were to lose them, our sales could be adversely affected. Even if we engage and maintain suitable relationships with an adequate number of distributors, they may not generate revenue as quickly as we expect them to, commit the necessary resources to effectively market and sell our products, or ultimately succeed in selling our product.</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Exposure to United Kingdom political developments, including the outcome of the referendum on membership in the European Union, could be costly and difficult to comply with and could seriously harm our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2020, the United Kingdom formally withdrew from the European Union, commonly referred to as “Brexit.” Brexit has created an uncertain political and economic environment in the United Kingdom and other European Union countries. The political and economic instability created by Brexit has caused and may continue to cause significant volatility in global financial markets and uncertainty regarding the regulation of data protection in the United Kingdom.</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Brexit may have a significant negative impact on medical device manufacturers such as us. A Notified Body, or NB, that we contracted with as our EU regulatory service provider is located in the UK. CE Mark issued by a UK NB is at risk due to Brexit. Medical device manufacturers such as us with products CE Marked by a UK NB may not be able to place those products on the market until Brexit issues are resolved by the European Commission and local governments. In addition, the acceptance of medical device market authorization from UK NBs by countries outside of the EU, which have traditionally accepted UK NB CE marked products, is at risk of interruption due to Brexit. The complexity of Brexit places a significant burden on UK NBs which may negatively impact their ability to provide market clearance (i.e., CE Marking) reviews and certifications in a timely manner. Delays in CE Marking and delays in the issuance of certificates could delay us from placing our PoNS device on the market outside of the UK including outside of the EU (for those countries that require quality management system certificates and CE approval prior to marketing).</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2018, we submitted an application for a CE Mark, which, if approved, would allow us to market the PoNS device in the European Union. During the second quarter of 2019, we engaged with regulators in Europe to answer questions that we received from them as part of their review of our PoNS device for CE marking. In August 2019, we withdrew our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new notified body and will reconsider submitting to the EU when conditions stabilize.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result of the use of our product candidates in clinical trials, and through the sale of our products, we may be liable for product liability claims and we may not carry sufficient product liability insurance.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PoNS device and any devices and product candidates that we may develop in the future may expose us to potential liability from personal injury claims by clinical trial subjects and, if commercially sold, end-users of the product. We maintain clinical trial liability insurance and carry product liability insurance to protect us against the risk that in the future a product liability claim or product recall could materially and adversely affect our business. Inability to obtain sufficient insurance coverage at an acceptable cost or otherwise to protect against potential product liability claims could prevent or inhibit the commercialization of our intended product. We cannot assure you that when we commence distribution of our product that we will be able to obtain or maintain adequate coverage on acceptable terms, or that such insurance will provide adequate coverage against all potential claims. Moreover,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the liability.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under federal securities laws and we cannot be certain whether the reduced reporting requirements applicable to such companies will make our common stock less attractive to investors.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“smaller reporting company” under federal securities laws. For as long as we continue to be a smaller reporting company, we may take advantage of exemptions from various reporting requirements that are applicable to other public companies, including, reduced disclosure obligations regarding executive compensation in our periodic reports and proxy statements. We will remain a smaller reporting company so long as our public float remains less than $250 million as of the last business day of our most recently-completed second fiscal quarter. 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Investors could lose confidence in our financial reports, and the value of our common stock may be adversely affected, if our internal controls over financial reporting are found not to be effective by management or by our independent registered public accounting firm.</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long as we remain a non-accelerated filer, we are exempt from the attestation requirement in the assessment of our internal control over financial reporting by our independent auditors pursuant to section 404(b) of the Sarbanes-Oxley Act of 2002 but are required to make our own internal assessment of the effectiveness of our internal controls over financial reporting. The existence of one or more material weaknesses, such as the material weakness we identified in October 2019, could affect the accuracy and timing of our financial reporting.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Investors could lose confidence in our financial reports, and the value of our common stock may be harmed, if our internal controls over financial reporting are found not to be effective by management or by our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Several people who work for us on a part-time consulting basis may be subject to conflicts of interest.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people who provide services to us are part-time consultants. Each may devote part of his working time to other business endeavors, including consulting relationships with other corporate entities, and may have responsibilities to these other entities. Because of these relationships, some of the persons who provide services to us may be subject to conflicts of interest. Such conflicts may include deciding how much time to devote to our affairs, as well as what business opportunities should be presented to us.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been the victim of a cyber-related crime and our controls may not be successful in avoiding further cyber-related crimes in the future.</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2019, we were the victim of a business email compromise fraud which resulted in our incurring a loss of approximately $0.1 million. We are working with law enforcement authorities and the banks involved in the wire transfer to pursue recovery of the $0.1 million, but at this time while law enforcement officials have identified the source of the scam, we do not know whether we will be able to recover any of the funds, and we have been advised that it may take several months before we are better able to evaluate our recovery prospects.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Enhancements have been made to our controls relating to electronic payments by or for us that we believe will reduce our risk of becoming a victim of future frauds related to our payments, including by wire transfers. However, cyber-related criminal activities continue to evolve and increase in sophistication, frequency and severity. As a result, the control enhancements that have been made, and any additional enhancements that may be made in the future, to our controls may not be successful in avoiding our becoming a victim to further cyber-related crimes.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a deficiency in our cyber-security.</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(including ransomware attacks) over the Internet, attachments to emails, persons inside our organization, or persons with access to systems inside our organization. No network or system can ever be completely secure, and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development programs for an indeterminate period of time. For example, the loss of clinical trial data from completed or ongoing or planned clinical trials could result in delays in our regulatory approval efforts and significantly increase our costs to recover or reproduce the data. In some cases, data cannot be reproduced. To the extent that any disruption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jc w:val="both"/>
        <w:spacing w:after="0" w:line="273" w:lineRule="auto"/>
        <w:rPr>
          <w:sz w:val="20"/>
          <w:szCs w:val="20"/>
          <w:color w:val="auto"/>
        </w:rPr>
      </w:pPr>
      <w:r>
        <w:rPr>
          <w:rFonts w:ascii="Arial" w:cs="Arial" w:eastAsia="Arial" w:hAnsi="Arial"/>
          <w:sz w:val="17"/>
          <w:szCs w:val="17"/>
          <w:color w:val="auto"/>
        </w:rPr>
        <w:t>security breach was to result in a loss of or damage to our data or applications, or inappropriate disclosure of confidential or proprietary information, we could incur material legal claims and liability, damage to our reputation, and the further development of the PoNS device or any future product candidate could be delayed. If a security breach results in the exposure or unauthorized disclosure of personal information, we could incur additional costs associated with data breach notification and remediation expenses, investigation costs, regulatory penalties and fines, and legal proceedings. Our insurance coverage may not be adequate to cover all the costs related to such breaches or attacks. In October 2019, we were the victim of a business email compromise, fraud which resulted in our incurring a loss of approximately $0.1 million.</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Challenges to our tax positions in U.S. or non-U.S. jurisdictions, the interpretation and application of recent U.S. tax legislation or other changes in U.S. or non-U.S. taxation of our operations could harm our business, revenue and financial results.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We operate, or intend to operate, in a number of tax jurisdictions globally, including in the United States at the federal, state and local levels, and in several other countries, and we therefore are or will be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may increase our worldwide effective tax rate, result in additional taxes or other costs or have other material consequences, which could harm our business, revenue and financial results.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In particular, on December 22, 2017, the Tax Cuts &amp; Jobs Act, or TCJA, was signed into law. The legislation significantly changed U.S. tax law by, among other things, lowering the U.S. federal corporate income tax rate from 35% to 21%, implementing a modified territorial tax system and imposing a transition tax on deemed repatriated earnings of foreign subsidiaries, or the Section 965 Transition Tax. Certain changes established by the TCJA increased our effective tax rate in prior years, including a new income inclusion item for global intangible low-taxed income, or GILTI, and the Section 965 Transition Tax on our accumulated offshore earnings held in cash and illiquid assets. Additional changes have impacted the timing of our recognition of certain items of loss and deduction, including a new limitation on the company’s deduction for business interest expense, a new limitation of the deduction for NOLs to 80% of current year taxable income, elimination of NOL carrybacks for NOLs arising after December 31, 2017 and the allowance of the indefinite carryforward of such NOLs, and increased bonus depreciation from 50% to 100% for certain qualified property.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Furthermore, the Coronavirus Aid, Relief, and Economic Security Act, or the CARES Act, was enacted on March 27, 2020 in response to the outbreak of COVID-19 and its consequences. The CARES Act introduced substantial changes to the U.S. tax code, the overall impact of which on our business is uncertain. For example, among other changes, the CARES Act increased the interest expense deductibility limitations and waived certain limitations on the use of NOLs, in each case, temporarily.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On July 23, 2020, final regulations were published that exempt certain income subject to a high rate of foreign tax from inclusion under GILTI for tax years beginning after December 31, 2017.</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The cumulative impact of these and other changes in tax law is uncertain and our business and financial condition could be adversely affected. The impact of these changes on holders of our securities is also uncertain and could be adverse.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The reverse split of our common stock effected on December 31, 2020 could decrease our total market capitalization and has increased, and may continue to increase, the volatility of our stock price.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At a special meeting of our stockholders on December 28, 2020, our stockholders approved a reverse split of our outstanding common stock at a ratio in the range of 1-for-5 to 1-for-35. Following such special meeting, our board of directors approved a 1-for-35 reverse split of our issued and outstanding shares of common stock. We filed with the Secretary of State of the State of Delaware a Certificate of Amendment to our Certificate of Incorporation to effect the reverse stock split. The reverse stock split was effective as of 5:00 pm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231F20"/>
        </w:rPr>
        <w:t>Eastern Time on December 31, 2020, and our common stock began trading on a split-adjusted basis on The Nasdaq Capital Market on January 4, 2021.</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There can be no assurance that the total market capitalization of our common stock after the reverse stock split will be equal to or greater than the total market capitalization before the reverse stock split or that the per share market price of our common stock following the reverse stock split will increase in proportion to the reduction in the number of shares of common stock outstanding before the reverse stock split. Furthermore, a decline in the market price of our common stock after the reverse stock split may result in a greater percentage decline than would occur in the absence of a reverse stock split, and the liquidity of our common stock could be adversely affected following such a reverse stock split.</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The reverse stock split increased the Company’s authorized but unissued shares of common stock, which could negatively impact a potential investor.</w:t>
      </w:r>
    </w:p>
    <w:p>
      <w:pPr>
        <w:spacing w:after="0" w:line="2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Because the number of authorized shares of the Company’s common stock was not reduced proportionately, the reverse stock split increased the Board’s ability to issue authorized and unissued shares without further stockholder action. The issuance of additional shares of common stock or securities convertible into common stock may have a dilutive effect on earnings per share and relative voting power and may cause a decline in the trading price of the common stock. The Company could use the shares that are available for future issuance in dilutive equity financing transactions, or to oppose a hostile takeover attempt or delay or prevent changes in control or changes in or removal of management, including transactions that are favored by a majority of the stockholders or in which the stockholders might otherwise receive a premium for their shares over then-current market prices or benefit in some other manner.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could be delisted from The Nasdaq Capital Market, which could seriously harm the liquidity of our stock and our ability to raise capital.</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Our common stock is currently listed on The Nasdaq Capital Market. In order to maintain that listing, we must satisfy minimum financial and other continued listing requirements and standards, including those regarding maintaining a minimum share price, director independence and independent committee requirements, minimum stockholders’ equity, and certain corporate governance requirements. There can be no assurances that we will be able to comply with the applicable listing standards.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On March 23, 2020, we received a Notice from the Staff of Nasdaq indicating that, based on the closing bid price of the common stock for the 30 consecutive business days preceding the Notice, we no longer meet Nasdaq Listing Rule 5550(a)(2) (the “Minimum Bid Price Requirement”). The Notice does not result in the immediate delisting of our common stock from The Nasdaq Capital Market. In accordance with Nasdaq Listing Rule 5810(c)(3)(A), we were provided a period of 180 calendar days in which to regain compliance. In order to regain compliance with the Minimum Bid Price Requirement, the closing bid price of our common stock must be at least $1.00 for a minimum of ten consecutive business days.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On April 17, 2020, we received the Second Notice for the Staff of Nasdaq stating that the 180-day period to regain compliance with the Minimum Bid Price Requirement has been extended due to the global market impact caused by COVID-19. More specifically, Nasdaq has stated that compliance periods were suspended from April 16, 2020 until June 30, 2020. On July 1, 2020, companies received the balance of any pending compliance period to regain compliance with the Minimum Bid Price Requirement. As a result of this extension, we were given to until December 3, 2020 to regain compliance with the Minimum Bid Price Requirement.</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On December 4, 2020, we received notice from the Staff indicating that we were not eligible for an additional 180 day extension to meet the Minimum Bid Price Rule. As a result, the Staff determined that our securities would be subject to delisting unless we timely requested a hearing before the Panel. We timely submitted a request for a hearing before the Panel, which request stayed any suspension or delisting action by Nasdaq at least until the hearing process concluded and any extension granted by the Panel expired. On January 15, 2021, we received a notice from the Staff that our bid price deficiency had been cured, and that we were in compliance with all applicable listing standards, and so the scheduled hearing before the Panel was cancelled.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231F20"/>
        </w:rPr>
        <w:t>However, there is no guarantee that we will remain compliant with the requirements of the Nasdaq Capital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If we cease to be eligible to trade on The Nasdaq Capital Market:</w:t>
      </w:r>
    </w:p>
    <w:p>
      <w:pPr>
        <w:spacing w:after="0" w:line="333" w:lineRule="exact"/>
        <w:rPr>
          <w:sz w:val="20"/>
          <w:szCs w:val="20"/>
          <w:color w:val="auto"/>
        </w:rPr>
      </w:pPr>
    </w:p>
    <w:p>
      <w:pPr>
        <w:ind w:left="680" w:hanging="308"/>
        <w:spacing w:after="0"/>
        <w:tabs>
          <w:tab w:leader="none" w:pos="680" w:val="left"/>
        </w:tabs>
        <w:numPr>
          <w:ilvl w:val="0"/>
          <w:numId w:val="28"/>
        </w:numPr>
        <w:rPr>
          <w:rFonts w:ascii="Arial" w:cs="Arial" w:eastAsia="Arial" w:hAnsi="Arial"/>
          <w:sz w:val="16"/>
          <w:szCs w:val="16"/>
          <w:color w:val="231F20"/>
        </w:rPr>
      </w:pPr>
      <w:r>
        <w:rPr>
          <w:rFonts w:ascii="Arial" w:cs="Arial" w:eastAsia="Arial" w:hAnsi="Arial"/>
          <w:sz w:val="16"/>
          <w:szCs w:val="16"/>
          <w:color w:val="231F20"/>
        </w:rPr>
        <w:t>We may have to pursue trading in the United States on a less recognized or accepted market, such as the OTC Bulletin Board or the “pink sheets”;</w:t>
      </w:r>
    </w:p>
    <w:p>
      <w:pPr>
        <w:spacing w:after="0" w:line="46" w:lineRule="exact"/>
        <w:rPr>
          <w:rFonts w:ascii="Arial" w:cs="Arial" w:eastAsia="Arial" w:hAnsi="Arial"/>
          <w:sz w:val="16"/>
          <w:szCs w:val="16"/>
          <w:color w:val="231F20"/>
        </w:rPr>
      </w:pPr>
    </w:p>
    <w:p>
      <w:pPr>
        <w:ind w:left="680" w:hanging="308"/>
        <w:spacing w:after="0" w:line="260" w:lineRule="auto"/>
        <w:tabs>
          <w:tab w:leader="none" w:pos="68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Shares of our common stock could be less liquid and marketable, thereby reducing the ability of stockholders to purchase or sell our shares as quickly and as inexpensively as they have done historically;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left="680" w:hanging="308"/>
        <w:spacing w:after="0"/>
        <w:tabs>
          <w:tab w:leader="none" w:pos="680" w:val="left"/>
        </w:tabs>
        <w:numPr>
          <w:ilvl w:val="0"/>
          <w:numId w:val="29"/>
        </w:numPr>
        <w:rPr>
          <w:rFonts w:ascii="Arial" w:cs="Arial" w:eastAsia="Arial" w:hAnsi="Arial"/>
          <w:sz w:val="17"/>
          <w:szCs w:val="17"/>
          <w:color w:val="231F20"/>
        </w:rPr>
      </w:pPr>
      <w:r>
        <w:rPr>
          <w:rFonts w:ascii="Arial" w:cs="Arial" w:eastAsia="Arial" w:hAnsi="Arial"/>
          <w:sz w:val="17"/>
          <w:szCs w:val="17"/>
          <w:color w:val="231F20"/>
        </w:rPr>
        <w:t>Our common stock may be deemed a “penny stock,” and transactions in our common stock would be more difficult and cumbersome;</w:t>
      </w:r>
    </w:p>
    <w:p>
      <w:pPr>
        <w:spacing w:after="0" w:line="34" w:lineRule="exact"/>
        <w:rPr>
          <w:rFonts w:ascii="Arial" w:cs="Arial" w:eastAsia="Arial" w:hAnsi="Arial"/>
          <w:sz w:val="17"/>
          <w:szCs w:val="17"/>
          <w:color w:val="231F20"/>
        </w:rPr>
      </w:pPr>
    </w:p>
    <w:p>
      <w:pPr>
        <w:jc w:val="both"/>
        <w:ind w:left="680" w:hanging="308"/>
        <w:spacing w:after="0" w:line="250" w:lineRule="auto"/>
        <w:tabs>
          <w:tab w:leader="none" w:pos="68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and</w:t>
      </w:r>
    </w:p>
    <w:p>
      <w:pPr>
        <w:spacing w:after="0" w:line="1" w:lineRule="exact"/>
        <w:rPr>
          <w:rFonts w:ascii="Arial" w:cs="Arial" w:eastAsia="Arial" w:hAnsi="Arial"/>
          <w:sz w:val="18"/>
          <w:szCs w:val="18"/>
          <w:color w:val="231F20"/>
        </w:rPr>
      </w:pPr>
    </w:p>
    <w:p>
      <w:pPr>
        <w:ind w:left="680" w:hanging="308"/>
        <w:spacing w:after="0"/>
        <w:tabs>
          <w:tab w:leader="none" w:pos="68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The market price of the common stock may further decline.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on The Nasdaq Capital Market may not continue to develop or be sustained.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our common stock is listed on The Nasdaq Capital Market, we cannot assure you that an active trading market for our common stock will continue to develop or be sustained. If an active market for our common stock does not continue to develop or is not sustained, it may be difficult for investors in our common stock to sell their shares of our common stock without depressing the market price for the shares or to sell the shares at all.</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Trading of our common stock could be sporadic, and the price of our common stock may be volatile; we caution you as to the highly illiquid nature of an investment in our shares.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common stock has been listed on the TSX since April 18, 2016 and on The Nasdaq Capital Market since April 11, 2018. Securities of microcap and small-cap companies have experienced substantial volatility in the past, often based on factors unrelated to the companies’ financial performance or prospects. We believe that trading in our stock has been and will likely continue to be subject to significant volatility. These factors include macroeconomic developments in North America and globally and market perceptions of the attractiveness of particular industries. Factors unrelated to our performance that may affect the price of our common stock include the following: the extent of analytical coverage available to investors concerning our business may be limited if investment banks with research capabilities do not follow us, a reduction in trading volume and general market interest in our common stock may affect an investor’s ability to trade significant numbers of shares of our common stock; the size of our public float may limit the ability of some institutions to invest in our common stock. As a result of any of these factors, the market price of our common stock at any given point in time may not accurately reflect our long-term value. The price of our common shares may increase or decrease in response to a number of events and factors, including: changes in financial estimates; our acquisitions and financings; quarterly variations in our operating results; the operating and share price performance of other companies that investors may deem comparable; and purchase or sale of blocks of our common stock. These factors, or any of them, may materially adversely affect the prices of our common shares regardless of our operating performance.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of our common stock is affected by many other variables which are not directly related to our success and are, therefore, not within our control. These include other developments that affect the breadth of the public market for shares of our common stock and the attractiveness of alternative investments. The effect of these and other factors on the market price of our common stock is expected to make our common stock price volatile in the future, which may result in losses to investors.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225" w:lineRule="exact"/>
        <w:rPr>
          <w:sz w:val="20"/>
          <w:szCs w:val="20"/>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stockholders are not entitled to remove directors other than by a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vote and only for cause;</w:t>
      </w:r>
    </w:p>
    <w:p>
      <w:pPr>
        <w:spacing w:after="0" w:line="42"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stockholders are not be permitted to take actions by written consent;</w:t>
      </w:r>
    </w:p>
    <w:p>
      <w:pPr>
        <w:spacing w:after="0" w:line="29"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18"/>
          <w:szCs w:val="18"/>
          <w:color w:val="auto"/>
        </w:rPr>
        <w:t>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Our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certificate of incorporation provides that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certificate of incorporation or our bylaws or (iv) any action asserting a claim governed by the internal affairs doctrine. Our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For example, stockholders who do bring a claim in the Court of Chancery could face additional litigation costs in pursuing any such claim, particularly if they do not reside in or near the State of Delaware. The Court of Chancery and federal district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certificate of incorporation to be inapplicable or unenforceable in an action, we may incur additional costs associated with resolving such action in other jurisdictions, which could adversely affect our business and financial condition.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As a result of this decision, we do not currently intend to enforce the federal forum selection provision in our certificate of incorporation, unless the decision is reversed on appeal. However, if the decision is reviewed on appeal and ultimately overturned by the Delaware Supreme Court, we would enforce the federal district court exclusive forum provision.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United States Tax Cuts and Jobs Act of 2017 could adversely affect our business and financial condition.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U.S. Tax Cuts and Jobs Act, or the TCJA, significantly reforms the Code. The TCJA, among other things, contains significant changes to U.S. federal corporate income taxation, including reduction of the U.S. federal corporate income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for net operating losses arising after December 31, 2017, immediate deductions for certain new investments instead of deductions for depreciation expense over time, and creating, modifying or repealing many business deductions and credits. Federal net operating losses arising in taxable year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paid any dividends and do not foresee paying dividends in the future.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intend to retain earnings, if any, to finance the growth and development of our business and do not intend to pay cash dividends on shares of our common stock in the foreseeable future. The payment of future cash dividends, if any, will be reviewed periodically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both"/>
        <w:ind w:right="20"/>
        <w:spacing w:after="0" w:line="277" w:lineRule="auto"/>
        <w:rPr>
          <w:sz w:val="20"/>
          <w:szCs w:val="20"/>
          <w:color w:val="auto"/>
        </w:rPr>
      </w:pPr>
      <w:r>
        <w:rPr>
          <w:rFonts w:ascii="Arial" w:cs="Arial" w:eastAsia="Arial" w:hAnsi="Arial"/>
          <w:sz w:val="18"/>
          <w:szCs w:val="18"/>
          <w:color w:val="auto"/>
        </w:rPr>
        <w:t>the board of directors and will depend upon, among other things, conditions then existing including earnings, financial condition and capital requirements, restrictions in financing agreements, business opportunities and other factors.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decline in the price of our common stock could affect our ability to raise any required working capital and adversely affect our operations.</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decline in the price of our common stock could result in a reduction in the liquidity of our common stock and a reduction in our ability to raise any required capital for our operations. Because our operations to date have been principally financed through public and private offerings of our common stock and exercises of options and warrants, a decline in the price of our common stock could have an adverse effect upon our liquidity and our continued operations. A reduction in our ability to raise equity capital in the future may have a material adverse effect upon our business plans and operations. If our stock price declines, we may not be able to raise additional capital or generate funds from operations sufficient to meet our obligations.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heavily dependent upon the ability and expertise of our management team and a very limited number of employees and the loss of such individuals could have a material adverse effect on our business, operating results or financial condition.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have a very small management team. Our success is dependent upon the ability, expertise and judgment of our senior management. While employment agreements are customarily used as a primary method of retaining the services of key employees, these agreements cannot assure the continued services of such employees. Any loss of the services of such individuals could have a material adverse effect on our business, operating results or financial condition.</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head office is located at 642 Newtown-Yardley Road, Suite 100, Newtown, PA 18940, with 2,500 square feet of lease office space. In May 2020, we terminated our lease and entered into a new lease (the “Lease Amendment”) for a smaller footprint of the current office space in Newtown, Pennsylvania. Lease payments under the original contract were made through December 31, 2020. In January 2021, we signed a Lease Amendment extending our current lease term from July 1, 2021 through September 30, 2021, which may be extended on a month-to-month basis thereafter. Monthly rent plus utilities is approximately $5 thousand per month, with a 3% annual increase. We believe our current facilities are adequate for our needs.</w:t>
      </w:r>
    </w:p>
    <w:p>
      <w:pPr>
        <w:spacing w:after="0" w:line="2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are subject to litigation and claims arising in the ordinary course of business. Although the results of litigation and claims cannot be predicted with certainty, as of the date of this filing, we do not believe we are party to any claim or litigation, the outcome of which, if determined adversely to us, would individually or in the aggregate be reasonably expected to have a material adverse effect on our business or financial condition. Regardless of the outcome, litigation can have an adverse impact on us because of defense and settlement costs, diversion of management resources and other factors.</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160" w:hanging="1146"/>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shares of common stock trade on the TSX under the symbol “HSM”.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11, 2018, our shares of common stock began trading on the Nasdaq under the symbol “HSDT”.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March 5, 2021, there were approximately 31 holders of record of our common stock. The number of holders of record is based on the actual number of holders registered on the books of our transfer agent and does not reflect holders of shares in “street name” or persons, partnerships, associations, corporations or other entities identified in security position listings maintained by depository trust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not paid any cash dividends on our common stock since our inception and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plan to retain our earnings, if any, to provide funds for the expansion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appearing elsewhere in this Annual Report. Further, you should read the following discussion and analysis of our financial condition and results of operations together with the “Item 1A. Risk Factors” included elsewhere in this Annual Report for a discussion of important factors that could cause actual results to differ materially from the results described in or implied by the forward-looking statements contained in the following discussion and analysis. See also “Forward-Looking Statements”. All information is stated in U.S. dollars unless otherwise specified.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non-invasive technologies targeted at reducing symptoms of neurological disease or trauma.</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first product, known as the PoNS</w:t>
      </w:r>
      <w:r>
        <w:rPr>
          <w:rFonts w:ascii="Arial" w:cs="Arial" w:eastAsia="Arial" w:hAnsi="Arial"/>
          <w:sz w:val="15"/>
          <w:szCs w:val="15"/>
          <w:color w:val="auto"/>
        </w:rPr>
        <w:t>TM</w:t>
      </w:r>
      <w:r>
        <w:rPr>
          <w:rFonts w:ascii="Arial" w:cs="Arial" w:eastAsia="Arial" w:hAnsi="Arial"/>
          <w:sz w:val="18"/>
          <w:szCs w:val="18"/>
          <w:color w:val="auto"/>
        </w:rPr>
        <w:t xml:space="preserve"> device, is authorized for sale in Canada as a class II, non-implantable medical device intended for use as a short term treatment (14 weeks) of gait deficit due to symptoms from MS and balance deficit due to mmTBI and is to be used in conjunction with supervised therapeutic exercise. It is an investigational medical device in the United States, the European Union, and Australia. The device is currently under review for de novo classification and clearance by the FDA as a potential treatment for gait deficit due to symptoms of MS. It is also under premarket review by the AUS Therapeutic Goods Administration. PoNS Treatment™ is not currently commercially available in the United States, the European Union or Australia.</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our inception, we have incurred significant operating losses. Our net loss was $14.1 million and $9.8 million for the years ended December 31, 2020 and 2019, respectively. As of December 31, 2020, we had an accumulated deficit of $118.9 million. We expect to incur significant expenses and operating losses for the foreseeable future as we continue to advance the PoNS Treatment and seek regulatory clearance and pursue its commercialization. There are a number of conditions that we must satisfy before we will be able to generate sufficient revenue to fund our operations, including but not limited to the recruitment of patients for treatment in Canada, manufacturing of a commercially viable version of the PoNS device and demonstration of effectiveness sufficient to generate commercial orders by customers for our product. Moreover, because we expect that the revenue opportunity in the United States is significantly greater than in Canada, we believe our ability to generate significant revenue in the future will be dependent upon the receipt of FDA marketing authorization of the PoNS device. Further, we may incur expenses in connection with the in-license or acquisition of other potential products. See “—Liquidity and Capital Resources” below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Regulatory Status: mmTBI and 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17, 2018, we received our Canadian marketing authorization from Health Canada allowing us to commercialize the PoNS device in Canada for use as a short-term treatment (14 weeks) of balance deficit due to mmTBI.</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18, 2020, we received our Canadian marketing authorization from Health Canada allowing us to commercialize the PoNS device for the treatment of gait deficit in patients with MS symptoms, when used in conjunction with physical therapy. Our MS market authorization application comprised objective statistical evidence as well as independently reviewed clinical research analysis. We believe this label expansion will significantly expand our addressable market opportunity in Canada to include a patient population that is motivated to pursue treatment options which may resolve or delay the progression of MS gait deficit symptoms.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We believe the existing published data and real-world evidence with use of the PoNS for the treatment of gait disorder in patients with MS are sufficient to demonstrate a favorable risk/benefit profile, as required for de novo classification and clearance to enable US marketability. Novel treatments for MS are highlighted as a specific target of the FDA as a high unmet medical need disease.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7, 2020 we received Breakthrough Designation for the PoNS™ device as a potential treatment for gait deficit due to symptoms of Multiple Sclerosis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FDA’s mission to protect and promote public health.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both"/>
        <w:ind w:right="20"/>
        <w:spacing w:after="0" w:line="277" w:lineRule="auto"/>
        <w:rPr>
          <w:sz w:val="20"/>
          <w:szCs w:val="20"/>
          <w:color w:val="auto"/>
        </w:rPr>
      </w:pPr>
      <w:r>
        <w:rPr>
          <w:rFonts w:ascii="Arial" w:cs="Arial" w:eastAsia="Arial" w:hAnsi="Arial"/>
          <w:sz w:val="18"/>
          <w:szCs w:val="18"/>
          <w:color w:val="auto"/>
        </w:rPr>
        <w:t>The Breakthrough Devices Program replaces the Expedited Access Pathway and Priority Review for medical devices. The FDA considers devices granted designation under the Expedited Access Pathway to be part of the Breakthrough Devices Program.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Breakthrough Devices Program offers manufacturers an opportunity to interact with the FDA's experts through several different program options to efficiently address topics as they arise during the premarket review phase, which can help manufacturers receive feedback from the FDA and identify areas of agreement in a timely way. Manufacturers can also expect prioritized review of their submission.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Breakthrough Device Designation does not change the requirements for approval of an application for a marketing authorization under section 510(k) of the Food, Drug, and Cosmetic 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19, 2020, we announced that we received a request for additional information from the FDA related to the Company’s request for de novo classification and clearance of the PoNS device. During the substantive review phase of a request for de novo classification and clearance, FDA may request additional information in order to obtain information necessary for the FDA to continue or complete its review and, in such instances, places its review on hold until the requested information is submitted. The FDA’s request for additional information was received approximately 75 days from the submission date, which is consistent with FDA’s expected timing for review of a Breakthrough Designated product in the de novo pathway, such as the PoNS device. The FDA’s request for additional information included requests for additional analysis of clinical data and proposed certain labeling modifications. On January 11, 2021, we announced that we submitted our formal response to the FDA’s request for additional information.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14, 2021, the Centers for Medicare &amp; Medicaid Services, or CMS, issued the final rule (CMS-3372-F), 42 C.F.R. § 405.603 on the new Medicare coverage pathway referred to as Medicare Coverage of Innovative Technology, or MCIT, for FDA-designated breakthrough medical devices. The MCIT rule will provide national Medicare coverage as early as the same day as FDA market authorization for breakthrough devices and coverage would last for four years. To be eligible for coverage through MCIT, the breakthrough device must be used for the FDA approved or cleared indication(s) for use. Manufacturers will be able to opt in to MCIT and choose a start date for coverage anytime within two years from the date of FDA market authorization, but coverage will only be valid for four years from market authorization regardless of opt in date. At the end of the four year period, manufacturers are expected to have obtained coding for the specific product which can then be used as the reimbursement pathway for commercial payers. We are working to understand current Medicare requirements and policies for coverage, coding, and payment of durable medical equipment and assesses how the PoNS device may be treated with respect to coding, coverage, and reimbursement under the Medicare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mmTBI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and clearance of the PoNS device from the FDA for the treatment of balance deficit due to mmTBI.</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In April 2019, we announced the FDA had completed its review and had denied our request for de novo classification and clearance of the PoNS device for the treatment of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receipt of the FDA’s final minutes from the pre-submission meeting, we finalized our clinical protocol for a new trial, TBI-002, intended to support a request for de novo classification and clearance of the PoNS device. TBI-002 will be a multi-center, randomized trial in the U.S. and Canada consisting of 103 subjects with balance deficit due to mmTBI. Although TBI-002 will take longer and be more costly than the design that we had discussed at our October 2019 pre-submission meeting, we believe that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chances of obtaining FDA de novo classification and clearance will be significantly increased if we incorporate the FDA’s pre-submission feedback into this next trial design.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TBI-002 will proceed in two phases: a run-in phase, followed by a treatment phase. During the run-in phase, all subjects will receive 5 weeks of physical therapy alone. Subjects will then be randomized and assigned to one of two groups in the treatment phase where subjects will either receive up to 10 weeks of physical therapy with the PoNS device or 10 weeks of physical therapy without the PoNS device. The primary effectiveness endpoint of TBI-002 will be a responder analysis.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Prior to the COVID-19 pandemic, our expectation was that we would move forward with the revised protocol and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European Regulatory Status</w:t>
      </w:r>
    </w:p>
    <w:p>
      <w:pPr>
        <w:spacing w:after="0" w:line="22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231F20"/>
        </w:rPr>
        <w:t xml:space="preserve">In December 2018, we submitted an application for a CE Mark, which, if approved, would allow us to market the PoNS device in the EU. </w:t>
      </w:r>
      <w:r>
        <w:rPr>
          <w:rFonts w:ascii="Arial" w:cs="Arial" w:eastAsia="Arial" w:hAnsi="Arial"/>
          <w:sz w:val="18"/>
          <w:szCs w:val="18"/>
          <w:color w:val="000000"/>
        </w:rPr>
        <w:t>During the</w:t>
      </w:r>
      <w:r>
        <w:rPr>
          <w:rFonts w:ascii="Arial" w:cs="Arial" w:eastAsia="Arial" w:hAnsi="Arial"/>
          <w:sz w:val="18"/>
          <w:szCs w:val="18"/>
          <w:color w:val="231F20"/>
        </w:rPr>
        <w:t xml:space="preserve"> </w:t>
      </w:r>
      <w:r>
        <w:rPr>
          <w:rFonts w:ascii="Arial" w:cs="Arial" w:eastAsia="Arial" w:hAnsi="Arial"/>
          <w:sz w:val="18"/>
          <w:szCs w:val="18"/>
          <w:color w:val="000000"/>
        </w:rPr>
        <w:t xml:space="preserve">second quarter of 2019, we engaged with regulators in Europe to answer questions that we received from them as part of their review of our PoNS device for CE marking. </w:t>
      </w:r>
      <w:r>
        <w:rPr>
          <w:rFonts w:ascii="Arial" w:cs="Arial" w:eastAsia="Arial" w:hAnsi="Arial"/>
          <w:sz w:val="18"/>
          <w:szCs w:val="18"/>
          <w:color w:val="231F20"/>
        </w:rPr>
        <w:t>In August 2019 we withdrew our</w:t>
      </w:r>
      <w:r>
        <w:rPr>
          <w:rFonts w:ascii="Arial" w:cs="Arial" w:eastAsia="Arial" w:hAnsi="Arial"/>
          <w:sz w:val="18"/>
          <w:szCs w:val="18"/>
          <w:color w:val="000000"/>
        </w:rPr>
        <w:t xml:space="preserve">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new notified body and will reconsider submitting to the EU when conditions stabilize.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Australian Regulatory Status</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the third quarter of 2019 we initiated the submission of our application to the Therapeutic Goods Administration, or TGA. We supplemented our submission with additional data based on questions supplied to date and provided responses to additional questions during the third quarter of 2020. We are currently awaiting additional feedback from TGA on our application.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Share Purchase Agreement and Co-Promotion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2019, we engaged with HTC through the joint steering committee in discussions regarding the future development of the commercialization of the PoNS device and PoNS Treatment in Canada. As we worked with Heuro to expand the commercial infrastructure, the complexity and feasibility of using a franchise model to build a market for PoNS including the physical therapy component became challenging. By acquiring Heuro, as noted below, we were able to streamline the decision-making process and increase our ability to react to evolving market factors as the market for the PoNS Treatment is being developed.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2019, we and HTC entered into a Share Purchase Agreement, or the SPA, whereby we, through our wholly owned subsidiary, acquired Heuro from HTC. Under the terms of the SPA, total consideration of approximately $1.6 million was transferred to HTC, which included (1) the repayment to HTC for their investment in the set-up of Heuro’s initial commercial infrastructure including, the establishment of five authorized PoNS clinics across Canada, (2) the current market value of 55 PoNS devices which we also provided to HTC under the SPA, (3) the forgiveness of the CAD$750 thousand receivable from the September 2018 strategic alliance agreement and (4) the exclusivity rights granted to HTC in the Co-Promotion Agreement, as defined below, to provide PoNS Treatment in the Fraser Valley and Vancouver metro regions of British Columbia.</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Share Purchase Agreement, on October 30, 2019, we entered into a Clinical Research and Co-Promotion Agreement with HTC, or the Co-Promotion Agreement, whereby each company will promote the sales of the PoNS Treatment and the NeuroCatch</w:t>
      </w:r>
      <w:r>
        <w:rPr>
          <w:rFonts w:ascii="Arial" w:cs="Arial" w:eastAsia="Arial" w:hAnsi="Arial"/>
          <w:sz w:val="15"/>
          <w:szCs w:val="15"/>
          <w:color w:val="auto"/>
        </w:rPr>
        <w:t>TM</w:t>
      </w:r>
      <w:r>
        <w:rPr>
          <w:rFonts w:ascii="Arial" w:cs="Arial" w:eastAsia="Arial" w:hAnsi="Arial"/>
          <w:sz w:val="18"/>
          <w:szCs w:val="18"/>
          <w:color w:val="auto"/>
        </w:rPr>
        <w:t xml:space="preserve"> device throughout Canada. The co-promotion arrangement terminated on December 31, 2020. Also, subject to certain terms and conditions, we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us and on terms no less favorable than the then-current standard terms and conditions. This exclusivity right has an initial term of ten years, renewable by HTC for one additional ten year term upon sixty days’ written notice to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Commercialization Efforts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a real-world results perspective, in Canada thus far, the collective experience of our patients that have completed the 14-week PoNS Treatment have been encouraging. Consistent with what we saw in our two clinical trials, one for 5 weeks and the other for 14 weeks, commercial MS and TBI patients are demonstrating improvements in balance and gait within the first two weeks followed 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jc w:val="both"/>
        <w:spacing w:after="0" w:line="263" w:lineRule="auto"/>
        <w:rPr>
          <w:sz w:val="20"/>
          <w:szCs w:val="20"/>
          <w:color w:val="auto"/>
        </w:rPr>
      </w:pPr>
      <w:r>
        <w:rPr>
          <w:rFonts w:ascii="Arial" w:cs="Arial" w:eastAsia="Arial" w:hAnsi="Arial"/>
          <w:sz w:val="18"/>
          <w:szCs w:val="18"/>
          <w:color w:val="auto"/>
        </w:rPr>
        <w:t>continued improvement over the following twelve weeks. The majority of patients have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PoNS Treatment in Canada.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March 2019 marked the commercialization of our PoNS Treatment in Canada, where PoNS became the first and only device authorized by Health Canada for the treatment of balance deficit due to mmTBI. Throughout 2019 we made important progress in advancing and refining our commercialization strategy in Canada building access, awareness and credibility for the PoNS Treatment. These efforts, which were led by our local Canadian commercial team, included the establishment of our authorized clinic network throughout Canada, launching digital marketing campaigns, and building key opinion leader and advocacy networks.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third quarter of 2019, we made the strategic decision to change our business model in Canada in order to accelerate the adoption of our novel technology. On October 30, 2019, we acquired the Heuro Canada operating entity from HTC which allowed us to streamline the decision-making process and increase our ability to react to evolving market factors as the market for the PoNS Treatment is being developed.</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18, 2020, the Company received notification that its Canadian Class II license amendment application for the treatment of gait deficit in patients with symptoms from MS, when used in conjunction with physical therapy, was successful and received marketing authorization for PoNS from Health Canada.</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in-depth market analysis and field intelligence, our Canadian commercial team began an expansion plan to increase the number of authorized PoNS clinics. In the first two months of 2020, we authorized 7 new clinic locations for a total of 14 clinic locations to provide PoNS Treatment across Canada. As of June 30, 2020, we had 20 clinic locations which we increased to 22 clinic locations as of September 30, 2020 and to 31 clinic locations as of December 31, 2020. Beginning in 2021, in addition to continuing to increase the number of clinic locations, we have shifted our focus to driving patient throughput to these 31 clinics. Sales performance in Canada continues to be impacted by the COVID-19 pandemic due to space restrictions that the provincial governments have imposed as well as the risk tolerance of patients and therapists.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collaboration with the Toronto Rehabilitation Institute (part of University Health Network), we are continuing our clinical experience program, the results of which we look to publish in 2021.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refine our go-to-market pricing model based on market feedback. Our modified pricing approach is focused on reducing the need for clinics and patients to pay large, upfront costs at the start of treatment. We have also experimented with various promotional pricing programs resulting in lower unit prices for both PoNS system purchases and mouthpieces in order to increase access to the PoNS treatment and drive market awareness which we expect to result in an increase in the volume of units sold, which was seen in the second half of 2020 when compared to the second half of 2019. We intend to keep the promotional pricing in place at least through the first half of 2021.</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value dossiers for mmTBI and MS that were created in mid-2020 to fully demonstrate in both scientific and financial terms, the merits of PoNS Treatment for claimants are now being implemented along with submissions from clinics on behalf of their patients. The dossiers are provided to our clinics across Canada to submit as part of treatment plans with reimbursement applications to the payer community. Our reimbursement strategy for mmTBI continues to focus on the auto collision insurance and workers’ compensation market as well as long-term disability cases. Our reimbursement strategy for MS is focused on commercial insurers/extended health benefits. Moreover, we are currently considering the development of the PoNS device for other potential indications, including stroke, as well as label expansion for our existing indications.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overall PoNS Treatment strategy, we are also gathering comprehensive health economic assessments of treatment outcomes. These data will, in-turn, be used to support our applications for workers compensation, auto insurance and commercial insurance reimbursement initiatives in Canada, the United States and other markets around the world. The Canadian commercial experience will be extremely valuable to prepare us for our launches in the United States and internationally.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adversely impacted by the COVID-19 pandemic and global economic conditions. The outbreak and spread of COVID-19 has significantly increased economic uncertainty. Authorities implemented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have been able to continue working independently in the at-home portion of the treatment, with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both"/>
        <w:spacing w:after="0" w:line="296" w:lineRule="auto"/>
        <w:rPr>
          <w:sz w:val="20"/>
          <w:szCs w:val="20"/>
          <w:color w:val="auto"/>
        </w:rPr>
      </w:pPr>
      <w:r>
        <w:rPr>
          <w:rFonts w:ascii="Arial" w:cs="Arial" w:eastAsia="Arial" w:hAnsi="Arial"/>
          <w:sz w:val="16"/>
          <w:szCs w:val="16"/>
          <w:color w:val="auto"/>
        </w:rPr>
        <w:t>remote check-ins with their certified therapists. While all clinics have re-opened, they are all currently operating at reduced capacity within provincial guidelines, which limited operations to 50% capacity during the second half of 2020. Some patients have begun to return to these clinics for treatment, but patients have been and may continue to be less willing to return to the clinics due to COVID-19, impacting our commercial activities and our customer engagement efforts. We have expanded our services to include remote training and treatment, but the long-term viability of these remote programs is still being assessed. In addition, the resurgence of COVID-19 cases across Canada in the fourth quarter of 2020 has led to further restrictions on clinic activities.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while we do not currently have any clinical trials underway, we are running clinical experience programs in Canada and have experienced delays in the programs as trial participant attendance has generally decreased as a result of the pandemic, and clinics and clinical research sites have experienced delays and difficulties in recruiting and re-hiring clinical site staff, leading to further delays in the development and approval of the Company’s product candidate. As noted above, prior to the COVID-19 pandemic, our expectation was that we would move forward with the launch of our TBI-002 trial and we had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 partners diverted resources towards other activities related to COVID-19, resulting in delays in the development and manufacturing of our product.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the Company’s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extent to which the COVID-19 pandemic will continue to impact our business, results of operations and financial condition will depend on future developments, which are highly uncertain and cannot be predicted. We do not know yet the full extent of the impact of COVID-19 on its business, operations or the global economy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Delisting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23, 2020, we received a Notice from the Staff of Nasdaq indicating that, based on the closing bid price of our common stock for the 30 consecutive business days preceding the Notice, we no longer meet the Minimum Bid Price Requirement. The Notice does not result in the immediate delisting of our common stock from Nasdaq. In accordance with Nasdaq Listing Rule 5810(c)(3)(A), we were provided a period of 180 calendar days in which to regain compliance. In order to regain compliance with the Minimum Bid Price Requirement, the closing bid price of our common stock must be at least $1.00 for a minimum of ten consecutive business days.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17, 2020, we received the Second Notice from Staff of Nasdaq stating that the 180-day period to regain compliance with the Minimum Bid Price Requirement has been extended due to the global market impact caused by COVID-19. More specifically, Nasdaq stated that compliance periods were suspended from April 16, 2020 until June 30, 2020. On July 1, 2020, companies received the balance of any pending compliance period to regain compliance with the Minimum Bid Price Requirement. As a result of this extension, we were given to until December 3, 2020 to regain compliance with the Minimum Bid Price Requirement.</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4, 2020, we received notice from the Staff indicating that we were not eligible for an additional 180 day extension to meet the Minimum Bid Price Rule. As a result, the Staff determined that our securities would be subject to delisting unless we timely requested a hearing before the Panel. We timely submitted a request for a hearing before the Panel, which request stayed any suspension or delisting action by Nasdaq at least until the hearing process concluded and any extension granted by the Panel expired. On January 15, 2021, we received notice from the Staff that our bid price deficiency had been cured, and that we were in compliance with all applicable listing standards, and so the scheduled hearing before the Panel was cancelled.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a special meeting of our stockholders on December 28, 2020, our stockholders approved a reverse split of our outstanding common stock at a ratio in the range of 1-for-5 to 1-for-35 to be determined at the discretion of our board of directors, whereby each outstanding 5 to 35 shares would be combined, converted and changed into 1 share of our common stock, to enable us to comply with Nasdaq’s continued listing requirements.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jc w:val="both"/>
        <w:spacing w:after="0" w:line="296" w:lineRule="auto"/>
        <w:rPr>
          <w:sz w:val="20"/>
          <w:szCs w:val="20"/>
          <w:color w:val="auto"/>
        </w:rPr>
      </w:pPr>
      <w:r>
        <w:rPr>
          <w:rFonts w:ascii="Arial" w:cs="Arial" w:eastAsia="Arial" w:hAnsi="Arial"/>
          <w:sz w:val="16"/>
          <w:szCs w:val="16"/>
          <w:color w:val="auto"/>
        </w:rPr>
        <w:t>Following such meeting, our board of directors approved a final reverse stock split ratio of 1-for-35</w:t>
      </w:r>
      <w:r>
        <w:rPr>
          <w:rFonts w:ascii="Arial" w:cs="Arial" w:eastAsia="Arial" w:hAnsi="Arial"/>
          <w:sz w:val="16"/>
          <w:szCs w:val="16"/>
          <w:color w:val="231F20"/>
        </w:rPr>
        <w:t>, and we filed with the Secretary of State of the State of</w:t>
      </w:r>
      <w:r>
        <w:rPr>
          <w:rFonts w:ascii="Arial" w:cs="Arial" w:eastAsia="Arial" w:hAnsi="Arial"/>
          <w:sz w:val="16"/>
          <w:szCs w:val="16"/>
          <w:color w:val="auto"/>
        </w:rPr>
        <w:t xml:space="preserve"> </w:t>
      </w:r>
      <w:r>
        <w:rPr>
          <w:rFonts w:ascii="Arial" w:cs="Arial" w:eastAsia="Arial" w:hAnsi="Arial"/>
          <w:sz w:val="16"/>
          <w:szCs w:val="16"/>
          <w:color w:val="231F20"/>
        </w:rPr>
        <w:t>Delaware a Certificate of Amendment to our Certificate of Incorporation to effect the reverse stock split. The reverse stock split was effective as of 5:00 pm Eastern Time on December 31, 2020, and our common stock began trading on a split-adjusted basis on The Nasdaq Capital Market on January 4, 2021</w:t>
      </w:r>
      <w:r>
        <w:rPr>
          <w:rFonts w:ascii="Arial" w:cs="Arial" w:eastAsia="Arial" w:hAnsi="Arial"/>
          <w:sz w:val="16"/>
          <w:szCs w:val="16"/>
          <w:color w:val="000000"/>
        </w:rPr>
        <w:t>. The</w:t>
      </w:r>
      <w:r>
        <w:rPr>
          <w:rFonts w:ascii="Arial" w:cs="Arial" w:eastAsia="Arial" w:hAnsi="Arial"/>
          <w:sz w:val="16"/>
          <w:szCs w:val="16"/>
          <w:color w:val="231F20"/>
        </w:rPr>
        <w:t xml:space="preserve"> </w:t>
      </w:r>
      <w:r>
        <w:rPr>
          <w:rFonts w:ascii="Arial" w:cs="Arial" w:eastAsia="Arial" w:hAnsi="Arial"/>
          <w:sz w:val="16"/>
          <w:szCs w:val="16"/>
          <w:color w:val="000000"/>
        </w:rPr>
        <w:t>reverse stock split did not change the par value of our stock or the authorized number of common or preferred shares. All share and per share amounts for all periods presented in this Annual Report have been retroactively adjusted for the reverse stock split effected on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“—Liquidity and Capital Resources” below for information regarding our financing activities in 2020 and subsequent to year-end.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three categories of revenue: Product Sales, net; Fee Revenue and License Revenue. Product Sales, net is derived from the sale of the PoNS device. Prior to October 30, 2019, it also contained certain support services as explained further below. Fee Revenue was derived from franchise fees from new neuroplasticity clinics engaged in providing the PoNS Treatment. This practice ended during the first quarter of 2020. License Revenue is recognized ratably over the ten-year term as the performance obligation is met in connection with the Co-Promotion Agreement as a result of the Heuro acquisition.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product sales includes the cost to manufacture the PoNS device, royalty expense, freight charges, customs duties as well as wages and salaries of employees involved in the management of the supply chain and logistics of fulfilling sales orders. Prior to the completion of the Heuro acquisition on October 30, 2019, it also included certain support services provided by Heuro on our behalf.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or R&amp;D, expenses consists of expenses incurred in connection with the discovery and development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expense R&amp;D costs as incurred. These expenses include:</w:t>
      </w:r>
    </w:p>
    <w:p>
      <w:pPr>
        <w:spacing w:after="0" w:line="211"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that conduct our clinical trials;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relating to product development and manufacturing of clinical trial devices;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laboratory materials and supplies used to support our research activities.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R&amp;D activities are central to our business model. Product candidates in later stages of clinical development generally have higher development costs than those in earlier stages of clinical development, primarily due to the increased size and duration of later-stage registrational clinical trials. We expect our R&amp;D expenses to increase over the next several years as we increase personnel costs, conduct feasibility and pilot studies and registrational clinical trials for additional indications, invest in our product development and manufacturing capabilities and prepare regulatory filings for our product candidate. Our expenditures are subject to certain uncertainties, including those described in Item 1A. “Risk Factors” in this Annual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or SG&amp;A, expenses consist principally of salaries and related costs for personnel in executive, commercial operations, finance and legal functions, including stock-based compensation, and travel expenses. Other G&amp;A expenses include facility related costs, professional fees for legal, auditing and tax services, consulting, professional services and insurance costs.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that our SG&amp;A expenses will increase as a result of increased personnel costs, including stock-based compensation, expanded infrastructure and higher consulting services related to our commercial operations, legal and tax-related services associated with maintaining compliance with Nasdaq and TSX listing and SEC requirements, accounting and investor relations costs, and director and officer insurance premiums associated with being a public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Amortization Expense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consists of the periodic amortization of intangible assets, including customer relationships and proprietary software recognized in connection with the acquisition of Heuro on October 30, 2019 and internally developed software. The customer relationships, proprietary software and reacquired rights recognized in connection with the acquisition of Heuro had remaining useful lives at acquisition of 1.25 years, 5 years and 3.87 years, respectively. They are amortized using the straight-line method. The internally developed software has a useful life of 3 years and is amortized using the straight-line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that have been prepared in accordance with U.S. GAAP. This preparation requires management to make estimates and assumptions that affect the reported amounts of assets, liabilities, revenues and expenses, and the disclosure of contingent assets and liabilities. U.S. GAAP provides the framework from which to make these estimates, assumption and disclosures. We choose accounting policies within U.S. GAAP that management believes are appropriate to accurately and fairly report our operating results and financial position in a consistent manner. Management regularly assesses these policies in light of current and forecasted economic conditions. Actual results could differ from those estimates made by management. While there are a number of significant accounting policies affecting our financial statements, we believe the critical accounting policies involving the most complex, difficult and subjective estimates and judgments are: revenue recognition, stock-based compensation, derivative financial instruments, accounting for warrants and goodwill and other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FASB’s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 we recognize revenue when our customer obtains control of promised goods or services, in an amount that reflects the consideration which we expect to be entitled in exchange for those goods or services, in an amount that reflects the consideration which we expect to be entitled in exchange for those goods or services. To determine revenue recognition for arrangements that we determine are within the scope of ASC 606, we perform the following five steps:</w:t>
      </w:r>
    </w:p>
    <w:p>
      <w:pPr>
        <w:spacing w:after="0" w:line="187" w:lineRule="exact"/>
        <w:rPr>
          <w:sz w:val="20"/>
          <w:szCs w:val="20"/>
          <w:color w:val="auto"/>
        </w:rPr>
      </w:pPr>
    </w:p>
    <w:p>
      <w:pPr>
        <w:ind w:left="1120" w:hanging="748"/>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1120" w:hanging="748"/>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1120" w:hanging="748"/>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1120" w:hanging="748"/>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1120" w:hanging="748"/>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apply the five-step model to contracts when we determine that it is probable we will collect substantially all of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after consideration of variability and constraints, if any, that is allocated to the respective performance obligation when the performance obligation is satisfied.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first half of 2019, product sales were derived from the sale of the PoNS device and certain support services including services from the use of the NeuroCatch</w:t>
      </w:r>
      <w:r>
        <w:rPr>
          <w:rFonts w:ascii="Arial" w:cs="Arial" w:eastAsia="Arial" w:hAnsi="Arial"/>
          <w:sz w:val="13"/>
          <w:szCs w:val="13"/>
          <w:color w:val="auto"/>
        </w:rPr>
        <w:t>TM</w:t>
      </w:r>
      <w:r>
        <w:rPr>
          <w:rFonts w:ascii="Arial" w:cs="Arial" w:eastAsia="Arial" w:hAnsi="Arial"/>
          <w:sz w:val="16"/>
          <w:szCs w:val="16"/>
          <w:color w:val="auto"/>
        </w:rPr>
        <w:t xml:space="preserve"> device, which is owned by HTC and assesses electroencephalogram brain waves related to cognition of patients participating in the PoNS Treatment at neuroplasticity clinics in Canada. We acted in an agency capacity for services performed using the NeuroCatch device and remitted CAD$600 for each patient assessed with the NeuroCatch device. According to the supply agreement with each of these clinics, our performance obligation was met when we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are accounted for as a fulfillment cost and are included in cost of sales. Further, according to our arrangement with HTC and Heuro, we shared 50/50 with Heuro in fees from support services excluding the CAD$600 payment for an assessment using the NeuroCatch device. Subsequent to July 1, 2019, product sales were derived from the sale of the PoNS device alone as the NeuroCatch is sold directly to the neuroplasticity clinics in Canada by HTC. For the year ended December 31, 2019, we recorded $1.45 million in product sales net of $11 thousand for HTC’s portion related to assessments using the NeuroCatch device. For the year ended December 31, 2020, we recorded $0.63 million in product sales. As of December 31, 2020, the control of 21 of the 55 PoNS devices included as consideration in the Heuro acquisition had been transferred resulting in revenue of $0.1 million being recognized which is included in the aforementioned $0.63 million in product sales for the year ended December 31, 2020. The fair value of the remaining 34 devices is recorded as deferred revenue of $0.3 million on the consolidated balance sheet. Revenue will be recognized for these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ind w:right="20"/>
        <w:spacing w:after="0" w:line="277" w:lineRule="auto"/>
        <w:rPr>
          <w:sz w:val="20"/>
          <w:szCs w:val="20"/>
          <w:color w:val="auto"/>
        </w:rPr>
      </w:pPr>
      <w:r>
        <w:rPr>
          <w:rFonts w:ascii="Arial" w:cs="Arial" w:eastAsia="Arial" w:hAnsi="Arial"/>
          <w:sz w:val="18"/>
          <w:szCs w:val="18"/>
          <w:color w:val="auto"/>
        </w:rPr>
        <w:t>devices as control is transferred. The only returns during 2020 were the result of warranty returns for defective products. These returns were insignificant during the year and any future replacements are expected to be insignificant.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first half of 2019, our agreement with HTC and Heuro also entitled us to 50% of the franchise fees collected by Heuro from each franchise agreement Heuro executed with neuroplasticity clinics engaged in providing the PoNS Treatment. There were 3 franchise agreements entered into for the year ended December 31, 2019, all of which occurred in the first half of the year. This arrangement ended upon the acquisition of Heuro in October 2019. During the first half of 2020, we earned fee revenue for engaging new neuroplasticity clinics to provide the PoNS Treatment, before terminating these agreements in the second quarter of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above, we modified our arrangement with HTC on October 30, 2019. License revenue will be recognized ratably over the ten year term as the performance obligation is met in connection with the Co-Promotion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account for all stock-based payments and awards under the fair value-based method. We recognize our stock-based compensation expense using the straight-line method.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account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Stock options granted to employees are accounted for as liabilities when they contain conditions or other features that are indexed to other than a market, performance or service conditions.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Stock-based payments to non-employees are measured based on the fair value of the equity instrument issued. Compensation expense for non-employee stock awards are recognized over the requisite service period following the measurement of the fair value on the grant date over the vesting period of the award.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Black-Scholes option-pricing model to calculate the fair value of stock options. The use of the Black-Scholes option-pricing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evaluate our financial instruments and other contracts to determine if those contracts or embedded components of those contracts qualify as derivatives to be separately accounted for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result of this accounting treatment is that the fair value of the embedded derivative is marked-to-market at each balance sheet date and recorded as a liability and the change in fair value is recorded in the consolidated statements of operations and comprehensive loss. Upon conversion or exercise of a derivative financial instrument, the instrument is marked to fair value at the conversion date and then that fair value is reclassified to equity.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a liability or as equity, is re-assessed at the end of each reporting period. Derivative financial instruments that become subject to reclassification are reclassified at the fair value of the instrument on the reclassification date. Derivative financial instrument liabilities are classified in the consolidated balance sheet as current or non-current based on whether or not the right to exercise or settle the derivative financial instrument lies with the holder.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use the Black-Scholes option-pricing model to value derivative financial instrument liabilities. This model uses Level 3 inputs in the fair value hierarchy established by ASC 820 - </w:t>
      </w:r>
      <w:r>
        <w:rPr>
          <w:rFonts w:ascii="Arial" w:cs="Arial" w:eastAsia="Arial" w:hAnsi="Arial"/>
          <w:sz w:val="18"/>
          <w:szCs w:val="18"/>
          <w:i w:val="1"/>
          <w:iCs w:val="1"/>
          <w:color w:val="auto"/>
        </w:rPr>
        <w:t>Fair Value Measurement</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Warrants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have issued and may continue to issue warrants to purchase shares of common stock through our public and private offerings. We account for such warrants in accordance with </w:t>
      </w:r>
      <w:r>
        <w:rPr>
          <w:rFonts w:ascii="Arial" w:cs="Arial" w:eastAsia="Arial" w:hAnsi="Arial"/>
          <w:sz w:val="18"/>
          <w:szCs w:val="18"/>
          <w:i w:val="1"/>
          <w:iCs w:val="1"/>
          <w:color w:val="auto"/>
        </w:rPr>
        <w:t>ASC 480 Distinguishing Liabilities from Equity</w:t>
      </w:r>
      <w:r>
        <w:rPr>
          <w:rFonts w:ascii="Arial" w:cs="Arial" w:eastAsia="Arial" w:hAnsi="Arial"/>
          <w:sz w:val="18"/>
          <w:szCs w:val="18"/>
          <w:color w:val="auto"/>
        </w:rPr>
        <w:t>, which identifies three categories of freestanding financial instruments that are required to be accounted for as a liability. If determined to be classified as a liability, we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jc w:val="both"/>
        <w:ind w:right="20"/>
        <w:spacing w:after="0" w:line="277" w:lineRule="auto"/>
        <w:rPr>
          <w:sz w:val="20"/>
          <w:szCs w:val="20"/>
          <w:color w:val="auto"/>
        </w:rPr>
      </w:pPr>
      <w:r>
        <w:rPr>
          <w:rFonts w:ascii="Arial" w:cs="Arial" w:eastAsia="Arial" w:hAnsi="Arial"/>
          <w:sz w:val="18"/>
          <w:szCs w:val="18"/>
          <w:color w:val="auto"/>
        </w:rPr>
        <w:t>will remeasure the fair value of the warrants at each balance sheet date. If determined to be classified as equity, the fair value of the warrants will be measured as of the date of issuance and will not be subject to remeasurement at each balance sheet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warrants is estimated using the Black-Scholes option pricing model, based on the market value of the underlying common stock at the measurement dates, the contractual terms of the warrants, risk-free interest rates and expected volatility of the price of the underlying common stock. There are no expected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purchase price over the fair values underlying net assets acquired in an acquisition. All of our goodwill as of December 31, 2019 and December 31, 2020 is the result of the Heuro acquisition. Goodwill is not amortized, but rather will be tested annually for impairment or more frequently if events or changes in circumstances indicate that the carrying amount of the asset may not be recoverable. We will test goodwill for impairment annually in the fourth quarter of each year using data as of October 1 of that year.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allocated to, and evaluated for impairment at our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We may elect not to perform the qualitative assessment for our reporting unit and perform the quantitative impairment test. The quantitative goodwill impairment test requires us to compare the carrying value of the reporting unit’s net assets to the estimated fair value of the reporting unit.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methodology for estimating the fair value of our reporting unit utilizes the income approach. The income approach is based on the Discounted Cash Flow, or DCF, method, which is based on the present value of future cash flows. The principal assumptions utilized in the DCF methodology include long-term growth rates, operating margins, discount rates and future economic and market conditions. There can be no assurance that our estimates and assumptions regarding forecasted cash flow, long-term growth rates and operating margins made for purposes of the annual goodwill impairment test will prove to be accurate predictions of the future. We believe the current assumptions and estimates utilized are both reasonable and appropriate.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Definite-lived intangibles consist principally of acquired customer relationships, reacquired rights and proprietary software as well as internally developed software. All are amortized straight-line over their estimated useful lives.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our inception through December 31, 2020, we have generated over $2.0 million in revenue from the commercial sale of products or services. Because we have generated limited revenues from commercialization, our operations to date have been principally financed through public and private offerings of our common stock and convertible debt and exercises of options and warrants. There are a number of conditions that we must satisfy before we will be able to generate sufficient revenue to fund our operations, including but not limited to the recruitment of patients for treatment in Canada, manufacturing of a commercially viable version of the PoNS device and demonstration of effectiveness sufficient to generate commercial orders by customers for our product. Moreover, because we expect that the revenue opportunity in the United States is significantly greater than in Canada, we believe our ability to generate significant revenue in the future will be dependent upon the receipt of FDA marketing authorization of the PoNS device.</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factors raise substantial doubt about our ability to continue as a going concern through at least 12 months from the date of this Annual Report. While we had $3.3 million of cash as of December 31, 2020 and received net proceeds of $10.9 million in the aggregate from the exercise of outstanding warrants and the issuance and sale of common stock and warrants in a public offering subsequent to December 31, 2020, we do not currently have sufficient resources to accomplish all of the above conditions necessary for us to generate sufficient revenues to achieve profitability, and we will require additional financing to fund our operations beyond the beginning of the first quarter of 2022. There is no guarantee that such funding will be available at all or in sufficient amounts to satisfy our required expenditures. In reviewing this filing, you should carefully consider this uncertainty, the risks described in the section entitled “Item 1A. Risk Factors” and other risks described throughout this Annual Report.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Product sales,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1,454</w:t>
            </w:r>
          </w:p>
        </w:tc>
        <w:tc>
          <w:tcPr>
            <w:tcW w:w="2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Fee revenue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License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revenue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661</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2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4,582</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8,061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9,714</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(6,807)</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14,659</w:t>
            </w:r>
          </w:p>
        </w:tc>
        <w:tc>
          <w:tcPr>
            <w:tcW w:w="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24,646</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(14,386)</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(23,996)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financial instruments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(14,109)</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gain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other income</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(14,130)</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(9,781)</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the year ended December 31, 2020, we recognized revenue of $0.7 million, of which $0.63 million was generated through product sales of our PoNS device in Canada pursuant to our executed supply agreements with neuroplasticity clinics in Canada, $9 thousand was generated from fee revenue related to engaging new PoNS authorized clinics, and $27 thousand was generated from license fee revenue related to our co-promotion agreement with HTC. For the year ended December 31, 2019, we recognized revenue of $1.5 million, of which $1.45 million was generated through product sales of our PoNS device in Canada pursuant to our executed supply agreements with neuroplasticity clinics in Canada, $37 thousand was generated in fee revenue from franchise agreements Heuro executed with neuroplasticity clinics engaging in providing the PoNS Treatment and $5 thousand was generated from license fee revenue related to or co-promotion agreement with HTC. The decrease year-over-year in revenue generated through product sales of our PoNS device in Canada is primarily due to pent up demand positively impacting our product sales for the first six months of 2019, the COVID-19 pandemic negatively impacting our product sales beginning in March 2020 and, to a lesser extent, the impact of price changes, focused on reducing the need for clinics and patients to pay large, upfront costs at the start of treatment, that we began implementing in September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year ended December 31, 2020, we incurred $0.4 million in our costs of sales, compared to $0.8 million for the year ended December 31, 2019, a decrease of approximately $0.5 million. The decrease is primarily attributable to a decrease in sales during 2020 compared to 2019, offset partially by an increase in inventory reserve of $0.2 million. Cost of sales included the costs to manufacture the PoNS device, royalty expense, freight charges, customs duties as well as wages and salaries of employees involved in the management of the supply chain and logistics of fulfilling our sales orders. Prior to the completion of the Heuro acquisition on October 30, 2019, it also included certain support services provided by Heuro on our behalf.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or R&amp;D, expenses were $4.6 million for the year ended December 31, 2020, compared to $8.1 million for the year ended December 31, 2019, a decrease of approximately $3.5 million. The decrease was primarily driven by a $1.1 million reduction in product development costs due to the completion of the PoNS device development in 2019 and a $0.6 million reduction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8" w:name="page69"/>
    <w:bookmarkEnd w:id="68"/>
    <w:p>
      <w:pPr>
        <w:jc w:val="both"/>
        <w:spacing w:after="0" w:line="263" w:lineRule="auto"/>
        <w:rPr>
          <w:sz w:val="20"/>
          <w:szCs w:val="20"/>
          <w:color w:val="auto"/>
        </w:rPr>
      </w:pPr>
      <w:r>
        <w:rPr>
          <w:rFonts w:ascii="Arial" w:cs="Arial" w:eastAsia="Arial" w:hAnsi="Arial"/>
          <w:sz w:val="18"/>
          <w:szCs w:val="18"/>
          <w:color w:val="auto"/>
        </w:rPr>
        <w:t>wages and salaries. Medical affairs expenses also decreased $1.0 million due to the effort in 2019 to create awareness of the PoNS device by delivery of clinical and scientific data to key opinion leaders, professional societies and practitioners which was significantly decreased during 2020. Further, professional services fees decreased by $0.6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or SG&amp;A, expenses were $9.7 million for the year ended December 31, 2020, compared to $16.5 million for the year ended December 31, 2019, a decrease of $6.8 million. The decrease was primarily due to lower stock-based compensation expense of $2.2 million, a $2.1 million decrease in wages and salaries due to higher headcount in 2019, a $2.0 million reduction in commercial operations expense due to our investments in marketing and distribution capabilities in 2019 in support of a potential U.S. launch prior to receiving denial for clearance from the FDA and a $0.7 million reduction in legal expenses. These decreases were partially offset by a $0.2 million impairment loss related to intangible assets in 2020 (related to the customer relationships from the Heuro acquisition), all of which was incurred during the first quarter of 2020 and a $0.1 million loss as the result of the disposal of furniture and fixtures and leasehold improvements.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were $0.4 million for the year ended December 31, 2020, compared to $0.1 million for the year ended December 31, 2019, an increase of $0.3 million. The increase was attributable to the intangibles assets being held and amortized for the full year in 2020 compared to two months in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of derivative financial instruments was a gain of $4 thousand for the year ended December 31, 2020, compared to a gain of $14.1 million for the year ended December 31, 2019.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fair value of derivative financial instruments was primarily attributable a change in our stock price, volatility and the number of derivative financial instruments being measured during the period (see Note 3 to our consolidated financial statements elsewhere in this Annual Report on Form 10-K). The change in the fair value of derivative financial instruments is a non-cash item.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exchange gain was $189 thousand for the year ended December 31, 2020, compared to a gain of $7 thousand for the year ended December 31, 2019. This was primarily due to fluctuations in the foreign exchange rate as it relates to the amount of Canadian dollars held at the end of each reporting period.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limited working capital and liquid assets. The following table summarizes our cash and working capital (which we define as current assets less current liabilities excluding derivative financial instruments) as of December 31, 2020 and 2019 (amounts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vMerge w:val="restart"/>
          </w:tcPr>
          <w:p>
            <w:pPr>
              <w:spacing w:after="0"/>
              <w:rPr>
                <w:sz w:val="20"/>
                <w:szCs w:val="20"/>
                <w:color w:val="auto"/>
              </w:rPr>
            </w:pPr>
            <w:r>
              <w:rPr>
                <w:rFonts w:ascii="Arial" w:cs="Arial" w:eastAsia="Arial" w:hAnsi="Arial"/>
                <w:sz w:val="18"/>
                <w:szCs w:val="18"/>
                <w:color w:val="auto"/>
              </w:rPr>
              <w:t>Cash</w:t>
            </w:r>
          </w:p>
        </w:tc>
        <w:tc>
          <w:tcPr>
            <w:tcW w:w="10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3,331</w:t>
            </w:r>
          </w:p>
        </w:tc>
        <w:tc>
          <w:tcPr>
            <w:tcW w:w="2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December 31, 2020, we received net proceeds of $10.9 million in the aggregate from the exercise of outstanding warrants and the issuance and sale of common stock and warrants in the Public Offering described below.</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our inception through December 31, 2020, we have generated over $2.0 million in revenue from the commercial sale of products or services. Because we have generated limited revenues from commercialization, our operations to date have been principally financed through public and private offerings of our common stock and convertible debt and exercises of options and warrants. There are a number of conditions that we must satisfy before we will be able to generate sufficient revenue to fund our operations, including but not limited to the recruitment of patients for treatment in Canada, manufacturing of a commercially viable version of the PoNS device and demonstration of effectiveness sufficient to generate commercial orders by customers for our product. Moreover, because we expect that the revenue opportunity in the United States is significantly greater than in Canada, we believe our ability to generate significant revenue in the future will be dependent upon the receipt of FDA marketing authorization of the PoNS device.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jc w:val="both"/>
        <w:spacing w:after="0" w:line="296" w:lineRule="auto"/>
        <w:rPr>
          <w:sz w:val="20"/>
          <w:szCs w:val="20"/>
          <w:color w:val="auto"/>
        </w:rPr>
      </w:pPr>
      <w:r>
        <w:rPr>
          <w:rFonts w:ascii="Arial" w:cs="Arial" w:eastAsia="Arial" w:hAnsi="Arial"/>
          <w:sz w:val="16"/>
          <w:szCs w:val="16"/>
          <w:color w:val="auto"/>
        </w:rPr>
        <w:t>To date, our major sources of cash have been proceeds from various public and private offerings of our common stock and exercises of options and warrants. From June 2014 through December 31, 2020, we raised approximately $106.6 million in gross proceeds from various public and private offerings of our securities as well as the exercise of options and warrants, including during 2020, $9.8 million in aggregate net proceeds from our use of our former At-the-Market program, one registered direct offering and one private placement. In 2021 to date, as described below, we received approximately $10.9 million in net proceeds from the exercise of warrants and the issuance and sale of common stock and warrants in the Public Offering.</w:t>
      </w:r>
    </w:p>
    <w:p>
      <w:pPr>
        <w:spacing w:after="0" w:line="16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year ended December 31, 2020, under our former At-the-Market program, we sold and issued 232,526 shares of our common stock with an average price of $21.68 per share. Net proceeds from the At-the-Market program after deducting underwriter’s commissions was $4.8 million.</w:t>
      </w:r>
    </w:p>
    <w:p>
      <w:pPr>
        <w:spacing w:after="0" w:line="14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March 2020, in a registered direct offering, we issued 178,776 shares of our common stock at a price of $12.25 per share and, in a concurrent private placement, unregistered warrants to purchase up to 178,776 shares of our common stock at an exercise price of $16.10 per share. Net proceeds from the offering after deducting underwriter’s discounts and commissions and offering expenses paid by us was $1.9 million.</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October 2020, in a private placement, we issued 187,646 shares of our common stock and warrants to purchase up to an aggregate of 93,817 shares of our common stock at a purchase price of $18.20 per unit, consisting of one share and one warrant to purchase 0.50 shares of common stock. The warrants have an initial exercise price of $15.82 per share and are exercisable for a period of three years from the date of issuance. We also issued warrants to the placement agent to purchase 961 shares of common stock, with an exercise price of $19.775 per share. One of our officers and affiliates of another one of our officers and directors participated in the private placement on the same terms and conditions as all other purchasers, except they paid $18.354 per unit and their warrants have an exercise price of $16.1664 per share. Net proceeds from the private placement after underwriter’s discounts and commissions and offering expenses paid by us were approximately $3.1 million. Pursuant to the securities purchase agreement for the October 2020 private placement, if we issue any of common stock or common stock equivalents for cash consideration, indebtedness or a combination thereof, with certain exceptions, within twelve months of the closing of the private placement, each purchaser who subscribed for at least $250,000 in the private placement has the right to participate in up to such purchaser’s pro rata portion of 30% of the such subsequent financing on the same terms, conditions and price provided for in the subsequent financing.</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2021, 81,633 warrants issued in conjunction with the March 2020 registered direct offering were exercised at an exercise price of $16.10 for proceeds of $1.3 million.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 2021, in an underwritten public offering (the “Public Offering”), we issued 744,936 shares of common stock and warrants to purchase up to an aggregate of 372,468 shares of common stock at a purchase price of $14.82 per unit, consisting of one share and a warrant to purchase 0.50 shares of common stock. The warrants have an initial exercise price of $16.302 per share and are exercisable for five years from the date of issuance. We also issued warrants to the underwriter to purchase 25,910 shares of common stock, with an exercise price of $18.525 per share. Net proceeds from the Public Offering after underwriter’s discounts and commissions and offering expenses paid by us were approximately $9.6 million. Affiliates of one of our officers and directors participated in the Public Offering on the same terms and conditions as all other purchasers.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intend to use our available capital resources primarily to fund manufacturing activities for the PoNS device, activities related to our submissions for marketing authorization of the PoNS device to the FDA and other regulatory authorities, commercial launch preparations, and for working capital and general corporate purposes.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existing capital resources will be sufficient to fund our operations into the first quarter of 2022, but we expect that we will be required to seek additional funding through the sale of equity or debt financing to continue to fund our operations thereafter.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Statements of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2020 and 2019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center"/>
              <w:ind w:right="156"/>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(11,738)</w:t>
            </w:r>
          </w:p>
        </w:tc>
        <w:tc>
          <w:tcPr>
            <w:tcW w:w="3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center"/>
              <w:ind w:right="10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(20,999)</w:t>
            </w: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(769)</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Effect of foreign exchange rate changes on cash</w:t>
            </w:r>
          </w:p>
        </w:tc>
        <w:tc>
          <w:tcPr>
            <w:tcW w:w="9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(2,128)</w:t>
            </w:r>
          </w:p>
        </w:tc>
        <w:tc>
          <w:tcPr>
            <w:tcW w:w="1200" w:type="dxa"/>
            <w:vAlign w:val="bottom"/>
            <w:shd w:val="clear" w:color="auto" w:fill="CFF0FC"/>
          </w:tcPr>
          <w:p>
            <w:pPr>
              <w:jc w:val="center"/>
              <w:ind w:right="1016"/>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(20,124)</w:t>
            </w:r>
          </w:p>
        </w:tc>
        <w:tc>
          <w:tcPr>
            <w:tcW w:w="4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the Year Ended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operating activities for the year ended December 31, 2020 was $11.7 million. This was comprised of a net loss of $14.1 million, unrealized foreign exchange gains of $0.2 million, gain on lease modification of $0.1 million, change in the fair value of our derivative liabilities of $4 thousand and $1 million net cash used resulting from changes in operating assets and liabilities, partially offset by certain adjustments for non-cash items comprised of stock-based compensation expense of $2.5 million, depreciation and amortization of $0.5 million, provision for inventory reserve of $0.2 million, impairment loss on intangible assets of $0.2 million (related to the customer relationships from the Heuro acquisition), provision for doubtful accounts of $0.1 million and loss on disposal of office furniture of $0.1 million.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for the year ended December 31, 2019 was $21.0 million. This was comprised of a net loss of $9.8 million, the change in the fair value of our derivative liabilities of $14.1 million and $2.3 million net cash used resulting from changes in operating assets and liabilities, partially offset by certain adjustments for non-cash items comprised of stock-based compensation expense of $4.7 million, depreciation and amortization of $0.2 million, provision for doubtful accounts of $0.2 million, provision for inventory reserve of $0.1 million and unrealized foreign exchange loss of $0.1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used in investing activities for the year ended December 31, 2020 was $9 thousand, which was primarily due to $63 thousand for the purchase of equipment and $7 thousand for internally developed software, offset by $61 thousand in proceeds received from the sale of office furniture.</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investing activities for the year ended December 31, 2019 was $0.8 million, which was primarily comprised of $0.4 million for the acquisition of Heuro, and $0.3 million for property and equipment consisting of $0.1 million for computer equipment, $0.1 million for furniture and fixtures at our headquarters location and $0.1 million for equipment that is used in the commercial production of the PoNS device.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2020 was $9.6 million, which was primarily comprised of $2.2 million in gross proceeds received from the March 2020 registered direct offering, $5.0 million in gross proceeds from the sale of common stock under our former At-the-Market program and $3.4 million in gross proceeds received from the October 2020 private placement. These proceeds were partially offset by $1.0 million in issuance costs primarily related to the aforementioned offerings.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provided by financing activities for the year ended December 31, 2019 was $1.7 million, which was primarily comprised of $1.7 million in gross proceeds received from the November 2019 public offering from the sale of 137,571 shares of our common stock and $0.2 million in proceeds from the exercise of stock options and warrants. These proceeds were partially offset by $0.2 million in issuance costs primarily related to our public offering.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xml:space="preserve">, which requires measurement and recognition of expected credit losses for financial assets held and requires enhanced disclosures regarding significant estimates and judgments used in estimating credit losses. In November 2019, the FASB issued ASU 2019-10, </w:t>
      </w:r>
      <w:r>
        <w:rPr>
          <w:rFonts w:ascii="Arial" w:cs="Arial" w:eastAsia="Arial" w:hAnsi="Arial"/>
          <w:sz w:val="18"/>
          <w:szCs w:val="18"/>
          <w:i w:val="1"/>
          <w:iCs w:val="1"/>
          <w:color w:val="auto"/>
        </w:rPr>
        <w:t>Financial Instruments – 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326), Derivatives and Hedging (Topic 815) and Leases (Topic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both"/>
        <w:spacing w:after="0" w:line="275" w:lineRule="auto"/>
        <w:rPr>
          <w:sz w:val="20"/>
          <w:szCs w:val="20"/>
          <w:color w:val="auto"/>
        </w:rPr>
      </w:pPr>
      <w:r>
        <w:rPr>
          <w:rFonts w:ascii="Arial" w:cs="Arial" w:eastAsia="Arial" w:hAnsi="Arial"/>
          <w:sz w:val="17"/>
          <w:szCs w:val="17"/>
          <w:i w:val="1"/>
          <w:iCs w:val="1"/>
          <w:color w:val="auto"/>
        </w:rPr>
        <w:t>842): Effective Dates</w:t>
      </w:r>
      <w:r>
        <w:rPr>
          <w:rFonts w:ascii="Arial" w:cs="Arial" w:eastAsia="Arial" w:hAnsi="Arial"/>
          <w:sz w:val="17"/>
          <w:szCs w:val="17"/>
          <w:color w:val="auto"/>
        </w:rPr>
        <w:t>, which amends the effective date of ASU 2016-13. Public business entities that meeting the definition of an SEC filer, excluding</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eligible to be a Small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We meet the definition of an SRC and therefore the standard will not be effective until the beginning of 2023. We are evaluating the effect that ASU 2016-13 will have on its consolidated financial statements.</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w:t>
      </w:r>
      <w:r>
        <w:rPr>
          <w:rFonts w:ascii="Arial" w:cs="Arial" w:eastAsia="Arial" w:hAnsi="Arial"/>
          <w:sz w:val="16"/>
          <w:szCs w:val="16"/>
          <w:color w:val="auto"/>
        </w:rPr>
        <w:t>, which adds disclosure requirements to Topic 820 for the range and weighted average of significant unobservable inputs used to</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Level 3 fair value measurements. This ASU is effective for interim and annual reporting periods beginning after December 15, 2019. We adopted this standard as of January 1, 2020 and the adoption did not have a material impact on our consolidated financial statements.</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2018, FASB issued ASU 2018-18, C</w:t>
      </w:r>
      <w:r>
        <w:rPr>
          <w:rFonts w:ascii="Arial" w:cs="Arial" w:eastAsia="Arial" w:hAnsi="Arial"/>
          <w:sz w:val="18"/>
          <w:szCs w:val="18"/>
          <w:i w:val="1"/>
          <w:iCs w:val="1"/>
          <w:color w:val="auto"/>
        </w:rPr>
        <w:t>ollaborative Arrangements (Topic 808): Clarifying the Interaction Between Topic 808 and Topic 606,</w:t>
      </w:r>
      <w:r>
        <w:rPr>
          <w:rFonts w:ascii="Arial" w:cs="Arial" w:eastAsia="Arial" w:hAnsi="Arial"/>
          <w:sz w:val="18"/>
          <w:szCs w:val="18"/>
          <w:color w:val="auto"/>
        </w:rPr>
        <w:t xml:space="preserve">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We adopted this standard on January 1, 2020 and the adoption did not have a material impact on our consolidated financial statements.</w:t>
      </w:r>
    </w:p>
    <w:p>
      <w:pPr>
        <w:spacing w:after="0" w:line="2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2020, FASB issued ASU 2020-06, </w:t>
      </w:r>
      <w:r>
        <w:rPr>
          <w:rFonts w:ascii="Arial" w:cs="Arial" w:eastAsia="Arial" w:hAnsi="Arial"/>
          <w:sz w:val="17"/>
          <w:szCs w:val="17"/>
          <w:i w:val="1"/>
          <w:iCs w:val="1"/>
          <w:color w:val="auto"/>
        </w:rPr>
        <w:t>Debt with Conversion and Other Options (Subtopic 470-20) and Derivatives and Hedging – Contracts in</w:t>
      </w:r>
      <w:r>
        <w:rPr>
          <w:rFonts w:ascii="Arial" w:cs="Arial" w:eastAsia="Arial" w:hAnsi="Arial"/>
          <w:sz w:val="17"/>
          <w:szCs w:val="17"/>
          <w:color w:val="auto"/>
        </w:rPr>
        <w:t xml:space="preserve"> </w:t>
      </w:r>
      <w:r>
        <w:rPr>
          <w:rFonts w:ascii="Arial" w:cs="Arial" w:eastAsia="Arial" w:hAnsi="Arial"/>
          <w:sz w:val="17"/>
          <w:szCs w:val="17"/>
          <w:i w:val="1"/>
          <w:iCs w:val="1"/>
          <w:color w:val="auto"/>
        </w:rPr>
        <w:t>Entity’s Own Equity (Subtopic 815-40)</w:t>
      </w:r>
      <w:r>
        <w:rPr>
          <w:rFonts w:ascii="Arial" w:cs="Arial" w:eastAsia="Arial" w:hAnsi="Arial"/>
          <w:sz w:val="17"/>
          <w:szCs w:val="17"/>
          <w:color w:val="auto"/>
        </w:rPr>
        <w:t>, which simplifies accounting for convertible instruments by removing major separation models required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GAAP. The ASU removes certain settlement conditions that are required for equity contracts to qualify for the derivative scope exception and it also simplifies the diluted earnings per share calculation in certain areas. The guidance is effective for interim and annual periods beginning after December 15, 2021. Early adoption is permitted, but no earlier than fiscal years beginning after December 15, 2020, including interim periods within those fiscal years. FASB has specified that an entity should adopt the guidance as of the beginning of its annual fiscal year. The guidance is to be applied using either a full retrospective or modified retrospective method. In applying the full retrospective method, the cumulative effect of the accounting change should be recognized as an adjustment to the opening balance of retained earnings in the first comparative period presented. In applying the modified retrospective method, the cumulative effect of the accounting change should be recognized as an adjustment to the opening balance of retained earnings at the date of adoption. We early adopted ASU 2020-06 effective January 1, 2021 under the modified retrospective approach. We anticipate that the adoption of this guidance will not have a material impact on our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2012, the Jumpstart Our Business Startups Act of 2012, or JOBS Act, was enacted in the United States.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irrevocably elected not to avail ourselves of this extended transition period and, as a result, we will adopt new or revised accounting standards on the relevant dates on which adoption of such standards is required for non-emerging growth public companies. We were an “emerging growth company” until December 31, 2020.</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this Annual Report beginning on page F-1 and is incorporated herein by reference.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Rule 13a-15(b) of the Securities Exchange Act of 1934, as amended, or the Exchange Act, under the direction of the Interim Chief Executive Officer and the Chief Financial Officer, we have evaluated our disclosure controls and procedures as of the end of the period covered by this Annual Report. Based on this evaluation, our Interim Chief Executive Officer and Chief Financial Officer have concluded that our disclosure controls and procedures were effective as of the end of the period covered by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responsible for establishing and maintaining adequate internal controls over financial reporting. Our management assessed the effectiveness of our internal controls over financial reporting as of December 31, 2020. In making this assessment, our management used the criteria described in Internal Control—Integrated Framework (2013), issued by the Committee of Sponsoring Organizations of the Treadway Commission and assessed the applicability of the principles within each component of internal control and determined whether or not they have been adequately addressed within the current system of internal control and adequately documented. Based on this assessment, management, under the supervision and with the participation of our principal executive officer and our principal financial officer, concluded that, as of December 31, 2020, our internal control over financial reporting was effective.</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Annual Report does not include an attestation report of our independent registered public accounting firm regarding internal control over financial reporting as required by Section 404(b) of the Sarbanes Oxley Act of 2002. As a non-accelerated filer, our management’s report was not subject to attestation by our registered public accounting firm pursuant to rules of the SEC that permit us to provide only management’s report in this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monitor our internal control over financial reporting on a continuous basis. There has not been any change in our internal control over financial reporting identified in connection with the evaluation required by Rule 13a-15(d) and 15d-15(d) under the Exchange Act that occurred during the quarter ended December 31, 2020 which have materially affected, or are reasonably likely to materially affect, our internal control over financial reporting.</w:t>
      </w:r>
    </w:p>
    <w:p>
      <w:pPr>
        <w:spacing w:after="0" w:line="14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 with Jonathan Sackier</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8, 2021, the Board and Jonathan Sackier mutually agreed that Mr. Sackier, current Chief Medical Officer of the Company, would transition to a consulting role effective March 8, 2021 (the “Transition Date”). In connection with Mr. Sackier’s transition into a consulting role, the Company entered into a Consulting Agreement with Mr. Sackier effective on March 8, 2021 (the “Consulting Agreement”). Pursuant to the Consulting Agreement, Mr. Sackier resigned from his position as an executive officer effective as of the Transition Date, and forfeited all rights to severance under his original employment agreement. The Consulting Agreement provides that Mr. Sackier will receive compensation of $23,333 for the first month of engagement and then $20,000 per month thereafter, in exchange for certain services. The Consulting Agreement will terminate on the one year anniversary of the Transition Date, unless the parties mutually agree in writing to extend the term of the Consulting Agreement. If the term is extended, the Company may terminate the Consulting Agreement upon 12 months’ notice. The foregoing summary of the Consulting Agreement does not purport to be complete and is subject to, and qualified in its entirety by, the full text of the Consulting Agreement, a copy of which is filed as Exhibit 10.3 to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Indemnification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8, 2021, the Board of Directors of the Company approved a revised form of indemnification agreement (the “Indemnification Agreement”) to be entered into between the Company and its current and future directors and executive officers.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Indemnification Agreement will, among other things, require the Company to indemnify, and advance expenses to, each director and executive officer to the fullest extent permitted by law, including indemnification of expenses such as attorneys’ fees, court costs, judgements, fines, penalties, excise taxes and settlement amounts incurred by the director or executive officer in any action or proceeding arising out of such person’s services as a director or executive officer. The Indemnification Agreements shall be in addition to any other rights the directors and executive officers may have under the Company’s certificate of incorporation and bylaws.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line="277" w:lineRule="auto"/>
        <w:rPr>
          <w:sz w:val="20"/>
          <w:szCs w:val="20"/>
          <w:color w:val="auto"/>
        </w:rPr>
      </w:pPr>
      <w:r>
        <w:rPr>
          <w:rFonts w:ascii="Arial" w:cs="Arial" w:eastAsia="Arial" w:hAnsi="Arial"/>
          <w:sz w:val="18"/>
          <w:szCs w:val="18"/>
          <w:color w:val="auto"/>
        </w:rPr>
        <w:t>The foregoing description of the Indemnification Agreement does not purport to be complete and is qualified in its entirety by reference to the full text of the form of Indemnification Agreement, which is attached as Exhibit 10.24 to this Annual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file a definitive Proxy Statement for our 2021 Annual Meeting of Stockholders (the “2021 Proxy Statement”) with the SEC, pursuant to Regulation 14A, not later than 120 days after the end of our fiscal year. Accordingly, certain information required by Part III has been omitted under General Instruction G(3) to Form 10-K. Only those sections of the 2021 Proxy Statement that specifically address the items set forth herein are incorporated by reference.</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Item 10 is hereby incorporated by reference to the sections of the 2021 Proxy Statement under the captions "Information Regarding the Board of Directors and Corporate Governance," "Proposal 1 - Election of Directors," "Executive Officers", and “Delinquent Section 16(a) Reports”.</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Item 11 is hereby incorporated by reference to the sections of the 2021 Proxy Statement under the captions "Executive Compensation" and "Non-Employee Director Compensation."</w:t>
      </w:r>
    </w:p>
    <w:p>
      <w:pPr>
        <w:spacing w:after="0" w:line="166" w:lineRule="exact"/>
        <w:rPr>
          <w:sz w:val="20"/>
          <w:szCs w:val="20"/>
          <w:color w:val="auto"/>
        </w:rPr>
      </w:pPr>
    </w:p>
    <w:p>
      <w:pPr>
        <w:jc w:val="both"/>
        <w:ind w:left="1160" w:hanging="1146"/>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Item 12 is hereby incorporated by reference to the sections of the 2021 Proxy Statement under the captions "Security Ownership of Certain Beneficial Owners and Management" and "Securities Authorized for Issuance under Equity Compensation Plans."</w:t>
      </w:r>
    </w:p>
    <w:p>
      <w:pPr>
        <w:spacing w:after="0" w:line="14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Item 13 is hereby incorporated by reference to the sections of the 2021 Proxy Statement under the captions "Certain Relationships and Related Transactions" and "Information Regarding the Board of Directors and Corporate Governance - Independence of the Board of Directors."</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information required by Item 14 is hereby incorporated by reference to the sections of the 2021 Proxy Statement under the caption "Proposal 2 - Ratification of Independent Registered Public Accounting Firm."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17"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Statements—See the Index to Consolidated Financial Statements on Page F-1.</w:t>
      </w:r>
    </w:p>
    <w:p>
      <w:pPr>
        <w:spacing w:after="0" w:line="117"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Financial Statement Schedules—None. We have omitted financial statement schedules because they are not required or are not applicable, or the required information is shown in the consolidated financial statements or notes to the consolidated financial statements.</w:t>
      </w:r>
    </w:p>
    <w:p>
      <w:pPr>
        <w:spacing w:after="0" w:line="38" w:lineRule="exact"/>
        <w:rPr>
          <w:rFonts w:ascii="Arial" w:cs="Arial" w:eastAsia="Arial" w:hAnsi="Arial"/>
          <w:sz w:val="17"/>
          <w:szCs w:val="17"/>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20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200" w:type="dxa"/>
            <w:vAlign w:val="bottom"/>
            <w:tcBorders>
              <w:bottom w:val="single" w:sz="8" w:color="auto"/>
            </w:tcBorders>
            <w:gridSpan w:val="10"/>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0"/>
          </w:tcPr>
          <w:p>
            <w:pPr>
              <w:spacing w:after="0"/>
              <w:rPr>
                <w:rFonts w:ascii="Arial" w:cs="Arial" w:eastAsia="Arial" w:hAnsi="Arial"/>
                <w:sz w:val="18"/>
                <w:szCs w:val="18"/>
                <w:color w:val="0000EE"/>
                <w:w w:val="93"/>
              </w:rPr>
            </w:pPr>
            <w:hyperlink r:id="rId101">
              <w:r>
                <w:rPr>
                  <w:rFonts w:ascii="Arial" w:cs="Arial" w:eastAsia="Arial" w:hAnsi="Arial"/>
                  <w:sz w:val="18"/>
                  <w:szCs w:val="18"/>
                  <w:color w:val="0000EE"/>
                  <w:w w:val="93"/>
                </w:rPr>
                <w:t>Certificate of Conversion filed with the Delaware Secretary of State on July 18, 2018 (incorporated by reference to Exhibit 3.1 to the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10-Q filed August 9,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200" w:type="dxa"/>
            <w:vAlign w:val="bottom"/>
            <w:gridSpan w:val="10"/>
          </w:tcPr>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Certificate of Incorporation, as corrected (incorporated by reference to Exhibit 3.1 to the Form 8-K filed October 30, 2018)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0"/>
          </w:tcPr>
          <w:p>
            <w:pPr>
              <w:spacing w:after="0"/>
              <w:rPr>
                <w:rFonts w:ascii="Arial" w:cs="Arial" w:eastAsia="Arial" w:hAnsi="Arial"/>
                <w:sz w:val="18"/>
                <w:szCs w:val="18"/>
                <w:color w:val="0000EE"/>
                <w:w w:val="94"/>
              </w:rPr>
            </w:pPr>
            <w:hyperlink r:id="rId103">
              <w:r>
                <w:rPr>
                  <w:rFonts w:ascii="Arial" w:cs="Arial" w:eastAsia="Arial" w:hAnsi="Arial"/>
                  <w:sz w:val="18"/>
                  <w:szCs w:val="18"/>
                  <w:color w:val="0000EE"/>
                  <w:w w:val="94"/>
                </w:rPr>
                <w:t>Certificate of Amendment to Certificate of Incorporation (incorporated by reference to Exhibit 3.1 to the Form 8-K filed on December 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03">
              <w:r>
                <w:rPr>
                  <w:rFonts w:ascii="Arial" w:cs="Arial" w:eastAsia="Arial" w:hAnsi="Arial"/>
                  <w:sz w:val="18"/>
                  <w:szCs w:val="18"/>
                  <w:color w:val="0000EE"/>
                  <w:w w:val="86"/>
                </w:rPr>
                <w:t>2020)</w:t>
              </w:r>
            </w:hyperlink>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0200" w:type="dxa"/>
            <w:vAlign w:val="bottom"/>
            <w:gridSpan w:val="10"/>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Bylaws as amended and restated (incorporated by reference to Exhibit 3.3 to the Form 10-Q filed August 9, 2018)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200" w:type="dxa"/>
            <w:vAlign w:val="bottom"/>
            <w:gridSpan w:val="10"/>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Form of Warrant (included in Exhibit 4.2)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0"/>
          </w:tcPr>
          <w:p>
            <w:pPr>
              <w:spacing w:after="0"/>
              <w:rPr>
                <w:rFonts w:ascii="Arial" w:cs="Arial" w:eastAsia="Arial" w:hAnsi="Arial"/>
                <w:sz w:val="18"/>
                <w:szCs w:val="18"/>
                <w:color w:val="0000EE"/>
                <w:w w:val="96"/>
              </w:rPr>
            </w:pPr>
            <w:hyperlink r:id="rId105">
              <w:r>
                <w:rPr>
                  <w:rFonts w:ascii="Arial" w:cs="Arial" w:eastAsia="Arial" w:hAnsi="Arial"/>
                  <w:sz w:val="18"/>
                  <w:szCs w:val="18"/>
                  <w:color w:val="0000EE"/>
                  <w:w w:val="96"/>
                </w:rPr>
                <w:t>Warrant Indenture dated April 18, 2016 by and between Helius Medical Technologies, Inc. and Computershare Investor Services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0" w:type="dxa"/>
            <w:vAlign w:val="bottom"/>
            <w:gridSpan w:val="10"/>
          </w:tcPr>
          <w:p>
            <w:pPr>
              <w:spacing w:after="0"/>
              <w:rPr>
                <w:rFonts w:ascii="Arial" w:cs="Arial" w:eastAsia="Arial" w:hAnsi="Arial"/>
                <w:sz w:val="18"/>
                <w:szCs w:val="18"/>
                <w:u w:val="single" w:color="auto"/>
                <w:color w:val="0000EE"/>
                <w:w w:val="98"/>
              </w:rPr>
            </w:pPr>
            <w:hyperlink r:id="rId105">
              <w:r>
                <w:rPr>
                  <w:rFonts w:ascii="Arial" w:cs="Arial" w:eastAsia="Arial" w:hAnsi="Arial"/>
                  <w:sz w:val="18"/>
                  <w:szCs w:val="18"/>
                  <w:u w:val="single" w:color="auto"/>
                  <w:color w:val="0000EE"/>
                  <w:w w:val="98"/>
                </w:rPr>
                <w:t>(incorporated by reference to Exhibit 4.1 to amendment no. 1 to the Form 8-K filed April 18, 2016 and amended on April 20, 2016)</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0"/>
          </w:tcPr>
          <w:p>
            <w:pPr>
              <w:spacing w:after="0"/>
              <w:rPr>
                <w:rFonts w:ascii="Arial" w:cs="Arial" w:eastAsia="Arial" w:hAnsi="Arial"/>
                <w:sz w:val="18"/>
                <w:szCs w:val="18"/>
                <w:color w:val="0000EE"/>
                <w:w w:val="93"/>
              </w:rPr>
            </w:pPr>
            <w:hyperlink r:id="rId106">
              <w:r>
                <w:rPr>
                  <w:rFonts w:ascii="Arial" w:cs="Arial" w:eastAsia="Arial" w:hAnsi="Arial"/>
                  <w:sz w:val="18"/>
                  <w:szCs w:val="18"/>
                  <w:color w:val="0000EE"/>
                  <w:w w:val="93"/>
                </w:rPr>
                <w:t>Amended and Restated June 2014 Equity Incentive Plan (incorporated by reference to Exhibit 4.3 to the Form 10-Q filed with the SEC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November 9, 2017)</w:t>
              </w:r>
            </w:hyperlink>
          </w:p>
        </w:tc>
        <w:tc>
          <w:tcPr>
            <w:tcW w:w="87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0"/>
          </w:tcPr>
          <w:p>
            <w:pPr>
              <w:spacing w:after="0"/>
              <w:rPr>
                <w:rFonts w:ascii="Arial" w:cs="Arial" w:eastAsia="Arial" w:hAnsi="Arial"/>
                <w:sz w:val="18"/>
                <w:szCs w:val="18"/>
                <w:color w:val="0000EE"/>
                <w:w w:val="92"/>
              </w:rPr>
            </w:pPr>
            <w:hyperlink r:id="rId107">
              <w:r>
                <w:rPr>
                  <w:rFonts w:ascii="Arial" w:cs="Arial" w:eastAsia="Arial" w:hAnsi="Arial"/>
                  <w:sz w:val="18"/>
                  <w:szCs w:val="18"/>
                  <w:color w:val="0000EE"/>
                  <w:w w:val="92"/>
                </w:rPr>
                <w:t>Warrant Indenture dated April 11, 2018 by and between Helius Medical Technologies, Inc. and Computershare Trust Company of Canada</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(incorporated by reference to Exhibit 4.1 to the Form 8-K filed April 12,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gridSpan w:val="4"/>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0200" w:type="dxa"/>
            <w:vAlign w:val="bottom"/>
            <w:gridSpan w:val="10"/>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Form of Warrant (incorporated by reference to Exhibit 4.1 to the Form S-1/A filed January 20, 2021)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0200" w:type="dxa"/>
            <w:vAlign w:val="bottom"/>
            <w:gridSpan w:val="10"/>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Warrant Agency Agreement (incorporated by reference to Exhibit 4.2 to the Form S-1/A filed January 20, 2021)</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10200" w:type="dxa"/>
            <w:vAlign w:val="bottom"/>
            <w:gridSpan w:val="10"/>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Description of Registrant’s Securities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0"/>
          </w:tcPr>
          <w:p>
            <w:pPr>
              <w:spacing w:after="0"/>
              <w:rPr>
                <w:rFonts w:ascii="Arial" w:cs="Arial" w:eastAsia="Arial" w:hAnsi="Arial"/>
                <w:sz w:val="18"/>
                <w:szCs w:val="18"/>
                <w:color w:val="0000EE"/>
                <w:w w:val="99"/>
              </w:rPr>
            </w:pPr>
            <w:hyperlink r:id="rId110">
              <w:r>
                <w:rPr>
                  <w:rFonts w:ascii="Arial" w:cs="Arial" w:eastAsia="Arial" w:hAnsi="Arial"/>
                  <w:sz w:val="18"/>
                  <w:szCs w:val="18"/>
                  <w:color w:val="0000EE"/>
                  <w:w w:val="99"/>
                </w:rPr>
                <w:t>Separation and Release Agreement between Helius Medical Technologies, Inc. and Philippe Deschamps, dated August 23, 2020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(incorporated by reference to Exhibit 10.2 to the Form 8-K filed with the SEC on August 25,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gridSpan w:val="4"/>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0"/>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Interim President and CEO Employment Letter Agreement between Helius Medical Technologies, Inc. and Dane C. Andreeff, dated August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23, 2020 (incorporated by reference to Exhibit 10.1 to the Form 8-K filed with the SEC on August 25,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gridSpan w:val="4"/>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200" w:type="dxa"/>
            <w:vAlign w:val="bottom"/>
            <w:gridSpan w:val="10"/>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Consulting Agreement between Helius Medical Technologies, Inc. and Jonathan Sackier, dated March 8, 2021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0"/>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Consulting Agreement between Helius Medical, Inc and Mitch Tyler, dated December 10, 2014 (incorporated by reference to Exhibit 10.5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the Form 10-12G filed with the SEC on February 6,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gridSpan w:val="4"/>
            <w:shd w:val="clear" w:color="auto" w:fill="0000EE"/>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000" w:type="dxa"/>
            <w:vAlign w:val="bottom"/>
            <w:tcBorders>
              <w:bottom w:val="single" w:sz="8" w:color="0000EE"/>
            </w:tcBorders>
            <w:gridSpan w:val="8"/>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License Agreement between Advanced NeuroRehabilitation, LLC and Yuri Danilov, Mitchell Tyler, Kurt Kaczmarek and John Klus, dated</w:t>
              </w:r>
            </w:hyperlink>
          </w:p>
        </w:tc>
        <w:tc>
          <w:tcPr>
            <w:tcW w:w="2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0" w:type="dxa"/>
            <w:vAlign w:val="bottom"/>
            <w:gridSpan w:val="10"/>
          </w:tcPr>
          <w:p>
            <w:pPr>
              <w:spacing w:after="0"/>
              <w:rPr>
                <w:rFonts w:ascii="Arial" w:cs="Arial" w:eastAsia="Arial" w:hAnsi="Arial"/>
                <w:sz w:val="18"/>
                <w:szCs w:val="18"/>
                <w:u w:val="single" w:color="auto"/>
                <w:color w:val="0000EE"/>
                <w:w w:val="97"/>
              </w:rPr>
            </w:pPr>
            <w:hyperlink r:id="rId113">
              <w:r>
                <w:rPr>
                  <w:rFonts w:ascii="Arial" w:cs="Arial" w:eastAsia="Arial" w:hAnsi="Arial"/>
                  <w:sz w:val="18"/>
                  <w:szCs w:val="18"/>
                  <w:u w:val="single" w:color="auto"/>
                  <w:color w:val="0000EE"/>
                  <w:w w:val="97"/>
                </w:rPr>
                <w:t>June 29, 2011 (incorporated by reference to Exhibit 10.8 to the Amendment to Form S-1 filed with the SEC on September 23, 2014)</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10200" w:type="dxa"/>
            <w:vAlign w:val="bottom"/>
            <w:gridSpan w:val="10"/>
          </w:tcPr>
          <w:p>
            <w:pPr>
              <w:spacing w:after="0"/>
              <w:rPr>
                <w:rFonts w:ascii="Arial" w:cs="Arial" w:eastAsia="Arial" w:hAnsi="Arial"/>
                <w:sz w:val="18"/>
                <w:szCs w:val="18"/>
                <w:color w:val="0000EE"/>
                <w:w w:val="93"/>
              </w:rPr>
            </w:pPr>
            <w:hyperlink r:id="rId114">
              <w:r>
                <w:rPr>
                  <w:rFonts w:ascii="Arial" w:cs="Arial" w:eastAsia="Arial" w:hAnsi="Arial"/>
                  <w:sz w:val="18"/>
                  <w:szCs w:val="18"/>
                  <w:color w:val="0000EE"/>
                  <w:w w:val="93"/>
                </w:rPr>
                <w:t>Amended and Restated Patent Sub-License Agreement between Advanced NeuroRehabilitation, LLC and Helius Medical, Inc, having an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80" w:type="dxa"/>
            <w:vAlign w:val="bottom"/>
            <w:tcBorders>
              <w:top w:val="single" w:sz="8" w:color="0000EE"/>
            </w:tcBorders>
            <w:gridSpan w:val="9"/>
          </w:tcPr>
          <w:p>
            <w:pPr>
              <w:spacing w:after="0"/>
              <w:rPr>
                <w:rFonts w:ascii="Arial" w:cs="Arial" w:eastAsia="Arial" w:hAnsi="Arial"/>
                <w:sz w:val="18"/>
                <w:szCs w:val="18"/>
                <w:u w:val="single" w:color="auto"/>
                <w:color w:val="0000EE"/>
                <w:w w:val="98"/>
              </w:rPr>
            </w:pPr>
            <w:hyperlink r:id="rId114">
              <w:r>
                <w:rPr>
                  <w:rFonts w:ascii="Arial" w:cs="Arial" w:eastAsia="Arial" w:hAnsi="Arial"/>
                  <w:sz w:val="18"/>
                  <w:szCs w:val="18"/>
                  <w:u w:val="single" w:color="auto"/>
                  <w:color w:val="0000EE"/>
                  <w:w w:val="98"/>
                </w:rPr>
                <w:t>effective date of January 22, 2013 (incorporated by reference to Exhibit 10.1 to the Form S-1 filed with the SEC on July 14, 2014)</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920" w:type="dxa"/>
            <w:vAlign w:val="bottom"/>
          </w:tcPr>
          <w:p>
            <w:pPr>
              <w:spacing w:after="0"/>
              <w:rPr>
                <w:sz w:val="24"/>
                <w:szCs w:val="24"/>
                <w:color w:val="auto"/>
              </w:rPr>
            </w:pPr>
          </w:p>
        </w:tc>
        <w:tc>
          <w:tcPr>
            <w:tcW w:w="5800" w:type="dxa"/>
            <w:vAlign w:val="bottom"/>
            <w:gridSpan w:val="6"/>
          </w:tcPr>
          <w:p>
            <w:pPr>
              <w:jc w:val="right"/>
              <w:ind w:right="1000"/>
              <w:spacing w:after="0"/>
              <w:rPr>
                <w:sz w:val="20"/>
                <w:szCs w:val="20"/>
                <w:color w:val="auto"/>
              </w:rPr>
            </w:pPr>
            <w:r>
              <w:rPr>
                <w:rFonts w:ascii="Arial" w:cs="Arial" w:eastAsia="Arial" w:hAnsi="Arial"/>
                <w:sz w:val="18"/>
                <w:szCs w:val="18"/>
                <w:color w:val="auto"/>
              </w:rPr>
              <w:t>75</w:t>
            </w: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00" w:type="dxa"/>
            <w:vAlign w:val="bottom"/>
            <w:gridSpan w:val="14"/>
            <w:vMerge w:val="restart"/>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00" w:type="dxa"/>
            <w:vAlign w:val="bottom"/>
            <w:gridSpan w:val="14"/>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4"/>
                <w:szCs w:val="14"/>
                <w:color w:val="auto"/>
              </w:rPr>
            </w:pPr>
          </w:p>
        </w:tc>
        <w:tc>
          <w:tcPr>
            <w:tcW w:w="10200" w:type="dxa"/>
            <w:vAlign w:val="bottom"/>
            <w:tcBorders>
              <w:top w:val="single" w:sz="8" w:color="auto"/>
              <w:bottom w:val="single" w:sz="8" w:color="0000EE"/>
            </w:tcBorders>
            <w:gridSpan w:val="14"/>
          </w:tcPr>
          <w:p>
            <w:pPr>
              <w:spacing w:after="0" w:line="169"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Second Amended and Restated Patent Sub-License Agreement between Advanced NeuroRehabilitation, LLC and Helius Medical, Inc, dated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June 6, 2014, but having an effective date of January 22, 2013 (incorporated by reference to Exhibit 10.7 to the Form S-1 filed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on July 14, 2014)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4"/>
          </w:tcPr>
          <w:p>
            <w:pPr>
              <w:spacing w:after="0"/>
              <w:rPr>
                <w:rFonts w:ascii="Arial" w:cs="Arial" w:eastAsia="Arial" w:hAnsi="Arial"/>
                <w:sz w:val="18"/>
                <w:szCs w:val="18"/>
                <w:color w:val="0000EE"/>
                <w:w w:val="97"/>
              </w:rPr>
            </w:pPr>
            <w:hyperlink r:id="rId118">
              <w:r>
                <w:rPr>
                  <w:rFonts w:ascii="Arial" w:cs="Arial" w:eastAsia="Arial" w:hAnsi="Arial"/>
                  <w:sz w:val="18"/>
                  <w:szCs w:val="18"/>
                  <w:color w:val="0000EE"/>
                  <w:w w:val="97"/>
                </w:rPr>
                <w:t>Master Cooperative Research and Development Agreement between Helius Medical, Inc, Advanced NeuroRehabilitation, LLC, Yuri</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Danilov, Mitchell Tyler, Kurt Kaczmarek and U.S. Army Medical Material Agency and U.S. Army Medical Material Development Activity,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0" w:type="dxa"/>
            <w:vAlign w:val="bottom"/>
            <w:gridSpan w:val="14"/>
          </w:tcPr>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dated effective February 1, 2013 (incorporated by reference to Exhibit 10.2 to the Form S-1 filed with the SEC on July 14, 2014)</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4"/>
          </w:tcPr>
          <w:p>
            <w:pPr>
              <w:spacing w:after="0"/>
              <w:rPr>
                <w:rFonts w:ascii="Arial" w:cs="Arial" w:eastAsia="Arial" w:hAnsi="Arial"/>
                <w:sz w:val="18"/>
                <w:szCs w:val="18"/>
                <w:color w:val="0000EE"/>
                <w:w w:val="96"/>
              </w:rPr>
            </w:pPr>
            <w:hyperlink r:id="rId119">
              <w:r>
                <w:rPr>
                  <w:rFonts w:ascii="Arial" w:cs="Arial" w:eastAsia="Arial" w:hAnsi="Arial"/>
                  <w:sz w:val="18"/>
                  <w:szCs w:val="18"/>
                  <w:color w:val="0000EE"/>
                  <w:w w:val="96"/>
                </w:rPr>
                <w:t>Notice  of  Modification  No.  1  to  Cooperative  Research  and  Development  Agreement  between  Helius  Medical,  Inc,  Advanced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NeuroRehabilitation, LLC, Yuri Danilov, Mitchell Tyler, Kurt Kaczmarek and U.S. Army Medical Material Agency and U.S. Army Medical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Material Development Activity, dated April 29, 2014 (incorporated by reference to Exhibit 10.5 to the Form S-1 filed with the SEC on July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14, 2014)</w:t>
              </w:r>
            </w:hyperlink>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4"/>
          </w:tcPr>
          <w:p>
            <w:pPr>
              <w:spacing w:after="0"/>
              <w:rPr>
                <w:rFonts w:ascii="Arial" w:cs="Arial" w:eastAsia="Arial" w:hAnsi="Arial"/>
                <w:sz w:val="18"/>
                <w:szCs w:val="18"/>
                <w:color w:val="0000EE"/>
                <w:w w:val="96"/>
              </w:rPr>
            </w:pPr>
            <w:hyperlink r:id="rId120">
              <w:r>
                <w:rPr>
                  <w:rFonts w:ascii="Arial" w:cs="Arial" w:eastAsia="Arial" w:hAnsi="Arial"/>
                  <w:sz w:val="18"/>
                  <w:szCs w:val="18"/>
                  <w:color w:val="0000EE"/>
                  <w:w w:val="96"/>
                </w:rPr>
                <w:t>Notice  of  Modification  No.  2  to  Cooperative  Research  and  Development  Agreement  between  Helius  Medical,  Inc,  Advanced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NeuroRehabilitation, LLC, Yuri Danilov, Mitchell Tyler, Kurt Kaczmarek and U.S. Army Medical Material Agency and U.S. Army Medical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Material Development Activity, dated January 12, 2015 (incorporated by reference to Exhibit 10.12 to the Form 10-12G filed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on February 6,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4"/>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Design and Manufacturing Consultant Agreement between Helius Medical, Inc and Clinvue, LLC, dated January 30, 2013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reference to Exhibit 10.3 to the Form S-1 filed with the SEC on July 14, 2014)</w:t>
              </w:r>
            </w:hyperlink>
          </w:p>
        </w:tc>
        <w:tc>
          <w:tcPr>
            <w:tcW w:w="45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4"/>
          </w:tcPr>
          <w:p>
            <w:pPr>
              <w:spacing w:after="0"/>
              <w:rPr>
                <w:rFonts w:ascii="Arial" w:cs="Arial" w:eastAsia="Arial" w:hAnsi="Arial"/>
                <w:sz w:val="18"/>
                <w:szCs w:val="18"/>
                <w:color w:val="0000EE"/>
                <w:w w:val="97"/>
              </w:rPr>
            </w:pPr>
            <w:hyperlink r:id="rId122">
              <w:r>
                <w:rPr>
                  <w:rFonts w:ascii="Arial" w:cs="Arial" w:eastAsia="Arial" w:hAnsi="Arial"/>
                  <w:sz w:val="18"/>
                  <w:szCs w:val="18"/>
                  <w:color w:val="0000EE"/>
                  <w:w w:val="97"/>
                </w:rPr>
                <w:t>Commercial Development-to-Supply Program between Helius Medical, Inc and Ximedica, dated October 25, 2013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reference to Exhibit 10.4 to the Form S-1 filed with the SEC on July 14, 2014)</w:t>
              </w:r>
            </w:hyperlink>
          </w:p>
        </w:tc>
        <w:tc>
          <w:tcPr>
            <w:tcW w:w="45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10.13†</w:t>
            </w:r>
          </w:p>
        </w:tc>
        <w:tc>
          <w:tcPr>
            <w:tcW w:w="10200" w:type="dxa"/>
            <w:vAlign w:val="bottom"/>
            <w:tcBorders>
              <w:bottom w:val="single" w:sz="8" w:color="0000EE"/>
            </w:tcBorders>
            <w:gridSpan w:val="14"/>
          </w:tcPr>
          <w:p>
            <w:pPr>
              <w:spacing w:after="0"/>
              <w:rPr>
                <w:rFonts w:ascii="Arial" w:cs="Arial" w:eastAsia="Arial" w:hAnsi="Arial"/>
                <w:sz w:val="18"/>
                <w:szCs w:val="18"/>
                <w:color w:val="0000EE"/>
                <w:w w:val="96"/>
              </w:rPr>
            </w:pPr>
            <w:hyperlink r:id="rId123">
              <w:r>
                <w:rPr>
                  <w:rFonts w:ascii="Arial" w:cs="Arial" w:eastAsia="Arial" w:hAnsi="Arial"/>
                  <w:sz w:val="18"/>
                  <w:szCs w:val="18"/>
                  <w:color w:val="0000EE"/>
                  <w:w w:val="96"/>
                </w:rPr>
                <w:t>Employment Agreement between Helius Medical Technologies, Inc. and Joyce LaViscount, dated October 19, 2015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reference to Exhibit 10.3 to the Form 10-Q filed with the SEC on February 16,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200" w:type="dxa"/>
            <w:vAlign w:val="bottom"/>
            <w:tcBorders>
              <w:bottom w:val="single" w:sz="8" w:color="0000EE"/>
            </w:tcBorders>
            <w:gridSpan w:val="14"/>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Asset Purchase Agreement between the Company and A&amp;B (HK) Company Limited, dated as of October 9, 2015 (incorporated by reference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to Exhibit 2.1 to the Form 8-K filed with the SEC on October 16,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10.14.1</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4"/>
          </w:tcPr>
          <w:p>
            <w:pPr>
              <w:spacing w:after="0"/>
              <w:rPr>
                <w:rFonts w:ascii="Arial" w:cs="Arial" w:eastAsia="Arial" w:hAnsi="Arial"/>
                <w:sz w:val="18"/>
                <w:szCs w:val="18"/>
                <w:color w:val="0000EE"/>
                <w:w w:val="98"/>
              </w:rPr>
            </w:pPr>
            <w:hyperlink r:id="rId125">
              <w:r>
                <w:rPr>
                  <w:rFonts w:ascii="Arial" w:cs="Arial" w:eastAsia="Arial" w:hAnsi="Arial"/>
                  <w:sz w:val="18"/>
                  <w:szCs w:val="18"/>
                  <w:color w:val="0000EE"/>
                  <w:w w:val="98"/>
                </w:rPr>
                <w:t>Amendment to Asset Purchase Agreement between the Company and A&amp;B (HK) Company Limited, dated as of October 30, 2017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(incorporated by reference to Exhibit 10.1 to the Form 8-K filed with the SEC on November 2, 2017)</w:t>
              </w:r>
            </w:hyperlink>
          </w:p>
        </w:tc>
        <w:tc>
          <w:tcPr>
            <w:tcW w:w="29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10.14.2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4"/>
          </w:tcPr>
          <w:p>
            <w:pPr>
              <w:spacing w:after="0"/>
              <w:rPr>
                <w:rFonts w:ascii="Arial" w:cs="Arial" w:eastAsia="Arial" w:hAnsi="Arial"/>
                <w:sz w:val="18"/>
                <w:szCs w:val="18"/>
                <w:color w:val="0000EE"/>
                <w:w w:val="95"/>
              </w:rPr>
            </w:pPr>
            <w:hyperlink r:id="rId126">
              <w:r>
                <w:rPr>
                  <w:rFonts w:ascii="Arial" w:cs="Arial" w:eastAsia="Arial" w:hAnsi="Arial"/>
                  <w:sz w:val="18"/>
                  <w:szCs w:val="18"/>
                  <w:color w:val="0000EE"/>
                  <w:w w:val="95"/>
                </w:rPr>
                <w:t>Supplemental Agreement to Asset Purchase Agreement dated October 9, 2015, between Helius Medical, Inc. and A&amp;B (HK) Company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0" w:type="dxa"/>
            <w:vAlign w:val="bottom"/>
            <w:gridSpan w:val="14"/>
          </w:tcPr>
          <w:p>
            <w:pPr>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Limited, dated as of August 15, 2018 (incorporated by reference to Exhibit 10.27 to the Form 10-K filed March 14, 2019)</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4"/>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Sole-source cost sharing contract between Helius Medical, Inc and the U.S. Army Medical Research and Materiel Command (USAMRMC)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0" w:type="dxa"/>
            <w:vAlign w:val="bottom"/>
            <w:gridSpan w:val="14"/>
          </w:tcPr>
          <w:p>
            <w:pPr>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dated as of July 7, 2015 (incorporated by reference to Exhibit 10.22 to the Form S-1 filed with the SEC on May 4, 2016)</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4"/>
          </w:tcPr>
          <w:p>
            <w:pPr>
              <w:spacing w:after="0"/>
              <w:rPr>
                <w:rFonts w:ascii="Arial" w:cs="Arial" w:eastAsia="Arial" w:hAnsi="Arial"/>
                <w:sz w:val="18"/>
                <w:szCs w:val="18"/>
                <w:color w:val="0000EE"/>
                <w:w w:val="98"/>
              </w:rPr>
            </w:pPr>
            <w:hyperlink r:id="rId128">
              <w:r>
                <w:rPr>
                  <w:rFonts w:ascii="Arial" w:cs="Arial" w:eastAsia="Arial" w:hAnsi="Arial"/>
                  <w:sz w:val="18"/>
                  <w:szCs w:val="18"/>
                  <w:color w:val="0000EE"/>
                  <w:w w:val="98"/>
                </w:rPr>
                <w:t>Amendment to Sole-Source Cost Sharing Contract between Helius Medical, Inc and the U.S. Army Medical Research and Materiel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4"/>
          </w:tcPr>
          <w:p>
            <w:pPr>
              <w:spacing w:after="0" w:line="196" w:lineRule="exact"/>
              <w:rPr>
                <w:rFonts w:ascii="Arial" w:cs="Arial" w:eastAsia="Arial" w:hAnsi="Arial"/>
                <w:sz w:val="18"/>
                <w:szCs w:val="18"/>
                <w:color w:val="0000EE"/>
                <w:w w:val="98"/>
              </w:rPr>
            </w:pPr>
            <w:hyperlink r:id="rId128">
              <w:r>
                <w:rPr>
                  <w:rFonts w:ascii="Arial" w:cs="Arial" w:eastAsia="Arial" w:hAnsi="Arial"/>
                  <w:sz w:val="18"/>
                  <w:szCs w:val="18"/>
                  <w:color w:val="0000EE"/>
                  <w:w w:val="98"/>
                </w:rPr>
                <w:t>Command (USAMRMC), dated November 7, 2016 (incorporated by reference to Exhibit 10.2 to the Form 8-K filed with the SEC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November 21,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10.16†</w:t>
            </w:r>
          </w:p>
        </w:tc>
        <w:tc>
          <w:tcPr>
            <w:tcW w:w="10200" w:type="dxa"/>
            <w:vAlign w:val="bottom"/>
            <w:tcBorders>
              <w:bottom w:val="single" w:sz="8" w:color="0000EE"/>
            </w:tcBorders>
            <w:gridSpan w:val="14"/>
          </w:tcPr>
          <w:p>
            <w:pPr>
              <w:spacing w:after="0"/>
              <w:rPr>
                <w:rFonts w:ascii="Arial" w:cs="Arial" w:eastAsia="Arial" w:hAnsi="Arial"/>
                <w:sz w:val="18"/>
                <w:szCs w:val="18"/>
                <w:color w:val="0000EE"/>
                <w:w w:val="93"/>
              </w:rPr>
            </w:pPr>
            <w:hyperlink r:id="rId129">
              <w:r>
                <w:rPr>
                  <w:rFonts w:ascii="Arial" w:cs="Arial" w:eastAsia="Arial" w:hAnsi="Arial"/>
                  <w:sz w:val="18"/>
                  <w:szCs w:val="18"/>
                  <w:color w:val="0000EE"/>
                  <w:w w:val="93"/>
                </w:rPr>
                <w:t>Amended and Restated June 2014 Equity Incentive Plan (incorporated by reference to Exhibit 4.3 to the Form 10-Q filed with the SEC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November 9, 2017)</w:t>
              </w:r>
            </w:hyperlink>
          </w:p>
        </w:tc>
        <w:tc>
          <w:tcPr>
            <w:tcW w:w="878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10.16.1†</w:t>
            </w:r>
          </w:p>
        </w:tc>
        <w:tc>
          <w:tcPr>
            <w:tcW w:w="10200" w:type="dxa"/>
            <w:vAlign w:val="bottom"/>
            <w:tcBorders>
              <w:bottom w:val="single" w:sz="8" w:color="0000EE"/>
            </w:tcBorders>
            <w:gridSpan w:val="14"/>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2014 Stock Incentive Plan Form of Option Grant Agreement (incorporated by reference to Exhibit 10.23.1 to the Transition Report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130">
              <w:r>
                <w:rPr>
                  <w:rFonts w:ascii="Arial" w:cs="Arial" w:eastAsia="Arial" w:hAnsi="Arial"/>
                  <w:sz w:val="18"/>
                  <w:szCs w:val="18"/>
                  <w:color w:val="0000EE"/>
                  <w:w w:val="94"/>
                </w:rPr>
                <w:t>10-K filed with the SEC on April 3, 2017)</w:t>
              </w:r>
            </w:hyperlink>
          </w:p>
        </w:tc>
        <w:tc>
          <w:tcPr>
            <w:tcW w:w="714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10.17†</w:t>
            </w:r>
          </w:p>
        </w:tc>
        <w:tc>
          <w:tcPr>
            <w:tcW w:w="10200" w:type="dxa"/>
            <w:vAlign w:val="bottom"/>
            <w:tcBorders>
              <w:bottom w:val="single" w:sz="8" w:color="0000EE"/>
            </w:tcBorders>
            <w:gridSpan w:val="14"/>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2016 Omnibus Incentive Plan (incorporated by reference to Exhibit 10.25 to the Transition Report on Form 10-K filed with the SEC on April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31">
              <w:r>
                <w:rPr>
                  <w:rFonts w:ascii="Arial" w:cs="Arial" w:eastAsia="Arial" w:hAnsi="Arial"/>
                  <w:sz w:val="18"/>
                  <w:szCs w:val="18"/>
                  <w:color w:val="0000EE"/>
                  <w:w w:val="87"/>
                </w:rPr>
                <w:t>3, 2017)</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10.17.1†</w:t>
            </w:r>
          </w:p>
        </w:tc>
        <w:tc>
          <w:tcPr>
            <w:tcW w:w="10200" w:type="dxa"/>
            <w:vAlign w:val="bottom"/>
            <w:gridSpan w:val="14"/>
          </w:tcPr>
          <w:p>
            <w:pP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Amendment Number 1 to the 2016 Omnibus Incentive Plan (incorporated by reference to Exhibit 10.25.1 to the Transition Report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r:id="rId132">
              <w:r>
                <w:rPr>
                  <w:rFonts w:ascii="Arial" w:cs="Arial" w:eastAsia="Arial" w:hAnsi="Arial"/>
                  <w:sz w:val="18"/>
                  <w:szCs w:val="18"/>
                  <w:color w:val="0000EE"/>
                  <w:w w:val="94"/>
                </w:rPr>
                <w:t>10-K filed with the SEC on April 3, 2017)</w:t>
              </w:r>
            </w:hyperlink>
          </w:p>
        </w:tc>
        <w:tc>
          <w:tcPr>
            <w:tcW w:w="712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10.17.2†</w:t>
            </w:r>
          </w:p>
        </w:tc>
        <w:tc>
          <w:tcPr>
            <w:tcW w:w="10200" w:type="dxa"/>
            <w:vAlign w:val="bottom"/>
            <w:tcBorders>
              <w:bottom w:val="single" w:sz="8" w:color="0000EE"/>
            </w:tcBorders>
            <w:gridSpan w:val="14"/>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Amendment Number 2 to the 2016 Omnibus Incentive Plan (incorporated by reference to Exhibit 4.7 to the Registration Statement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S-8 filed with the SEC on May 18, 2017)</w:t>
              </w:r>
            </w:hyperlink>
          </w:p>
        </w:tc>
        <w:tc>
          <w:tcPr>
            <w:tcW w:w="72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40" w:type="dxa"/>
            <w:vAlign w:val="bottom"/>
            <w:gridSpan w:val="2"/>
          </w:tcPr>
          <w:p>
            <w:pPr>
              <w:spacing w:after="0"/>
              <w:rPr>
                <w:sz w:val="20"/>
                <w:szCs w:val="20"/>
                <w:color w:val="auto"/>
              </w:rPr>
            </w:pPr>
            <w:r>
              <w:rPr>
                <w:rFonts w:ascii="Arial" w:cs="Arial" w:eastAsia="Arial" w:hAnsi="Arial"/>
                <w:sz w:val="18"/>
                <w:szCs w:val="18"/>
                <w:color w:val="auto"/>
              </w:rPr>
              <w:t>10.17.3†</w:t>
            </w:r>
          </w:p>
        </w:tc>
        <w:tc>
          <w:tcPr>
            <w:tcW w:w="10200" w:type="dxa"/>
            <w:vAlign w:val="bottom"/>
            <w:tcBorders>
              <w:bottom w:val="single" w:sz="8" w:color="0000EE"/>
            </w:tcBorders>
            <w:gridSpan w:val="14"/>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2016 Omnibus Incentive Plan Form of U.S. Option Grant Agreement (incorporated by reference to Exhibit 4.8 to the Registration Statement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on Form S-8 filed with the SEC on May 18, 2017)</w:t>
              </w:r>
            </w:hyperlink>
          </w:p>
        </w:tc>
        <w:tc>
          <w:tcPr>
            <w:tcW w:w="65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gridSpan w:val="9"/>
          </w:tcPr>
          <w:p>
            <w:pPr>
              <w:ind w:left="4500"/>
              <w:spacing w:after="0"/>
              <w:rPr>
                <w:sz w:val="20"/>
                <w:szCs w:val="20"/>
                <w:color w:val="auto"/>
              </w:rPr>
            </w:pPr>
            <w:r>
              <w:rPr>
                <w:rFonts w:ascii="Arial" w:cs="Arial" w:eastAsia="Arial" w:hAnsi="Arial"/>
                <w:sz w:val="18"/>
                <w:szCs w:val="18"/>
                <w:color w:val="auto"/>
              </w:rPr>
              <w:t>76</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0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0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10.17.4†</w:t>
            </w:r>
          </w:p>
        </w:tc>
        <w:tc>
          <w:tcPr>
            <w:tcW w:w="120" w:type="dxa"/>
            <w:vAlign w:val="bottom"/>
          </w:tcPr>
          <w:p>
            <w:pPr>
              <w:spacing w:after="0"/>
              <w:rPr>
                <w:sz w:val="14"/>
                <w:szCs w:val="14"/>
                <w:color w:val="auto"/>
              </w:rPr>
            </w:pPr>
          </w:p>
        </w:tc>
        <w:tc>
          <w:tcPr>
            <w:tcW w:w="10200" w:type="dxa"/>
            <w:vAlign w:val="bottom"/>
            <w:tcBorders>
              <w:top w:val="single" w:sz="8" w:color="auto"/>
              <w:bottom w:val="single" w:sz="8" w:color="0000EE"/>
            </w:tcBorders>
            <w:gridSpan w:val="11"/>
          </w:tcPr>
          <w:p>
            <w:pPr>
              <w:spacing w:after="0" w:line="169" w:lineRule="exact"/>
              <w:rPr>
                <w:rFonts w:ascii="Arial" w:cs="Arial" w:eastAsia="Arial" w:hAnsi="Arial"/>
                <w:sz w:val="18"/>
                <w:szCs w:val="18"/>
                <w:color w:val="0000EE"/>
                <w:w w:val="96"/>
              </w:rPr>
            </w:pPr>
            <w:hyperlink r:id="rId137">
              <w:r>
                <w:rPr>
                  <w:rFonts w:ascii="Arial" w:cs="Arial" w:eastAsia="Arial" w:hAnsi="Arial"/>
                  <w:sz w:val="18"/>
                  <w:szCs w:val="18"/>
                  <w:color w:val="0000EE"/>
                  <w:w w:val="96"/>
                </w:rPr>
                <w:t>2016 Omnibus Incentive Plan Form of Canada Option Grant Agreement (incorporated by reference to Exhibit 4.9 to the  Registration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Statement on Form S-8 filed with the SEC on May 18, 2017)</w:t>
              </w:r>
            </w:hyperlink>
          </w:p>
        </w:tc>
        <w:tc>
          <w:tcPr>
            <w:tcW w:w="58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040" w:type="dxa"/>
            <w:vAlign w:val="bottom"/>
            <w:gridSpan w:val="2"/>
          </w:tcPr>
          <w:p>
            <w:pPr>
              <w:spacing w:after="0"/>
              <w:rPr>
                <w:sz w:val="20"/>
                <w:szCs w:val="20"/>
                <w:color w:val="auto"/>
              </w:rPr>
            </w:pPr>
            <w:r>
              <w:rPr>
                <w:rFonts w:ascii="Arial" w:cs="Arial" w:eastAsia="Arial" w:hAnsi="Arial"/>
                <w:sz w:val="18"/>
                <w:szCs w:val="18"/>
                <w:color w:val="auto"/>
              </w:rPr>
              <w:t>10.20†</w:t>
            </w:r>
          </w:p>
        </w:tc>
        <w:tc>
          <w:tcPr>
            <w:tcW w:w="10200" w:type="dxa"/>
            <w:vAlign w:val="bottom"/>
            <w:gridSpan w:val="11"/>
          </w:tcPr>
          <w:p>
            <w:pPr>
              <w:spacing w:after="0"/>
              <w:rPr>
                <w:rFonts w:ascii="Arial" w:cs="Arial" w:eastAsia="Arial" w:hAnsi="Arial"/>
                <w:sz w:val="18"/>
                <w:szCs w:val="18"/>
                <w:u w:val="single" w:color="auto"/>
                <w:color w:val="0000EE"/>
                <w:w w:val="99"/>
              </w:rPr>
            </w:pPr>
            <w:hyperlink r:id="rId138">
              <w:r>
                <w:rPr>
                  <w:rFonts w:ascii="Arial" w:cs="Arial" w:eastAsia="Arial" w:hAnsi="Arial"/>
                  <w:sz w:val="18"/>
                  <w:szCs w:val="18"/>
                  <w:u w:val="single" w:color="auto"/>
                  <w:color w:val="0000EE"/>
                  <w:w w:val="99"/>
                </w:rPr>
                <w:t>2018 Omnibus Incentive Plan, as amended (incorporated by reference to Exhibit 10.2 to the Form 10-Q filed November 8, 2018)</w:t>
              </w:r>
            </w:hyperlink>
          </w:p>
        </w:tc>
        <w:tc>
          <w:tcPr>
            <w:tcW w:w="0" w:type="dxa"/>
            <w:vAlign w:val="bottom"/>
          </w:tcPr>
          <w:p>
            <w:pPr>
              <w:spacing w:after="0"/>
              <w:rPr>
                <w:sz w:val="1"/>
                <w:szCs w:val="1"/>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10.20.1†</w:t>
            </w:r>
          </w:p>
        </w:tc>
        <w:tc>
          <w:tcPr>
            <w:tcW w:w="10200" w:type="dxa"/>
            <w:vAlign w:val="bottom"/>
            <w:gridSpan w:val="11"/>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2018 Omnibus Incentive Plan Form of Option Grant Agreement (incorporated by reference to Exhibit 10.3 to the Form 10-Q filed November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39">
              <w:r>
                <w:rPr>
                  <w:rFonts w:ascii="Arial" w:cs="Arial" w:eastAsia="Arial" w:hAnsi="Arial"/>
                  <w:sz w:val="18"/>
                  <w:szCs w:val="18"/>
                  <w:color w:val="0000EE"/>
                  <w:w w:val="87"/>
                </w:rPr>
                <w:t>8, 2018)</w:t>
              </w:r>
            </w:hyperlink>
          </w:p>
        </w:tc>
        <w:tc>
          <w:tcPr>
            <w:tcW w:w="1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57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10.20.2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1"/>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2018 Omnibus Incentive Plan Form of Restricted Stock Unit Grant Agreement (incorporated by reference to Exhibit 10.4 to the Form 10-Q</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filed November 8,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10.20.3*</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1"/>
          </w:tcPr>
          <w:p>
            <w:pPr>
              <w:spacing w:after="0"/>
              <w:rPr>
                <w:rFonts w:ascii="Arial" w:cs="Arial" w:eastAsia="Arial" w:hAnsi="Arial"/>
                <w:sz w:val="18"/>
                <w:szCs w:val="18"/>
                <w:color w:val="0000EE"/>
                <w:w w:val="94"/>
              </w:rPr>
            </w:pPr>
            <w:hyperlink r:id="rId141">
              <w:r>
                <w:rPr>
                  <w:rFonts w:ascii="Arial" w:cs="Arial" w:eastAsia="Arial" w:hAnsi="Arial"/>
                  <w:sz w:val="18"/>
                  <w:szCs w:val="18"/>
                  <w:color w:val="0000EE"/>
                  <w:w w:val="94"/>
                </w:rPr>
                <w:t>2018 Omnibus Incentive Plan Form of Option Grant Agreement – 2020 Retention Grant (incorporated by reference to Exhibit 10.1 to the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Form 8-K filed on October 7, 2020)</w:t>
              </w:r>
            </w:hyperlink>
          </w:p>
        </w:tc>
        <w:tc>
          <w:tcPr>
            <w:tcW w:w="76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Form of Securities Purchase Agreement (incorporated by reference to Exhibit 10.1 to the Form 8-K filed on March 18, 2020)</w:t>
              </w:r>
            </w:hyperlink>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1"/>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Form of Securities Purchase Agreement dated October 21, 2020 (incorporated by reference to Exhibit 10.1 to the Form 8-K filed on October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43">
              <w:r>
                <w:rPr>
                  <w:rFonts w:ascii="Arial" w:cs="Arial" w:eastAsia="Arial" w:hAnsi="Arial"/>
                  <w:sz w:val="18"/>
                  <w:szCs w:val="18"/>
                  <w:color w:val="0000EE"/>
                  <w:w w:val="89"/>
                </w:rPr>
                <w:t>26, 2020)</w:t>
              </w:r>
            </w:hyperlink>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1"/>
          </w:tcPr>
          <w:p>
            <w:pPr>
              <w:spacing w:after="0"/>
              <w:rPr>
                <w:rFonts w:ascii="Arial" w:cs="Arial" w:eastAsia="Arial" w:hAnsi="Arial"/>
                <w:sz w:val="18"/>
                <w:szCs w:val="18"/>
                <w:color w:val="0000EE"/>
                <w:w w:val="94"/>
              </w:rPr>
            </w:pPr>
            <w:hyperlink r:id="rId144">
              <w:r>
                <w:rPr>
                  <w:rFonts w:ascii="Arial" w:cs="Arial" w:eastAsia="Arial" w:hAnsi="Arial"/>
                  <w:sz w:val="18"/>
                  <w:szCs w:val="18"/>
                  <w:color w:val="0000EE"/>
                  <w:w w:val="94"/>
                </w:rPr>
                <w:t>Non-Employee Director Compensation Policy, effective as of June 10, 2020 (incorporated by reference to Exhibit 10.5 to the Form 10-Q</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filed on November 12, 2020)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Form of Indemnification Agreement</w:t>
              </w:r>
            </w:hyperlink>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Subsidiaries of Helius Medical Technologies, Inc.</w:t>
              </w:r>
            </w:hyperlink>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Consent of BDO USA, LLP</w:t>
              </w:r>
            </w:hyperlink>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Certification of Interim Chief Executive Officer pursuant to Rule 13a-14(a) and Rule 15d-14(a) as adopted pursuant to Section 302 of the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Sarbanes – 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142">
              <w:r>
                <w:rPr>
                  <w:rFonts w:ascii="Arial" w:cs="Arial" w:eastAsia="Arial" w:hAnsi="Arial"/>
                  <w:sz w:val="18"/>
                  <w:szCs w:val="18"/>
                  <w:color w:val="0000EE"/>
                  <w:w w:val="91"/>
                </w:rPr>
                <w:t>Certification of Chief Financial Officer pursuant to Rule 13a-14(a) and Rule 15d-14(a) as adopted pursuant to Section 302 of the Sarbanes –</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42">
              <w:r>
                <w:rPr>
                  <w:rFonts w:ascii="Arial" w:cs="Arial" w:eastAsia="Arial" w:hAnsi="Arial"/>
                  <w:sz w:val="18"/>
                  <w:szCs w:val="18"/>
                  <w:color w:val="0000EE"/>
                  <w:w w:val="94"/>
                </w:rPr>
                <w:t>Oxley Act of 2002</w:t>
              </w:r>
            </w:hyperlink>
          </w:p>
        </w:tc>
        <w:tc>
          <w:tcPr>
            <w:tcW w:w="88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143">
              <w:r>
                <w:rPr>
                  <w:rFonts w:ascii="Arial" w:cs="Arial" w:eastAsia="Arial" w:hAnsi="Arial"/>
                  <w:sz w:val="18"/>
                  <w:szCs w:val="18"/>
                  <w:color w:val="0000EE"/>
                  <w:w w:val="95"/>
                </w:rPr>
                <w:t>Certification of Interim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Section 906 of the Sarbanes – Oxley Act of 2002</w:t>
              </w:r>
            </w:hyperlink>
          </w:p>
        </w:tc>
        <w:tc>
          <w:tcPr>
            <w:tcW w:w="0" w:type="dxa"/>
            <w:vAlign w:val="bottom"/>
          </w:tcPr>
          <w:p>
            <w:pPr>
              <w:spacing w:after="0"/>
              <w:rPr>
                <w:sz w:val="1"/>
                <w:szCs w:val="1"/>
                <w:color w:val="auto"/>
              </w:rPr>
            </w:pPr>
          </w:p>
        </w:tc>
      </w:tr>
      <w:tr>
        <w:trPr>
          <w:trHeight w:val="358"/>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54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XBRL Instance Document</w:t>
            </w:r>
          </w:p>
        </w:tc>
        <w:tc>
          <w:tcPr>
            <w:tcW w:w="66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7"/>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sz w:val="20"/>
          <w:szCs w:val="20"/>
          <w:color w:val="auto"/>
        </w:rPr>
      </w:pPr>
    </w:p>
    <w:p>
      <w:pPr>
        <w:ind w:left="500" w:hanging="492"/>
        <w:spacing w:after="0" w:line="260"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Confidential information has been omitted and filed separately with the Securities and Exchange Commission. Confidential treatment has been granted with respect to this omitted information.</w:t>
      </w:r>
    </w:p>
    <w:p>
      <w:pPr>
        <w:spacing w:after="0" w:line="33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9100" w:type="dxa"/>
            <w:vAlign w:val="bottom"/>
          </w:tcPr>
          <w:p>
            <w:pPr>
              <w:ind w:left="4020"/>
              <w:spacing w:after="0"/>
              <w:rPr>
                <w:sz w:val="20"/>
                <w:szCs w:val="20"/>
                <w:color w:val="auto"/>
              </w:rPr>
            </w:pPr>
            <w:r>
              <w:rPr>
                <w:rFonts w:ascii="Arial" w:cs="Arial" w:eastAsia="Arial" w:hAnsi="Arial"/>
                <w:sz w:val="18"/>
                <w:szCs w:val="18"/>
                <w:b w:val="1"/>
                <w:bCs w:val="1"/>
                <w:color w:val="auto"/>
              </w:rPr>
              <w:t>INDEX TO FINANCIAL STATEMENTS</w:t>
            </w:r>
          </w:p>
        </w:tc>
        <w:tc>
          <w:tcPr>
            <w:tcW w:w="2140" w:type="dxa"/>
            <w:vAlign w:val="bottom"/>
          </w:tcPr>
          <w:p>
            <w:pPr>
              <w:spacing w:after="0"/>
              <w:rPr>
                <w:sz w:val="20"/>
                <w:szCs w:val="20"/>
                <w:color w:val="auto"/>
              </w:rPr>
            </w:pPr>
          </w:p>
        </w:tc>
      </w:tr>
      <w:tr>
        <w:trPr>
          <w:trHeight w:val="418"/>
        </w:trPr>
        <w:tc>
          <w:tcPr>
            <w:tcW w:w="910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REPORT OF INDEPENDENT REGISTERED PUBLIC ACCOUNTING FIRM</w:t>
              </w:r>
            </w:hyperlink>
          </w:p>
        </w:tc>
        <w:tc>
          <w:tcPr>
            <w:tcW w:w="2140" w:type="dxa"/>
            <w:vAlign w:val="bottom"/>
          </w:tcPr>
          <w:p>
            <w:pPr>
              <w:ind w:left="1900"/>
              <w:spacing w:after="0"/>
              <w:rPr>
                <w:sz w:val="20"/>
                <w:szCs w:val="20"/>
                <w:color w:val="auto"/>
              </w:rPr>
            </w:pPr>
            <w:r>
              <w:rPr>
                <w:rFonts w:ascii="Arial" w:cs="Arial" w:eastAsia="Arial" w:hAnsi="Arial"/>
                <w:sz w:val="18"/>
                <w:szCs w:val="18"/>
                <w:color w:val="auto"/>
                <w:w w:val="81"/>
              </w:rPr>
              <w:t>F-1</w:t>
            </w:r>
          </w:p>
        </w:tc>
      </w:tr>
      <w:tr>
        <w:trPr>
          <w:trHeight w:val="216"/>
        </w:trPr>
        <w:tc>
          <w:tcPr>
            <w:tcW w:w="910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CONSOLIDATED BALANCE SHEETS</w:t>
              </w:r>
            </w:hyperlink>
          </w:p>
        </w:tc>
        <w:tc>
          <w:tcPr>
            <w:tcW w:w="2140" w:type="dxa"/>
            <w:vAlign w:val="bottom"/>
          </w:tcPr>
          <w:p>
            <w:pPr>
              <w:ind w:left="1900"/>
              <w:spacing w:after="0"/>
              <w:rPr>
                <w:sz w:val="20"/>
                <w:szCs w:val="20"/>
                <w:color w:val="auto"/>
              </w:rPr>
            </w:pPr>
            <w:r>
              <w:rPr>
                <w:rFonts w:ascii="Arial" w:cs="Arial" w:eastAsia="Arial" w:hAnsi="Arial"/>
                <w:sz w:val="18"/>
                <w:szCs w:val="18"/>
                <w:color w:val="auto"/>
                <w:w w:val="81"/>
              </w:rPr>
              <w:t>F-3</w:t>
            </w:r>
          </w:p>
        </w:tc>
      </w:tr>
      <w:tr>
        <w:trPr>
          <w:trHeight w:val="216"/>
        </w:trPr>
        <w:tc>
          <w:tcPr>
            <w:tcW w:w="910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CONSOLIDATED STATEMENTS OF OPERATIONS AND COMPREHENSIVE LOSS</w:t>
              </w:r>
            </w:hyperlink>
          </w:p>
        </w:tc>
        <w:tc>
          <w:tcPr>
            <w:tcW w:w="2140" w:type="dxa"/>
            <w:vAlign w:val="bottom"/>
          </w:tcPr>
          <w:p>
            <w:pPr>
              <w:ind w:left="1900"/>
              <w:spacing w:after="0"/>
              <w:rPr>
                <w:sz w:val="20"/>
                <w:szCs w:val="20"/>
                <w:color w:val="auto"/>
              </w:rPr>
            </w:pPr>
            <w:r>
              <w:rPr>
                <w:rFonts w:ascii="Arial" w:cs="Arial" w:eastAsia="Arial" w:hAnsi="Arial"/>
                <w:sz w:val="18"/>
                <w:szCs w:val="18"/>
                <w:color w:val="auto"/>
                <w:w w:val="81"/>
              </w:rPr>
              <w:t>F-4</w:t>
            </w:r>
          </w:p>
        </w:tc>
      </w:tr>
      <w:tr>
        <w:trPr>
          <w:trHeight w:val="216"/>
        </w:trPr>
        <w:tc>
          <w:tcPr>
            <w:tcW w:w="910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CONSOLIDATED STATEMENTS OF STOCKHOLDERS’ EQUITY</w:t>
              </w:r>
            </w:hyperlink>
          </w:p>
        </w:tc>
        <w:tc>
          <w:tcPr>
            <w:tcW w:w="2140" w:type="dxa"/>
            <w:vAlign w:val="bottom"/>
          </w:tcPr>
          <w:p>
            <w:pPr>
              <w:ind w:left="1900"/>
              <w:spacing w:after="0"/>
              <w:rPr>
                <w:sz w:val="20"/>
                <w:szCs w:val="20"/>
                <w:color w:val="auto"/>
              </w:rPr>
            </w:pPr>
            <w:r>
              <w:rPr>
                <w:rFonts w:ascii="Arial" w:cs="Arial" w:eastAsia="Arial" w:hAnsi="Arial"/>
                <w:sz w:val="18"/>
                <w:szCs w:val="18"/>
                <w:color w:val="auto"/>
                <w:w w:val="81"/>
              </w:rPr>
              <w:t>F-5</w:t>
            </w:r>
          </w:p>
        </w:tc>
      </w:tr>
      <w:tr>
        <w:trPr>
          <w:trHeight w:val="216"/>
        </w:trPr>
        <w:tc>
          <w:tcPr>
            <w:tcW w:w="910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STATEMENTS OF CASH FLOWS</w:t>
              </w:r>
            </w:hyperlink>
          </w:p>
        </w:tc>
        <w:tc>
          <w:tcPr>
            <w:tcW w:w="2140" w:type="dxa"/>
            <w:vAlign w:val="bottom"/>
          </w:tcPr>
          <w:p>
            <w:pPr>
              <w:ind w:left="1900"/>
              <w:spacing w:after="0"/>
              <w:rPr>
                <w:sz w:val="20"/>
                <w:szCs w:val="20"/>
                <w:color w:val="auto"/>
              </w:rPr>
            </w:pPr>
            <w:r>
              <w:rPr>
                <w:rFonts w:ascii="Arial" w:cs="Arial" w:eastAsia="Arial" w:hAnsi="Arial"/>
                <w:sz w:val="18"/>
                <w:szCs w:val="18"/>
                <w:color w:val="auto"/>
                <w:w w:val="81"/>
              </w:rPr>
              <w:t>F-6</w:t>
            </w:r>
          </w:p>
        </w:tc>
      </w:tr>
      <w:tr>
        <w:trPr>
          <w:trHeight w:val="230"/>
        </w:trPr>
        <w:tc>
          <w:tcPr>
            <w:tcW w:w="910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NOTES TO THE CONSOLIDATED FINANCIAL STATEMENTS</w:t>
              </w:r>
            </w:hyperlink>
          </w:p>
        </w:tc>
        <w:tc>
          <w:tcPr>
            <w:tcW w:w="2140" w:type="dxa"/>
            <w:vAlign w:val="bottom"/>
          </w:tcPr>
          <w:p>
            <w:pPr>
              <w:ind w:left="1900"/>
              <w:spacing w:after="0"/>
              <w:rPr>
                <w:sz w:val="20"/>
                <w:szCs w:val="20"/>
                <w:color w:val="auto"/>
              </w:rPr>
            </w:pPr>
            <w:r>
              <w:rPr>
                <w:rFonts w:ascii="Arial" w:cs="Arial" w:eastAsia="Arial" w:hAnsi="Arial"/>
                <w:sz w:val="18"/>
                <w:szCs w:val="18"/>
                <w:color w:val="auto"/>
                <w:w w:val="81"/>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Helius Medical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Newtown, Pennsylvania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Helius Medical Technologies, Inc. (the “Company”) as of December 31, 2020 and 2019,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accounting principles generally accepted in the United States of America.</w:t>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incurred substantial net losses since its inception, has an accumulated deficit of $118.9 million as of December 31, 2020 and the Company expects to incur further net losses in the development of its business. These conditions raise substantial doubt about its ability to continue as a going concern. Management’s plans concerning these matters are also described in Note 1. The consolidated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Warrants Issued as part of Equity Offerings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in Note 3 to the consolidated financial statements, the Company entered into a registered direct offering and a private placement during 2020 that included the issuance of common stock and warrants to purchase common stock. The warrants were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0" w:name="page81"/>
    <w:bookmarkEnd w:id="80"/>
    <w:p>
      <w:pPr>
        <w:jc w:val="both"/>
        <w:spacing w:after="0" w:line="277" w:lineRule="auto"/>
        <w:rPr>
          <w:sz w:val="20"/>
          <w:szCs w:val="20"/>
          <w:color w:val="auto"/>
        </w:rPr>
      </w:pPr>
      <w:r>
        <w:rPr>
          <w:rFonts w:ascii="Arial" w:cs="Arial" w:eastAsia="Arial" w:hAnsi="Arial"/>
          <w:sz w:val="18"/>
          <w:szCs w:val="18"/>
          <w:color w:val="auto"/>
        </w:rPr>
        <w:t>evaluated for proper classification on the balance sheet and it was determined that the warrants issued in these equity offerings should be classified within stockholders’ equity.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identified the accounting for warrants issued as part of these equity offerings as a critical audit matter. Our principal considerations included the existence of subjective judgments related to certain provisions of the warrant agreements in connection with the determination of the classification of the warrants, including provisions related to market volatility and partial cash settlement under certain circumstances. Auditing these elements required especially challenging auditor judgment and significant audit effort, including the need for specialized knowledge and skill in assessing these elements of the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ind w:left="740" w:hanging="368"/>
        <w:spacing w:after="0" w:line="232" w:lineRule="auto"/>
        <w:tabs>
          <w:tab w:leader="none" w:pos="740" w:val="left"/>
        </w:tabs>
        <w:numPr>
          <w:ilvl w:val="0"/>
          <w:numId w:val="37"/>
        </w:numPr>
        <w:rPr>
          <w:rFonts w:ascii="Arial" w:cs="Arial" w:eastAsia="Arial" w:hAnsi="Arial"/>
          <w:sz w:val="22"/>
          <w:szCs w:val="22"/>
          <w:color w:val="auto"/>
        </w:rPr>
      </w:pPr>
      <w:r>
        <w:rPr>
          <w:rFonts w:ascii="Arial" w:cs="Arial" w:eastAsia="Arial" w:hAnsi="Arial"/>
          <w:sz w:val="18"/>
          <w:szCs w:val="18"/>
          <w:color w:val="auto"/>
        </w:rPr>
        <w:t>Reading the agreements related to the warrants issued along with management’s technical accounting memos to understand the facts and circumstances within the warrant agreements.</w:t>
      </w:r>
    </w:p>
    <w:p>
      <w:pPr>
        <w:spacing w:after="0" w:line="203" w:lineRule="exact"/>
        <w:rPr>
          <w:rFonts w:ascii="Arial" w:cs="Arial" w:eastAsia="Arial" w:hAnsi="Arial"/>
          <w:sz w:val="22"/>
          <w:szCs w:val="22"/>
          <w:color w:val="auto"/>
        </w:rPr>
      </w:pPr>
    </w:p>
    <w:p>
      <w:pPr>
        <w:jc w:val="both"/>
        <w:ind w:left="740" w:hanging="368"/>
        <w:spacing w:after="0" w:line="238" w:lineRule="auto"/>
        <w:tabs>
          <w:tab w:leader="none" w:pos="740" w:val="left"/>
        </w:tabs>
        <w:numPr>
          <w:ilvl w:val="0"/>
          <w:numId w:val="37"/>
        </w:numPr>
        <w:rPr>
          <w:rFonts w:ascii="Arial" w:cs="Arial" w:eastAsia="Arial" w:hAnsi="Arial"/>
          <w:sz w:val="22"/>
          <w:szCs w:val="22"/>
          <w:color w:val="auto"/>
        </w:rPr>
      </w:pPr>
      <w:r>
        <w:rPr>
          <w:rFonts w:ascii="Arial" w:cs="Arial" w:eastAsia="Arial" w:hAnsi="Arial"/>
          <w:sz w:val="18"/>
          <w:szCs w:val="18"/>
          <w:color w:val="auto"/>
        </w:rPr>
        <w:t>Utilizing personnel with specialized knowledge and skill in debt and equity accounting to evaluate the appropriateness of management’s interpretation on how to apply relevant accounting guidance for the classification of the warrants issued, including evaluating the terms associated with market volatility and partial cash settlement under certain circumstances.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9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900" w:type="dxa"/>
            <w:vAlign w:val="bottom"/>
            <w:shd w:val="clear" w:color="auto" w:fill="CFF0FC"/>
          </w:tcPr>
          <w:p>
            <w:pPr>
              <w:ind w:left="52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5,459</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Inventory,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FF0FC"/>
          </w:tcPr>
          <w:p>
            <w:pPr>
              <w:spacing w:after="0"/>
              <w:rPr>
                <w:sz w:val="19"/>
                <w:szCs w:val="19"/>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7,241</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 net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assets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10,347</w:t>
            </w:r>
          </w:p>
        </w:tc>
        <w:tc>
          <w:tcPr>
            <w:tcW w:w="120" w:type="dxa"/>
            <w:vAlign w:val="bottom"/>
            <w:tcBorders>
              <w:bottom w:val="single" w:sz="8" w:color="CFF0FC"/>
            </w:tcBorders>
          </w:tcPr>
          <w:p>
            <w:pPr>
              <w:spacing w:after="0"/>
              <w:rPr>
                <w:sz w:val="22"/>
                <w:szCs w:val="22"/>
                <w:color w:val="auto"/>
              </w:rPr>
            </w:pPr>
          </w:p>
        </w:tc>
      </w:tr>
      <w:tr>
        <w:trPr>
          <w:trHeight w:val="210"/>
        </w:trPr>
        <w:tc>
          <w:tcPr>
            <w:tcW w:w="7900" w:type="dxa"/>
            <w:vAlign w:val="bottom"/>
            <w:shd w:val="clear" w:color="auto" w:fill="CFF0FC"/>
          </w:tcPr>
          <w:p>
            <w:pPr>
              <w:ind w:left="360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Derivative financial instruments</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FF0FC"/>
          </w:tcPr>
          <w:p>
            <w:pPr>
              <w:spacing w:after="0"/>
              <w:rPr>
                <w:sz w:val="19"/>
                <w:szCs w:val="19"/>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3,802</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4,512</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Preferred stock, $0.001 par value; 10,000,000 shares authorized, no shares issued and outstanding as of</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31, 2020 and December 31, 2019</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900" w:type="dxa"/>
            <w:vAlign w:val="bottom"/>
          </w:tcPr>
          <w:p>
            <w:pPr>
              <w:ind w:left="260"/>
              <w:spacing w:after="0"/>
              <w:rPr>
                <w:sz w:val="20"/>
                <w:szCs w:val="20"/>
                <w:color w:val="auto"/>
              </w:rPr>
            </w:pPr>
            <w:r>
              <w:rPr>
                <w:rFonts w:ascii="Arial" w:cs="Arial" w:eastAsia="Arial" w:hAnsi="Arial"/>
                <w:sz w:val="18"/>
                <w:szCs w:val="18"/>
                <w:color w:val="auto"/>
                <w:w w:val="97"/>
              </w:rPr>
              <w:t>Class A Common stock, $0.001 par value; 150,000,000 shares authorized; 1,484,362 and 877,672</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shares issued and outstanding as of December 31, 2020 and December 31, 2019, respectively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111,509</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(902)</w:t>
            </w: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(118,903)</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(104,773)</w:t>
            </w: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5,835</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6,547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10,347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9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Product sales, net</w:t>
            </w:r>
          </w:p>
        </w:tc>
        <w:tc>
          <w:tcPr>
            <w:tcW w:w="21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9"/>
                <w:szCs w:val="19"/>
                <w:color w:val="auto"/>
              </w:rPr>
            </w:pP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Fee revenue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License revenue</w:t>
            </w:r>
          </w:p>
        </w:tc>
        <w:tc>
          <w:tcPr>
            <w:tcW w:w="1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revenue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 sales</w:t>
            </w:r>
          </w:p>
        </w:tc>
        <w:tc>
          <w:tcPr>
            <w:tcW w:w="17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expense</w:t>
            </w:r>
          </w:p>
        </w:tc>
        <w:tc>
          <w:tcPr>
            <w:tcW w:w="1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ind w:left="820"/>
              <w:spacing w:after="0"/>
              <w:rPr>
                <w:sz w:val="20"/>
                <w:szCs w:val="20"/>
                <w:color w:val="auto"/>
              </w:rPr>
            </w:pPr>
            <w:r>
              <w:rPr>
                <w:rFonts w:ascii="Arial" w:cs="Arial" w:eastAsia="Arial" w:hAnsi="Arial"/>
                <w:sz w:val="18"/>
                <w:szCs w:val="18"/>
                <w:b w:val="1"/>
                <w:bCs w:val="1"/>
                <w:color w:val="auto"/>
              </w:rPr>
              <w:t>Total operating expenses</w:t>
            </w:r>
          </w:p>
        </w:tc>
        <w:tc>
          <w:tcPr>
            <w:tcW w:w="17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24,646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(14,386)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Other income</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exchange gain</w:t>
            </w:r>
          </w:p>
        </w:tc>
        <w:tc>
          <w:tcPr>
            <w:tcW w:w="1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other income</w:t>
            </w:r>
          </w:p>
        </w:tc>
        <w:tc>
          <w:tcPr>
            <w:tcW w:w="17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1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loss:</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(14,327)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w:t>
            </w: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1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(11.80)</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(12.99)</w:t>
            </w: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7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FF0FC"/>
            </w:tcBorders>
            <w:vMerge w:val="continue"/>
          </w:tcPr>
          <w:p>
            <w:pPr>
              <w:spacing w:after="0"/>
              <w:rPr>
                <w:sz w:val="21"/>
                <w:szCs w:val="21"/>
                <w:color w:val="auto"/>
              </w:rPr>
            </w:pPr>
          </w:p>
        </w:tc>
        <w:tc>
          <w:tcPr>
            <w:tcW w:w="174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(11.80)</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74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1,197,774</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752,932</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7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1,197,774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752,932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3"/>
              </w:rPr>
              <w:t>Accumulated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7"/>
            <w:vMerge w:val="restart"/>
          </w:tcPr>
          <w:p>
            <w:pPr>
              <w:jc w:val="center"/>
              <w:spacing w:after="0"/>
              <w:rPr>
                <w:sz w:val="20"/>
                <w:szCs w:val="20"/>
                <w:color w:val="auto"/>
              </w:rPr>
            </w:pPr>
            <w:r>
              <w:rPr>
                <w:rFonts w:ascii="Arial" w:cs="Arial" w:eastAsia="Arial" w:hAnsi="Arial"/>
                <w:sz w:val="13"/>
                <w:szCs w:val="13"/>
                <w:b w:val="1"/>
                <w:bCs w:val="1"/>
                <w:color w:val="auto"/>
                <w:w w:val="93"/>
              </w:rPr>
              <w:t>Common Stock, $0.001 par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4"/>
              </w:rPr>
              <w:t>Additional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rPr>
              <w:t>Other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60" w:type="dxa"/>
            <w:vAlign w:val="bottom"/>
            <w:gridSpan w:val="7"/>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gridSpan w:val="6"/>
          </w:tcPr>
          <w:p>
            <w:pPr>
              <w:jc w:val="center"/>
              <w:ind w:left="595"/>
              <w:spacing w:after="0"/>
              <w:rPr>
                <w:sz w:val="20"/>
                <w:szCs w:val="20"/>
                <w:color w:val="auto"/>
              </w:rPr>
            </w:pPr>
            <w:r>
              <w:rPr>
                <w:rFonts w:ascii="Arial" w:cs="Arial" w:eastAsia="Arial" w:hAnsi="Arial"/>
                <w:sz w:val="13"/>
                <w:szCs w:val="13"/>
                <w:b w:val="1"/>
                <w:bCs w:val="1"/>
                <w:color w:val="auto"/>
                <w:w w:val="96"/>
              </w:rPr>
              <w:t>value</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101"/>
              <w:spacing w:after="0"/>
              <w:rPr>
                <w:sz w:val="20"/>
                <w:szCs w:val="20"/>
                <w:color w:val="auto"/>
              </w:rPr>
            </w:pPr>
            <w:r>
              <w:rPr>
                <w:rFonts w:ascii="Arial" w:cs="Arial" w:eastAsia="Arial" w:hAnsi="Arial"/>
                <w:sz w:val="13"/>
                <w:szCs w:val="13"/>
                <w:b w:val="1"/>
                <w:bCs w:val="1"/>
                <w:color w:val="auto"/>
                <w:w w:val="93"/>
              </w:rPr>
              <w:t>Accumulated</w:t>
            </w:r>
          </w:p>
        </w:tc>
        <w:tc>
          <w:tcPr>
            <w:tcW w:w="60" w:type="dxa"/>
            <w:vAlign w:val="bottom"/>
          </w:tcPr>
          <w:p>
            <w:pPr>
              <w:spacing w:after="0"/>
              <w:rPr>
                <w:sz w:val="14"/>
                <w:szCs w:val="14"/>
                <w:color w:val="auto"/>
              </w:rPr>
            </w:pPr>
          </w:p>
        </w:tc>
        <w:tc>
          <w:tcPr>
            <w:tcW w:w="1120" w:type="dxa"/>
            <w:vAlign w:val="bottom"/>
            <w:gridSpan w:val="5"/>
          </w:tcPr>
          <w:p>
            <w:pPr>
              <w:ind w:left="20"/>
              <w:spacing w:after="0"/>
              <w:rPr>
                <w:sz w:val="20"/>
                <w:szCs w:val="20"/>
                <w:color w:val="auto"/>
              </w:rPr>
            </w:pPr>
            <w:r>
              <w:rPr>
                <w:rFonts w:ascii="Arial" w:cs="Arial" w:eastAsia="Arial" w:hAnsi="Arial"/>
                <w:sz w:val="13"/>
                <w:szCs w:val="13"/>
                <w:b w:val="1"/>
                <w:bCs w:val="1"/>
                <w:color w:val="auto"/>
              </w:rPr>
              <w:t>Comprehensive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92"/>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center"/>
              <w:ind w:right="81"/>
              <w:spacing w:after="0"/>
              <w:rPr>
                <w:sz w:val="20"/>
                <w:szCs w:val="20"/>
                <w:color w:val="auto"/>
              </w:rPr>
            </w:pPr>
            <w:r>
              <w:rPr>
                <w:rFonts w:ascii="Arial" w:cs="Arial" w:eastAsia="Arial" w:hAnsi="Arial"/>
                <w:sz w:val="13"/>
                <w:szCs w:val="13"/>
                <w:b w:val="1"/>
                <w:bCs w:val="1"/>
                <w:color w:val="auto"/>
                <w:w w:val="95"/>
              </w:rPr>
              <w:t>Deficit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2"/>
              </w:rPr>
              <w:t>Loss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737,938</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105,436</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  (94,992)</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(591)</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w w:val="93"/>
              </w:rPr>
              <w:t>Proceeds from the issuance of common stock from November 2019</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Offering</w:t>
            </w:r>
          </w:p>
        </w:tc>
        <w:tc>
          <w:tcPr>
            <w:tcW w:w="820" w:type="dxa"/>
            <w:vAlign w:val="bottom"/>
          </w:tcPr>
          <w:p>
            <w:pPr>
              <w:jc w:val="right"/>
              <w:spacing w:after="0"/>
              <w:rPr>
                <w:sz w:val="20"/>
                <w:szCs w:val="20"/>
                <w:color w:val="auto"/>
              </w:rPr>
            </w:pPr>
            <w:r>
              <w:rPr>
                <w:rFonts w:ascii="Arial" w:cs="Arial" w:eastAsia="Arial" w:hAnsi="Arial"/>
                <w:sz w:val="18"/>
                <w:szCs w:val="18"/>
                <w:color w:val="auto"/>
              </w:rPr>
              <w:t>137,571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issuance costs - November 2019 Offering</w:t>
            </w: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(553)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Proceeds from exercise of stock options and warrants</w:t>
            </w:r>
          </w:p>
        </w:tc>
        <w:tc>
          <w:tcPr>
            <w:tcW w:w="820" w:type="dxa"/>
            <w:vAlign w:val="bottom"/>
          </w:tcPr>
          <w:p>
            <w:pPr>
              <w:jc w:val="right"/>
              <w:spacing w:after="0"/>
              <w:rPr>
                <w:sz w:val="20"/>
                <w:szCs w:val="20"/>
                <w:color w:val="auto"/>
              </w:rPr>
            </w:pPr>
            <w:r>
              <w:rPr>
                <w:rFonts w:ascii="Arial" w:cs="Arial" w:eastAsia="Arial" w:hAnsi="Arial"/>
                <w:sz w:val="18"/>
                <w:szCs w:val="18"/>
                <w:color w:val="auto"/>
              </w:rPr>
              <w:t>2,136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 of vested restricted stock units, net of taxes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w w:val="94"/>
              </w:rPr>
              <w:t>Reclassification of derivative financial instruments from exercise of</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FF0FC"/>
          </w:tcPr>
          <w:p>
            <w:pPr>
              <w:jc w:val="right"/>
              <w:ind w:right="1"/>
              <w:spacing w:after="0"/>
              <w:rPr>
                <w:sz w:val="20"/>
                <w:szCs w:val="20"/>
                <w:color w:val="auto"/>
              </w:rPr>
            </w:pPr>
            <w:r>
              <w:rPr>
                <w:rFonts w:ascii="Arial" w:cs="Arial" w:eastAsia="Arial" w:hAnsi="Arial"/>
                <w:sz w:val="18"/>
                <w:szCs w:val="18"/>
                <w:color w:val="auto"/>
              </w:rPr>
              <w:t>(9,781)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877,672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111,509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 (104,773</w:t>
            </w:r>
          </w:p>
        </w:tc>
        <w:tc>
          <w:tcPr>
            <w:tcW w:w="14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7"/>
            <w:vMerge w:val="restart"/>
          </w:tcPr>
          <w:p>
            <w:pPr>
              <w:jc w:val="center"/>
              <w:spacing w:after="0"/>
              <w:rPr>
                <w:sz w:val="20"/>
                <w:szCs w:val="20"/>
                <w:color w:val="auto"/>
              </w:rPr>
            </w:pPr>
            <w:r>
              <w:rPr>
                <w:rFonts w:ascii="Arial" w:cs="Arial" w:eastAsia="Arial" w:hAnsi="Arial"/>
                <w:sz w:val="13"/>
                <w:szCs w:val="13"/>
                <w:b w:val="1"/>
                <w:bCs w:val="1"/>
                <w:color w:val="auto"/>
                <w:w w:val="93"/>
              </w:rPr>
              <w:t>Common Stock, $0.001 par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60" w:type="dxa"/>
            <w:vAlign w:val="bottom"/>
            <w:gridSpan w:val="7"/>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jc w:val="center"/>
              <w:ind w:left="595"/>
              <w:spacing w:after="0"/>
              <w:rPr>
                <w:sz w:val="20"/>
                <w:szCs w:val="20"/>
                <w:color w:val="auto"/>
              </w:rPr>
            </w:pPr>
            <w:r>
              <w:rPr>
                <w:rFonts w:ascii="Arial" w:cs="Arial" w:eastAsia="Arial" w:hAnsi="Arial"/>
                <w:sz w:val="13"/>
                <w:szCs w:val="13"/>
                <w:b w:val="1"/>
                <w:bCs w:val="1"/>
                <w:color w:val="auto"/>
                <w:w w:val="96"/>
              </w:rPr>
              <w:t>value</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61"/>
              <w:spacing w:after="0"/>
              <w:rPr>
                <w:sz w:val="20"/>
                <w:szCs w:val="20"/>
                <w:color w:val="auto"/>
              </w:rPr>
            </w:pPr>
            <w:r>
              <w:rPr>
                <w:rFonts w:ascii="Arial" w:cs="Arial" w:eastAsia="Arial" w:hAnsi="Arial"/>
                <w:sz w:val="13"/>
                <w:szCs w:val="13"/>
                <w:b w:val="1"/>
                <w:bCs w:val="1"/>
                <w:color w:val="auto"/>
                <w:w w:val="93"/>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2"/>
              </w:rPr>
              <w:t>Comprehensive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center"/>
              <w:ind w:right="61"/>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5"/>
              </w:rPr>
              <w:t>Loss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877,672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111,509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(104,773)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(902)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w w:val="96"/>
              </w:rPr>
              <w:t>Proceeds from the issuance of common stock from At-the-Market</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program</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232,526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5,043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Proceeds from issuance of common stock from the March 2020</w:t>
            </w: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Offering</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178,776</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1,348</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Warrant issuance from the March 2020 Offering</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6"/>
              </w:rPr>
              <w:t>Proceeds from issuance of common stock from the October 2020</w:t>
            </w: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 Placement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187,646</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2,791</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Warrant issuance from the October 2020 Private Placement</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(819)</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Settlement of restricted stock units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7,792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Reverse stock split rounddown</w:t>
            </w: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(14,130)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(14,130)</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99"/>
              </w:rPr>
              <w:t>1,484,362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123,872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 (118,903</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(1,099)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1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0"/>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(14,130)</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(14,113)</w:t>
            </w: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Unrealized foreign exchange (gain) loss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expense</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Amortization expense</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doubtful accounts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Provision for inventory reserve</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 impairment</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Loss from disposal of property and equipment</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lease modification</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 payable</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property and equipment</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Business acquisitions, net of cash acquired</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Internally developed software</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(769)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Proceeds from the issuances of common stock and warrants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Proceeds from the exercise of stock options and warrants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Paycheck Protection Program Loan</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Repayment of Paycheck Protection Program Loan</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9,638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Effect of foreign exchange rate changes on cash</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 cash</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(20,124)</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at beginning of year</w:t>
            </w:r>
          </w:p>
        </w:tc>
        <w:tc>
          <w:tcPr>
            <w:tcW w:w="1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at end of year</w:t>
            </w:r>
          </w:p>
        </w:tc>
        <w:tc>
          <w:tcPr>
            <w:tcW w:w="1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cash activities</w:t>
            </w:r>
          </w:p>
        </w:tc>
        <w:tc>
          <w:tcPr>
            <w:tcW w:w="1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158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Share issuance costs included in accounts payable and accrued liabilities</w:t>
            </w:r>
          </w:p>
        </w:tc>
        <w:tc>
          <w:tcPr>
            <w:tcW w:w="15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9"/>
                <w:szCs w:val="19"/>
                <w:color w:val="auto"/>
              </w:rPr>
            </w:pP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derivative instruments from warrant exercise</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Noncash items related to Heuro acquisition</w:t>
            </w: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Helius Medical Technologies, Inc. (the “Company”), is neurotech company focused on neurological wellness. The Company’s purpose is to develop, license or acquire unique and non-invasive technologies targeted at reducing symptoms of neurological disease or trauma.</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first product, known as the Portable Neuromodulation Stimulator (“PoNS</w:t>
      </w:r>
      <w:r>
        <w:rPr>
          <w:rFonts w:ascii="Arial" w:cs="Arial" w:eastAsia="Arial" w:hAnsi="Arial"/>
          <w:sz w:val="15"/>
          <w:szCs w:val="15"/>
          <w:color w:val="auto"/>
        </w:rPr>
        <w:t>TM</w:t>
      </w:r>
      <w:r>
        <w:rPr>
          <w:rFonts w:ascii="Arial" w:cs="Arial" w:eastAsia="Arial" w:hAnsi="Arial"/>
          <w:sz w:val="18"/>
          <w:szCs w:val="18"/>
          <w:color w:val="auto"/>
        </w:rPr>
        <w:t>”), is authorized for sale in Canada as a class II, non-implantable medical device intended for use as a short term treatment (14 weeks) of gait deficit due to symptoms from multiple sclerosis (“MS”,) and balance deficit due to mild-to-moderate traumatic brain injury (“mmTBI”) and is to be used in conjunction with supervised therapeutic exercise (“PoNS Treatment</w:t>
      </w:r>
      <w:r>
        <w:rPr>
          <w:rFonts w:ascii="Arial" w:cs="Arial" w:eastAsia="Arial" w:hAnsi="Arial"/>
          <w:sz w:val="15"/>
          <w:szCs w:val="15"/>
          <w:color w:val="auto"/>
        </w:rPr>
        <w:t>TM</w:t>
      </w:r>
      <w:r>
        <w:rPr>
          <w:rFonts w:ascii="Arial" w:cs="Arial" w:eastAsia="Arial" w:hAnsi="Arial"/>
          <w:sz w:val="18"/>
          <w:szCs w:val="18"/>
          <w:color w:val="auto"/>
        </w:rPr>
        <w:t>”). It is an investigational medical device in the United States, the European Union (“EU”), and Australia (“AUS”). The device is currently under review for de novo classification and clearance by the U.S. Food and Drug Administration (the “FDA”) as a potential treatment for gait deficit due to symptoms of MS. It is also under premarket review by the AUS Therapeutic Goods Administration. PoNS Treatment™ is not currently commercially available in the United States, the European Union or Australia.</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was incorporated in British Columbia, Canada, on March 13, 2014. On May 28, 2014, the Company completed a continuation via a plan of arrangement whereby the Company moved from being a corporation governed by the British Columbia Corporations Act to a corporation governed by the Wyoming Business Corporations Act. On July 20, 2018, the Company completed its reincorporation from Wyoming to the state of Delaware. The Company is headquartered in Newtown, Pennsylvania. On December 21, 2018, the Company’s wholly owned subsidiary, NeuroHabilitation Corporation, changed its name to Helius Medical, Inc (“HMI”). On January 31, 2019, the Company formed another wholly owned subsidiary, Helius NeuroRehab, Inc., (“HNR”), a Delaware corporation.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Company’s wholly owned subsidiaries are comprised of HMI, HMC, HCA and HNR.</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Class A common stock, par value $0.001 per share (“common stock”) is listed on the Nasdaq Capital Market (“Nasdaq”) and the Toronto Stock Exchange (the “TSX”). The common stock began trading on the Canadian Securities Exchange on June 23, 2014, under the ticker symbol “HSM” and the trading was subsequently transferred to the TSX on April 18, 2016. On April 11, 2018, the common stock began trading on Nasdaq under the ticker symbol “HSDT” after having traded on the OTCQB in the United States under the ticker symbol “HSDT” since February 10, 2015.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 xml:space="preserve">Effective after the close of business on December 31, 2020, the Company completed a 1-for-35 reverse stock split of its common stock. </w:t>
      </w:r>
      <w:r>
        <w:rPr>
          <w:rFonts w:ascii="Arial" w:cs="Arial" w:eastAsia="Arial" w:hAnsi="Arial"/>
          <w:sz w:val="18"/>
          <w:szCs w:val="18"/>
          <w:color w:val="000000"/>
        </w:rPr>
        <w:t>All share and per</w:t>
      </w:r>
      <w:r>
        <w:rPr>
          <w:rFonts w:ascii="Arial" w:cs="Arial" w:eastAsia="Arial" w:hAnsi="Arial"/>
          <w:sz w:val="18"/>
          <w:szCs w:val="18"/>
          <w:color w:val="231F20"/>
        </w:rPr>
        <w:t xml:space="preserve"> </w:t>
      </w:r>
      <w:r>
        <w:rPr>
          <w:rFonts w:ascii="Arial" w:cs="Arial" w:eastAsia="Arial" w:hAnsi="Arial"/>
          <w:sz w:val="18"/>
          <w:szCs w:val="18"/>
          <w:color w:val="000000"/>
        </w:rPr>
        <w:t>share amounts in this Annual Report have been reflected on a post-split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2020, the Company had cash of $3.3 million. For the year ended December 31, 2020, the Company incurred a net loss of $14.1 million and, as of December 31, 2020, its accumulated deficit was $118.9 million. For the year ended December 31, 2020, the Company had $0.7 million of revenue from the commercial sale of products or services. The Company expects to continue to incur operating losses and net cash outflows until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intends to fund ongoing activities by utilizing its current cash on hand, cash received from the sale of its PoNS device in Canada and by raising additional capital through equity or debt financings. As discussed further in Note 10, in January 2021, the Company received $1.3 million in net proceeds from the exercise of warrants issued in the March 2020 registered direct offering and on February 1, 2021, closed a public offering and received net proceeds of approximately $9.6 million. There can be no assurance that the Company will be successful in raising that additional capital or that such capital, if available, will be on terms that are acceptable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to the Company. If the Company is unable to raise sufficient additional capital, the Company may be compelled to reduce the scope of its operations and planned 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global pandemic, which continues to spread throughout the United States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numerous measures to try to contain COVID-19, such as travel bans and restrictions, quarantines, shelter in place orders, and business shutdowns. The COVID-19 pandemic initially led to the closure of PoNS Authorized clinic locations across Canada. While all clinics have re-opened, they are all currently operating at reduced capacity, and patients have been and may continue to be less willing to return to these clinics, impacting our commercial activities and our customer engagement efforts. Moreover, the Company’s ability to conduct its ongoing clinical experience programs in Canada has been and may continue to be impaired due to trial participants’ attendance being adversely affected by COVID-19, leading to further delays in the development and approval of the Company’s product candidate. In addition, the COVID-19 pandemic has and may continue to cause delays in the Company’s suppliers’ ability to ship materials that the Company relies upon, and disruptions in business or governmental operations due to COVID-19 may delay the timing for the submission and approval of the Company’s marketing applications with regulatory agencies. Further, the economic impact of the COVID-19 pandemic could affect the Company’s ability to access the public markets and obtain necessary capital in order to properly capitalize and continue its operations.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extent to which the COVID-19 pandemic will continue to impact the Company’s business, results of operations and financial condition will depend on future developments, which are highly uncertain and cannot be predicted. The Company does not know yet the full extent of the impact of COVID-19 on its future business, operations or the global economy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Delisting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23, 2020, the Company received notice from the Staff of Nasdaq that the bid price for the Company’s common stock had closed below $1.00 per share for the prior 30 consecutive business day period and that the Company had been granted a 180-day grace period, through September 21, 2020, to regain compliance with Nasdaq Listing Rule 5550(a)(2) (the “Minimum Bid Price Requirement”). Thereafter, on April 17, 2020, the Company received an additional notice from the Staff indicating that Nasdaq had temporarily stayed enforcement of the Minimum Bid Price Rule through June 30, 2020, and accordingly, the 180-day grace period applicable to the Company would not expire until December 3, 2020.</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4, 2020, the Company received notice from the Staff indicating that the Company was not eligible for an additional 180-day extension to meet the Minimum Bid Price Rule. As a result, the Staff determined that the Company’s securities would be subject to delisting unless the Company timely requested a hearing before the Panel. The Company timely submitted a request for a hearing before the Panel, which request stayed any suspension or delisting action by Nasdaq at least until the hearing process concluded and any extension granted by the Panel expired. On January 15, 2021, the Company received notice from the Staff that the bid price deficiency of the Company had been cured, and that the Company was in compliance with all applicable listing standards, and so the scheduled hearing before the Panel was cancelled.</w:t>
      </w:r>
    </w:p>
    <w:p>
      <w:pPr>
        <w:spacing w:after="0" w:line="174" w:lineRule="exact"/>
        <w:rPr>
          <w:sz w:val="20"/>
          <w:szCs w:val="20"/>
          <w:color w:val="auto"/>
        </w:rPr>
      </w:pPr>
    </w:p>
    <w:p>
      <w:pPr>
        <w:ind w:right="7340" w:firstLine="8"/>
        <w:spacing w:after="0" w:line="503" w:lineRule="auto"/>
        <w:tabs>
          <w:tab w:leader="none" w:pos="499"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The Company’s reporting currency is the U.S. Dollar (“USD$”).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the consolidated financial statements in accordance with U.S. GAAP requires management to make estimates and assumptions that affect the amounts reported in the consolidated financial statements and disclosure of contingent assets and liabilities. Significant estimates include the assumptions used in the valuation of the fair value-pricing model for stock-based compensation, derivative financial instruments and deferred income tax asset valuation allowance. Financial statements include estimates, which, by their nature, are uncertain. Actual results could differ from those estimates.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accompanying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w:t>
      </w:r>
      <w:r>
        <w:rPr>
          <w:rFonts w:ascii="Arial" w:cs="Arial" w:eastAsia="Arial" w:hAnsi="Arial"/>
          <w:sz w:val="18"/>
          <w:szCs w:val="18"/>
          <w:i w:val="1"/>
          <w:iCs w:val="1"/>
          <w:color w:val="auto"/>
        </w:rPr>
        <w:t>,</w:t>
      </w:r>
      <w:r>
        <w:rPr>
          <w:rFonts w:ascii="Arial" w:cs="Arial" w:eastAsia="Arial" w:hAnsi="Arial"/>
          <w:sz w:val="18"/>
          <w:szCs w:val="18"/>
          <w:color w:val="auto"/>
        </w:rPr>
        <w:t xml:space="preserve"> to determine when an entity that is insufficiently capitalized or not controlled through its voting interests, referred to as a variable interest entity should be consolidated. All intercompany balances and transactions have been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 instruments. The Company seeks to maintain safety and preservation of principal and diversification of risk, liquidity of investments sufficient to meet cash flow requirements and a competitive after-tax rate of return.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receivables are stated at their net realizable value. In determining the appropriate allowance for doubtful accounts, the Company considers a combination of factors, such as the aging of trade receivables, its customers’ financial strength, and payment history. Changes in these factors, among others, may lead to adjustments in the Company’s allowance for doubtful accounts. The calculation of the allowance requires judgment by Company management. As of December 31, 2020, the Company’s accounts receivable of $0.1 million, is net of an allowance for doubtful accounts of $0.4 million and is the result of revenue from product sales. As of December 31, 2019, the Company’s accounts receivable of $0.2 million, is net of an allowance for doubtful accounts of $0.2 million and is the result of revenue from product sales.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receivables included Goods and Services Tax (“GST”), Quebec Sales Tax (“QST”) refunds related to the Company’s Canadian expenditures of $0.1 million, and receivable from rent deposits of $18 thousand and refunds from research and development (“R&amp;D”) tax credits of $1 thousand as of December 31, 2020. Other receivables included refunds from R&amp;D tax credits of $0.2 million and GST and QST refunds related to the Company’s Canadian expenditures of $0.1 million as of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Inventory markdowns to net realizable value of $205 thousand were recorded during the year ended December 31, 2020. Inventory markdowns to net realizable value of $50 thousand were recorded during the year ended December 31,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inventory consisted of the following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14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Inventory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644</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Inventory reserve</w:t>
            </w: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Borders>
              <w:bottom w:val="single" w:sz="8" w:color="CFF0FC"/>
            </w:tcBorders>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3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inventory, net of reserve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both"/>
        <w:spacing w:after="0" w:line="286" w:lineRule="auto"/>
        <w:rPr>
          <w:sz w:val="20"/>
          <w:szCs w:val="20"/>
          <w:color w:val="auto"/>
        </w:rPr>
      </w:pPr>
      <w:r>
        <w:rPr>
          <w:rFonts w:ascii="Arial" w:cs="Arial" w:eastAsia="Arial" w:hAnsi="Arial"/>
          <w:sz w:val="17"/>
          <w:szCs w:val="17"/>
          <w:color w:val="auto"/>
        </w:rPr>
        <w:t>improve or extend the expected useful life of the assets, are expensed to operations while major repairs are capitalized. The estimated useful life of its leasehold improvements is over the shorter of its lease term or useful life of 5 years, the estimated useful life of furniture and fixtures is 7 years; equipment has an estimated useful life of 15 years and computer software and hardware has an estimated useful life of 3 to 5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summarizes the Company’s property and equipment as of December 31, 2020 and 2019 (amounts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w w:val="98"/>
              </w:rPr>
              <w:t>As of 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940" w:type="dxa"/>
            <w:vAlign w:val="bottom"/>
            <w:tcBorders>
              <w:bottom w:val="single" w:sz="8" w:color="CFF0FC"/>
            </w:tcBorders>
          </w:tcPr>
          <w:p>
            <w:pPr>
              <w:spacing w:after="0"/>
              <w:rPr>
                <w:sz w:val="13"/>
                <w:szCs w:val="13"/>
                <w:color w:val="auto"/>
              </w:rPr>
            </w:pPr>
          </w:p>
        </w:tc>
        <w:tc>
          <w:tcPr>
            <w:tcW w:w="25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w:t>
            </w:r>
          </w:p>
        </w:tc>
        <w:tc>
          <w:tcPr>
            <w:tcW w:w="2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25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FF0FC"/>
          </w:tcPr>
          <w:p>
            <w:pPr>
              <w:spacing w:after="0"/>
              <w:rPr>
                <w:sz w:val="19"/>
                <w:szCs w:val="19"/>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Computer hardware and software</w:t>
            </w:r>
          </w:p>
        </w:tc>
        <w:tc>
          <w:tcPr>
            <w:tcW w:w="25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5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5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5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$119 thousand and $127 thousand for the years ended December 31, 2020 and 2019, respectively.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2019, the Company wrote-off $17 thousand of fully depreciated software. During the second quarter of 2020, the Company sold furniture and fixtures with a net book value of $118 thousand for $61 thousand. Additionally, the Company abandoned leasehold improvements with a net book value of $53 thousand. The loss on the disposal of the furniture and fixtures and leasehold improvements of $110 thousand was recorded as selling, general and administrative expense in the consolidated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Transactions in which the Company obtains control of a business are accounted for according to the acquisition method as described in FASB ASC 805 – Business Combinations. The assets acquired and liabilities assumed are recognized and measured at their fair values as of the date control is obtained. Acquisition related costs in connection with a business combination are expensed as incurred. Contingent consideration is recognized and measured at fair value at the acquisition date and until paid re-measured on a recurring basis. It is classified as a liability based on appropriate GAAP.</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30, 2019, the Company and HTC entered into a Share Purchase Agreement (the “SPA”) whereby the Company, through its wholly owned subsidiary, acquired Heuro from HTC. Under the terms of the SPA, total consideration of approximately CAD$2.1 million (USD$1.6 million) was transferred to HTC, which included (1) cash of CAD$0.5 million (USD$0.4 million), (2) delivery of 55 PoNS devices for which the fair value was determined to be CAD$0.5 million (USD$0.4 million), (3) the forgiveness of the CAD$750 thousand (USD$0.5 million) receivable from the September 2018 strategic alliance agreement and (4) the exclusivity rights granted to HTC in the Co-Promotion Agreement (as defined below) to provide PoNS Treatment in the Fraser Valley and Vancouver metro regions of British Columbia with a determined fair value of CAD$0.4 million (USD$0.3 million). The transaction has been accounted for as a business combination.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operating results of Heuro have been included in the consolidated statement of operations and comprehensive loss since the date of the acquisition.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related costs were $0.1 million and were accounted for as selling, general and administrative expenses in the consolidated statement of operations and comprehensive loss for the year ended December 31,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Supplemental proforma financial information has not been presented here because the proforma effects of this acquisition are not material to the Company’s reported results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The following table summarizes the recognized fair values of identifiable assets acquired and liabilities assumed as of October 30,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tcPr>
          <w:p>
            <w:pPr>
              <w:spacing w:after="0"/>
              <w:rPr>
                <w:sz w:val="16"/>
                <w:szCs w:val="16"/>
                <w:color w:val="auto"/>
              </w:rPr>
            </w:pPr>
          </w:p>
        </w:tc>
        <w:tc>
          <w:tcPr>
            <w:tcW w:w="2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October 30, 2019</w:t>
            </w:r>
          </w:p>
        </w:tc>
        <w:tc>
          <w:tcPr>
            <w:tcW w:w="0" w:type="dxa"/>
            <w:vAlign w:val="bottom"/>
          </w:tcPr>
          <w:p>
            <w:pPr>
              <w:spacing w:after="0"/>
              <w:rPr>
                <w:sz w:val="1"/>
                <w:szCs w:val="1"/>
                <w:color w:val="auto"/>
              </w:rPr>
            </w:pPr>
          </w:p>
        </w:tc>
      </w:tr>
      <w:tr>
        <w:trPr>
          <w:trHeight w:val="215"/>
        </w:trPr>
        <w:tc>
          <w:tcPr>
            <w:tcW w:w="84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receivables</w:t>
            </w:r>
          </w:p>
        </w:tc>
        <w:tc>
          <w:tcPr>
            <w:tcW w:w="4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Intangibles</w:t>
            </w:r>
          </w:p>
        </w:tc>
        <w:tc>
          <w:tcPr>
            <w:tcW w:w="4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Net assets acquired</w:t>
            </w:r>
          </w:p>
        </w:tc>
        <w:tc>
          <w:tcPr>
            <w:tcW w:w="4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fair values assigned to identifiable intangible assets assumed were based on management’s estimates and assumptions as of such date and are considered finalized. The Company recorded measurement adjustments of $0.4 million during the year ended December 31, 2020, all of which was recorded during the first quarter of 2020. The recorded adjustments related to the recognition of reacquired exclusivity rights.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Acquired intangibles consisted of customer relationships, proprietary technology and reacquired rights. The useful life at acquisition was 1.25 years, 5 years and 3.87 years, respectively, and the acquired intangibles are amortized using the straight-line method.</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Factors considered by the Company in determination of goodwill include synergies, strategic fit and other benefits that do not meet the recognition criteria of acquired identifiable intangible assets. The recognized goodwill of $0.7 million is not expected to be deductible for tax purposes.</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 of 55 PoNS devices which the Company agreed to transfer to HTC pursuant to the SPA in the amount of CAD$0.5 million will be recognized as revenue within the consolidated statements of operations and comprehensive loss once control has been transferred in accordance with ASC</w:t>
      </w:r>
    </w:p>
    <w:p>
      <w:pPr>
        <w:jc w:val="both"/>
        <w:ind w:firstLine="8"/>
        <w:spacing w:after="0" w:line="255" w:lineRule="auto"/>
        <w:tabs>
          <w:tab w:leader="none" w:pos="4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of December 31, 2019, the control had not been transferred resulting in the fair value being recorded as deferred revenue on the consolidated balance sheet. As of December 31, 2020, the control of 21 devices had been transferred resulting in recognition of revenue for these devices. The fair value of the remaining 34 devices is still recorded as deferred revenue on the consolidated balance sheet.</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SPA, on October 30, 2019, the Company entered into a Clinical Research and Co-Promotion Agreement with HTC (the “Co-Promotion Agreement”), whereby each company will promote the sales of the PoNS Treatment and the NeuroCatch</w:t>
      </w:r>
      <w:r>
        <w:rPr>
          <w:rFonts w:ascii="Arial" w:cs="Arial" w:eastAsia="Arial" w:hAnsi="Arial"/>
          <w:sz w:val="14"/>
          <w:szCs w:val="14"/>
          <w:color w:val="auto"/>
        </w:rPr>
        <w:t>TM</w:t>
      </w:r>
      <w:r>
        <w:rPr>
          <w:rFonts w:ascii="Arial" w:cs="Arial" w:eastAsia="Arial" w:hAnsi="Arial"/>
          <w:sz w:val="17"/>
          <w:szCs w:val="17"/>
          <w:color w:val="auto"/>
        </w:rPr>
        <w:t xml:space="preserve"> device throughout Canada. This co-promotion arrangement was to terminate upon the earlier of the collection of data from 200 patients in Canada and December 31, 2020, of which December 31, 2020 occurred earlier. Also, subject to certain terms and conditions, Helius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the Company and on terms no less favorable than the then-current standard terms and conditions. This exclusivity right has an initial term of ten years, renewable by HTC for one additional ten year term upon sixty days’ written notice to Helius. The Co-Promotion Agreement had a fair value of CAD$360 thousand at the time of acquisition. License revenue will be recognized in connection with the Co-Promotion Agreement ratably over the ten year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represents the excess of purchase price over the fair values underlying net assets acquired in an acquisition. All of the Company’s goodwill as of December 31, 2020 is the result of the Heuro acquisition discussed above. Goodwill is not amortized, but rather will be tested annually for impairment or more frequently if events or changes in circumstances indicate that the carrying amount of the asset may not be recoverable. The Company will test goodwill for impairment annually in the fourth quarter of each year using data as of October 1 of that year.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is allocated to, and evaluated for impairment at the Company’s one identified reporting unit. Goodwill is tested for impairment by either performing a qualitative evaluation or a quantitative test. The qualitative evaluation is an assessment of factors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jc w:val="both"/>
        <w:spacing w:after="0" w:line="263" w:lineRule="auto"/>
        <w:rPr>
          <w:sz w:val="20"/>
          <w:szCs w:val="20"/>
          <w:color w:val="auto"/>
        </w:rPr>
      </w:pPr>
      <w:r>
        <w:rPr>
          <w:rFonts w:ascii="Arial" w:cs="Arial" w:eastAsia="Arial" w:hAnsi="Arial"/>
          <w:sz w:val="18"/>
          <w:szCs w:val="18"/>
          <w:color w:val="auto"/>
        </w:rPr>
        <w:t>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methodology for estimating the fair value of our reporting unit utilizes the income approach. The income approach is based on the Discounted Cash Flow (“DCF”) method, which is based on the present value of future cash flows. The principal assumptions utilized in the DCF methodology include long-term growth rates, operating margins, discount rates and future economic and market conditions. There can be no assurance that the Company’s estimates and assumptions regarding forecasted cash flow, long-term growth rates and operating margins made for purposes of the annual goodwill impairment test will prove to be accurate predictions of the future.</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COVID-19 pandemic and its continuing impact was considered a triggering event for testing whether goodwill is impaired. The Company performed quantitative assessments at March 31, 2020, June 30, 2020 and September 30, 2020. As a result of these assessments, the Company determined that the estimated fair value of the reporting unit exceeded the carrying value of the reporting unit. Therefore, the Company concluded that goodwill was not impaired as of any of the aforementioned periods. The Company will continue to monitor the impacts of the COVID-19 pandemic in future periods.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the Company’s most recent annual impairment analysis as of October 1, 2020, the fair value of the Company’s reporting unit exceeded the carrying value, and therefore no indicators of impairment existed for the reporting unit.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20" w:type="dxa"/>
            <w:vAlign w:val="bottom"/>
          </w:tcPr>
          <w:p>
            <w:pPr>
              <w:spacing w:after="0"/>
              <w:rPr>
                <w:sz w:val="20"/>
                <w:szCs w:val="20"/>
                <w:color w:val="auto"/>
              </w:rPr>
            </w:pPr>
            <w:r>
              <w:rPr>
                <w:rFonts w:ascii="Arial" w:cs="Arial" w:eastAsia="Arial" w:hAnsi="Arial"/>
                <w:sz w:val="18"/>
                <w:szCs w:val="18"/>
                <w:color w:val="auto"/>
                <w:w w:val="91"/>
              </w:rPr>
              <w:t>The following is a summary of the activity for the years ended December 31, 2020 and December 31, 2019 for goodwill:</w:t>
            </w: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Carrying amount at December 31, 2018</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8720" w:type="dxa"/>
            <w:vAlign w:val="bottom"/>
          </w:tcPr>
          <w:p>
            <w:pPr>
              <w:spacing w:after="0"/>
              <w:rPr>
                <w:sz w:val="20"/>
                <w:szCs w:val="20"/>
                <w:color w:val="auto"/>
              </w:rPr>
            </w:pPr>
            <w:r>
              <w:rPr>
                <w:rFonts w:ascii="Arial" w:cs="Arial" w:eastAsia="Arial" w:hAnsi="Arial"/>
                <w:sz w:val="18"/>
                <w:szCs w:val="18"/>
                <w:color w:val="auto"/>
              </w:rPr>
              <w:t>Business acquisition</w:t>
            </w:r>
          </w:p>
        </w:tc>
        <w:tc>
          <w:tcPr>
            <w:tcW w:w="10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9"/>
                <w:szCs w:val="19"/>
                <w:color w:val="auto"/>
              </w:rPr>
            </w:pPr>
          </w:p>
        </w:tc>
      </w:tr>
      <w:tr>
        <w:trPr>
          <w:trHeight w:val="229"/>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0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r>
      <w:tr>
        <w:trPr>
          <w:trHeight w:val="263"/>
        </w:trPr>
        <w:tc>
          <w:tcPr>
            <w:tcW w:w="8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amount at December 31, 2019</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CFF0FC"/>
            </w:tcBorders>
          </w:tcPr>
          <w:p>
            <w:pPr>
              <w:spacing w:after="0"/>
              <w:rPr>
                <w:sz w:val="22"/>
                <w:szCs w:val="22"/>
                <w:color w:val="auto"/>
              </w:rPr>
            </w:pPr>
          </w:p>
        </w:tc>
      </w:tr>
      <w:tr>
        <w:trPr>
          <w:trHeight w:val="210"/>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Business acquisition fair value allocation adjustment</w:t>
            </w: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FF0FC"/>
          </w:tcPr>
          <w:p>
            <w:pPr>
              <w:spacing w:after="0"/>
              <w:rPr>
                <w:sz w:val="18"/>
                <w:szCs w:val="18"/>
                <w:color w:val="auto"/>
              </w:rPr>
            </w:pPr>
          </w:p>
        </w:tc>
      </w:tr>
      <w:tr>
        <w:trPr>
          <w:trHeight w:val="230"/>
        </w:trPr>
        <w:tc>
          <w:tcPr>
            <w:tcW w:w="8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translation</w:t>
            </w:r>
          </w:p>
        </w:tc>
        <w:tc>
          <w:tcPr>
            <w:tcW w:w="10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tcBorders>
          </w:tcPr>
          <w:p>
            <w:pPr>
              <w:spacing w:after="0"/>
              <w:rPr>
                <w:sz w:val="19"/>
                <w:szCs w:val="19"/>
                <w:color w:val="auto"/>
              </w:rPr>
            </w:pPr>
          </w:p>
        </w:tc>
      </w:tr>
      <w:tr>
        <w:trPr>
          <w:trHeight w:val="223"/>
        </w:trPr>
        <w:tc>
          <w:tcPr>
            <w:tcW w:w="8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amount at December 31, 2020</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Definite-lived intangibles consist principally of acquired customer relationships, proprietary software and reacquired rights as well as internally developed software. All are amortized straight-line over their estimated useful lives. Amortization expense related to intangible assets was $0.4 million and $0.1 million during the year ended December 31, 2020 and the year ended December 31, 2019, respectively. During the year ended December 31, 2020, the Company incurred an intangible asset impairment loss of $0.2 million related to the customer relationships, all of which was incurred during the first quarter of 2020, which is included in selling, general and administrative expenses in the accompanying consolidated statement of operations and comprehensive loss.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2020 and December 31, 2019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Pr>
          <w:p>
            <w:pPr>
              <w:spacing w:after="0"/>
              <w:rPr>
                <w:sz w:val="14"/>
                <w:szCs w:val="14"/>
                <w:color w:val="auto"/>
              </w:rPr>
            </w:pPr>
          </w:p>
        </w:tc>
        <w:tc>
          <w:tcPr>
            <w:tcW w:w="228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2"/>
              </w:rPr>
              <w:t>As of December 31, 2019</w:t>
            </w: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5"/>
              <w:spacing w:after="0" w:line="133" w:lineRule="exact"/>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1"/>
                <w:szCs w:val="11"/>
                <w:color w:val="auto"/>
              </w:rPr>
            </w:pP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Gross Carrying</w:t>
            </w: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3"/>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Amortization</w:t>
            </w:r>
          </w:p>
        </w:tc>
        <w:tc>
          <w:tcPr>
            <w:tcW w:w="180" w:type="dxa"/>
            <w:vAlign w:val="bottom"/>
          </w:tcPr>
          <w:p>
            <w:pPr>
              <w:spacing w:after="0"/>
              <w:rPr>
                <w:sz w:val="14"/>
                <w:szCs w:val="14"/>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09"/>
        </w:trPr>
        <w:tc>
          <w:tcPr>
            <w:tcW w:w="5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7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1.25</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years</w:t>
            </w:r>
          </w:p>
        </w:tc>
        <w:tc>
          <w:tcPr>
            <w:tcW w:w="3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Acquired proprietary software</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Reacquired rights</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years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Internally developed software</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w w:val="99"/>
              </w:rPr>
              <w:t>Amortization expense is anticipated to be as follows in future years:</w:t>
            </w: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For the Year Ending December 31,</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2680" w:type="dxa"/>
            <w:vAlign w:val="bottom"/>
            <w:tcBorders>
              <w:top w:val="single" w:sz="8" w:color="CFF0FC"/>
            </w:tcBorders>
          </w:tcPr>
          <w:p>
            <w:pPr>
              <w:spacing w:after="0"/>
              <w:rPr>
                <w:sz w:val="19"/>
                <w:szCs w:val="19"/>
                <w:color w:val="auto"/>
              </w:rPr>
            </w:pPr>
          </w:p>
        </w:tc>
        <w:tc>
          <w:tcPr>
            <w:tcW w:w="7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6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86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FF0FC"/>
            </w:tcBorders>
          </w:tcPr>
          <w:p>
            <w:pPr>
              <w:spacing w:after="0"/>
              <w:rPr>
                <w:sz w:val="19"/>
                <w:szCs w:val="19"/>
                <w:color w:val="auto"/>
              </w:rPr>
            </w:pPr>
          </w:p>
        </w:tc>
        <w:tc>
          <w:tcPr>
            <w:tcW w:w="98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197</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6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2023</w:t>
            </w:r>
          </w:p>
        </w:tc>
        <w:tc>
          <w:tcPr>
            <w:tcW w:w="2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6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0</wp:posOffset>
            </wp:positionV>
            <wp:extent cx="7886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Internally Developed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-130175</wp:posOffset>
            </wp:positionV>
            <wp:extent cx="7886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follows ASC 350-40, Accounting for the Costs of Computer Software Developed or Obtained for Internal Use, in accounting for its internally developed software costs. Costs incurred during the preliminary project work stage or conceptual stage, such as determining the performance requirements, system requirements and data conversion, are expensed as incurred. Costs incurred in the application development phase, such as coding, testing for new software and upgrades that result in additional functionality, are capitalized and are amortized using the straight-line method over the useful life of the software, which was determined to be three years. Amortization of these capitalized costs commences when the software becomes ready for its intended use. Costs incurred during the post-implementation stage, such as maintenance and application training, are expensed as incurred.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On January 1, 2019, the Company adopted ASU No. 2016-02, </w:t>
      </w:r>
      <w:r>
        <w:rPr>
          <w:rFonts w:ascii="Arial" w:cs="Arial" w:eastAsia="Arial" w:hAnsi="Arial"/>
          <w:sz w:val="16"/>
          <w:szCs w:val="16"/>
          <w:i w:val="1"/>
          <w:iCs w:val="1"/>
          <w:color w:val="auto"/>
        </w:rPr>
        <w:t>Leases</w:t>
      </w:r>
      <w:r>
        <w:rPr>
          <w:rFonts w:ascii="Arial" w:cs="Arial" w:eastAsia="Arial" w:hAnsi="Arial"/>
          <w:sz w:val="16"/>
          <w:szCs w:val="16"/>
          <w:color w:val="auto"/>
        </w:rPr>
        <w:t>, using the modified retrospective method. The Company elected the package of practical expedients permitted under the transition guidance within the new standard which allowed the Company to carry forward the historical lease</w:t>
      </w:r>
    </w:p>
    <w:p>
      <w:pPr>
        <w:sectPr>
          <w:pgSz w:w="11900" w:h="16838" w:orient="portrait"/>
          <w:cols w:equalWidth="0" w:num="1">
            <w:col w:w="11240"/>
          </w:cols>
          <w:pgMar w:left="320" w:top="341" w:right="339" w:bottom="0" w:gutter="0" w:footer="0" w:header="0"/>
        </w:sectPr>
      </w:pPr>
    </w:p>
    <w:bookmarkStart w:id="91" w:name="page92"/>
    <w:bookmarkEnd w:id="91"/>
    <w:p>
      <w:pPr>
        <w:jc w:val="both"/>
        <w:spacing w:after="0" w:line="277" w:lineRule="auto"/>
        <w:rPr>
          <w:sz w:val="20"/>
          <w:szCs w:val="20"/>
          <w:color w:val="auto"/>
        </w:rPr>
      </w:pPr>
      <w:r>
        <w:rPr>
          <w:rFonts w:ascii="Arial" w:cs="Arial" w:eastAsia="Arial" w:hAnsi="Arial"/>
          <w:sz w:val="18"/>
          <w:szCs w:val="18"/>
          <w:color w:val="auto"/>
        </w:rPr>
        <w:t>classification. Adoption of this standard resulted in the recording of an operating lease right-of-use (“ROU”) asset and corresponding operating lease liabilities of $0.7 million on January 1, 2019.</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does not record an operating lease ROU asset and corresponding lease liability for leases with an expected term of twelve months or less and recognizes lease expense for these leases as incurred over the lease term. The Company had only one operating lease, which was for its headquarters office in Newtown, Pennsylvania upon the adoption date. As of December 31, 2020, the Company has not entered into any additional lease arrangements, but did modify the existing lease arrangement. Operating lease ROU assets and operating lease liabilities are recognized 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to be accounted for separately (see Note 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functional currency is the U.S. dollar.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after April 1, 2018 are translated at the approximate exchange rate prevailing at the date of the transaction. Revenue and expense transactions are translated at the approximate exchange rate in effect at the time of the transaction. Foreign exchange gains and losses are included in the consolidated statement of operations and comprehensive loss as foreign exchange gain (loss).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consolidated statements of operations and comprehensive loss for the reporting period, but rather are accumulated and gains and losses are recorded in foreign exchange gain (loss), as a component of comprehensive loss, within the consolidated statements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all stock-based payments and awards under the fair value-based method. The Company recognizes its stock-based compensation expense using the straight-line method. Compensation cost is not adjusted for estimated forfeitures, but instead is adjusted upon an actual forfeiture of a stock option.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jc w:val="both"/>
        <w:spacing w:after="0" w:line="296" w:lineRule="auto"/>
        <w:rPr>
          <w:sz w:val="20"/>
          <w:szCs w:val="20"/>
          <w:color w:val="auto"/>
        </w:rPr>
      </w:pPr>
      <w:r>
        <w:rPr>
          <w:rFonts w:ascii="Arial" w:cs="Arial" w:eastAsia="Arial" w:hAnsi="Arial"/>
          <w:sz w:val="16"/>
          <w:szCs w:val="16"/>
          <w:color w:val="auto"/>
        </w:rPr>
        <w:t>The Company accounts for the granting of stock options to employees and non-employees using the fair value method whereby all awards are measured at fair value on the date of the grant. The fair value of all employee stock options is expensed over the requisite service period with a corresponding increase to additional paid-in capital. Upon exercise of stock options, the consideration paid by the option holder is recorded in additional paid-in capital, while the par value of the shares received is reclassified from additional paid in capital to common stock. Stock options granted to employees are accounted for as liabilities when they contain conditions or other features that are indexed to other than a market, performance or service condition.</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accordance with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stock-based payments to non-employees are measured based on the fair value of the equity instrument issued. Compensation expense for non-employee stock awards is recognized over the requisite service period following the measurement of the fair value on the grant date over the vesting period of the award.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Black-Scholes option-pricing model to calculate the fair value of stock options. The use of the Black-Scholes option-pricing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of options that provide for an exercise price that is not denominated in: (a) the currency of a market in which a substantial portion of the Company's equity securities trades in, (b) the currency in which the employee's pay is denominated, or (c) the Company's functional currency, are required to be classified as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accordance with FASB’s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(“ASC 606”), the Company recognizes revenue when its customer obtains control of promised goods or services, in an amount that reflects the consideration which the Company expects to be entitled in exchange for those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157" w:lineRule="exact"/>
        <w:rPr>
          <w:sz w:val="20"/>
          <w:szCs w:val="20"/>
          <w:color w:val="auto"/>
        </w:rPr>
      </w:pPr>
    </w:p>
    <w:p>
      <w:pPr>
        <w:ind w:left="1120" w:hanging="748"/>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1120" w:hanging="748"/>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1120" w:hanging="748"/>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1120" w:hanging="748"/>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1120" w:hanging="748"/>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first half of 2019, product sales were derived from the sale of the PoNS device and certain support services including services from the use of the NeuroCatch</w:t>
      </w:r>
      <w:r>
        <w:rPr>
          <w:rFonts w:ascii="Arial" w:cs="Arial" w:eastAsia="Arial" w:hAnsi="Arial"/>
          <w:sz w:val="13"/>
          <w:szCs w:val="13"/>
          <w:color w:val="auto"/>
        </w:rPr>
        <w:t>TM</w:t>
      </w:r>
      <w:r>
        <w:rPr>
          <w:rFonts w:ascii="Arial" w:cs="Arial" w:eastAsia="Arial" w:hAnsi="Arial"/>
          <w:sz w:val="16"/>
          <w:szCs w:val="16"/>
          <w:color w:val="auto"/>
        </w:rPr>
        <w:t xml:space="preserve"> device, which is owned by HTC and assesses electroencephalogram brain waves related to cognition of patients participating in the PoNS Treatment at neuroplasticity clinics in Canada. The Company acted in an agency capacity for services performed using the NeuroCatch device and remitted CAD$600 for each patient assessed with the NeuroCatch device. According to the supply agreement with each of these clinics, the Company’s performance obligation was met when it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are accounted for as a fulfillment cost and are included in cost of sales. Further, according to the Company’s arrangement with HTC and Heuro, the Company shared 50/50 with Heuro in fees from support services excluding the CAD$600 payment for an assessment using the NeuroCatch device. As described above, the Company modified its arrangement with HTC on October 30, 2019 and product sales were derived from the sale of the PoNS device alone as the NeuroCatch is sold directly to the neuroplasticity clinics in Canada by HTC. For the year ended December 31, 2019, the Company recorded $1.5 million in product sales net of $11 thousand for HTC’s portion related to assessments using the NeuroCatch device. For the year ended December 31, 2020, the Company recorded $0.63 million in product sales. As of December 31, 2020, control of 21 of the 55 PoNS devices included as consideration in the Heuro acquisition had been transferred resulting in revenue of $0.1 million being recognized which is included in the aforementioned $0.63 million in product sales for the year ended December 31, 2020. The fair value of the remaining 34 devices is recorded as deferred revenue of $0.3 million on the consolidated balance sheet. The returns during 2020 were the result of warranty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returns for defective products. These returns were insignificant during the year and any future replacements are expected to be insignificant.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half of 2019, the Company’s agreement with HTC and Heuro also entitled the Company to 50% of the franchise fees collected by Heuro from each franchise agreement Heuro executed with neuroplasticity clinics engaged in providing the PoNS Treatment. There were 3 franchise agreements entered into for the year ended December 31, 2019, all of which occurred in the first half of the year. For the year ended December 31, 2019, the Company recognized $37 thousand as its 50% portion of the franchise fees. This arrangement ended upon the acquisition of Heuro in October 2019. During the first half of 2020, the Company earned fee revenue of $9 thousand for engaging new neuroplasticity clinics to provide the PoNS Treatment, before terminating these agreements in the second quarter of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above, the Company modified its arrangement with HTC on October 30, 2019. License revenue is recognized ratably over the ten-year term as the performance obligation is met in connection with the Co-Promotion Agreement. During the fourth quarter of 2019, the Company recognized revenues of $5 thousand in license fees associated with the Co-Promotion Agreement. For the year ended December 31, 2020, the Company recognized revenues of $27 thousand in license fees associated with the Co-Promotion Agreement. Revenue not yet recognized of $0.2 million is recorded as deferred revenue on the consolidated balance sheet.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2020, the Company had recorded $0.1 million in current receivables, net and had no contract assets or liabilities on its consolidated balance sheets related to the supply agreements with each clinic. As of December 31, 2019, the Company has recorded $0.2 million in current receivables, net and had no contract assets or liabilities on its consolidated balance sheets related to the supply agreements with each clinic.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product sales includes the cost to manufacture the PoNS device, royalty expenses, freight charges, customs duties, wages and salaries of employees involved in the management of the supply chain and logistics of fulfilling the Company’s sales orders. During 2019, until the acquisition of Heuro on October 30, 2019, cost of sales also included certain support services provided by Heuro on the Company’s behalf.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has adopted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regarding accounting for uncertainty in income taxes. The Company initially recognizes tax positions in the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consolidated statements of operations and comprehensive loss. When applicable, the Company classifies penalties and interest associated with uncertain tax positions as a component of income tax expense in its consolidated statements of operations and comprehensive loss.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Company continues to examine the impact that the CARES Act may have on its business. Currently, the Company does not believe the CARES Act will have a material impact on its accounting for income taxes.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consolidated financial statements in the aggregate in one reportable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result of this accounting treatment is that the fair value of the derivative is re-measured at each balance sheet date and recorded as a liability or asset and the change in fair value is recorded in the consolidated statements of operations and comprehensive loss. As of December 31, 2020 and 2019, the Company’s derivative financial instruments accounted for in accordance with ASC 815 were comprised of warrants issued in connection with both public and/or private securities offerings. Upon settlement of a derivative financial instrument, the instrument is re-measured at the settlement date and the fair value of the underlying instrument is reclassified to equity (see Note 3).</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instruments will be classified in the consolidated balance sheet as current if the right to exercise or settle the derivative financial instrument lies with the 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accounts for financial instruments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 Quoted prices in markets that are not active or financial instruments for which all significant inputs are observable,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recorded in its consolidated balance sheets consist primarily of cash, accounts receivable, other current receivables, operating lease ROU asset, accounts payable, accrued liabilities, operating lease liability and derivative financial instruments. The book values of these instruments, with the exception of derivative financial instruments, non-current lease liability, operating lease ROU asset and non-current receivables, approximate their fair values due to the immediate or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both"/>
        <w:spacing w:after="0" w:line="279" w:lineRule="auto"/>
        <w:rPr>
          <w:sz w:val="20"/>
          <w:szCs w:val="20"/>
          <w:color w:val="auto"/>
        </w:rPr>
      </w:pPr>
      <w:r>
        <w:rPr>
          <w:rFonts w:ascii="Arial" w:cs="Arial" w:eastAsia="Arial" w:hAnsi="Arial"/>
          <w:sz w:val="17"/>
          <w:szCs w:val="17"/>
          <w:color w:val="auto"/>
        </w:rPr>
        <w:t>The Company’s derivative financial instruments are classified as Level 3 within the fair value hierarchy and required to be recorded at fair value on a recurring basis. Unobservable inputs used in the valuation of these financial instruments include volatility of the underlying share price and the expected term. See Note 3 for the inputs used in the Black-Scholes option-pricing model as of December 31, 2020 and 2019 and the roll forward of the derivative financial instruments. The Company’s derivative financial instruments are comprised of warrants which are classified as liabilities.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Company’s derivative financial instruments within the fair value hierarchy as of December 31, 2020 and 2019 (amounts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any of the levels during the years ended December 31, 2020 and 2019.</w:t>
      </w:r>
    </w:p>
    <w:p>
      <w:pPr>
        <w:spacing w:after="0" w:line="3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assets and liabilities that are recorded at fair value on a recurring basis, the Company's assets and liabilities are also subject to nonrecurring fair value measurements. Generally, assets are recorded at fair value on a nonrecurring basis as a result of impairment charges. Due to the COVID-19 pandemic and the related risks and uncertainties, the Company’s customer relationship intangible asset incurred an impairment loss during the year ended December 31, 2020 of $0.2 million, all of which was recorded during the first quarter of 2020, and has a remaining net book value of $9 thousand as of December 31, 2020. The fair value of this intangible asset was determined based on Level 3 measurements within the fair value hierarchy. Inputs to these fair value measurements included estimates of the amount and timing of the asset’s net future discounted cash flows based on historical data, current trends and market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(Loss)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basic and diluted loss per share for the periods noted below is as follows (amounts in thousands, except for share and per share amounts):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5"/>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(14,130)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 - basic and diluted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1,197,774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share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5"/>
        <w:spacing w:after="0" w:line="259" w:lineRule="auto"/>
        <w:rPr>
          <w:sz w:val="20"/>
          <w:szCs w:val="20"/>
          <w:color w:val="auto"/>
        </w:rPr>
      </w:pPr>
      <w:r>
        <w:rPr>
          <w:rFonts w:ascii="Arial" w:cs="Arial" w:eastAsia="Arial" w:hAnsi="Arial"/>
          <w:sz w:val="18"/>
          <w:szCs w:val="18"/>
          <w:color w:val="auto"/>
        </w:rPr>
        <w:t>No incremental common stock equivalents, consisting of outstanding stock options, warrants and restricted stock units, were included in calculating diluted loss per share because such inclusion would be anti-dilutive given the net loss reported for the years ended December 31, 2020 and 2019. Dilutive common stock equivalents excluded from the computation of diluted weighted average shares outstanding were 455,631 and 186,764 for the years ended December 31, 2020 and 2019,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which requires measurement and recognition of expected credit losses for financial assets held and requires enhanced disclosures regarding significant estimates and judgments used in estimating credit losses. In November 2019, the FASB issued ASU 2019-10, </w:t>
      </w:r>
      <w:r>
        <w:rPr>
          <w:rFonts w:ascii="Arial" w:cs="Arial" w:eastAsia="Arial" w:hAnsi="Arial"/>
          <w:sz w:val="17"/>
          <w:szCs w:val="17"/>
          <w:i w:val="1"/>
          <w:iCs w:val="1"/>
          <w:color w:val="auto"/>
        </w:rPr>
        <w:t>Financial Instruments – 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326), Derivatives and Hedging (Topic 815) and Leases (Topic 842): Effective Dates</w:t>
      </w:r>
      <w:r>
        <w:rPr>
          <w:rFonts w:ascii="Arial" w:cs="Arial" w:eastAsia="Arial" w:hAnsi="Arial"/>
          <w:sz w:val="17"/>
          <w:szCs w:val="17"/>
          <w:color w:val="auto"/>
        </w:rPr>
        <w:t>, which amends the effective date of ASU 2016-13. Public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that meeting the definition of an SEC filer, excluding entities eligible to be a Smaller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Company is evaluating the effect that ASU 2016-13 will have on its consolidated financial statements.</w:t>
      </w:r>
    </w:p>
    <w:p>
      <w:pPr>
        <w:spacing w:after="0" w:line="7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w:t>
      </w:r>
      <w:r>
        <w:rPr>
          <w:rFonts w:ascii="Arial" w:cs="Arial" w:eastAsia="Arial" w:hAnsi="Arial"/>
          <w:sz w:val="16"/>
          <w:szCs w:val="16"/>
          <w:color w:val="auto"/>
        </w:rPr>
        <w:t>, which adds disclosure requirements to Topic 820 for the range and weighted average of significant unobservable inputs used to</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Level 3 fair value measurements. This ASU is effective for interim and annual reporting periods beginning after December 15, 2019. The Company adopted this standard as of January 1, 2020 and the adoption did not have a material impact on the Company’s consolidated financial statements.</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2018, FASB issued ASU 2018-18, C</w:t>
      </w:r>
      <w:r>
        <w:rPr>
          <w:rFonts w:ascii="Arial" w:cs="Arial" w:eastAsia="Arial" w:hAnsi="Arial"/>
          <w:sz w:val="18"/>
          <w:szCs w:val="18"/>
          <w:i w:val="1"/>
          <w:iCs w:val="1"/>
          <w:color w:val="auto"/>
        </w:rPr>
        <w:t>ollaborative Arrangements (Topic 808): Clarifying the Interaction Between Topic 808 and Topic 606,</w:t>
      </w:r>
      <w:r>
        <w:rPr>
          <w:rFonts w:ascii="Arial" w:cs="Arial" w:eastAsia="Arial" w:hAnsi="Arial"/>
          <w:sz w:val="18"/>
          <w:szCs w:val="18"/>
          <w:color w:val="auto"/>
        </w:rPr>
        <w:t xml:space="preserve">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The Company adopted this standard on January 1, 2020 and the adoption did not have a material impact on the Company’s consolidated financial statements.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August 2020, FASB issued ASU 2020-06, </w:t>
      </w:r>
      <w:r>
        <w:rPr>
          <w:rFonts w:ascii="Arial" w:cs="Arial" w:eastAsia="Arial" w:hAnsi="Arial"/>
          <w:sz w:val="16"/>
          <w:szCs w:val="16"/>
          <w:i w:val="1"/>
          <w:iCs w:val="1"/>
          <w:color w:val="auto"/>
        </w:rPr>
        <w:t>Debt with Conversion and Other Options (Subtopic 470-20) and Derivatives and Hedging – Contracts in</w:t>
      </w:r>
      <w:r>
        <w:rPr>
          <w:rFonts w:ascii="Arial" w:cs="Arial" w:eastAsia="Arial" w:hAnsi="Arial"/>
          <w:sz w:val="16"/>
          <w:szCs w:val="16"/>
          <w:color w:val="auto"/>
        </w:rPr>
        <w:t xml:space="preserve"> </w:t>
      </w:r>
      <w:r>
        <w:rPr>
          <w:rFonts w:ascii="Arial" w:cs="Arial" w:eastAsia="Arial" w:hAnsi="Arial"/>
          <w:sz w:val="16"/>
          <w:szCs w:val="16"/>
          <w:i w:val="1"/>
          <w:iCs w:val="1"/>
          <w:color w:val="auto"/>
        </w:rPr>
        <w:t>Entity’s Own Equity (Subtopic 815-40)</w:t>
      </w:r>
      <w:r>
        <w:rPr>
          <w:rFonts w:ascii="Arial" w:cs="Arial" w:eastAsia="Arial" w:hAnsi="Arial"/>
          <w:sz w:val="16"/>
          <w:szCs w:val="16"/>
          <w:color w:val="auto"/>
        </w:rPr>
        <w:t>, which simplifies accounting for convertible instruments by removing major separation models required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GAAP. The ASU removes certain settlement conditions that are required for equity contracts to qualify for the derivative scope exception and it also simplifies the diluted earnings per share calculation in certain areas. The guidance is effective for interim and annual periods beginning after December 15, 2021. Early adoption is permitted, but no earlier than fiscal years beginning after December 15, 2020, including interim periods within those fiscal years. FASB has specified that an entity should adopt the guidance as of the beginning of its annual fiscal year. The guidance is to be applied using either a full retrospective or modified retrospective method. In applying the full retrospective method, the cumulative effect of the accounting change should be recognized as an adjustment to the opening balance of retained earnings in the first comparative period presented. In applying the modified retrospective method, the cumulative effect of the accounting change should be recognized as an adjustment to the opening balance of retained earnings at the date of adoption. The Company early adopted ASU 2020-06 effective January 1, 2021 under the modified retrospective approach. The Company anticipates that the adoption of this guidance will not have a material impact on its consolidated financial statements.</w:t>
      </w:r>
    </w:p>
    <w:p>
      <w:pPr>
        <w:spacing w:after="0" w:line="168"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authorized capital stock pursuant to its Delaware charter consists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dividends have been declared since inception of the Company through December 31, 2020.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13, 2018, the Company issued 61,197 shares of its common stock and warrants to purchase 61,197 shares of the Company’s common stock in an underwritten public offering at a price of $261.45 per share and accompanying warrant. On April 24, 2018, the Company closed on the sale of an additional 9,179 shares of its common stock and warrants pursuant to the exercise of the over-allotment option (collectively the “April 2018 Offering”) granted to the underwriters in connection with the offering at a price of $261.45 per share and accompanying warrants. The Company received net proceeds of $16.3 million from the April 2018 Offering. The fair value of these warrants at issuance was approximately $7.4 million.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Each warrant issued in connection with the April 2018 Offering entitles the holder to acquire one additional share of common stock at an exercise price of CAD$428.75 per share on or before April 10, 2021. Pursuant to the guidance of ASC 815 </w:t>
      </w:r>
      <w:r>
        <w:rPr>
          <w:rFonts w:ascii="Arial" w:cs="Arial" w:eastAsia="Arial" w:hAnsi="Arial"/>
          <w:sz w:val="18"/>
          <w:szCs w:val="18"/>
          <w:i w:val="1"/>
          <w:iCs w:val="1"/>
          <w:color w:val="auto"/>
        </w:rPr>
        <w:t>Derivatives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jc w:val="both"/>
        <w:ind w:right="20"/>
        <w:spacing w:after="0" w:line="275" w:lineRule="auto"/>
        <w:rPr>
          <w:sz w:val="20"/>
          <w:szCs w:val="20"/>
          <w:color w:val="auto"/>
        </w:rPr>
      </w:pPr>
      <w:r>
        <w:rPr>
          <w:rFonts w:ascii="Arial" w:cs="Arial" w:eastAsia="Arial" w:hAnsi="Arial"/>
          <w:sz w:val="17"/>
          <w:szCs w:val="17"/>
          <w:i w:val="1"/>
          <w:iCs w:val="1"/>
          <w:color w:val="auto"/>
        </w:rPr>
        <w:t>Hedging</w:t>
      </w:r>
      <w:r>
        <w:rPr>
          <w:rFonts w:ascii="Arial" w:cs="Arial" w:eastAsia="Arial" w:hAnsi="Arial"/>
          <w:sz w:val="17"/>
          <w:szCs w:val="17"/>
          <w:color w:val="auto"/>
        </w:rPr>
        <w:t>, the Company has determined that warrants issued in connection with the April 2018 Offering should be accounted for as liabilities as the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maintain an effective registration is outside of the Company’s control and that it may be required to settle the exercise of the warrants in cash and because the exercise prices of these warrants are in a currency other than the Company’s functional currency. Consequently, the Company determined the fair value of each warrant issuance using the Black-Scholes option-pricing model, with the remainder of the proceeds allocated to the common shares. As of December 31, 2020, 2,025 warrants had been exercised, all during 2018, for gross proceeds of CAD$0.9 million.</w:t>
      </w:r>
    </w:p>
    <w:p>
      <w:pPr>
        <w:spacing w:after="0" w:line="1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April 2018 Offering using the Black-Scholes option pricing model as of the date of the initial closing of the offering and the date of the closing of the over-allotment option, as well as of December 31, 2020.</w:t>
      </w:r>
    </w:p>
    <w:p>
      <w:pPr>
        <w:spacing w:after="0" w:line="256"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December 31, 2020</w:t>
            </w:r>
          </w:p>
        </w:tc>
        <w:tc>
          <w:tcPr>
            <w:tcW w:w="16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April 24, 2018</w:t>
            </w:r>
          </w:p>
        </w:tc>
        <w:tc>
          <w:tcPr>
            <w:tcW w:w="14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April 13, 2018</w:t>
            </w: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$17.15</w:t>
            </w:r>
          </w:p>
        </w:tc>
        <w:tc>
          <w:tcPr>
            <w:tcW w:w="3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$376.60</w:t>
            </w:r>
          </w:p>
        </w:tc>
        <w:tc>
          <w:tcPr>
            <w:tcW w:w="3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$344.75</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Exercise price</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CAD $428.75</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CAD $428.75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CAD $428.75</w:t>
            </w: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5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0.27 years</w:t>
            </w:r>
          </w:p>
        </w:tc>
        <w:tc>
          <w:tcPr>
            <w:tcW w:w="16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3.00 years</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3.00 years</w:t>
            </w: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64.48%</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64.49%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64.20%</w:t>
            </w: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0.06%</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Dividend rate</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spacing w:after="0" w:line="32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On November 22, 2019, the Company issued 137,571 shares of its common stock in an underwritten public offering at a price of $12.25 per share. The Company received net proceeds of $1.1 million, in connection with the November 2019 Offering.</w:t>
      </w:r>
    </w:p>
    <w:p>
      <w:pPr>
        <w:spacing w:after="0" w:line="17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January 27, 2020, the Company filed a Form S-3 shelf registration under the Securities Act which was declared effective by the SEC on February 6, 2020 (the “2020 Shelf”). In conjunction with the 2020 Shelf, on January 27, 2020, the Company entered into an At The Market Offering Agreement (the “2020 ATM”) with H.C. Wainwright &amp; Co., LLC (“Wainwright”) under which the Company may offer and sell, from time to time at its sole discretion, to or through Wainwright, acting as agent and/or principal, shares of its common stock having an aggregate offering price of up to $11.34 million, which, in March 2020, was subsequently reduced to $9.15 million, including the shares previously sold under the 2020 ATM. The Company terminated the 2020 ATM effective November 25, 2020. For the year ended December 31, 2020, under the 2020 ATM, the Company sold and issued 232,526 shares of its common stock with an aggregated market value of $5.0 million at an average price of $21.68 per share and paid Wainwright a sales commission of approximately $181 thousand related to those shares.</w:t>
      </w:r>
    </w:p>
    <w:p>
      <w:pPr>
        <w:spacing w:after="0" w:line="19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On March 20, 2020, the Company, in a registered direct offering, issued an aggregate of 178,776 shares of its common stock at a price of $12.25 per share. Additionally, the Company issued unregistered warrants in a concurrent private placement to purchase up to 178,776 shares of its common stock at an exercise price of $16.10 per share. Gross proceeds from the offering (the “March 2020 Offering”) were approximately $2.2 million. The underwriting discounts and commissions and offering expenses of $0.3 million were recorded to share issuance costs.</w:t>
      </w:r>
    </w:p>
    <w:p>
      <w:pPr>
        <w:spacing w:after="0" w:line="171"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 xml:space="preserve">Each warrant issued in connection with the March 2020 Offering entitles the holder to acquire one additional share of common stock at an exercise price of $16.10 per share, which became exercisable on September 20, 2020 and will expire on March 20, 2025. Pursuant to the guidance of ASC 480 </w:t>
      </w:r>
      <w:r>
        <w:rPr>
          <w:rFonts w:ascii="Arial" w:cs="Arial" w:eastAsia="Arial" w:hAnsi="Arial"/>
          <w:sz w:val="17"/>
          <w:szCs w:val="17"/>
          <w:i w:val="1"/>
          <w:iCs w:val="1"/>
          <w:color w:val="auto"/>
        </w:rPr>
        <w:t xml:space="preserve">Distinguishing Liabilities from Equity </w:t>
      </w:r>
      <w:r>
        <w:rPr>
          <w:rFonts w:ascii="Arial" w:cs="Arial" w:eastAsia="Arial" w:hAnsi="Arial"/>
          <w:sz w:val="17"/>
          <w:szCs w:val="17"/>
          <w:color w:val="auto"/>
        </w:rPr>
        <w:t>and ASC 815</w:t>
      </w:r>
      <w:r>
        <w:rPr>
          <w:rFonts w:ascii="Arial" w:cs="Arial" w:eastAsia="Arial" w:hAnsi="Arial"/>
          <w:sz w:val="17"/>
          <w:szCs w:val="17"/>
          <w:i w:val="1"/>
          <w:iCs w:val="1"/>
          <w:color w:val="auto"/>
        </w:rPr>
        <w:t xml:space="preserve"> Derivatives and Hedging</w:t>
      </w:r>
      <w:r>
        <w:rPr>
          <w:rFonts w:ascii="Arial" w:cs="Arial" w:eastAsia="Arial" w:hAnsi="Arial"/>
          <w:sz w:val="17"/>
          <w:szCs w:val="17"/>
          <w:color w:val="auto"/>
        </w:rPr>
        <w:t>, the Company has determined that warrants issued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2020 Offering should be classified as equity as the warrants can be settled with unregistered shares and partial cash settlement under certain circumstances and provisions related to market volatility did not preclude equity classification. The relative fair value of these warrants at issuance was approximately $0.8 million and was included in additional paid-in capital.</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March 2020 Offering using the Black-Scholes option pricing model as of the date of the closing of the offering on March 20, 2020.</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20, 2020</w:t>
            </w:r>
          </w:p>
        </w:tc>
        <w:tc>
          <w:tcPr>
            <w:tcW w:w="20" w:type="dxa"/>
            <w:vAlign w:val="bottom"/>
          </w:tcPr>
          <w:p>
            <w:pPr>
              <w:spacing w:after="0"/>
              <w:rPr>
                <w:sz w:val="14"/>
                <w:szCs w:val="14"/>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56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Exercise price</w:t>
            </w:r>
          </w:p>
        </w:tc>
        <w:tc>
          <w:tcPr>
            <w:tcW w:w="59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5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5.50 years</w:t>
            </w:r>
          </w:p>
        </w:tc>
        <w:tc>
          <w:tcPr>
            <w:tcW w:w="2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Expected volatility</w:t>
            </w:r>
          </w:p>
        </w:tc>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82.41%</w:t>
            </w:r>
          </w:p>
        </w:tc>
        <w:tc>
          <w:tcPr>
            <w:tcW w:w="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Dividend rate</w:t>
            </w:r>
          </w:p>
        </w:tc>
        <w:tc>
          <w:tcPr>
            <w:tcW w:w="5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0"/>
                <w:szCs w:val="20"/>
                <w:color w:val="auto"/>
              </w:rPr>
            </w:pPr>
          </w:p>
        </w:tc>
      </w:tr>
      <w:tr>
        <w:trPr>
          <w:trHeight w:val="431"/>
        </w:trPr>
        <w:tc>
          <w:tcPr>
            <w:tcW w:w="3520" w:type="dxa"/>
            <w:vAlign w:val="bottom"/>
          </w:tcPr>
          <w:p>
            <w:pPr>
              <w:spacing w:after="0"/>
              <w:rPr>
                <w:sz w:val="24"/>
                <w:szCs w:val="24"/>
                <w:color w:val="auto"/>
              </w:rPr>
            </w:pPr>
          </w:p>
        </w:tc>
        <w:tc>
          <w:tcPr>
            <w:tcW w:w="5940" w:type="dxa"/>
            <w:vAlign w:val="bottom"/>
            <w:gridSpan w:val="2"/>
          </w:tcPr>
          <w:p>
            <w:pPr>
              <w:jc w:val="right"/>
              <w:ind w:right="3570"/>
              <w:spacing w:after="0"/>
              <w:rPr>
                <w:sz w:val="20"/>
                <w:szCs w:val="20"/>
                <w:color w:val="auto"/>
              </w:rPr>
            </w:pPr>
            <w:r>
              <w:rPr>
                <w:rFonts w:ascii="Arial" w:cs="Arial" w:eastAsia="Arial" w:hAnsi="Arial"/>
                <w:sz w:val="18"/>
                <w:szCs w:val="18"/>
                <w:color w:val="auto"/>
              </w:rPr>
              <w:t>F-18</w:t>
            </w: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5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98" w:name="page99"/>
    <w:bookmarkEnd w:id="98"/>
    <w:p>
      <w:pPr>
        <w:jc w:val="both"/>
        <w:spacing w:after="0" w:line="271" w:lineRule="auto"/>
        <w:rPr>
          <w:sz w:val="20"/>
          <w:szCs w:val="20"/>
          <w:color w:val="auto"/>
        </w:rPr>
      </w:pPr>
      <w:r>
        <w:rPr>
          <w:rFonts w:ascii="Arial" w:cs="Arial" w:eastAsia="Arial" w:hAnsi="Arial"/>
          <w:sz w:val="17"/>
          <w:szCs w:val="17"/>
          <w:color w:val="auto"/>
        </w:rPr>
        <w:t>On October 26, 2020, the Company issued units consisting of one share and a warrant to purchase 0.50 shares of common stock, with an aggregate issuance of 187,646 shares of common stock and warrants to purchase an aggregate of 93,817 shares of common stock at a purchase price of $18.20 per unit, resulting in gross proceeds of approximately $3.4 million, excluding the proceeds, if any, that the Company may receive in the future from the exercise of the warrants (the “October 2020 Offering”). The Company incurred $0.3 million in share issuance costs, including placement agent fees. The warrants have an initial exercise price of $15.82 per share and are exercisable for a period of three years from the date of issuance. The Company also issued warrants to the placement agent to purchase 961 shares of common stock, with an exercise price of $19.775 per share. An officer of the Company and affiliates of an officer and director of the Company participated in the October 2020 Offering on the same terms and conditions as all other purchasers, except that they paid $18.354 per unit and their warrants have an exercise price of $16.1665 per share.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securities purchase agreement for the October 2020 Offering, if the Company issues any shares of common stock or common stock equivalents for cash consideration, indebtedness or a combination thereof, with certain exceptions, within twelve months of the closing of the October 2020 Offering, each purchaser who subscribed for at least $250,000 has the right to participate in up to such purchaser’s pro rata portion of 30% of the such subsequent financing on the same terms, conditions and price provided for in the subsequent financing.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the guidance of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Company has determined that warrants issued in connection with the October 2020 Offering should be classified as equity as the warrants can be settled with unregistered shares and partial cash settlement under certain circumstances, did not preclude equity classification. The relative fair value of these warrants at issuance was approximately $0.6 million and was included in additional paid-in capital.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October 2020 Offering using the Black-Scholes option pricing model as of the date of the closing of the offering on October 26,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October 26, 2020</w:t>
            </w:r>
          </w:p>
        </w:tc>
      </w:tr>
      <w:tr>
        <w:trPr>
          <w:trHeight w:val="223"/>
        </w:trPr>
        <w:tc>
          <w:tcPr>
            <w:tcW w:w="9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Exercise price</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Pr>
          <w:p>
            <w:pPr>
              <w:spacing w:after="0"/>
              <w:rPr>
                <w:sz w:val="19"/>
                <w:szCs w:val="19"/>
                <w:color w:val="auto"/>
              </w:rPr>
            </w:pPr>
          </w:p>
        </w:tc>
      </w:tr>
      <w:tr>
        <w:trPr>
          <w:trHeight w:val="229"/>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2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3.00 years</w:t>
            </w:r>
          </w:p>
        </w:tc>
      </w:tr>
      <w:tr>
        <w:trPr>
          <w:trHeight w:val="229"/>
        </w:trPr>
        <w:tc>
          <w:tcPr>
            <w:tcW w:w="9180" w:type="dxa"/>
            <w:vAlign w:val="bottom"/>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80.91%</w:t>
            </w:r>
          </w:p>
        </w:tc>
      </w:tr>
      <w:tr>
        <w:trPr>
          <w:trHeight w:val="23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0.18%</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Dividend rate</w:t>
            </w:r>
          </w:p>
        </w:tc>
        <w:tc>
          <w:tcPr>
            <w:tcW w:w="26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activities of warrants that the Company accounts for as liabilities and records as derivative financial instruments for the years ended December 31, 2020 and 2019 (amounts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40" w:type="dxa"/>
            <w:vAlign w:val="bottom"/>
            <w:vMerge w:val="restart"/>
          </w:tcPr>
          <w:p>
            <w:pPr>
              <w:spacing w:after="0"/>
              <w:rPr>
                <w:sz w:val="20"/>
                <w:szCs w:val="20"/>
                <w:color w:val="auto"/>
              </w:rPr>
            </w:pPr>
            <w:r>
              <w:rPr>
                <w:rFonts w:ascii="Arial" w:cs="Arial" w:eastAsia="Arial" w:hAnsi="Arial"/>
                <w:sz w:val="18"/>
                <w:szCs w:val="18"/>
                <w:color w:val="auto"/>
              </w:rPr>
              <w:t>Fair value of warrants at beginning of year</w:t>
            </w:r>
          </w:p>
        </w:tc>
        <w:tc>
          <w:tcPr>
            <w:tcW w:w="2180" w:type="dxa"/>
            <w:vAlign w:val="bottom"/>
          </w:tcPr>
          <w:p>
            <w:pPr>
              <w:spacing w:after="0"/>
              <w:rPr>
                <w:sz w:val="13"/>
                <w:szCs w:val="13"/>
                <w:color w:val="auto"/>
              </w:rPr>
            </w:pPr>
          </w:p>
        </w:tc>
        <w:tc>
          <w:tcPr>
            <w:tcW w:w="11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4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1160" w:type="dxa"/>
            <w:vAlign w:val="bottom"/>
          </w:tcPr>
          <w:p>
            <w:pPr>
              <w:jc w:val="right"/>
              <w:ind w:right="97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w:t>
            </w:r>
          </w:p>
        </w:tc>
        <w:tc>
          <w:tcPr>
            <w:tcW w:w="2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Foreign exchange (gains) losses</w:t>
            </w:r>
          </w:p>
        </w:tc>
        <w:tc>
          <w:tcPr>
            <w:tcW w:w="2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warrants during the year</w:t>
            </w:r>
          </w:p>
        </w:tc>
        <w:tc>
          <w:tcPr>
            <w:tcW w:w="2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8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2"/>
              </w:rPr>
              <w:t>(14,113)</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Fair value of warrants at end of year</w:t>
            </w:r>
          </w:p>
        </w:tc>
        <w:tc>
          <w:tcPr>
            <w:tcW w:w="2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warrants, which are classified as derivative financial instruments in the Company’s consolidated balance sheets are required to be re-measured at each reporting period, with the change in fair value recorded as a gain or loss in the change of fair value of derivative financial instruments, included in other income in the Company’s consolidated statements of operations and comprehensive loss. The fair value of the warrants will continue to be classified as a liability until such time as they are exercised, expire or there is an amendment to the respective agreements that renders these financial instruments to be no longer classified as such.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The fair value of all warrants classified as derivative financial instruments outstanding as of December 31, 2020 and 2019 were estimated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option-pricing model with the following weighted average assumptions: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60" w:type="dxa"/>
            <w:vAlign w:val="bottom"/>
            <w:vMerge w:val="restart"/>
          </w:tcPr>
          <w:p>
            <w:pPr>
              <w:spacing w:after="0"/>
              <w:rPr>
                <w:sz w:val="20"/>
                <w:szCs w:val="20"/>
                <w:color w:val="auto"/>
              </w:rPr>
            </w:pPr>
            <w:r>
              <w:rPr>
                <w:rFonts w:ascii="Arial" w:cs="Arial" w:eastAsia="Arial" w:hAnsi="Arial"/>
                <w:sz w:val="18"/>
                <w:szCs w:val="18"/>
                <w:color w:val="auto"/>
              </w:rPr>
              <w:t>Stock price</w:t>
            </w:r>
          </w:p>
        </w:tc>
        <w:tc>
          <w:tcPr>
            <w:tcW w:w="2400" w:type="dxa"/>
            <w:vAlign w:val="bottom"/>
            <w:tcBorders>
              <w:bottom w:val="single" w:sz="8" w:color="auto"/>
            </w:tcBorders>
          </w:tcPr>
          <w:p>
            <w:pPr>
              <w:jc w:val="right"/>
              <w:ind w:right="1375"/>
              <w:spacing w:after="0" w:line="155" w:lineRule="exact"/>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2400" w:type="dxa"/>
            <w:vAlign w:val="bottom"/>
          </w:tcPr>
          <w:p>
            <w:pPr>
              <w:jc w:val="right"/>
              <w:ind w:right="715"/>
              <w:spacing w:after="0"/>
              <w:rPr>
                <w:sz w:val="20"/>
                <w:szCs w:val="20"/>
                <w:color w:val="auto"/>
              </w:rPr>
            </w:pPr>
            <w:r>
              <w:rPr>
                <w:rFonts w:ascii="Arial" w:cs="Arial" w:eastAsia="Arial" w:hAnsi="Arial"/>
                <w:sz w:val="18"/>
                <w:szCs w:val="18"/>
                <w:color w:val="auto"/>
              </w:rPr>
              <w:t>CAD $17.15</w:t>
            </w:r>
          </w:p>
        </w:tc>
        <w:tc>
          <w:tcPr>
            <w:tcW w:w="1100" w:type="dxa"/>
            <w:vAlign w:val="bottom"/>
          </w:tcPr>
          <w:p>
            <w:pPr>
              <w:jc w:val="right"/>
              <w:spacing w:after="0"/>
              <w:rPr>
                <w:sz w:val="20"/>
                <w:szCs w:val="20"/>
                <w:color w:val="auto"/>
              </w:rPr>
            </w:pPr>
            <w:r>
              <w:rPr>
                <w:rFonts w:ascii="Arial" w:cs="Arial" w:eastAsia="Arial" w:hAnsi="Arial"/>
                <w:sz w:val="18"/>
                <w:szCs w:val="18"/>
                <w:color w:val="auto"/>
              </w:rPr>
              <w:t>CAD $43.05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2400" w:type="dxa"/>
            <w:vAlign w:val="bottom"/>
            <w:shd w:val="clear" w:color="auto" w:fill="CFF0FC"/>
          </w:tcPr>
          <w:p>
            <w:pPr>
              <w:jc w:val="right"/>
              <w:ind w:right="715"/>
              <w:spacing w:after="0"/>
              <w:rPr>
                <w:sz w:val="20"/>
                <w:szCs w:val="20"/>
                <w:color w:val="auto"/>
              </w:rPr>
            </w:pPr>
            <w:r>
              <w:rPr>
                <w:rFonts w:ascii="Arial" w:cs="Arial" w:eastAsia="Arial" w:hAnsi="Arial"/>
                <w:sz w:val="18"/>
                <w:szCs w:val="18"/>
                <w:color w:val="auto"/>
              </w:rPr>
              <w:t>CAD $428.75</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CAD $428.75</w:t>
            </w: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Warrant term</w:t>
            </w:r>
          </w:p>
        </w:tc>
        <w:tc>
          <w:tcPr>
            <w:tcW w:w="2400" w:type="dxa"/>
            <w:vAlign w:val="bottom"/>
          </w:tcPr>
          <w:p>
            <w:pPr>
              <w:jc w:val="right"/>
              <w:ind w:right="715"/>
              <w:spacing w:after="0"/>
              <w:rPr>
                <w:sz w:val="20"/>
                <w:szCs w:val="20"/>
                <w:color w:val="auto"/>
              </w:rPr>
            </w:pPr>
            <w:r>
              <w:rPr>
                <w:rFonts w:ascii="Arial" w:cs="Arial" w:eastAsia="Arial" w:hAnsi="Arial"/>
                <w:sz w:val="18"/>
                <w:szCs w:val="18"/>
                <w:color w:val="auto"/>
              </w:rPr>
              <w:t>0.27 years</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1.28 years</w:t>
            </w: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40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rPr>
              <w:t>64.48%</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00" w:type="dxa"/>
            <w:vAlign w:val="bottom"/>
          </w:tcPr>
          <w:p>
            <w:pPr>
              <w:jc w:val="right"/>
              <w:ind w:right="555"/>
              <w:spacing w:after="0"/>
              <w:rPr>
                <w:sz w:val="20"/>
                <w:szCs w:val="20"/>
                <w:color w:val="auto"/>
              </w:rPr>
            </w:pPr>
            <w:r>
              <w:rPr>
                <w:rFonts w:ascii="Arial" w:cs="Arial" w:eastAsia="Arial" w:hAnsi="Arial"/>
                <w:sz w:val="18"/>
                <w:szCs w:val="18"/>
                <w:color w:val="auto"/>
              </w:rPr>
              <w:t>0.06%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Dividend rate</w:t>
            </w:r>
          </w:p>
        </w:tc>
        <w:tc>
          <w:tcPr>
            <w:tcW w:w="240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rPr>
              <w:t>0.00%</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warrant activity during the years ended December 31,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Number of Warrants (by currency</w:t>
            </w:r>
          </w:p>
        </w:tc>
        <w:tc>
          <w:tcPr>
            <w:tcW w:w="220" w:type="dxa"/>
            <w:vAlign w:val="bottom"/>
          </w:tcPr>
          <w:p>
            <w:pPr>
              <w:spacing w:after="0"/>
              <w:rPr>
                <w:sz w:val="14"/>
                <w:szCs w:val="14"/>
                <w:color w:val="auto"/>
              </w:rPr>
            </w:pPr>
          </w:p>
        </w:tc>
        <w:tc>
          <w:tcPr>
            <w:tcW w:w="2420" w:type="dxa"/>
            <w:vAlign w:val="bottom"/>
            <w:gridSpan w:val="5"/>
          </w:tcPr>
          <w:p>
            <w:pPr>
              <w:ind w:left="48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7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denomination of exercise price)</w:t>
            </w:r>
          </w:p>
        </w:tc>
        <w:tc>
          <w:tcPr>
            <w:tcW w:w="22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138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CAD$</w:t>
            </w:r>
          </w:p>
        </w:tc>
        <w:tc>
          <w:tcPr>
            <w:tcW w:w="114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CAD$</w:t>
            </w: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95,799</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18,607</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381.15</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Cancelled/Expired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(26,352)</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(1,096)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262.50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273,554</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Cancelled/Expired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(18,607)</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and exercisable as of December 31,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273,554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warrants outstanding and exercisable as of December 31, 2020:</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60" w:type="dxa"/>
            <w:vAlign w:val="bottom"/>
          </w:tcPr>
          <w:p>
            <w:pPr>
              <w:jc w:val="right"/>
              <w:ind w:right="413"/>
              <w:spacing w:after="0"/>
              <w:rPr>
                <w:sz w:val="20"/>
                <w:szCs w:val="20"/>
                <w:color w:val="auto"/>
              </w:rPr>
            </w:pPr>
            <w:r>
              <w:rPr>
                <w:rFonts w:ascii="Arial" w:cs="Arial" w:eastAsia="Arial" w:hAnsi="Arial"/>
                <w:sz w:val="14"/>
                <w:szCs w:val="14"/>
                <w:b w:val="1"/>
                <w:bCs w:val="1"/>
                <w:color w:val="auto"/>
              </w:rPr>
              <w:t>Number of Warrants Outstanding</w:t>
            </w:r>
          </w:p>
        </w:tc>
        <w:tc>
          <w:tcPr>
            <w:tcW w:w="380" w:type="dxa"/>
            <w:vAlign w:val="bottom"/>
          </w:tcPr>
          <w:p>
            <w:pPr>
              <w:spacing w:after="0"/>
              <w:rPr>
                <w:sz w:val="14"/>
                <w:szCs w:val="14"/>
                <w:color w:val="auto"/>
              </w:rPr>
            </w:pPr>
          </w:p>
        </w:tc>
        <w:tc>
          <w:tcPr>
            <w:tcW w:w="3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23"/>
        </w:trPr>
        <w:tc>
          <w:tcPr>
            <w:tcW w:w="3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68,351</w:t>
            </w:r>
          </w:p>
        </w:tc>
        <w:tc>
          <w:tcPr>
            <w:tcW w:w="380" w:type="dxa"/>
            <w:vAlign w:val="bottom"/>
            <w:tcBorders>
              <w:top w:val="single" w:sz="8" w:color="CFF0FC"/>
            </w:tcBorders>
            <w:shd w:val="clear" w:color="auto" w:fill="CFF0FC"/>
          </w:tcPr>
          <w:p>
            <w:pPr>
              <w:spacing w:after="0"/>
              <w:rPr>
                <w:sz w:val="19"/>
                <w:szCs w:val="19"/>
                <w:color w:val="auto"/>
              </w:rPr>
            </w:pPr>
          </w:p>
        </w:tc>
        <w:tc>
          <w:tcPr>
            <w:tcW w:w="3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CAD$428.75</w:t>
            </w:r>
          </w:p>
        </w:tc>
        <w:tc>
          <w:tcPr>
            <w:tcW w:w="300" w:type="dxa"/>
            <w:vAlign w:val="bottom"/>
            <w:tcBorders>
              <w:top w:val="single" w:sz="8" w:color="CFF0FC"/>
            </w:tcBorders>
            <w:shd w:val="clear" w:color="auto" w:fill="CFF0FC"/>
          </w:tcPr>
          <w:p>
            <w:pPr>
              <w:spacing w:after="0"/>
              <w:rPr>
                <w:sz w:val="19"/>
                <w:szCs w:val="19"/>
                <w:color w:val="auto"/>
              </w:rPr>
            </w:pPr>
          </w:p>
        </w:tc>
        <w:tc>
          <w:tcPr>
            <w:tcW w:w="3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April 21, 2021</w:t>
            </w:r>
          </w:p>
        </w:tc>
      </w:tr>
      <w:tr>
        <w:trPr>
          <w:trHeight w:val="230"/>
        </w:trPr>
        <w:tc>
          <w:tcPr>
            <w:tcW w:w="3060" w:type="dxa"/>
            <w:vAlign w:val="bottom"/>
          </w:tcPr>
          <w:p>
            <w:pPr>
              <w:jc w:val="right"/>
              <w:spacing w:after="0"/>
              <w:rPr>
                <w:sz w:val="20"/>
                <w:szCs w:val="20"/>
                <w:color w:val="auto"/>
              </w:rPr>
            </w:pPr>
            <w:r>
              <w:rPr>
                <w:rFonts w:ascii="Arial" w:cs="Arial" w:eastAsia="Arial" w:hAnsi="Arial"/>
                <w:sz w:val="18"/>
                <w:szCs w:val="18"/>
                <w:color w:val="auto"/>
              </w:rPr>
              <w:t>178,776</w:t>
            </w:r>
          </w:p>
        </w:tc>
        <w:tc>
          <w:tcPr>
            <w:tcW w:w="380" w:type="dxa"/>
            <w:vAlign w:val="bottom"/>
          </w:tcPr>
          <w:p>
            <w:pPr>
              <w:spacing w:after="0"/>
              <w:rPr>
                <w:sz w:val="19"/>
                <w:szCs w:val="19"/>
                <w:color w:val="auto"/>
              </w:rPr>
            </w:pPr>
          </w:p>
        </w:tc>
        <w:tc>
          <w:tcPr>
            <w:tcW w:w="34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US$16.10</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March 20, 2025</w:t>
            </w:r>
          </w:p>
        </w:tc>
      </w:tr>
      <w:tr>
        <w:trPr>
          <w:trHeight w:val="230"/>
        </w:trPr>
        <w:tc>
          <w:tcPr>
            <w:tcW w:w="3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17,431</w:t>
            </w:r>
          </w:p>
        </w:tc>
        <w:tc>
          <w:tcPr>
            <w:tcW w:w="380" w:type="dxa"/>
            <w:vAlign w:val="bottom"/>
            <w:shd w:val="clear" w:color="auto" w:fill="CFF0FC"/>
          </w:tcPr>
          <w:p>
            <w:pPr>
              <w:spacing w:after="0"/>
              <w:rPr>
                <w:sz w:val="19"/>
                <w:szCs w:val="19"/>
                <w:color w:val="auto"/>
              </w:rPr>
            </w:pPr>
          </w:p>
        </w:tc>
        <w:tc>
          <w:tcPr>
            <w:tcW w:w="34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89"/>
              </w:rPr>
              <w:t>US$16.1665</w:t>
            </w:r>
          </w:p>
        </w:tc>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October 26, 2023</w:t>
            </w:r>
          </w:p>
        </w:tc>
      </w:tr>
      <w:tr>
        <w:trPr>
          <w:trHeight w:val="230"/>
        </w:trPr>
        <w:tc>
          <w:tcPr>
            <w:tcW w:w="3060" w:type="dxa"/>
            <w:vAlign w:val="bottom"/>
          </w:tcPr>
          <w:p>
            <w:pPr>
              <w:jc w:val="right"/>
              <w:spacing w:after="0"/>
              <w:rPr>
                <w:sz w:val="20"/>
                <w:szCs w:val="20"/>
                <w:color w:val="auto"/>
              </w:rPr>
            </w:pPr>
            <w:r>
              <w:rPr>
                <w:rFonts w:ascii="Arial" w:cs="Arial" w:eastAsia="Arial" w:hAnsi="Arial"/>
                <w:sz w:val="18"/>
                <w:szCs w:val="18"/>
                <w:color w:val="auto"/>
              </w:rPr>
              <w:t>76,386</w:t>
            </w:r>
          </w:p>
        </w:tc>
        <w:tc>
          <w:tcPr>
            <w:tcW w:w="380" w:type="dxa"/>
            <w:vAlign w:val="bottom"/>
          </w:tcPr>
          <w:p>
            <w:pPr>
              <w:spacing w:after="0"/>
              <w:rPr>
                <w:sz w:val="19"/>
                <w:szCs w:val="19"/>
                <w:color w:val="auto"/>
              </w:rPr>
            </w:pPr>
          </w:p>
        </w:tc>
        <w:tc>
          <w:tcPr>
            <w:tcW w:w="34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US$15.82</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October 26, 2023</w:t>
            </w:r>
          </w:p>
        </w:tc>
      </w:tr>
      <w:tr>
        <w:trPr>
          <w:trHeight w:val="229"/>
        </w:trPr>
        <w:tc>
          <w:tcPr>
            <w:tcW w:w="3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380" w:type="dxa"/>
            <w:vAlign w:val="bottom"/>
            <w:shd w:val="clear" w:color="auto" w:fill="CFF0FC"/>
          </w:tcPr>
          <w:p>
            <w:pPr>
              <w:spacing w:after="0"/>
              <w:rPr>
                <w:sz w:val="19"/>
                <w:szCs w:val="19"/>
                <w:color w:val="auto"/>
              </w:rPr>
            </w:pPr>
          </w:p>
        </w:tc>
        <w:tc>
          <w:tcPr>
            <w:tcW w:w="34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1"/>
              </w:rPr>
              <w:t>US$19.775</w:t>
            </w:r>
          </w:p>
        </w:tc>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October 26, 2023</w:t>
            </w:r>
          </w:p>
        </w:tc>
      </w:tr>
      <w:tr>
        <w:trPr>
          <w:trHeight w:val="237"/>
        </w:trPr>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341,905</w:t>
            </w:r>
          </w:p>
        </w:tc>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PAYMENTS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15, 2018, the Company’s Board of Directors authorized and approved the adoption of the 2018 Omnibus Incentive Plan (as amended, the “2018 Plan”), which was effective upon approval by the stockholders of the Company on June 28, 2018 and under which an aggregate of 153,031 shares may be issued. This share reserve is the sum of 85,714 new shares, plus the remaining 67,317 shares that remained available for issuance under the Company’s 2016 Omnibus Incentive Plan, the predecessor incentive plan (the “2016 Plan”) at the time of the adoption of the 2018 Plan. Pursuant to the terms of the 2018 Plan, the Company is authorized to grant stock options, as well as awards of stock appreciation rights, restricted stock, unrestricted shares, restricted stock units (“RSUs”),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there were an aggregate of 94,485 shares of common stock remaining available for issuance under the 2018 Plan.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0" w:name="page101"/>
    <w:bookmarkEnd w:id="100"/>
    <w:p>
      <w:pPr>
        <w:spacing w:after="0" w:line="277" w:lineRule="auto"/>
        <w:rPr>
          <w:sz w:val="20"/>
          <w:szCs w:val="20"/>
          <w:color w:val="auto"/>
        </w:rPr>
      </w:pPr>
      <w:r>
        <w:rPr>
          <w:rFonts w:ascii="Arial" w:cs="Arial" w:eastAsia="Arial" w:hAnsi="Arial"/>
          <w:sz w:val="18"/>
          <w:szCs w:val="18"/>
          <w:color w:val="auto"/>
        </w:rPr>
        <w:t>For the year ended December 31, 2020, the Company issued 42,417 stock options to employees and directors of which 3,425 were forfeited. The Company issued 571 stock options to consultants during the same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for the year ended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Remaining</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4260" w:type="dxa"/>
            <w:vAlign w:val="bottom"/>
            <w:vMerge w:val="restart"/>
          </w:tcPr>
          <w:p>
            <w:pPr>
              <w:spacing w:after="0"/>
              <w:rPr>
                <w:sz w:val="20"/>
                <w:szCs w:val="20"/>
                <w:color w:val="auto"/>
              </w:rPr>
            </w:pPr>
            <w:r>
              <w:rPr>
                <w:rFonts w:ascii="Arial" w:cs="Arial" w:eastAsia="Arial" w:hAnsi="Arial"/>
                <w:sz w:val="18"/>
                <w:szCs w:val="18"/>
                <w:color w:val="auto"/>
              </w:rPr>
              <w:t>Outstanding as of December 31, 2018</w:t>
            </w:r>
          </w:p>
        </w:tc>
        <w:tc>
          <w:tcPr>
            <w:tcW w:w="2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Number of Options</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Life (in years)</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USD$</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USD$</w:t>
            </w:r>
          </w:p>
        </w:tc>
        <w:tc>
          <w:tcPr>
            <w:tcW w:w="0" w:type="dxa"/>
            <w:vAlign w:val="bottom"/>
          </w:tcPr>
          <w:p>
            <w:pPr>
              <w:spacing w:after="0"/>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94,475</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249.87</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2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33,337</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Forfeited</w:t>
            </w:r>
          </w:p>
        </w:tc>
        <w:tc>
          <w:tcPr>
            <w:tcW w:w="2980" w:type="dxa"/>
            <w:vAlign w:val="bottom"/>
            <w:gridSpan w:val="3"/>
          </w:tcPr>
          <w:p>
            <w:pPr>
              <w:jc w:val="right"/>
              <w:ind w:right="180"/>
              <w:spacing w:after="0"/>
              <w:rPr>
                <w:sz w:val="20"/>
                <w:szCs w:val="20"/>
                <w:color w:val="auto"/>
              </w:rPr>
            </w:pPr>
            <w:r>
              <w:rPr>
                <w:rFonts w:ascii="Arial" w:cs="Arial" w:eastAsia="Arial" w:hAnsi="Arial"/>
                <w:sz w:val="18"/>
                <w:szCs w:val="18"/>
                <w:color w:val="auto"/>
              </w:rPr>
              <w:t>(13,939)</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Exercised </w:t>
            </w:r>
            <w:r>
              <w:rPr>
                <w:rFonts w:ascii="Arial" w:cs="Arial" w:eastAsia="Arial" w:hAnsi="Arial"/>
                <w:sz w:val="15"/>
                <w:szCs w:val="15"/>
                <w:color w:val="auto"/>
              </w:rPr>
              <w:t>(1)</w:t>
            </w:r>
          </w:p>
        </w:tc>
        <w:tc>
          <w:tcPr>
            <w:tcW w:w="29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(14,855)</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Outstanding as of December 31, 2019</w:t>
            </w:r>
          </w:p>
        </w:tc>
        <w:tc>
          <w:tcPr>
            <w:tcW w:w="154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99,018</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236.63</w:t>
            </w:r>
          </w:p>
        </w:tc>
        <w:tc>
          <w:tcPr>
            <w:tcW w:w="240" w:type="dxa"/>
            <w:vAlign w:val="bottom"/>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2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42,988</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Forfeited/Cancelled</w:t>
            </w:r>
          </w:p>
        </w:tc>
        <w:tc>
          <w:tcPr>
            <w:tcW w:w="2980" w:type="dxa"/>
            <w:vAlign w:val="bottom"/>
            <w:gridSpan w:val="3"/>
          </w:tcPr>
          <w:p>
            <w:pPr>
              <w:jc w:val="right"/>
              <w:ind w:right="180"/>
              <w:spacing w:after="0"/>
              <w:rPr>
                <w:sz w:val="20"/>
                <w:szCs w:val="20"/>
                <w:color w:val="auto"/>
              </w:rPr>
            </w:pPr>
            <w:r>
              <w:rPr>
                <w:rFonts w:ascii="Arial" w:cs="Arial" w:eastAsia="Arial" w:hAnsi="Arial"/>
                <w:sz w:val="18"/>
                <w:szCs w:val="18"/>
                <w:color w:val="auto"/>
              </w:rPr>
              <w:t>(28,448)</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210.57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as of December 31, 2020</w:t>
            </w:r>
          </w:p>
        </w:tc>
        <w:tc>
          <w:tcPr>
            <w:tcW w:w="1540" w:type="dxa"/>
            <w:vAlign w:val="bottom"/>
            <w:tcBorders>
              <w:bottom w:val="single" w:sz="8" w:color="CFF0FC"/>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113,558</w:t>
            </w:r>
          </w:p>
        </w:tc>
        <w:tc>
          <w:tcPr>
            <w:tcW w:w="240" w:type="dxa"/>
            <w:vAlign w:val="bottom"/>
            <w:tcBorders>
              <w:bottom w:val="single" w:sz="8" w:color="CFF0FC"/>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159.33</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as of December 31, 2020</w:t>
            </w:r>
          </w:p>
        </w:tc>
        <w:tc>
          <w:tcPr>
            <w:tcW w:w="15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57,725</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80" w:firstLine="8"/>
        <w:spacing w:after="0" w:line="277"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year ended December 31, 2019, 14,855 stock options were exercised on a cashless basis resulting in 13,818 shares being withheld in satisfaction of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2825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and Director Stock Options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unrecognized compensation cost related to non-vested stock options outstanding for employees and directors was $2.4 million which will be recognized over a weighted-average remaining vesting period of approximately 2.3 years. Compensation cost is not adjusted for estimated forfeitures, but instead is adjusted upon an actual forfeiture of a stock option.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2020 and 2019, the Company granted 42,417 and 33,337 stock options, respectively, to employees and directors at a weighted average exercise price of $15.23 and $162.74, respectively. The fair value of employee and director stock options granted for the years ended December 31, 2020 and 2019 had a weighted average grant date fair value of $9.71 and $105.38 per option, respectively, and they were estimated using the Black-Scholes option-pricing model with the following weighted-average assumptions: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32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780" w:type="dxa"/>
            <w:vAlign w:val="bottom"/>
            <w:vMerge w:val="restart"/>
          </w:tcPr>
          <w:p>
            <w:pPr>
              <w:spacing w:after="0"/>
              <w:rPr>
                <w:sz w:val="20"/>
                <w:szCs w:val="20"/>
                <w:color w:val="auto"/>
              </w:rPr>
            </w:pPr>
            <w:r>
              <w:rPr>
                <w:rFonts w:ascii="Arial" w:cs="Arial" w:eastAsia="Arial" w:hAnsi="Arial"/>
                <w:sz w:val="18"/>
                <w:szCs w:val="18"/>
                <w:color w:val="auto"/>
              </w:rPr>
              <w:t>Stock price</w:t>
            </w:r>
          </w:p>
        </w:tc>
        <w:tc>
          <w:tcPr>
            <w:tcW w:w="1560" w:type="dxa"/>
            <w:vAlign w:val="bottom"/>
            <w:tcBorders>
              <w:top w:val="single" w:sz="8" w:color="auto"/>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80" w:type="dxa"/>
            <w:vAlign w:val="bottom"/>
            <w:vMerge w:val="continue"/>
          </w:tcPr>
          <w:p>
            <w:pPr>
              <w:spacing w:after="0"/>
              <w:rPr>
                <w:sz w:val="19"/>
                <w:szCs w:val="19"/>
                <w:color w:val="auto"/>
              </w:rPr>
            </w:pPr>
          </w:p>
        </w:tc>
        <w:tc>
          <w:tcPr>
            <w:tcW w:w="1560" w:type="dxa"/>
            <w:vAlign w:val="bottom"/>
          </w:tcPr>
          <w:p>
            <w:pPr>
              <w:jc w:val="right"/>
              <w:ind w:right="115"/>
              <w:spacing w:after="0"/>
              <w:rPr>
                <w:sz w:val="20"/>
                <w:szCs w:val="20"/>
                <w:color w:val="auto"/>
              </w:rPr>
            </w:pPr>
            <w:r>
              <w:rPr>
                <w:rFonts w:ascii="Arial" w:cs="Arial" w:eastAsia="Arial" w:hAnsi="Arial"/>
                <w:sz w:val="18"/>
                <w:szCs w:val="18"/>
                <w:color w:val="auto"/>
              </w:rPr>
              <w:t>$15.23</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$162.74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156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$15.23</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Expected term</w:t>
            </w:r>
          </w:p>
        </w:tc>
        <w:tc>
          <w:tcPr>
            <w:tcW w:w="1700" w:type="dxa"/>
            <w:vAlign w:val="bottom"/>
            <w:gridSpan w:val="2"/>
          </w:tcPr>
          <w:p>
            <w:pPr>
              <w:ind w:left="620"/>
              <w:spacing w:after="0"/>
              <w:rPr>
                <w:sz w:val="20"/>
                <w:szCs w:val="20"/>
                <w:color w:val="auto"/>
              </w:rPr>
            </w:pPr>
            <w:r>
              <w:rPr>
                <w:rFonts w:ascii="Arial" w:cs="Arial" w:eastAsia="Arial" w:hAnsi="Arial"/>
                <w:sz w:val="18"/>
                <w:szCs w:val="18"/>
                <w:color w:val="auto"/>
              </w:rPr>
              <w:t>5.32 years</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5.42 years</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75.35%</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0.52%</w:t>
            </w: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Dividend rate</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Stock Options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2020, the Company granted 571 stock options to consultants at a weighted average exercise price of $13.58. Stock options granted to the Company’s consultants for the year ended December 31, 2020 had a weighted average grant date fair value of $8.18 per share, and they were estimated using the Black-Scholes option-pricing model with the following weighted-average assumptions: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8240" w:type="dxa"/>
            <w:vAlign w:val="bottom"/>
            <w:vMerge w:val="restart"/>
          </w:tcPr>
          <w:p>
            <w:pPr>
              <w:spacing w:after="0"/>
              <w:rPr>
                <w:sz w:val="20"/>
                <w:szCs w:val="20"/>
                <w:color w:val="auto"/>
              </w:rPr>
            </w:pPr>
            <w:r>
              <w:rPr>
                <w:rFonts w:ascii="Arial" w:cs="Arial" w:eastAsia="Arial" w:hAnsi="Arial"/>
                <w:sz w:val="18"/>
                <w:szCs w:val="18"/>
                <w:color w:val="auto"/>
              </w:rPr>
              <w:t>Stock price</w:t>
            </w:r>
          </w:p>
        </w:tc>
        <w:tc>
          <w:tcPr>
            <w:tcW w:w="760" w:type="dxa"/>
            <w:vAlign w:val="bottom"/>
          </w:tcPr>
          <w:p>
            <w:pPr>
              <w:spacing w:after="0"/>
              <w:rPr>
                <w:sz w:val="13"/>
                <w:szCs w:val="13"/>
                <w:color w:val="auto"/>
              </w:rPr>
            </w:pPr>
          </w:p>
        </w:tc>
        <w:tc>
          <w:tcPr>
            <w:tcW w:w="2060" w:type="dxa"/>
            <w:vAlign w:val="bottom"/>
            <w:tcBorders>
              <w:top w:val="single" w:sz="8" w:color="auto"/>
              <w:bottom w:val="single" w:sz="8" w:color="auto"/>
            </w:tcBorders>
          </w:tcPr>
          <w:p>
            <w:pPr>
              <w:jc w:val="right"/>
              <w:ind w:right="81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24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$13.58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2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Option term</w:t>
            </w:r>
          </w:p>
        </w:tc>
        <w:tc>
          <w:tcPr>
            <w:tcW w:w="760" w:type="dxa"/>
            <w:vAlign w:val="bottom"/>
          </w:tcPr>
          <w:p>
            <w:pPr>
              <w:spacing w:after="0"/>
              <w:rPr>
                <w:sz w:val="19"/>
                <w:szCs w:val="19"/>
                <w:color w:val="auto"/>
              </w:rPr>
            </w:pPr>
          </w:p>
        </w:tc>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5.27 years</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000" w:type="dxa"/>
            <w:vAlign w:val="bottom"/>
            <w:gridSpan w:val="3"/>
          </w:tcPr>
          <w:p>
            <w:pPr>
              <w:jc w:val="right"/>
              <w:ind w:right="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spacing w:after="0"/>
              <w:rPr>
                <w:sz w:val="20"/>
                <w:szCs w:val="20"/>
                <w:color w:val="auto"/>
              </w:rPr>
            </w:pPr>
            <w:r>
              <w:rPr>
                <w:rFonts w:ascii="Arial" w:cs="Arial" w:eastAsia="Arial" w:hAnsi="Arial"/>
                <w:sz w:val="18"/>
                <w:szCs w:val="18"/>
                <w:color w:val="auto"/>
              </w:rPr>
              <w:t>Dividend rate</w:t>
            </w:r>
          </w:p>
        </w:tc>
        <w:tc>
          <w:tcPr>
            <w:tcW w:w="3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For the year ended December 31, 2019 the Company did not grant any stock options to consultants.</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As of December 31, 2020, the</w:t>
            </w:r>
          </w:p>
        </w:tc>
        <w:tc>
          <w:tcPr>
            <w:tcW w:w="0" w:type="dxa"/>
            <w:vAlign w:val="bottom"/>
          </w:tcPr>
          <w:p>
            <w:pPr>
              <w:spacing w:after="0"/>
              <w:rPr>
                <w:sz w:val="1"/>
                <w:szCs w:val="1"/>
                <w:color w:val="auto"/>
              </w:rPr>
            </w:pPr>
          </w:p>
        </w:tc>
      </w:tr>
    </w:tbl>
    <w:p>
      <w:pPr>
        <w:jc w:val="both"/>
        <w:ind w:right="20"/>
        <w:spacing w:after="0" w:line="260" w:lineRule="auto"/>
        <w:rPr>
          <w:sz w:val="20"/>
          <w:szCs w:val="20"/>
          <w:color w:val="auto"/>
        </w:rPr>
      </w:pPr>
      <w:r>
        <w:rPr>
          <w:rFonts w:ascii="Arial" w:cs="Arial" w:eastAsia="Arial" w:hAnsi="Arial"/>
          <w:sz w:val="18"/>
          <w:szCs w:val="18"/>
          <w:color w:val="auto"/>
        </w:rPr>
        <w:t>unrecognized compensation cost related to non-vested stock options outstanding for consultants was $39 thousand which will be recognized over a weighted-average remaining vesting period of 0.8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Beginning in the fourth quarter of 2019, certain members of the Company’s executive management team elected to receive RSUs in lieu of cash compensation under the 2018 Plan that vested upon issuance. The fair value of the RSUs is based on the closing price of the Company’s common stock on the day of the grant.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RSU activity for the years ended December 31,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 Restricted</w:t>
            </w:r>
          </w:p>
        </w:tc>
        <w:tc>
          <w:tcPr>
            <w:tcW w:w="180" w:type="dxa"/>
            <w:vAlign w:val="bottom"/>
          </w:tcPr>
          <w:p>
            <w:pPr>
              <w:spacing w:after="0"/>
              <w:rPr>
                <w:sz w:val="14"/>
                <w:szCs w:val="14"/>
                <w:color w:val="auto"/>
              </w:rPr>
            </w:pPr>
          </w:p>
        </w:tc>
        <w:tc>
          <w:tcPr>
            <w:tcW w:w="1800" w:type="dxa"/>
            <w:vAlign w:val="bottom"/>
          </w:tcPr>
          <w:p>
            <w:pPr>
              <w:jc w:val="right"/>
              <w:ind w:right="54"/>
              <w:spacing w:after="0"/>
              <w:rPr>
                <w:sz w:val="20"/>
                <w:szCs w:val="20"/>
                <w:color w:val="auto"/>
              </w:rPr>
            </w:pPr>
            <w:r>
              <w:rPr>
                <w:rFonts w:ascii="Arial" w:cs="Arial" w:eastAsia="Arial" w:hAnsi="Arial"/>
                <w:sz w:val="14"/>
                <w:szCs w:val="14"/>
                <w:b w:val="1"/>
                <w:bCs w:val="1"/>
                <w:color w:val="auto"/>
              </w:rPr>
              <w:t>Weighted Average Grant</w:t>
            </w:r>
          </w:p>
        </w:tc>
      </w:tr>
      <w:tr>
        <w:trPr>
          <w:trHeight w:val="171"/>
        </w:trPr>
        <w:tc>
          <w:tcPr>
            <w:tcW w:w="7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Stock Units</w:t>
            </w:r>
          </w:p>
        </w:tc>
        <w:tc>
          <w:tcPr>
            <w:tcW w:w="180" w:type="dxa"/>
            <w:vAlign w:val="bottom"/>
          </w:tcPr>
          <w:p>
            <w:pPr>
              <w:spacing w:after="0"/>
              <w:rPr>
                <w:sz w:val="14"/>
                <w:szCs w:val="14"/>
                <w:color w:val="auto"/>
              </w:rPr>
            </w:pPr>
          </w:p>
        </w:tc>
        <w:tc>
          <w:tcPr>
            <w:tcW w:w="1800" w:type="dxa"/>
            <w:vAlign w:val="bottom"/>
          </w:tcPr>
          <w:p>
            <w:pPr>
              <w:jc w:val="right"/>
              <w:ind w:right="74"/>
              <w:spacing w:after="0"/>
              <w:rPr>
                <w:sz w:val="20"/>
                <w:szCs w:val="20"/>
                <w:color w:val="auto"/>
              </w:rPr>
            </w:pPr>
            <w:r>
              <w:rPr>
                <w:rFonts w:ascii="Arial" w:cs="Arial" w:eastAsia="Arial" w:hAnsi="Arial"/>
                <w:sz w:val="14"/>
                <w:szCs w:val="14"/>
                <w:b w:val="1"/>
                <w:bCs w:val="1"/>
                <w:color w:val="auto"/>
              </w:rPr>
              <w:t>Date Fair Value per Unit</w:t>
            </w: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18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CAD$350.00</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USD$21.17</w:t>
            </w:r>
          </w:p>
        </w:tc>
      </w:tr>
      <w:tr>
        <w:trPr>
          <w:trHeight w:val="229"/>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Vested and settled during 2019 </w:t>
            </w:r>
            <w:r>
              <w:rPr>
                <w:rFonts w:ascii="Arial" w:cs="Arial" w:eastAsia="Arial" w:hAnsi="Arial"/>
                <w:sz w:val="15"/>
                <w:szCs w:val="15"/>
                <w:b w:val="1"/>
                <w:bCs w:val="1"/>
                <w:color w:val="auto"/>
              </w:rPr>
              <w:t>(1)</w:t>
            </w:r>
          </w:p>
        </w:tc>
        <w:tc>
          <w:tcPr>
            <w:tcW w:w="1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CAD$350.00</w:t>
            </w: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8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USD$21.17</w:t>
            </w:r>
          </w:p>
        </w:tc>
      </w:tr>
      <w:tr>
        <w:trPr>
          <w:trHeight w:val="229"/>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7,172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USD$15.25</w:t>
            </w: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Settled during 2020</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(7,792)</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USD$17.81</w:t>
            </w:r>
          </w:p>
        </w:tc>
      </w:tr>
      <w:tr>
        <w:trPr>
          <w:trHeight w:val="237"/>
        </w:trPr>
        <w:tc>
          <w:tcPr>
            <w:tcW w:w="7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180" w:type="dxa"/>
            <w:vAlign w:val="bottom"/>
          </w:tcPr>
          <w:p>
            <w:pPr>
              <w:spacing w:after="0"/>
              <w:rPr>
                <w:sz w:val="20"/>
                <w:szCs w:val="20"/>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USD$13.20</w:t>
            </w:r>
          </w:p>
        </w:tc>
      </w:tr>
      <w:tr>
        <w:trPr>
          <w:trHeight w:val="20"/>
        </w:trPr>
        <w:tc>
          <w:tcPr>
            <w:tcW w:w="7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Includes 7 RSUs withheld to satisfy required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62915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462915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is classified in the Company’s consolidated statements of operations and comprehensive loss as follows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117475</wp:posOffset>
            </wp:positionV>
            <wp:extent cx="18688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Research and development</w:t>
            </w:r>
          </w:p>
        </w:tc>
        <w:tc>
          <w:tcPr>
            <w:tcW w:w="372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60" w:type="dxa"/>
            <w:vAlign w:val="bottom"/>
            <w:gridSpan w:val="2"/>
            <w:vMerge w:val="continue"/>
          </w:tcPr>
          <w:p>
            <w:pPr>
              <w:spacing w:after="0"/>
              <w:rPr>
                <w:sz w:val="19"/>
                <w:szCs w:val="19"/>
                <w:color w:val="auto"/>
              </w:rPr>
            </w:pPr>
          </w:p>
        </w:tc>
        <w:tc>
          <w:tcPr>
            <w:tcW w:w="2840" w:type="dxa"/>
            <w:vAlign w:val="bottom"/>
          </w:tcPr>
          <w:p>
            <w:pPr>
              <w:spacing w:after="0"/>
              <w:rPr>
                <w:sz w:val="19"/>
                <w:szCs w:val="19"/>
                <w:color w:val="auto"/>
              </w:rPr>
            </w:pPr>
          </w:p>
        </w:tc>
        <w:tc>
          <w:tcPr>
            <w:tcW w:w="880" w:type="dxa"/>
            <w:vAlign w:val="bottom"/>
            <w:tcBorders>
              <w:top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372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8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1,597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8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2,529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720" w:type="dxa"/>
            <w:vAlign w:val="bottom"/>
            <w:gridSpan w:val="2"/>
          </w:tcPr>
          <w:p>
            <w:pPr>
              <w:jc w:val="right"/>
              <w:ind w:right="2107"/>
              <w:spacing w:after="0"/>
              <w:rPr>
                <w:sz w:val="20"/>
                <w:szCs w:val="20"/>
                <w:color w:val="auto"/>
              </w:rPr>
            </w:pPr>
            <w:r>
              <w:rPr>
                <w:rFonts w:ascii="Arial" w:cs="Arial" w:eastAsia="Arial" w:hAnsi="Arial"/>
                <w:sz w:val="18"/>
                <w:szCs w:val="18"/>
                <w:color w:val="auto"/>
              </w:rPr>
              <w:t>F-22</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11" w:right="3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5.</w:t>
            </w:r>
          </w:p>
        </w:tc>
        <w:tc>
          <w:tcPr>
            <w:tcW w:w="7020" w:type="dxa"/>
            <w:vAlign w:val="bottom"/>
          </w:tcPr>
          <w:p>
            <w:pPr>
              <w:ind w:left="40"/>
              <w:spacing w:after="0"/>
              <w:rPr>
                <w:sz w:val="20"/>
                <w:szCs w:val="20"/>
                <w:color w:val="auto"/>
              </w:rPr>
            </w:pPr>
            <w:r>
              <w:rPr>
                <w:rFonts w:ascii="Arial" w:cs="Arial" w:eastAsia="Arial" w:hAnsi="Arial"/>
                <w:sz w:val="18"/>
                <w:szCs w:val="18"/>
                <w:b w:val="1"/>
                <w:bCs w:val="1"/>
                <w:color w:val="auto"/>
              </w:rPr>
              <w:t>ACCRUED EXPENSES</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Accrued expenses consisted of the following (amounts in thousands):</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Employees benefits</w:t>
            </w:r>
          </w:p>
        </w:tc>
        <w:tc>
          <w:tcPr>
            <w:tcW w:w="110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80" w:type="dxa"/>
            <w:vAlign w:val="bottom"/>
            <w:gridSpan w:val="2"/>
            <w:vMerge w:val="continue"/>
          </w:tcPr>
          <w:p>
            <w:pPr>
              <w:spacing w:after="0"/>
              <w:rPr>
                <w:sz w:val="19"/>
                <w:szCs w:val="19"/>
                <w:color w:val="auto"/>
              </w:rPr>
            </w:pP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Legal expense</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Royalty fees</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spacing w:after="0"/>
              <w:rPr>
                <w:sz w:val="20"/>
                <w:szCs w:val="20"/>
                <w:color w:val="auto"/>
              </w:rPr>
            </w:pPr>
            <w:r>
              <w:rPr>
                <w:rFonts w:ascii="Arial" w:cs="Arial" w:eastAsia="Arial" w:hAnsi="Arial"/>
                <w:sz w:val="18"/>
                <w:szCs w:val="18"/>
                <w:color w:val="auto"/>
              </w:rPr>
              <w:t>Franchise fees</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Severance</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7"/>
              </w:rPr>
              <w:t>Other</w:t>
            </w:r>
          </w:p>
        </w:tc>
        <w:tc>
          <w:tcPr>
            <w:tcW w:w="70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Borders>
              <w:bottom w:val="single" w:sz="8" w:color="CFF0FC"/>
            </w:tcBorders>
            <w:shd w:val="clear" w:color="auto" w:fill="CFF0FC"/>
          </w:tcPr>
          <w:p>
            <w:pPr>
              <w:spacing w:after="0"/>
              <w:rPr>
                <w:sz w:val="19"/>
                <w:szCs w:val="19"/>
                <w:color w:val="auto"/>
              </w:rPr>
            </w:pPr>
          </w:p>
        </w:tc>
        <w:tc>
          <w:tcPr>
            <w:tcW w:w="70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Accrued severance expenses as of December 31, 2020 included $0.3 million in severance costs related to the departure of our former chief executive officer in August 2020.</w:t>
      </w:r>
    </w:p>
    <w:p>
      <w:pPr>
        <w:spacing w:after="0" w:line="85"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loss (income) are as follows (amounts in thousands):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vMerge w:val="restart"/>
          </w:tcPr>
          <w:p>
            <w:pPr>
              <w:spacing w:after="0"/>
              <w:rPr>
                <w:sz w:val="20"/>
                <w:szCs w:val="20"/>
                <w:color w:val="auto"/>
              </w:rPr>
            </w:pPr>
            <w:r>
              <w:rPr>
                <w:rFonts w:ascii="Arial" w:cs="Arial" w:eastAsia="Arial" w:hAnsi="Arial"/>
                <w:sz w:val="18"/>
                <w:szCs w:val="18"/>
                <w:color w:val="auto"/>
              </w:rPr>
              <w:t>U.S.</w:t>
            </w:r>
          </w:p>
        </w:tc>
        <w:tc>
          <w:tcPr>
            <w:tcW w:w="30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8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12,362</w:t>
            </w:r>
          </w:p>
        </w:tc>
        <w:tc>
          <w:tcPr>
            <w:tcW w:w="240" w:type="dxa"/>
            <w:vAlign w:val="bottom"/>
          </w:tcPr>
          <w:p>
            <w:pPr>
              <w:spacing w:after="0"/>
              <w:rPr>
                <w:sz w:val="19"/>
                <w:szCs w:val="19"/>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Non-U.S.</w:t>
            </w:r>
          </w:p>
        </w:tc>
        <w:tc>
          <w:tcPr>
            <w:tcW w:w="30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2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14,130</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income tax provision computed at statutory rates to the reported income tax provision is as follows (amounts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40" w:type="dxa"/>
            <w:vAlign w:val="bottom"/>
            <w:vMerge w:val="restart"/>
          </w:tcPr>
          <w:p>
            <w:pPr>
              <w:spacing w:after="0"/>
              <w:rPr>
                <w:sz w:val="20"/>
                <w:szCs w:val="20"/>
                <w:color w:val="auto"/>
              </w:rPr>
            </w:pPr>
            <w:r>
              <w:rPr>
                <w:rFonts w:ascii="Arial" w:cs="Arial" w:eastAsia="Arial" w:hAnsi="Arial"/>
                <w:sz w:val="18"/>
                <w:szCs w:val="18"/>
                <w:color w:val="auto"/>
              </w:rPr>
              <w:t>Statutory tax rate</w:t>
            </w:r>
          </w:p>
        </w:tc>
        <w:tc>
          <w:tcPr>
            <w:tcW w:w="26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540" w:type="dxa"/>
            <w:vAlign w:val="bottom"/>
            <w:vMerge w:val="continue"/>
          </w:tcPr>
          <w:p>
            <w:pPr>
              <w:spacing w:after="0"/>
              <w:rPr>
                <w:sz w:val="22"/>
                <w:szCs w:val="22"/>
                <w:color w:val="auto"/>
              </w:rPr>
            </w:pPr>
          </w:p>
        </w:tc>
        <w:tc>
          <w:tcPr>
            <w:tcW w:w="2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21.00%</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income taxes</w:t>
            </w:r>
          </w:p>
        </w:tc>
        <w:tc>
          <w:tcPr>
            <w:tcW w:w="26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14,130</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9,781</w:t>
            </w:r>
          </w:p>
        </w:tc>
        <w:tc>
          <w:tcPr>
            <w:tcW w:w="18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income tax recovery</w:t>
            </w:r>
          </w:p>
        </w:tc>
        <w:tc>
          <w:tcPr>
            <w:tcW w:w="26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(2,967)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w w:val="97"/>
              </w:rPr>
              <w:t>Increase (decrease) in income tax recovery resulting from:</w:t>
            </w:r>
          </w:p>
        </w:tc>
        <w:tc>
          <w:tcPr>
            <w:tcW w:w="2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Derivative liability</w:t>
            </w:r>
          </w:p>
        </w:tc>
        <w:tc>
          <w:tcPr>
            <w:tcW w:w="2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(2,964)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 based payments</w:t>
            </w:r>
          </w:p>
        </w:tc>
        <w:tc>
          <w:tcPr>
            <w:tcW w:w="2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Other permanent difference</w:t>
            </w:r>
          </w:p>
        </w:tc>
        <w:tc>
          <w:tcPr>
            <w:tcW w:w="2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income taxed at foreign rate</w:t>
            </w:r>
          </w:p>
        </w:tc>
        <w:tc>
          <w:tcPr>
            <w:tcW w:w="2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Increase in valuation allowance</w:t>
            </w:r>
          </w:p>
        </w:tc>
        <w:tc>
          <w:tcPr>
            <w:tcW w:w="2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6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900" w:type="dxa"/>
            <w:vAlign w:val="bottom"/>
            <w:gridSpan w:val="2"/>
          </w:tcPr>
          <w:p>
            <w:pPr>
              <w:jc w:val="right"/>
              <w:ind w:right="2147"/>
              <w:spacing w:after="0"/>
              <w:rPr>
                <w:sz w:val="20"/>
                <w:szCs w:val="20"/>
                <w:color w:val="auto"/>
              </w:rPr>
            </w:pPr>
            <w:r>
              <w:rPr>
                <w:rFonts w:ascii="Arial" w:cs="Arial" w:eastAsia="Arial" w:hAnsi="Arial"/>
                <w:sz w:val="18"/>
                <w:szCs w:val="18"/>
                <w:color w:val="auto"/>
              </w:rPr>
              <w:t>F-23</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3" w:name="page104"/>
    <w:bookmarkEnd w:id="103"/>
    <w:p>
      <w:pPr>
        <w:jc w:val="both"/>
        <w:spacing w:after="0" w:line="277" w:lineRule="auto"/>
        <w:rPr>
          <w:sz w:val="20"/>
          <w:szCs w:val="20"/>
          <w:color w:val="auto"/>
        </w:rPr>
      </w:pPr>
      <w:r>
        <w:rPr>
          <w:rFonts w:ascii="Arial" w:cs="Arial" w:eastAsia="Arial" w:hAnsi="Arial"/>
          <w:sz w:val="18"/>
          <w:szCs w:val="18"/>
          <w:color w:val="auto"/>
        </w:rPr>
        <w:t>The significant components of the Company’s deferred income tax assets and liabilities after applying enacted corporate tax rates are as follows (amounts in thousands):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40" w:type="dxa"/>
            <w:vAlign w:val="bottom"/>
            <w:vMerge w:val="restart"/>
          </w:tcPr>
          <w:p>
            <w:pPr>
              <w:spacing w:after="0"/>
              <w:rPr>
                <w:sz w:val="20"/>
                <w:szCs w:val="20"/>
                <w:color w:val="auto"/>
              </w:rPr>
            </w:pPr>
            <w:r>
              <w:rPr>
                <w:rFonts w:ascii="Arial" w:cs="Arial" w:eastAsia="Arial" w:hAnsi="Arial"/>
                <w:sz w:val="18"/>
                <w:szCs w:val="18"/>
                <w:color w:val="auto"/>
              </w:rPr>
              <w:t>Deferred income tax assets (liabilities)</w:t>
            </w:r>
          </w:p>
        </w:tc>
        <w:tc>
          <w:tcPr>
            <w:tcW w:w="20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losses carried forward</w:t>
            </w:r>
          </w:p>
        </w:tc>
        <w:tc>
          <w:tcPr>
            <w:tcW w:w="2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24,576</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Tax credits</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882</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compensation</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40"/>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1,099</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(28,173)</w:t>
            </w:r>
          </w:p>
        </w:tc>
        <w:tc>
          <w:tcPr>
            <w:tcW w:w="5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(24,786)</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Net deferred income tax asset</w:t>
            </w:r>
          </w:p>
        </w:tc>
        <w:tc>
          <w:tcPr>
            <w:tcW w:w="20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December 31, 2020, the Company has accumulated non-capital losses totaling $5.2 million in Canada and net operating losses of $85.9 million in the United States, which may be available to carry forward and offset future years’ taxable income. The losses expire in various amounts starting in 2033.</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provisions of the Internal Revenue Code of 1986, as amended (the “Code”), the net operating loss carryforwards are subject to review and possible adjustment by the Internal Revenue Service and state tax authorities. Net operating loss carryforwards may become subject to an annual limitation in the event of certain cumulative changes in the ownership interest of significant shareholders over a three-year period in excess of 50 percent, as defined under Section 382 of the Code,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adopted certain provisions of ASC 740, “Income Taxes”, which prescribes a recognition threshold and measurement attribute for the recognition and measurement of tax positions taken or expected to be taken in income tax returns. The provisions also provide guidance on the de-recognition of income tax assets and liabilities, classification of current and deferred income tax assets and liabilities, and accounting for interest and penalties associated with tax positions.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files income tax returns in the U.S. federal jurisdiction, and in various state and foreign jurisdictions. The Company’s tax returns are subject to tax examinations by U.S. federal and state tax authorities, or examinations by foreign tax authorities until the expiration of the respective statutes of limitation. The Company currently has no tax years under examination.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Company does not have an accrual relating to uncertain tax positions. It is not anticipated that unrecognized tax benefits would significantly increase or decrease within 12 months of the reporting date.</w:t>
      </w:r>
    </w:p>
    <w:p>
      <w:pPr>
        <w:spacing w:after="0" w:line="166"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500" w:hanging="492"/>
        <w:spacing w:after="0" w:line="275"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January 22, 2013, the Company entered into a license agreement with Advanced NeuroRehabilitation, LLC (“ANR”) for an exclusive right on ANR’s patent pending technology, claims and knowhow. In addition to the issuance of 91,628 shares of common stock to ANR, the Company agreed to pay a 4% royalty on net revenue on the sales of devices covered by the patent-pending technology and services related to the therapy or use of devices covered by the patent-pending technology. For the years ended December 31, 2020 and 2019, the Company recorded approximately $22 thousand and $59 thousand, respectively, in royalty expenses in its consolidated statement of operations.</w:t>
      </w:r>
    </w:p>
    <w:p>
      <w:pPr>
        <w:spacing w:after="0" w:line="176" w:lineRule="exact"/>
        <w:rPr>
          <w:rFonts w:ascii="Arial" w:cs="Arial" w:eastAsia="Arial" w:hAnsi="Arial"/>
          <w:sz w:val="17"/>
          <w:szCs w:val="17"/>
          <w:color w:val="auto"/>
        </w:rPr>
      </w:pPr>
    </w:p>
    <w:p>
      <w:pPr>
        <w:jc w:val="both"/>
        <w:ind w:left="500" w:hanging="492"/>
        <w:spacing w:after="0" w:line="271"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October 30, 2017, HMI amended the Asset Purchase Agreement with A&amp;B (HK) Company Ltd. (“A&amp;B”) which specified that if the Company fails to obtain FDA marketing authorization for commercialization of or otherwise fails to ensure that the PoNS device is available for purchase by the U.S. Government by December 31, 2021, the Company would be subject to a $2.0 million contract penalty payable to A&amp;B, unless the Company receives an exemption for the requirement of FDA marketing authorization from the U.S. Army Medical Material Agency. In December 2018, the U.S. Army notified the Company that they were amending the Agreement such that the satisfaction of the obligation of the contract was changed from FDA marketing authorization of the PoNS device to submitting of an application for marketing authorization of the PoNS device with the FDA. As the Company submitted its application for marketing authorization of the PoNS device to the FDA on August 31, 2018, and with copies of the submission documents provided to the U.S. Army, the Company has met its obligation under the amended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4" w:name="page105"/>
    <w:bookmarkEnd w:id="104"/>
    <w:p>
      <w:pPr>
        <w:ind w:left="492"/>
        <w:spacing w:after="0"/>
        <w:rPr>
          <w:sz w:val="20"/>
          <w:szCs w:val="20"/>
          <w:color w:val="auto"/>
        </w:rPr>
      </w:pPr>
      <w:r>
        <w:rPr>
          <w:rFonts w:ascii="Arial" w:cs="Arial" w:eastAsia="Arial" w:hAnsi="Arial"/>
          <w:sz w:val="17"/>
          <w:szCs w:val="17"/>
          <w:color w:val="auto"/>
        </w:rPr>
        <w:t>agreement. Based on this amendment the Company has determined that the possibility of a payment under this contractual penalty is remote.</w:t>
      </w:r>
    </w:p>
    <w:p>
      <w:pPr>
        <w:spacing w:after="0" w:line="237" w:lineRule="exact"/>
        <w:rPr>
          <w:sz w:val="20"/>
          <w:szCs w:val="20"/>
          <w:color w:val="auto"/>
        </w:rPr>
      </w:pPr>
    </w:p>
    <w:p>
      <w:pPr>
        <w:jc w:val="both"/>
        <w:ind w:left="492" w:hanging="492"/>
        <w:spacing w:after="0" w:line="257" w:lineRule="auto"/>
        <w:tabs>
          <w:tab w:leader="none" w:pos="49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March 2017, the Company entered into a lease for office space in Newtown, Pennsylvania. The initial term of the lease was from July 1, 2017 through December 31, 2022, with an option to extend until 2027. In July 2017, the Company amended the contract to commence the lease on July 17, 2017 through January 16, 2023, with an option to extend until January 2028. Lease extension options were not included in the lease term as it was not reasonably certain that the Company would elect to utilize the option to extend. Monthly rent plus utilities were approximately $20 thousand per month beginning in January 2018 with a 3% annual increase.</w:t>
      </w:r>
    </w:p>
    <w:p>
      <w:pPr>
        <w:spacing w:after="0" w:line="187" w:lineRule="exact"/>
        <w:rPr>
          <w:rFonts w:ascii="Arial" w:cs="Arial" w:eastAsia="Arial" w:hAnsi="Arial"/>
          <w:sz w:val="18"/>
          <w:szCs w:val="18"/>
          <w:color w:val="auto"/>
        </w:rPr>
      </w:pPr>
    </w:p>
    <w:p>
      <w:pPr>
        <w:jc w:val="both"/>
        <w:ind w:left="512"/>
        <w:spacing w:after="0" w:line="291" w:lineRule="auto"/>
        <w:rPr>
          <w:rFonts w:ascii="Arial" w:cs="Arial" w:eastAsia="Arial" w:hAnsi="Arial"/>
          <w:sz w:val="18"/>
          <w:szCs w:val="18"/>
          <w:color w:val="auto"/>
        </w:rPr>
      </w:pPr>
      <w:r>
        <w:rPr>
          <w:rFonts w:ascii="Arial" w:cs="Arial" w:eastAsia="Arial" w:hAnsi="Arial"/>
          <w:sz w:val="16"/>
          <w:szCs w:val="16"/>
          <w:color w:val="auto"/>
        </w:rPr>
        <w:t>In May 2020, the Company terminated its lease and entered into a new lease (the “Lease Amendment”) for a smaller footprint of the current office space in Newtown, Pennsylvania. Lease payments under the original contract will be made through December 2020. The Lease Amendment was</w:t>
      </w:r>
    </w:p>
    <w:p>
      <w:pPr>
        <w:jc w:val="both"/>
        <w:ind w:left="512"/>
        <w:spacing w:after="0" w:line="281" w:lineRule="auto"/>
        <w:rPr>
          <w:sz w:val="20"/>
          <w:szCs w:val="20"/>
          <w:color w:val="auto"/>
        </w:rPr>
      </w:pPr>
      <w:r>
        <w:rPr>
          <w:rFonts w:ascii="Arial" w:cs="Arial" w:eastAsia="Arial" w:hAnsi="Arial"/>
          <w:sz w:val="16"/>
          <w:szCs w:val="16"/>
          <w:color w:val="auto"/>
        </w:rPr>
        <w:t>determined to be a partial termination that qualified as a change of accounting of the existing lease and not a separate contract. As such, the ROU assets and operating lease liabilities were remeasured using an incremental borrowing rate at the date of modification. The carrying value of the ROU asset decreased on a basis proportionate to the partial termination by approximately $0.4 million and the related lease liability decreased by approximately $0.4 million. The Company recorded a gain of approximately $0.1 million resulting from the difference between the reduction in the lease liability and the proportionate reduction of the ROU asset. This amount is recorded as a component of other income in the consolidated</w:t>
      </w:r>
    </w:p>
    <w:p>
      <w:pPr>
        <w:spacing w:after="0" w:line="3" w:lineRule="exact"/>
        <w:rPr>
          <w:sz w:val="20"/>
          <w:szCs w:val="20"/>
          <w:color w:val="auto"/>
        </w:rPr>
      </w:pPr>
    </w:p>
    <w:p>
      <w:pPr>
        <w:jc w:val="both"/>
        <w:ind w:left="512"/>
        <w:spacing w:after="0" w:line="273" w:lineRule="auto"/>
        <w:rPr>
          <w:sz w:val="20"/>
          <w:szCs w:val="20"/>
          <w:color w:val="auto"/>
        </w:rPr>
      </w:pPr>
      <w:r>
        <w:rPr>
          <w:rFonts w:ascii="Arial" w:cs="Arial" w:eastAsia="Arial" w:hAnsi="Arial"/>
          <w:sz w:val="17"/>
          <w:szCs w:val="17"/>
          <w:color w:val="auto"/>
        </w:rPr>
        <w:t>statement of operations and comprehensive loss for the year ended December 31, 2020. The initial lease term of the Lease Amendment is from July 1, 2020 through June 30, 2021, with options to extend for successive six month periods. Two lease extension options were included in the lease term as it was reasonably certain that the Company would elect to utilize the option to extend for this period of time. Monthly rent plus utilities will be approximately $5 thousand per month beginning in January 2021 with a 3% annual increase.</w:t>
      </w:r>
    </w:p>
    <w:p>
      <w:pPr>
        <w:spacing w:after="0" w:line="176" w:lineRule="exact"/>
        <w:rPr>
          <w:sz w:val="20"/>
          <w:szCs w:val="20"/>
          <w:color w:val="auto"/>
        </w:rPr>
      </w:pPr>
    </w:p>
    <w:p>
      <w:pPr>
        <w:ind w:left="512" w:right="400"/>
        <w:spacing w:after="0" w:line="277" w:lineRule="auto"/>
        <w:rPr>
          <w:sz w:val="20"/>
          <w:szCs w:val="20"/>
          <w:color w:val="auto"/>
        </w:rPr>
      </w:pPr>
      <w:r>
        <w:rPr>
          <w:rFonts w:ascii="Arial" w:cs="Arial" w:eastAsia="Arial" w:hAnsi="Arial"/>
          <w:sz w:val="18"/>
          <w:szCs w:val="18"/>
          <w:color w:val="auto"/>
        </w:rPr>
        <w:t>The following table summarizes the Company’s operating lease information including future minimum lease payments under a non-cancellable lease (amounts in thousands):</w:t>
      </w:r>
    </w:p>
    <w:p>
      <w:pPr>
        <w:spacing w:after="0" w:line="167" w:lineRule="exact"/>
        <w:rPr>
          <w:sz w:val="20"/>
          <w:szCs w:val="20"/>
          <w:color w:val="auto"/>
        </w:rPr>
      </w:pPr>
    </w:p>
    <w:tbl>
      <w:tblPr>
        <w:tblLayout w:type="fixed"/>
        <w:tblInd w:w="1132" w:type="dxa"/>
        <w:tblCellMar>
          <w:top w:w="0" w:type="dxa"/>
          <w:left w:w="0" w:type="dxa"/>
          <w:bottom w:w="0" w:type="dxa"/>
          <w:right w:w="0" w:type="dxa"/>
        </w:tblCellMar>
      </w:tblPr>
      <w:tr>
        <w:trPr>
          <w:trHeight w:val="207"/>
        </w:trPr>
        <w:tc>
          <w:tcPr>
            <w:tcW w:w="5920" w:type="dxa"/>
            <w:vAlign w:val="bottom"/>
            <w:gridSpan w:val="5"/>
          </w:tcPr>
          <w:p>
            <w:pPr>
              <w:spacing w:after="0"/>
              <w:rPr>
                <w:sz w:val="20"/>
                <w:szCs w:val="20"/>
                <w:color w:val="auto"/>
              </w:rPr>
            </w:pPr>
            <w:r>
              <w:rPr>
                <w:rFonts w:ascii="Arial" w:cs="Arial" w:eastAsia="Arial" w:hAnsi="Arial"/>
                <w:sz w:val="18"/>
                <w:szCs w:val="18"/>
                <w:b w:val="1"/>
                <w:bCs w:val="1"/>
                <w:color w:val="auto"/>
              </w:rPr>
              <w:t>For the Year Ending December 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9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8"/>
                <w:szCs w:val="18"/>
                <w:color w:val="auto"/>
              </w:rPr>
              <w:t>Operating lease - operating cash flows</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1.50 years</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00" w:type="dxa"/>
            <w:vAlign w:val="bottom"/>
            <w:gridSpan w:val="4"/>
          </w:tcPr>
          <w:p>
            <w:pPr>
              <w:spacing w:after="0"/>
              <w:rPr>
                <w:sz w:val="20"/>
                <w:szCs w:val="20"/>
                <w:color w:val="auto"/>
              </w:rPr>
            </w:pPr>
            <w:r>
              <w:rPr>
                <w:rFonts w:ascii="Arial" w:cs="Arial" w:eastAsia="Arial" w:hAnsi="Arial"/>
                <w:sz w:val="18"/>
                <w:szCs w:val="18"/>
                <w:color w:val="auto"/>
                <w:w w:val="90"/>
              </w:rPr>
              <w:t>Future minimum lease payments under non-cancellable lease as of December 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gridSpan w:val="5"/>
          </w:tcPr>
          <w:p>
            <w:pPr>
              <w:spacing w:after="0"/>
              <w:rPr>
                <w:sz w:val="20"/>
                <w:szCs w:val="20"/>
                <w:color w:val="auto"/>
              </w:rPr>
            </w:pPr>
            <w:r>
              <w:rPr>
                <w:rFonts w:ascii="Arial" w:cs="Arial" w:eastAsia="Arial" w:hAnsi="Arial"/>
                <w:sz w:val="18"/>
                <w:szCs w:val="18"/>
                <w:color w:val="auto"/>
              </w:rPr>
              <w:t>2020 were as follows: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For the Period Ending December 31,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100" w:type="dxa"/>
            <w:vAlign w:val="bottom"/>
            <w:tcBorders>
              <w:top w:val="single" w:sz="8" w:color="CFF0FC"/>
            </w:tcBorders>
          </w:tcPr>
          <w:p>
            <w:pPr>
              <w:spacing w:after="0"/>
              <w:rPr>
                <w:sz w:val="21"/>
                <w:szCs w:val="21"/>
                <w:color w:val="auto"/>
              </w:rPr>
            </w:pPr>
          </w:p>
        </w:tc>
        <w:tc>
          <w:tcPr>
            <w:tcW w:w="340" w:type="dxa"/>
            <w:vAlign w:val="bottom"/>
            <w:tcBorders>
              <w:top w:val="single" w:sz="8" w:color="CFF0FC"/>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FF0FC"/>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98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20" w:type="dxa"/>
            <w:vAlign w:val="bottom"/>
            <w:gridSpan w:val="5"/>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920" w:type="dxa"/>
            <w:vAlign w:val="bottom"/>
            <w:gridSpan w:val="5"/>
          </w:tcPr>
          <w:p>
            <w:pPr>
              <w:spacing w:after="0"/>
              <w:rPr>
                <w:sz w:val="20"/>
                <w:szCs w:val="20"/>
                <w:color w:val="auto"/>
              </w:rPr>
            </w:pPr>
            <w:r>
              <w:rPr>
                <w:rFonts w:ascii="Arial" w:cs="Arial" w:eastAsia="Arial" w:hAnsi="Arial"/>
                <w:sz w:val="18"/>
                <w:szCs w:val="18"/>
                <w:b w:val="1"/>
                <w:bCs w:val="1"/>
                <w:color w:val="auto"/>
              </w:rPr>
              <w:t>Total liability</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0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Reported as of December 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70"/>
              <w:spacing w:after="0" w:line="189"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Current operating lease liability</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Non-current operating lease liability</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637</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92" w:hanging="492"/>
        <w:spacing w:after="0" w:line="270" w:lineRule="auto"/>
        <w:tabs>
          <w:tab w:leader="none" w:pos="492" w:val="left"/>
        </w:tabs>
        <w:numPr>
          <w:ilvl w:val="0"/>
          <w:numId w:val="49"/>
        </w:numPr>
        <w:rPr>
          <w:rFonts w:ascii="Arial" w:cs="Arial" w:eastAsia="Arial" w:hAnsi="Arial"/>
          <w:sz w:val="17"/>
          <w:szCs w:val="17"/>
          <w:color w:val="auto"/>
        </w:rPr>
      </w:pPr>
      <w:r>
        <w:rPr>
          <w:rFonts w:ascii="Arial" w:cs="Arial" w:eastAsia="Arial" w:hAnsi="Arial"/>
          <w:sz w:val="17"/>
          <w:szCs w:val="17"/>
          <w:color w:val="auto"/>
        </w:rPr>
        <w:t>On December 29, 2017, HMI (formerly known as NeuroHabilitation Corporation) entered into a Manufacturing and Supply Agreement (“MSA”) with Key Tronic Corporation (“Key Tronic”), for the manufacture and supply of the Company’s PoNS device based upon the Company’s product specifications as set forth in the MSA. Per the agreement, the Company shall provide to Key Tronic a rolling forecast for the procurement of parts and material and within normal lead times based on estimated delivery dates for the manufacture of the PoNS device. The term of the agreement is for three years and the agreement will automatically renew for additional consecutive terms of one year, unless cancelled by either party upon 180-day written notice to the other party prior to the end of the then current term. On June 1, 2020, HMI extended the existing manufacturing agreement with Key Tronic for a second three year term from December 29, 2020 until December 31, 2023. As of December 31, 2020, the Company did not have any outstanding commitments to Key Tronic to complete the Company’s forecast for the procurement of materials necessary for the delivery of PoNS devices.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105" w:name="page106"/>
    <w:bookmarkEnd w:id="105"/>
    <w:p>
      <w:pPr>
        <w:jc w:val="both"/>
        <w:ind w:left="500" w:hanging="492"/>
        <w:spacing w:after="0" w:line="257" w:lineRule="auto"/>
        <w:tabs>
          <w:tab w:leader="none" w:pos="500" w:val="left"/>
        </w:tabs>
        <w:numPr>
          <w:ilvl w:val="0"/>
          <w:numId w:val="50"/>
        </w:numPr>
        <w:rPr>
          <w:rFonts w:ascii="Arial" w:cs="Arial" w:eastAsia="Arial" w:hAnsi="Arial"/>
          <w:sz w:val="18"/>
          <w:szCs w:val="18"/>
          <w:color w:val="313131"/>
        </w:rPr>
      </w:pPr>
      <w:r>
        <w:rPr>
          <w:rFonts w:ascii="Arial" w:cs="Arial" w:eastAsia="Arial" w:hAnsi="Arial"/>
          <w:sz w:val="18"/>
          <w:szCs w:val="18"/>
          <w:color w:val="auto"/>
        </w:rPr>
        <w:t>The Company was granted a $323 thousand loan on April 13, 2020 under the Paycheck Protection Program (the “PPP Loan”) established under the CARES Act. The Company planned to use the proceeds from the PPP Loan for covered payroll costs, rent and utilities in accordance with the relevant terms and conditions of the CARES Act. However, based upon subsequent guidance issued by the Federal Government, including a presumption that publicly traded companies may not be eligible for a PPP loan, the Company returned the PPP Loan proceeds in May 2020 and paid interest for the period of time the loan was outstanding.</w:t>
      </w:r>
    </w:p>
    <w:p>
      <w:pPr>
        <w:spacing w:after="0" w:line="184"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8.</w:t>
        <w:tab/>
        <w:t>VARIABLE INTEREST ENTITIES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variable interest entity ("VIE") is an entity that either (i) has insufficient equity to permit the entity to finance its activities without additional subordinated financial support, or (ii) has equity investors who lack the characteristics of a controlling financial interest. Under ASC 810, an entity that holds a variable interest in a VIE and meets certain requirements would be considered to be the primary beneficiary of the VIE and is required to consolidate the VIE in its consolidated financial statements. In order to be considered the primary beneficiary of a VIE, an entity must hold a variable interest in the VIE and have both:</w:t>
      </w:r>
    </w:p>
    <w:p>
      <w:pPr>
        <w:spacing w:after="0" w:line="188" w:lineRule="exact"/>
        <w:rPr>
          <w:sz w:val="20"/>
          <w:szCs w:val="20"/>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power to direct the activities that most significantly impact the economic performance of the VIE; and</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 to receive benefits from, or the obligation to absorb losses of the VIE that could be potentially significant to the VIE.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regularly assesses its relationships with contractual third party and other entities for potential VIE’s. In making this assessment, the Company considers the potential that its contracts or other arrangements provide subordinated financial support, absorb losses or rights to residual returns of the entity and the ability to directly or indirectly make decisions about the entity’s activities. If the Company determines that it is the primary beneficiary of a VIE, the Company consolidates the statements of operations and financial condition of the VIE into its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Variable Interest Entity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acquisition of Heuro on October 30, 2019 (see Note 2), the Company utilized the consolidation guidance under ASC 810 to determine whether Heuro was a VIE, and if so, whether the Company was the primary beneficiary of Heuro. Prior to the aforementioned acquisition, the Company had concluded that Heuro was a VIE based on the fact that the equity investment at risk in Heuro was not sufficient. The Company’s variable interests in Heuro arose from a profit sharing arrangement with Heuro. In determining whether the Company was the primary beneficiary and whether the Company had the right to receive benefits and the obligation to absorb losses that could potentially be significant to the VIE, the Company evaluated its economic interest in Heuro.</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evaluation considered all relevant factors of Heuro’s structure, including its capital structure, contractual rights to earnings (losses) as well as other contractual arrangements that had the potential to be economically significant. Following the guidance in ASC 810, although the Company had the obligation to absorb losses prior to October 30, 2019, the Company concluded that it was not the primary beneficiary, as it did not have the power to direct the activities that most significantly affected the economic performance of Heuro. The significant economic activities identified were financing activities, research and development activities, commercialization activities, supply and distribution activities, business strategy activities and clinic expansion activities. The evaluation of each of these factors in reaching a conclusion about the potential significance of the Company’s economic interests and control was a matter that required the exercise of professional judgement.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Accordingly, prior to October 30, 2019, the Company did not consolidate Heuro in its consolidated financial statements nor did the Company have any carrying amounts for assets and liabilities relating to the variable interest in the VIE. Upon completion of the acquisition of Heuro on October 30, 2019, the Company consolidates Heuro’s results in its consolidated financial statements.</w:t>
      </w:r>
    </w:p>
    <w:p>
      <w:pPr>
        <w:spacing w:after="0" w:line="396"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the years ended December 31, 2020 and 2019, the Company paid approximately $5 thousand and $27 thousand, respectively, in consulting fees to a director of the Company. As of December 31, 2020, the Company did not have an accrued liability for consulting fees to a director of the Company.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Chief Financial Officer/Chief Operating Officer and affiliates of the Company’s Interim Chief Executive Officer subscribed for units in the Company’s October 2020 Offering.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January 2021, 81,633 warrants issued in conjunction with the March 2020 Offering were exercised at an exercise price of $16.10 per share for gross proceeds of $1.3 million.</w:t>
      </w:r>
    </w:p>
    <w:p>
      <w:pPr>
        <w:spacing w:after="0" w:line="17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On February 1, 2021, in an underwritten public offering (the “Public Offering”), the Company issued 744,936 shares of common stock and warrants to purchase up to an aggregate of 372,468 shares of common stock at a purchase price of $14.82 per unit, consisting of one share and a warrant to purchase</w:t>
      </w:r>
    </w:p>
    <w:p>
      <w:pPr>
        <w:spacing w:after="0" w:line="295" w:lineRule="auto"/>
        <w:rPr>
          <w:sz w:val="20"/>
          <w:szCs w:val="20"/>
          <w:color w:val="auto"/>
        </w:rPr>
      </w:pPr>
      <w:r>
        <w:rPr>
          <w:rFonts w:ascii="Arial" w:cs="Arial" w:eastAsia="Arial" w:hAnsi="Arial"/>
          <w:sz w:val="16"/>
          <w:szCs w:val="16"/>
          <w:color w:val="auto"/>
        </w:rPr>
        <w:t>0.50 shares of common stock. The warrants have an initial exercise price of $16.302 per share and are exercisable for a period of five years from the date of issuance. The Company also issued warrants to the underwriter to purchase 29,797 shares of common stock, with an exercise price of $18.525 per share. Net proceeds from the Public Offering after underwriter’s discounts and commission and offering expenses paid by us were approximately $9.6 million. Affiliates of the Company’s Interim Chief Executive Officer participated in the Public Offering on the same terms and conditions as all other purchasers.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7160" w:type="dxa"/>
            <w:vAlign w:val="bottom"/>
            <w:gridSpan w:val="2"/>
          </w:tcPr>
          <w:p>
            <w:pPr>
              <w:ind w:left="2400"/>
              <w:spacing w:after="0"/>
              <w:rPr>
                <w:sz w:val="20"/>
                <w:szCs w:val="20"/>
                <w:color w:val="auto"/>
              </w:rPr>
            </w:pPr>
            <w:r>
              <w:rPr>
                <w:rFonts w:ascii="Arial" w:cs="Arial" w:eastAsia="Arial" w:hAnsi="Arial"/>
                <w:sz w:val="18"/>
                <w:szCs w:val="18"/>
                <w:color w:val="auto"/>
              </w:rPr>
              <w:t>HELIUS MEDICAL TECHNOLOGIES, INC.</w:t>
            </w:r>
          </w:p>
        </w:tc>
      </w:tr>
      <w:tr>
        <w:trPr>
          <w:trHeight w:val="432"/>
        </w:trPr>
        <w:tc>
          <w:tcPr>
            <w:tcW w:w="4080" w:type="dxa"/>
            <w:vAlign w:val="bottom"/>
          </w:tcPr>
          <w:p>
            <w:pPr>
              <w:spacing w:after="0"/>
              <w:rPr>
                <w:sz w:val="20"/>
                <w:szCs w:val="20"/>
                <w:color w:val="auto"/>
              </w:rPr>
            </w:pPr>
            <w:r>
              <w:rPr>
                <w:rFonts w:ascii="Arial" w:cs="Arial" w:eastAsia="Arial" w:hAnsi="Arial"/>
                <w:sz w:val="18"/>
                <w:szCs w:val="18"/>
                <w:color w:val="auto"/>
              </w:rPr>
              <w:t>Dated: March 10, 2021</w:t>
            </w:r>
          </w:p>
        </w:tc>
        <w:tc>
          <w:tcPr>
            <w:tcW w:w="7160" w:type="dxa"/>
            <w:vAlign w:val="bottom"/>
            <w:gridSpan w:val="2"/>
          </w:tcPr>
          <w:p>
            <w:pPr>
              <w:ind w:left="2400"/>
              <w:spacing w:after="0"/>
              <w:rPr>
                <w:sz w:val="20"/>
                <w:szCs w:val="20"/>
                <w:color w:val="auto"/>
              </w:rPr>
            </w:pPr>
            <w:r>
              <w:rPr>
                <w:rFonts w:ascii="Arial" w:cs="Arial" w:eastAsia="Arial" w:hAnsi="Arial"/>
                <w:sz w:val="18"/>
                <w:szCs w:val="18"/>
                <w:color w:val="auto"/>
              </w:rPr>
              <w:t>By:  /s/ Dane C. Andreeff</w:t>
            </w:r>
          </w:p>
        </w:tc>
      </w:tr>
      <w:tr>
        <w:trPr>
          <w:trHeight w:val="195"/>
        </w:trPr>
        <w:tc>
          <w:tcPr>
            <w:tcW w:w="40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40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Interim President, Chief Executive Officer and Director</w:t>
            </w:r>
          </w:p>
        </w:tc>
      </w:tr>
    </w:tbl>
    <w:p>
      <w:pPr>
        <w:spacing w:after="0" w:line="24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10, 2021</w:t>
            </w:r>
          </w:p>
        </w:tc>
      </w:tr>
      <w:tr>
        <w:trPr>
          <w:trHeight w:val="317"/>
        </w:trPr>
        <w:tc>
          <w:tcPr>
            <w:tcW w:w="340" w:type="dxa"/>
            <w:vAlign w:val="bottom"/>
          </w:tcPr>
          <w:p>
            <w:pPr>
              <w:spacing w:after="0"/>
              <w:rPr>
                <w:sz w:val="24"/>
                <w:szCs w:val="24"/>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Dane C. Andreeff</w:t>
            </w:r>
          </w:p>
        </w:tc>
        <w:tc>
          <w:tcPr>
            <w:tcW w:w="170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Interim President, Chief Executive Officer and Director</w:t>
            </w:r>
          </w:p>
        </w:tc>
        <w:tc>
          <w:tcPr>
            <w:tcW w:w="170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Joyce LaViscount</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10, 2021</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Joyce LaViscount</w:t>
            </w:r>
          </w:p>
        </w:tc>
        <w:tc>
          <w:tcPr>
            <w:tcW w:w="170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w w:val="96"/>
              </w:rPr>
              <w:t>Chief Financial Officer and Chief Operating Officer (Principal Financial Officer and</w:t>
            </w:r>
          </w:p>
        </w:tc>
        <w:tc>
          <w:tcPr>
            <w:tcW w:w="17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c>
          <w:tcPr>
            <w:tcW w:w="170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Blane Walter</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10, 2021</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Blane Walter</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E. Tyler</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10, 2021</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Mitchell E. Tyler</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r>
        <w:trPr>
          <w:trHeight w:val="364"/>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M. Straw</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10, 2021</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Edward M. Straw</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Mathiesen</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10, 2021</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Jeffrey S. Mathiesen</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r>
        <w:trPr>
          <w:trHeight w:val="864"/>
        </w:trPr>
        <w:tc>
          <w:tcPr>
            <w:tcW w:w="340" w:type="dxa"/>
            <w:vAlign w:val="bottom"/>
          </w:tcPr>
          <w:p>
            <w:pPr>
              <w:spacing w:after="0"/>
              <w:rPr>
                <w:sz w:val="24"/>
                <w:szCs w:val="24"/>
                <w:color w:val="auto"/>
              </w:rPr>
            </w:pPr>
          </w:p>
        </w:tc>
        <w:tc>
          <w:tcPr>
            <w:tcW w:w="6300" w:type="dxa"/>
            <w:vAlign w:val="bottom"/>
          </w:tcPr>
          <w:p>
            <w:pPr>
              <w:ind w:left="5120"/>
              <w:spacing w:after="0"/>
              <w:rPr>
                <w:sz w:val="20"/>
                <w:szCs w:val="20"/>
                <w:color w:val="auto"/>
              </w:rPr>
            </w:pPr>
            <w:r>
              <w:rPr>
                <w:rFonts w:ascii="Arial" w:cs="Arial" w:eastAsia="Arial" w:hAnsi="Arial"/>
                <w:sz w:val="18"/>
                <w:szCs w:val="18"/>
                <w:color w:val="auto"/>
              </w:rPr>
              <w:t>F-28</w:t>
            </w:r>
          </w:p>
        </w:tc>
        <w:tc>
          <w:tcPr>
            <w:tcW w:w="170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4.7</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12 OF THE SECURITIES EXCHANGE ACT OF 1934</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summary of the terms of our capital stock is qualified in its entirety by reference to our certificate of incorporation, as amended (“Certificate of Incorporation”) and amended and restated bylaws (“Bylaws”), copies of which are filed as exhibits to our Annual Report on Form 10-K of which this Exhibit 4.5 is a part, and the applicable provisions of the Delaware General Corporation Law (“DGCL”).</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Certificate of Incorporation authorizes us to issue up to 150,000,000 shares of Class A Common Stock and 10,000,000 shares of preferred stock, par value $0.001 per share, all of which shares of preferred stock are currently undesignated. Our board of directors may establish the rights and preferences of the preferred stock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Our stockholders do not have cumulative voting rights. Because of this, the holders of a majority of the shares of common stock entitled to vote in any election of directors can elect all of the directors standing for election, if they should so choose.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ratably those dividends, if any, as may be declared from time to time by the board of directors out of legally available funds.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Holders of our common stock have no preemptive, conversion or subscription rights and there are no redemption or sinking fund provisions applicable to the common stock. The rights, preferences and privileges of the holders of our common stock are subject to, and may be adversely affected by, the rights of the holders of shares of any series of preferred stock that we may designate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Our board of directors has the authority under our Certificate of Incorporation, without further action by our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7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Outstanding Warrants</w:t>
      </w:r>
    </w:p>
    <w:p>
      <w:pPr>
        <w:spacing w:after="0" w:line="229"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As of March 5, 2021, there were warrants outstanding to purchase 594,186 shares of common stock issuable upon the exercise of warrants at a weighted-average exercise price of US$16.32, and warrants outstanding to purchase 68,351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9" w:name="page110"/>
    <w:bookmarkEnd w:id="109"/>
    <w:p>
      <w:pPr>
        <w:ind w:right="100"/>
        <w:spacing w:after="0" w:line="290" w:lineRule="auto"/>
        <w:rPr>
          <w:sz w:val="20"/>
          <w:szCs w:val="20"/>
          <w:color w:val="auto"/>
        </w:rPr>
      </w:pPr>
      <w:r>
        <w:rPr>
          <w:rFonts w:ascii="Arial" w:cs="Arial" w:eastAsia="Arial" w:hAnsi="Arial"/>
          <w:sz w:val="16"/>
          <w:szCs w:val="16"/>
          <w:color w:val="auto"/>
        </w:rPr>
        <w:t>issuable upon the exercise of warrants at a weighted-average exercise price of CAD$428.75 (or US$338.46 based on the exchange rate on March 5, 2021). Certain of these warrants have a net exercise provision under which its holder may, in lieu of payment of the exercise price in cash, surrender the warrant and receive a net amount of shares based on the fair market value of our common stock at the time of exercise of the warrant after deduction of the aggregate exercise price. Each of these warrants also contains provisions for the adjustment of the exercise price and the aggregate number of shares issuable upon the exercise of the warrant in the event of dividends, share splits, reorganizations and reclassifications and consolidations. Certain of these warrants provide that, subject to limited exceptions, a holder will not have the right to exercise any portion of its warrants if the holder, together with its affiliates, would beneficially own over 4.99% of our then outstanding common stock following such exercise; provided, however, that upon prior notice to us, the warrant holder may increase its ownership, provided that in no event will the ownership exceed 9.99%.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1000" w:right="400" w:hanging="439"/>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16" w:lineRule="exact"/>
        <w:rPr>
          <w:rFonts w:ascii="Arial" w:cs="Arial" w:eastAsia="Arial" w:hAnsi="Arial"/>
          <w:sz w:val="18"/>
          <w:szCs w:val="18"/>
          <w:color w:val="auto"/>
        </w:rPr>
      </w:pPr>
    </w:p>
    <w:p>
      <w:pPr>
        <w:ind w:left="1000" w:right="140" w:hanging="439"/>
        <w:spacing w:after="0" w:line="275"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81" w:lineRule="exact"/>
        <w:rPr>
          <w:rFonts w:ascii="Arial" w:cs="Arial" w:eastAsia="Arial" w:hAnsi="Arial"/>
          <w:sz w:val="17"/>
          <w:szCs w:val="17"/>
          <w:color w:val="auto"/>
        </w:rPr>
      </w:pPr>
    </w:p>
    <w:p>
      <w:pPr>
        <w:ind w:left="1000" w:right="180" w:hanging="439"/>
        <w:spacing w:after="0" w:line="263"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1000" w:right="280" w:hanging="439"/>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merger or consolidation involving the corporation or any direct or indirect majority-owned subsidiary of the corporation and the interested stockholder;</w:t>
      </w:r>
    </w:p>
    <w:p>
      <w:pPr>
        <w:spacing w:after="0" w:line="75" w:lineRule="exact"/>
        <w:rPr>
          <w:rFonts w:ascii="Arial" w:cs="Arial" w:eastAsia="Arial" w:hAnsi="Arial"/>
          <w:sz w:val="18"/>
          <w:szCs w:val="18"/>
          <w:color w:val="auto"/>
        </w:rPr>
      </w:pPr>
    </w:p>
    <w:p>
      <w:pPr>
        <w:ind w:left="1000" w:right="400" w:hanging="439"/>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 (in one transaction or a series of transactions);</w:t>
      </w:r>
    </w:p>
    <w:p>
      <w:pPr>
        <w:spacing w:after="0" w:line="75" w:lineRule="exact"/>
        <w:rPr>
          <w:rFonts w:ascii="Arial" w:cs="Arial" w:eastAsia="Arial" w:hAnsi="Arial"/>
          <w:sz w:val="18"/>
          <w:szCs w:val="18"/>
          <w:color w:val="auto"/>
        </w:rPr>
      </w:pPr>
    </w:p>
    <w:p>
      <w:pPr>
        <w:ind w:left="1000" w:right="240" w:hanging="439"/>
        <w:spacing w:after="0" w:line="308" w:lineRule="auto"/>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51" w:lineRule="exact"/>
        <w:rPr>
          <w:rFonts w:ascii="Arial" w:cs="Arial" w:eastAsia="Arial" w:hAnsi="Arial"/>
          <w:sz w:val="17"/>
          <w:szCs w:val="17"/>
          <w:color w:val="auto"/>
        </w:rPr>
      </w:pPr>
    </w:p>
    <w:p>
      <w:pPr>
        <w:ind w:left="1000" w:right="260" w:hanging="439"/>
        <w:spacing w:after="0" w:line="342"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29" w:lineRule="exact"/>
        <w:rPr>
          <w:rFonts w:ascii="Arial" w:cs="Arial" w:eastAsia="Arial" w:hAnsi="Arial"/>
          <w:sz w:val="16"/>
          <w:szCs w:val="16"/>
          <w:color w:val="auto"/>
        </w:rPr>
      </w:pPr>
    </w:p>
    <w:p>
      <w:pPr>
        <w:ind w:left="1000" w:hanging="439"/>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Amended and Restated Bylaws</w:t>
      </w:r>
    </w:p>
    <w:p>
      <w:pPr>
        <w:spacing w:after="0" w:line="117"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Our Certificate of Incorporation provides that the authorized number of directors may be changed only by resolution of the board of directors, and vacancies and newly created directorships on the board of directors may, except as otherwise required by law or determined by the board of directors, only be filled by a majority vote of the directors then serving on the board of directors, even though less than a quorum.</w:t>
      </w:r>
    </w:p>
    <w:p>
      <w:pPr>
        <w:spacing w:after="0" w:line="16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Our Amended and Restated Bylaws provide that all stockholder actions must be effected at a duly called meeting of stockholders and eliminate the right of stockholders to act by written consent without a meeting. Our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0" w:name="page111"/>
    <w:bookmarkEnd w:id="110"/>
    <w:p>
      <w:pPr>
        <w:ind w:right="540"/>
        <w:spacing w:after="0" w:line="277" w:lineRule="auto"/>
        <w:rPr>
          <w:sz w:val="20"/>
          <w:szCs w:val="20"/>
          <w:color w:val="auto"/>
        </w:rPr>
      </w:pPr>
      <w:r>
        <w:rPr>
          <w:rFonts w:ascii="Arial" w:cs="Arial" w:eastAsia="Arial" w:hAnsi="Arial"/>
          <w:sz w:val="18"/>
          <w:szCs w:val="18"/>
          <w:color w:val="auto"/>
        </w:rPr>
        <w:t>also provide that only our Chairman of the board of directors, Chief Executive Officer or the board of directors pursuant to a resolution adopted by a majority of the total number of authorized directors may call a special meeting of stockholders.</w:t>
      </w:r>
    </w:p>
    <w:p>
      <w:pPr>
        <w:spacing w:after="0" w:line="170"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Amended and Restated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 At any meeting of stockholders for the election of directors at which a quorum is present, the election will be determined by a plurality of the votes cast by the stockholders entitled to vote at the election.</w:t>
      </w:r>
    </w:p>
    <w:p>
      <w:pPr>
        <w:spacing w:after="0" w:line="187"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Our Certificate of Incorporation and Amended and Restated Bylaws provide that the stockholders cannot amend many of the provisions described above except by a vote of 66 2/3% or more of our outstanding Common stock. As described above, our Certificate of Incorporation gives our board of directors the authority, without further action by our stockholders, to issue up to 10,000,000 shares of preferred stock in one or more series.</w:t>
      </w:r>
    </w:p>
    <w:p>
      <w:pPr>
        <w:spacing w:after="0" w:line="9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Certificate of Incorporation provides that the Court of Chancery of the State of Delaware will be the exclusive forum for:</w:t>
      </w:r>
    </w:p>
    <w:p>
      <w:pPr>
        <w:spacing w:after="0" w:line="131" w:lineRule="exact"/>
        <w:rPr>
          <w:sz w:val="20"/>
          <w:szCs w:val="20"/>
          <w:color w:val="auto"/>
        </w:rPr>
      </w:pPr>
    </w:p>
    <w:p>
      <w:pPr>
        <w:ind w:left="1000" w:hanging="439"/>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00" w:right="400" w:hanging="439"/>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Certificate of Incorporation or our Amended and Restated Bylaws; or</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does not apply to suits brought to enforce a duty or liability created by the Exchange Act.</w:t>
      </w:r>
    </w:p>
    <w:p>
      <w:pPr>
        <w:spacing w:after="0" w:line="225"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to be inapplicable or unenforceable in such action. Our Certificate of Incorporation further provides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Rights of Investors in October 2020 Private Placement</w:t>
      </w:r>
    </w:p>
    <w:p>
      <w:pPr>
        <w:spacing w:after="0" w:line="121" w:lineRule="exact"/>
        <w:rPr>
          <w:sz w:val="20"/>
          <w:szCs w:val="20"/>
          <w:color w:val="auto"/>
        </w:rPr>
      </w:pPr>
    </w:p>
    <w:p>
      <w:pPr>
        <w:ind w:right="300" w:firstLine="510"/>
        <w:spacing w:after="0" w:line="301" w:lineRule="auto"/>
        <w:rPr>
          <w:sz w:val="20"/>
          <w:szCs w:val="20"/>
          <w:color w:val="auto"/>
        </w:rPr>
      </w:pPr>
      <w:r>
        <w:rPr>
          <w:rFonts w:ascii="Arial" w:cs="Arial" w:eastAsia="Arial" w:hAnsi="Arial"/>
          <w:sz w:val="16"/>
          <w:szCs w:val="16"/>
          <w:color w:val="auto"/>
        </w:rPr>
        <w:t>Pursuant to the securities purchase agreement for the October 2020 Private Placement, if we issue any shares of common stock or common stock equivalents for cash consideration, indebtedness or a combination thereof, with certain exceptions, within twelve months of the closing of the private placement, each purchaser who subscribed for at least $250,000 in the private placement has the right to participate in up to such purchaser’s pro rata portion of 30% of the such subsequent financing on the same terms, conditions and price provided for in the subsequent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Registration Rights of A&amp;B</w:t>
      </w:r>
    </w:p>
    <w:p>
      <w:pPr>
        <w:spacing w:after="0" w:line="121" w:lineRule="exact"/>
        <w:rPr>
          <w:sz w:val="20"/>
          <w:szCs w:val="20"/>
          <w:color w:val="auto"/>
        </w:rPr>
      </w:pPr>
    </w:p>
    <w:p>
      <w:pPr>
        <w:ind w:right="40" w:firstLine="510"/>
        <w:spacing w:after="0" w:line="258" w:lineRule="auto"/>
        <w:rPr>
          <w:sz w:val="20"/>
          <w:szCs w:val="20"/>
          <w:color w:val="auto"/>
        </w:rPr>
      </w:pPr>
      <w:r>
        <w:rPr>
          <w:rFonts w:ascii="Arial" w:cs="Arial" w:eastAsia="Arial" w:hAnsi="Arial"/>
          <w:sz w:val="18"/>
          <w:szCs w:val="18"/>
          <w:color w:val="auto"/>
        </w:rPr>
        <w:t>Pursuant to the terms of convertible notes issued to A&amp;B (HK) Company Limited in October 2015 and December 2015, we agreed to register any shares issued upon the conversion of such convertible notes upon the</w:t>
      </w:r>
    </w:p>
    <w:p>
      <w:pPr>
        <w:spacing w:after="0" w:line="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request of A&amp;B (HK) Company Limited. As of March 5, 2021, A&amp;B (HK) Company Limited beneficially owned 71,306 shares of Common stock that were issued upon the conversion of such convertible 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transfer agent and the registrar for the Company is American Stock Transfer &amp; Trust Company LLC, 6201 15th Avenue, Brooklyn, New York 11219; Telephone: 800-937-5449.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Listing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Capital Market under the symbol “HSDT” and on the TSX under the symbol “HSM.”</w:t>
      </w:r>
    </w:p>
    <w:p>
      <w:pPr>
        <w:sectPr>
          <w:pgSz w:w="11900" w:h="16838" w:orient="portrait"/>
          <w:cols w:equalWidth="0" w:num="1">
            <w:col w:w="11060"/>
          </w:cols>
          <w:pgMar w:left="320" w:top="445" w:right="5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10.3</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CONSULTING AGREEMENT</w:t>
      </w:r>
    </w:p>
    <w:p>
      <w:pPr>
        <w:spacing w:after="0" w:line="207" w:lineRule="exact"/>
        <w:rPr>
          <w:sz w:val="20"/>
          <w:szCs w:val="20"/>
          <w:color w:val="auto"/>
        </w:rPr>
      </w:pPr>
    </w:p>
    <w:p>
      <w:pPr>
        <w:jc w:val="both"/>
        <w:ind w:left="100" w:firstLine="864"/>
        <w:spacing w:after="0" w:line="289"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C</w:t>
      </w:r>
      <w:r>
        <w:rPr>
          <w:rFonts w:ascii="Arial" w:cs="Arial" w:eastAsia="Arial" w:hAnsi="Arial"/>
          <w:sz w:val="11"/>
          <w:szCs w:val="11"/>
          <w:b w:val="1"/>
          <w:bCs w:val="1"/>
          <w:color w:val="auto"/>
        </w:rPr>
        <w:t>ONSULTING</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1"/>
          <w:szCs w:val="11"/>
          <w:b w:val="1"/>
          <w:bCs w:val="1"/>
          <w:color w:val="auto"/>
        </w:rPr>
        <w:t>GREEMENT</w:t>
      </w:r>
      <w:r>
        <w:rPr>
          <w:rFonts w:ascii="Arial" w:cs="Arial" w:eastAsia="Arial" w:hAnsi="Arial"/>
          <w:sz w:val="17"/>
          <w:szCs w:val="17"/>
          <w:color w:val="auto"/>
        </w:rPr>
        <w:t xml:space="preserve">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is made as of March 8, 2021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 between </w:t>
      </w:r>
      <w:r>
        <w:rPr>
          <w:rFonts w:ascii="Arial" w:cs="Arial" w:eastAsia="Arial" w:hAnsi="Arial"/>
          <w:sz w:val="17"/>
          <w:szCs w:val="17"/>
          <w:b w:val="1"/>
          <w:bCs w:val="1"/>
          <w:color w:val="auto"/>
        </w:rPr>
        <w:t>H</w:t>
      </w:r>
      <w:r>
        <w:rPr>
          <w:rFonts w:ascii="Arial" w:cs="Arial" w:eastAsia="Arial" w:hAnsi="Arial"/>
          <w:sz w:val="11"/>
          <w:szCs w:val="11"/>
          <w:b w:val="1"/>
          <w:bCs w:val="1"/>
          <w:color w:val="auto"/>
        </w:rPr>
        <w:t>ELIUS</w:t>
      </w:r>
      <w:r>
        <w:rPr>
          <w:rFonts w:ascii="Arial" w:cs="Arial" w:eastAsia="Arial" w:hAnsi="Arial"/>
          <w:sz w:val="17"/>
          <w:szCs w:val="17"/>
          <w:color w:val="auto"/>
        </w:rPr>
        <w:t xml:space="preserve"> </w:t>
      </w:r>
      <w:r>
        <w:rPr>
          <w:rFonts w:ascii="Arial" w:cs="Arial" w:eastAsia="Arial" w:hAnsi="Arial"/>
          <w:sz w:val="17"/>
          <w:szCs w:val="17"/>
          <w:b w:val="1"/>
          <w:bCs w:val="1"/>
          <w:color w:val="auto"/>
        </w:rPr>
        <w:t>M</w:t>
      </w:r>
      <w:r>
        <w:rPr>
          <w:rFonts w:ascii="Arial" w:cs="Arial" w:eastAsia="Arial" w:hAnsi="Arial"/>
          <w:sz w:val="11"/>
          <w:szCs w:val="11"/>
          <w:b w:val="1"/>
          <w:bCs w:val="1"/>
          <w:color w:val="auto"/>
        </w:rPr>
        <w:t>EDICAL</w:t>
      </w:r>
      <w:r>
        <w:rPr>
          <w:rFonts w:ascii="Arial" w:cs="Arial" w:eastAsia="Arial" w:hAnsi="Arial"/>
          <w:sz w:val="17"/>
          <w:szCs w:val="17"/>
          <w:color w:val="auto"/>
        </w:rPr>
        <w:t xml:space="preserve"> </w:t>
      </w:r>
      <w:r>
        <w:rPr>
          <w:rFonts w:ascii="Arial" w:cs="Arial" w:eastAsia="Arial" w:hAnsi="Arial"/>
          <w:sz w:val="17"/>
          <w:szCs w:val="17"/>
          <w:b w:val="1"/>
          <w:bCs w:val="1"/>
          <w:color w:val="auto"/>
        </w:rPr>
        <w:t>T</w:t>
      </w:r>
      <w:r>
        <w:rPr>
          <w:rFonts w:ascii="Arial" w:cs="Arial" w:eastAsia="Arial" w:hAnsi="Arial"/>
          <w:sz w:val="11"/>
          <w:szCs w:val="11"/>
          <w:b w:val="1"/>
          <w:bCs w:val="1"/>
          <w:color w:val="auto"/>
        </w:rPr>
        <w:t>ECHNOLOGIES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xml:space="preserve">, a Delaware corporation, having a principal place of business at 642 Newtown Yardley Road, Suite 100, Newtown, Pennsylvania 18940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and </w:t>
      </w:r>
      <w:r>
        <w:rPr>
          <w:rFonts w:ascii="Arial" w:cs="Arial" w:eastAsia="Arial" w:hAnsi="Arial"/>
          <w:sz w:val="17"/>
          <w:szCs w:val="17"/>
          <w:b w:val="1"/>
          <w:bCs w:val="1"/>
          <w:color w:val="auto"/>
        </w:rPr>
        <w:t>D</w:t>
      </w:r>
      <w:r>
        <w:rPr>
          <w:rFonts w:ascii="Arial" w:cs="Arial" w:eastAsia="Arial" w:hAnsi="Arial"/>
          <w:sz w:val="11"/>
          <w:szCs w:val="11"/>
          <w:b w:val="1"/>
          <w:bCs w:val="1"/>
          <w:color w:val="auto"/>
        </w:rPr>
        <w:t>R</w:t>
      </w:r>
      <w:r>
        <w:rPr>
          <w:rFonts w:ascii="Arial" w:cs="Arial" w:eastAsia="Arial" w:hAnsi="Arial"/>
          <w:sz w:val="17"/>
          <w:szCs w:val="17"/>
          <w:b w:val="1"/>
          <w:bCs w:val="1"/>
          <w:color w:val="auto"/>
        </w:rPr>
        <w:t>. J</w:t>
      </w:r>
      <w:r>
        <w:rPr>
          <w:rFonts w:ascii="Arial" w:cs="Arial" w:eastAsia="Arial" w:hAnsi="Arial"/>
          <w:sz w:val="11"/>
          <w:szCs w:val="11"/>
          <w:b w:val="1"/>
          <w:bCs w:val="1"/>
          <w:color w:val="auto"/>
        </w:rPr>
        <w:t>ONATHAN</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ACKIER</w:t>
      </w:r>
      <w:r>
        <w:rPr>
          <w:rFonts w:ascii="Arial" w:cs="Arial" w:eastAsia="Arial" w:hAnsi="Arial"/>
          <w:sz w:val="17"/>
          <w:szCs w:val="17"/>
          <w:color w:val="auto"/>
        </w:rPr>
        <w:t>, whose address is Flat 4, Westfield, 15 Kidderpore Ave, London NW3 7SF UK (</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229" w:lineRule="exact"/>
        <w:rPr>
          <w:sz w:val="20"/>
          <w:szCs w:val="20"/>
          <w:color w:val="auto"/>
        </w:rPr>
      </w:pPr>
    </w:p>
    <w:p>
      <w:pPr>
        <w:jc w:val="both"/>
        <w:ind w:left="100" w:firstLine="864"/>
        <w:spacing w:after="0" w:line="277" w:lineRule="auto"/>
        <w:rPr>
          <w:sz w:val="20"/>
          <w:szCs w:val="20"/>
          <w:color w:val="auto"/>
        </w:rPr>
      </w:pPr>
      <w:r>
        <w:rPr>
          <w:rFonts w:ascii="Arial" w:cs="Arial" w:eastAsia="Arial" w:hAnsi="Arial"/>
          <w:sz w:val="18"/>
          <w:szCs w:val="18"/>
          <w:color w:val="auto"/>
        </w:rPr>
        <w:t>The Company desires to retain Consultant, and Consultant desires to be engaged by the Company, to perform certain consulting services pursuant to the terms and conditions of this Agreement.</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REFORE</w:t>
      </w:r>
      <w:r>
        <w:rPr>
          <w:rFonts w:ascii="Arial" w:cs="Arial" w:eastAsia="Arial" w:hAnsi="Arial"/>
          <w:sz w:val="17"/>
          <w:szCs w:val="17"/>
          <w:color w:val="auto"/>
        </w:rPr>
        <w:t>, in consideration of the foregoing and the terms, conditions and covenants hereinafter set forth, the Company and Consultant agree as follows:</w:t>
      </w:r>
    </w:p>
    <w:p>
      <w:pPr>
        <w:spacing w:after="0" w:line="233" w:lineRule="exact"/>
        <w:rPr>
          <w:sz w:val="20"/>
          <w:szCs w:val="20"/>
          <w:color w:val="auto"/>
        </w:rPr>
      </w:pPr>
    </w:p>
    <w:p>
      <w:pPr>
        <w:ind w:left="1760" w:hanging="788"/>
        <w:spacing w:after="0"/>
        <w:tabs>
          <w:tab w:leader="none" w:pos="176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ERTAIN</w:t>
      </w:r>
      <w:r>
        <w:rPr>
          <w:rFonts w:ascii="Arial" w:cs="Arial" w:eastAsia="Arial" w:hAnsi="Arial"/>
          <w:sz w:val="17"/>
          <w:szCs w:val="17"/>
          <w:b w:val="1"/>
          <w:bCs w:val="1"/>
          <w:color w:val="auto"/>
        </w:rPr>
        <w:t xml:space="preserve"> D</w:t>
      </w:r>
      <w:r>
        <w:rPr>
          <w:rFonts w:ascii="Arial" w:cs="Arial" w:eastAsia="Arial" w:hAnsi="Arial"/>
          <w:sz w:val="11"/>
          <w:szCs w:val="11"/>
          <w:b w:val="1"/>
          <w:bCs w:val="1"/>
          <w:color w:val="auto"/>
        </w:rPr>
        <w:t>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terms used in this Agreement and not otherwise defined shall have the following meanings:</w:t>
      </w:r>
    </w:p>
    <w:p>
      <w:pPr>
        <w:spacing w:after="0" w:line="240" w:lineRule="exact"/>
        <w:rPr>
          <w:rFonts w:ascii="Arial" w:cs="Arial" w:eastAsia="Arial" w:hAnsi="Arial"/>
          <w:sz w:val="17"/>
          <w:szCs w:val="17"/>
          <w:b w:val="1"/>
          <w:bCs w:val="1"/>
          <w:color w:val="auto"/>
        </w:rPr>
      </w:pPr>
    </w:p>
    <w:p>
      <w:pPr>
        <w:jc w:val="both"/>
        <w:ind w:left="100" w:firstLine="1735"/>
        <w:spacing w:after="0" w:line="275" w:lineRule="auto"/>
        <w:tabs>
          <w:tab w:leader="none" w:pos="2685" w:val="left"/>
        </w:tabs>
        <w:numPr>
          <w:ilvl w:val="2"/>
          <w:numId w:val="5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“Company Documents and Materials” </w:t>
      </w:r>
      <w:r>
        <w:rPr>
          <w:rFonts w:ascii="Arial" w:cs="Arial" w:eastAsia="Arial" w:hAnsi="Arial"/>
          <w:sz w:val="17"/>
          <w:szCs w:val="17"/>
          <w:color w:val="auto"/>
        </w:rPr>
        <w:t>means documents or other media, whether in tangible or intangible form,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contain or embody Proprietary Information or any other information concerning the business, operations or plans of the Company, whether such documents or media have been prepared by Consultant or by others. Company Documents and Materials include, without limitation, blueprints, drawings, photographs, charts, graphs, notebooks, tests, test results, experiments, customer lists, computer disks, tapes or printouts, sound recordings and other printed, electronic, typewritten or handwritten documents or information, sample products, prototypes and models.</w:t>
      </w:r>
    </w:p>
    <w:p>
      <w:pPr>
        <w:spacing w:after="0" w:line="176" w:lineRule="exact"/>
        <w:rPr>
          <w:rFonts w:ascii="Arial" w:cs="Arial" w:eastAsia="Arial" w:hAnsi="Arial"/>
          <w:sz w:val="17"/>
          <w:szCs w:val="17"/>
          <w:b w:val="1"/>
          <w:bCs w:val="1"/>
          <w:color w:val="auto"/>
        </w:rPr>
      </w:pPr>
    </w:p>
    <w:p>
      <w:pPr>
        <w:jc w:val="both"/>
        <w:ind w:left="100" w:firstLine="1735"/>
        <w:spacing w:after="0" w:line="311" w:lineRule="auto"/>
        <w:tabs>
          <w:tab w:leader="none" w:pos="2695" w:val="left"/>
        </w:tabs>
        <w:numPr>
          <w:ilvl w:val="2"/>
          <w:numId w:val="5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“Inventions” </w:t>
      </w:r>
      <w:r>
        <w:rPr>
          <w:rFonts w:ascii="Arial" w:cs="Arial" w:eastAsia="Arial" w:hAnsi="Arial"/>
          <w:sz w:val="16"/>
          <w:szCs w:val="16"/>
          <w:color w:val="auto"/>
        </w:rPr>
        <w:t>means, without limitation, all software programs or subroutines, source or object code, algorithms,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improvements, inventions, works of authorship, trade secrets, technology, designs, formulas, ideas, processes, techniques, know-how and data, whether or not patentable or copyrightable, made or discovered or conceived or reduced to practice or developed by Consultant, either alone or jointly with others.</w:t>
      </w:r>
    </w:p>
    <w:p>
      <w:pPr>
        <w:spacing w:after="0" w:line="148" w:lineRule="exact"/>
        <w:rPr>
          <w:rFonts w:ascii="Arial" w:cs="Arial" w:eastAsia="Arial" w:hAnsi="Arial"/>
          <w:sz w:val="16"/>
          <w:szCs w:val="16"/>
          <w:b w:val="1"/>
          <w:bCs w:val="1"/>
          <w:color w:val="auto"/>
        </w:rPr>
      </w:pPr>
    </w:p>
    <w:p>
      <w:pPr>
        <w:jc w:val="both"/>
        <w:ind w:left="100" w:firstLine="1735"/>
        <w:spacing w:after="0" w:line="254" w:lineRule="auto"/>
        <w:tabs>
          <w:tab w:leader="none" w:pos="2675" w:val="left"/>
        </w:tabs>
        <w:numPr>
          <w:ilvl w:val="2"/>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“Proprietary Information” </w:t>
      </w:r>
      <w:r>
        <w:rPr>
          <w:rFonts w:ascii="Arial" w:cs="Arial" w:eastAsia="Arial" w:hAnsi="Arial"/>
          <w:sz w:val="18"/>
          <w:szCs w:val="18"/>
          <w:color w:val="auto"/>
        </w:rPr>
        <w:t>means information that was or will be developed, created, or discovered by or on behalf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or which became or will become known to, or was or is conveyed to the Company, which has commercial value in the Company’s business, whether or not patentable or copyrightable, including, without limitation, information about software programs and subroutines, source and object code, algorithms, trade secrets, designs, technology, know-how, processes, data, ideas, techniques, inventions, works of authorship, formulae, business and product development plans, customer lists, terms of compensation and performance levels of the Company’s employees and consultants, the Company’s customers and other information concerning the Company’s actual or anticipated business, research or development, or which is received in confidence by or for the Company from any other person or entity.</w:t>
      </w:r>
    </w:p>
    <w:p>
      <w:pPr>
        <w:spacing w:after="0" w:line="194" w:lineRule="exact"/>
        <w:rPr>
          <w:rFonts w:ascii="Arial" w:cs="Arial" w:eastAsia="Arial" w:hAnsi="Arial"/>
          <w:sz w:val="18"/>
          <w:szCs w:val="18"/>
          <w:b w:val="1"/>
          <w:bCs w:val="1"/>
          <w:color w:val="auto"/>
        </w:rPr>
      </w:pPr>
    </w:p>
    <w:p>
      <w:pPr>
        <w:ind w:left="2700" w:hanging="865"/>
        <w:spacing w:after="0"/>
        <w:tabs>
          <w:tab w:leader="none" w:pos="2700" w:val="left"/>
        </w:tabs>
        <w:numPr>
          <w:ilvl w:val="2"/>
          <w:numId w:val="5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“Services” </w:t>
      </w:r>
      <w:r>
        <w:rPr>
          <w:rFonts w:ascii="Arial" w:cs="Arial" w:eastAsia="Arial" w:hAnsi="Arial"/>
          <w:sz w:val="17"/>
          <w:szCs w:val="17"/>
          <w:color w:val="auto"/>
        </w:rPr>
        <w:t>means the consulting services to be performed by Consultant on behalf of the Company described on</w:t>
      </w:r>
    </w:p>
    <w:p>
      <w:pPr>
        <w:spacing w:after="0" w:line="34" w:lineRule="exact"/>
        <w:rPr>
          <w:rFonts w:ascii="Arial" w:cs="Arial" w:eastAsia="Arial" w:hAnsi="Arial"/>
          <w:sz w:val="17"/>
          <w:szCs w:val="17"/>
          <w:b w:val="1"/>
          <w:bCs w:val="1"/>
          <w:color w:val="auto"/>
        </w:rPr>
      </w:pPr>
    </w:p>
    <w:p>
      <w:pPr>
        <w:ind w:left="10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E</w:t>
      </w:r>
      <w:r>
        <w:rPr>
          <w:rFonts w:ascii="Arial" w:cs="Arial" w:eastAsia="Arial" w:hAnsi="Arial"/>
          <w:sz w:val="12"/>
          <w:szCs w:val="12"/>
          <w:u w:val="single" w:color="auto"/>
          <w:color w:val="auto"/>
        </w:rPr>
        <w:t>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attached hereto.</w:t>
      </w:r>
    </w:p>
    <w:p>
      <w:pPr>
        <w:spacing w:after="0" w:line="220" w:lineRule="exact"/>
        <w:rPr>
          <w:rFonts w:ascii="Arial" w:cs="Arial" w:eastAsia="Arial" w:hAnsi="Arial"/>
          <w:sz w:val="17"/>
          <w:szCs w:val="17"/>
          <w:b w:val="1"/>
          <w:bCs w:val="1"/>
          <w:color w:val="auto"/>
        </w:rPr>
      </w:pPr>
    </w:p>
    <w:p>
      <w:pPr>
        <w:jc w:val="both"/>
        <w:ind w:left="320" w:firstLine="851"/>
        <w:spacing w:after="0" w:line="252" w:lineRule="auto"/>
        <w:tabs>
          <w:tab w:leader="none" w:pos="1963" w:val="left"/>
        </w:tabs>
        <w:numPr>
          <w:ilvl w:val="1"/>
          <w:numId w:val="57"/>
        </w:numPr>
        <w:rPr>
          <w:rFonts w:ascii="Arial" w:cs="Arial" w:eastAsia="Arial" w:hAnsi="Arial"/>
          <w:sz w:val="20"/>
          <w:szCs w:val="20"/>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ERVICES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engages Consultant, and Consultant accepts such engagement, to perform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Consultant shall provide the Services at such specific times and at such particular locations as Consultant and the Company mutually determine from time to time.</w:t>
      </w:r>
    </w:p>
    <w:p>
      <w:pPr>
        <w:spacing w:after="0" w:line="201" w:lineRule="exact"/>
        <w:rPr>
          <w:rFonts w:ascii="Arial" w:cs="Arial" w:eastAsia="Arial" w:hAnsi="Arial"/>
          <w:sz w:val="20"/>
          <w:szCs w:val="20"/>
          <w:b w:val="1"/>
          <w:bCs w:val="1"/>
          <w:color w:val="auto"/>
        </w:rPr>
      </w:pPr>
    </w:p>
    <w:p>
      <w:pPr>
        <w:jc w:val="both"/>
        <w:ind w:left="320" w:firstLine="851"/>
        <w:spacing w:after="0" w:line="251" w:lineRule="auto"/>
        <w:tabs>
          <w:tab w:leader="none" w:pos="1963" w:val="left"/>
        </w:tabs>
        <w:numPr>
          <w:ilvl w:val="1"/>
          <w:numId w:val="57"/>
        </w:numPr>
        <w:rPr>
          <w:rFonts w:ascii="Arial" w:cs="Arial" w:eastAsia="Arial" w:hAnsi="Arial"/>
          <w:sz w:val="20"/>
          <w:szCs w:val="20"/>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shall commence on the Effective Date and terminate on the date that is one (1) year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unless the parties mutually agree in writing to extend the term of this Agreement. Notwithstanding the foregoing, (a) either party may terminate this Agreement for any reason upon giving not less than twelve months’ notice to the other party the “Notice Period”, (b) the Company may terminate</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177800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40"/>
          </w:cols>
          <w:pgMar w:left="220" w:top="341" w:right="339" w:bottom="1440" w:gutter="0" w:footer="0" w:header="0"/>
        </w:sectPr>
      </w:pPr>
    </w:p>
    <w:bookmarkStart w:id="113" w:name="page114"/>
    <w:bookmarkEnd w:id="113"/>
    <w:p>
      <w:pPr>
        <w:jc w:val="both"/>
        <w:ind w:left="220"/>
        <w:spacing w:after="0" w:line="293" w:lineRule="auto"/>
        <w:rPr>
          <w:sz w:val="20"/>
          <w:szCs w:val="20"/>
          <w:color w:val="auto"/>
        </w:rPr>
      </w:pPr>
      <w:r>
        <w:rPr>
          <w:rFonts w:ascii="Arial" w:cs="Arial" w:eastAsia="Arial" w:hAnsi="Arial"/>
          <w:sz w:val="16"/>
          <w:szCs w:val="16"/>
          <w:color w:val="auto"/>
        </w:rPr>
        <w:t>this Agreement immediately in the event of any embezzlement, insubordination, fraud or deceit in Consultant’s performance of Consultant’s obligations hereunder and (c) either party may terminate this Agreement immediately upon occurrence of any of the following events: (i) the breach of this Agreement by the other party, which breach is not cured within ten (10) days after written notice of such breach or (ii) the dissolution, voluntary or involuntary bankruptcy of either party, or assignment by either party of all or substantially all of its assets for the benefit of creditors. Notwithstanding the termination of this Agreement, any liability or obligation of either party which may have accrued prior to such termination shall continue in full force and effect, including but not limited to the rights and obligations of the parties hereto under Sections 6 through 29 of this Agreement.</w:t>
      </w:r>
    </w:p>
    <w:p>
      <w:pPr>
        <w:spacing w:after="0" w:line="174" w:lineRule="exact"/>
        <w:rPr>
          <w:sz w:val="20"/>
          <w:szCs w:val="20"/>
          <w:color w:val="auto"/>
        </w:rPr>
      </w:pPr>
    </w:p>
    <w:p>
      <w:pPr>
        <w:ind w:left="1860" w:hanging="789"/>
        <w:spacing w:after="0"/>
        <w:tabs>
          <w:tab w:leader="none" w:pos="1860" w:val="left"/>
        </w:tabs>
        <w:numPr>
          <w:ilvl w:val="0"/>
          <w:numId w:val="58"/>
        </w:numPr>
        <w:rPr>
          <w:rFonts w:ascii="Arial" w:cs="Arial" w:eastAsia="Arial" w:hAnsi="Arial"/>
          <w:sz w:val="20"/>
          <w:szCs w:val="20"/>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w:t>
      </w:r>
    </w:p>
    <w:p>
      <w:pPr>
        <w:spacing w:after="0" w:line="202" w:lineRule="exact"/>
        <w:rPr>
          <w:rFonts w:ascii="Arial" w:cs="Arial" w:eastAsia="Arial" w:hAnsi="Arial"/>
          <w:sz w:val="20"/>
          <w:szCs w:val="20"/>
          <w:b w:val="1"/>
          <w:bCs w:val="1"/>
          <w:color w:val="auto"/>
        </w:rPr>
      </w:pPr>
    </w:p>
    <w:p>
      <w:pPr>
        <w:jc w:val="both"/>
        <w:ind w:firstLine="1735"/>
        <w:spacing w:after="0" w:line="272" w:lineRule="auto"/>
        <w:tabs>
          <w:tab w:leader="none" w:pos="2585" w:val="left"/>
        </w:tabs>
        <w:numPr>
          <w:ilvl w:val="1"/>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Compensation. </w:t>
      </w:r>
      <w:r>
        <w:rPr>
          <w:rFonts w:ascii="Arial" w:cs="Arial" w:eastAsia="Arial" w:hAnsi="Arial"/>
          <w:sz w:val="17"/>
          <w:szCs w:val="17"/>
          <w:color w:val="auto"/>
        </w:rPr>
        <w:t>In consideration of Consultant’s performance of the Services, the Company shall pay Consultant at a</w:t>
      </w:r>
      <w:r>
        <w:rPr>
          <w:rFonts w:ascii="Arial" w:cs="Arial" w:eastAsia="Arial" w:hAnsi="Arial"/>
          <w:sz w:val="17"/>
          <w:szCs w:val="17"/>
          <w:b w:val="1"/>
          <w:bCs w:val="1"/>
          <w:color w:val="auto"/>
        </w:rPr>
        <w:t xml:space="preserve"> </w:t>
      </w:r>
      <w:r>
        <w:rPr>
          <w:rFonts w:ascii="Arial" w:cs="Arial" w:eastAsia="Arial" w:hAnsi="Arial"/>
          <w:sz w:val="17"/>
          <w:szCs w:val="17"/>
          <w:color w:val="auto"/>
        </w:rPr>
        <w:t>rate of $23,333.00 for the first month of engagement and then $20,000.00 per month thereafter for the Services rendered by Consultant during the term of this Agreement. In addition to the forgoing, Consultant will be eligible for consideration to receive a bonus or portion of a bonus for 2020 performance for Consultant’s past contributions as an employee of the Company. At their sole discretion, the Compensation Committee of the Board of Directors will assess payout levels based on the Company’s performance against 2020 objectives and will make a recommendation accordingly. Furthermore, the Compensation Committee of the Board of Directors will consider additional incentive remuneration in stock or cash for the Consultant’s role in achieving key milestones such as (but not limited to) FDA clearance for PoNS for MS, TGA clearance for PoNS, Health Canada licenses for additional indications, or adoption by Helius of license to commercialize ENT/DG technology.</w:t>
      </w:r>
    </w:p>
    <w:p>
      <w:pPr>
        <w:spacing w:after="0" w:line="171" w:lineRule="exact"/>
        <w:rPr>
          <w:rFonts w:ascii="Arial" w:cs="Arial" w:eastAsia="Arial" w:hAnsi="Arial"/>
          <w:sz w:val="17"/>
          <w:szCs w:val="17"/>
          <w:b w:val="1"/>
          <w:bCs w:val="1"/>
          <w:color w:val="auto"/>
        </w:rPr>
      </w:pPr>
    </w:p>
    <w:p>
      <w:pPr>
        <w:jc w:val="both"/>
        <w:ind w:firstLine="1735"/>
        <w:spacing w:after="0" w:line="294" w:lineRule="auto"/>
        <w:tabs>
          <w:tab w:leader="none" w:pos="2595" w:val="left"/>
        </w:tabs>
        <w:numPr>
          <w:ilvl w:val="1"/>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Obligation to Invoice. </w:t>
      </w:r>
      <w:r>
        <w:rPr>
          <w:rFonts w:ascii="Arial" w:cs="Arial" w:eastAsia="Arial" w:hAnsi="Arial"/>
          <w:sz w:val="16"/>
          <w:szCs w:val="16"/>
          <w:color w:val="auto"/>
        </w:rPr>
        <w:t>For the Services rendered during any calendar month during the term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must submit an invoice for such Services to the Company no later than the last day of the next following calendar month and, provided that Consultant satisfies such deadline, the Company shall pay such invoice on a net thirty (30) days after the date the Company receives such invoice. Consultant expressly waives the right to recover payments for the Services which were not invoiced to the Company by the last day of the next following calendar month. The Company may pay untimely invoices in the Company’s sole and absolute discretion, and Consultant acknowledges that the Company’s payment of untimely invoices does not constitute waiver of the Company’s right to refuse payment for untimely invoices in the future.</w:t>
      </w:r>
    </w:p>
    <w:p>
      <w:pPr>
        <w:spacing w:after="0" w:line="159" w:lineRule="exact"/>
        <w:rPr>
          <w:rFonts w:ascii="Arial" w:cs="Arial" w:eastAsia="Arial" w:hAnsi="Arial"/>
          <w:sz w:val="16"/>
          <w:szCs w:val="16"/>
          <w:b w:val="1"/>
          <w:bCs w:val="1"/>
          <w:color w:val="auto"/>
        </w:rPr>
      </w:pPr>
    </w:p>
    <w:p>
      <w:pPr>
        <w:jc w:val="both"/>
        <w:ind w:firstLine="1735"/>
        <w:spacing w:after="0" w:line="298" w:lineRule="auto"/>
        <w:tabs>
          <w:tab w:leader="none" w:pos="2575" w:val="left"/>
        </w:tabs>
        <w:numPr>
          <w:ilvl w:val="1"/>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Taxes and IRS Form 1099. </w:t>
      </w:r>
      <w:r>
        <w:rPr>
          <w:rFonts w:ascii="Arial" w:cs="Arial" w:eastAsia="Arial" w:hAnsi="Arial"/>
          <w:sz w:val="16"/>
          <w:szCs w:val="16"/>
          <w:color w:val="auto"/>
        </w:rPr>
        <w:t>The Company will, if applicable, issue an IRS Form 1099 to Consultant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paid by the Company to Consultant under this Agreement. Consultant will file all income, unemployment, and/or other employment tax returns, and pay all income, unemployment, and/or other employment taxes, applicable to the compensation received by Consultant hereunder, in a manner consistent with Consultant being an independent contractor, and not an employee, of the Company. Upon the Company’s request, Consultant shall provide documentation demonstrating that Consultant has paid all required taxes with respect to the compensation provided pursuant to this Agreement.</w:t>
      </w:r>
    </w:p>
    <w:p>
      <w:pPr>
        <w:spacing w:after="0" w:line="167" w:lineRule="exact"/>
        <w:rPr>
          <w:rFonts w:ascii="Arial" w:cs="Arial" w:eastAsia="Arial" w:hAnsi="Arial"/>
          <w:sz w:val="16"/>
          <w:szCs w:val="16"/>
          <w:b w:val="1"/>
          <w:bCs w:val="1"/>
          <w:color w:val="auto"/>
        </w:rPr>
      </w:pPr>
    </w:p>
    <w:p>
      <w:pPr>
        <w:ind w:left="1860" w:hanging="789"/>
        <w:spacing w:after="0"/>
        <w:tabs>
          <w:tab w:leader="none" w:pos="1860" w:val="left"/>
        </w:tabs>
        <w:numPr>
          <w:ilvl w:val="0"/>
          <w:numId w:val="58"/>
        </w:numPr>
        <w:rPr>
          <w:rFonts w:ascii="Arial" w:cs="Arial" w:eastAsia="Arial" w:hAnsi="Arial"/>
          <w:sz w:val="18"/>
          <w:szCs w:val="18"/>
          <w:b w:val="1"/>
          <w:bCs w:val="1"/>
          <w:color w:val="auto"/>
        </w:rPr>
      </w:pPr>
      <w:r>
        <w:rPr>
          <w:rFonts w:ascii="Arial" w:cs="Arial" w:eastAsia="Arial" w:hAnsi="Arial"/>
          <w:sz w:val="16"/>
          <w:szCs w:val="16"/>
          <w:b w:val="1"/>
          <w:bCs w:val="1"/>
          <w:color w:val="auto"/>
        </w:rPr>
        <w:t>E</w:t>
      </w:r>
      <w:r>
        <w:rPr>
          <w:rFonts w:ascii="Arial" w:cs="Arial" w:eastAsia="Arial" w:hAnsi="Arial"/>
          <w:sz w:val="11"/>
          <w:szCs w:val="11"/>
          <w:b w:val="1"/>
          <w:bCs w:val="1"/>
          <w:color w:val="auto"/>
        </w:rPr>
        <w:t>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reimburse Consultant for reasonable, documented and actual expenses incurred by Consultant in</w:t>
      </w:r>
    </w:p>
    <w:p>
      <w:pPr>
        <w:spacing w:after="0" w:line="29" w:lineRule="exact"/>
        <w:rPr>
          <w:sz w:val="20"/>
          <w:szCs w:val="20"/>
          <w:color w:val="auto"/>
        </w:rPr>
      </w:pPr>
    </w:p>
    <w:p>
      <w:pPr>
        <w:jc w:val="both"/>
        <w:ind w:left="220"/>
        <w:spacing w:after="0" w:line="291" w:lineRule="auto"/>
        <w:rPr>
          <w:sz w:val="20"/>
          <w:szCs w:val="20"/>
          <w:color w:val="auto"/>
        </w:rPr>
      </w:pPr>
      <w:r>
        <w:rPr>
          <w:rFonts w:ascii="Arial" w:cs="Arial" w:eastAsia="Arial" w:hAnsi="Arial"/>
          <w:sz w:val="16"/>
          <w:szCs w:val="16"/>
          <w:color w:val="auto"/>
        </w:rPr>
        <w:t xml:space="preserve">connection with his performance of the Services; provided, however, that Consultant shall not incur any such expense relating to a single activity or trip in excess of $200.00 (the </w:t>
      </w:r>
      <w:r>
        <w:rPr>
          <w:rFonts w:ascii="Arial" w:cs="Arial" w:eastAsia="Arial" w:hAnsi="Arial"/>
          <w:sz w:val="16"/>
          <w:szCs w:val="16"/>
          <w:b w:val="1"/>
          <w:bCs w:val="1"/>
          <w:i w:val="1"/>
          <w:iCs w:val="1"/>
          <w:color w:val="auto"/>
        </w:rPr>
        <w:t>“Threshold Amount”</w:t>
      </w:r>
      <w:r>
        <w:rPr>
          <w:rFonts w:ascii="Arial" w:cs="Arial" w:eastAsia="Arial" w:hAnsi="Arial"/>
          <w:sz w:val="16"/>
          <w:szCs w:val="16"/>
          <w:color w:val="auto"/>
        </w:rPr>
        <w:t>) without first obtaining the written consent and approval of the Company. The Company will reimburse Consultant $150 per month for telecommunications and internet expenses. The Company shall make any such reimbursement within thirty (30) days after receipt of an invoice therefor, accompanied by receipts, vouchers or other written evidence of the expenses incurred. The Company shall have no obligation to reimburse Consultant for expenses in excess of the Threshold Amount that were not approved in advance by the Company.</w:t>
      </w:r>
    </w:p>
    <w:p>
      <w:pPr>
        <w:spacing w:after="0" w:line="174" w:lineRule="exact"/>
        <w:rPr>
          <w:sz w:val="20"/>
          <w:szCs w:val="20"/>
          <w:color w:val="auto"/>
        </w:rPr>
      </w:pPr>
    </w:p>
    <w:p>
      <w:pPr>
        <w:jc w:val="both"/>
        <w:ind w:left="220" w:firstLine="851"/>
        <w:spacing w:after="0" w:line="251" w:lineRule="auto"/>
        <w:tabs>
          <w:tab w:leader="none" w:pos="1863" w:val="left"/>
        </w:tabs>
        <w:numPr>
          <w:ilvl w:val="0"/>
          <w:numId w:val="59"/>
        </w:numPr>
        <w:rPr>
          <w:rFonts w:ascii="Arial" w:cs="Arial" w:eastAsia="Arial" w:hAnsi="Arial"/>
          <w:sz w:val="20"/>
          <w:szCs w:val="20"/>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applicable governmental laws, rules and regulations, Consultant understands and acknowledges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be required to disclose to relevant governmental authorities the payments made by or on behalf of the Company to Consultant under this Agreement, as well as the purpose and nature of such payments. Consultant shall keep accurate records regarding payments made and expenses incurred in connection with this Agreement and shall provide the Company with such information upon request. The Company will have the right to disclose (including on the Company’s website) and report, as may be required by applicable law (including the Physician Payment Sunshine Act set forth in Section 6002 of the Patient Protection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4" w:name="page115"/>
    <w:bookmarkEnd w:id="114"/>
    <w:p>
      <w:pPr>
        <w:jc w:val="both"/>
        <w:ind w:left="220"/>
        <w:spacing w:after="0" w:line="263" w:lineRule="auto"/>
        <w:rPr>
          <w:sz w:val="20"/>
          <w:szCs w:val="20"/>
          <w:color w:val="auto"/>
        </w:rPr>
      </w:pPr>
      <w:r>
        <w:rPr>
          <w:rFonts w:ascii="Arial" w:cs="Arial" w:eastAsia="Arial" w:hAnsi="Arial"/>
          <w:sz w:val="18"/>
          <w:szCs w:val="18"/>
          <w:color w:val="auto"/>
        </w:rPr>
        <w:t>and Affordable Care Act of 2010, and similar state reporting laws), or as otherwise desired by the Company (a) information relating to the Services, including without limitation, all payments, reimbursement for expenses, or other transfers of value made in other than monetary form, (b) identifying information concerning Consultant, and (c) any other information relating to this Agreement.</w:t>
      </w:r>
    </w:p>
    <w:p>
      <w:pPr>
        <w:spacing w:after="0" w:line="193" w:lineRule="exact"/>
        <w:rPr>
          <w:sz w:val="20"/>
          <w:szCs w:val="20"/>
          <w:color w:val="auto"/>
        </w:rPr>
      </w:pPr>
    </w:p>
    <w:p>
      <w:pPr>
        <w:ind w:left="1860" w:hanging="789"/>
        <w:spacing w:after="0"/>
        <w:tabs>
          <w:tab w:leader="none" w:pos="1860" w:val="left"/>
        </w:tabs>
        <w:numPr>
          <w:ilvl w:val="1"/>
          <w:numId w:val="60"/>
        </w:numPr>
        <w:rPr>
          <w:rFonts w:ascii="Arial" w:cs="Arial" w:eastAsia="Arial" w:hAnsi="Arial"/>
          <w:sz w:val="20"/>
          <w:szCs w:val="20"/>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ONFIDENTIALITY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ROPRIETARY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w:t>
      </w:r>
    </w:p>
    <w:p>
      <w:pPr>
        <w:spacing w:after="0" w:line="202" w:lineRule="exact"/>
        <w:rPr>
          <w:rFonts w:ascii="Arial" w:cs="Arial" w:eastAsia="Arial" w:hAnsi="Arial"/>
          <w:sz w:val="20"/>
          <w:szCs w:val="20"/>
          <w:b w:val="1"/>
          <w:bCs w:val="1"/>
          <w:color w:val="auto"/>
        </w:rPr>
      </w:pPr>
    </w:p>
    <w:p>
      <w:pPr>
        <w:jc w:val="both"/>
        <w:ind w:firstLine="1735"/>
        <w:spacing w:after="0" w:line="266" w:lineRule="auto"/>
        <w:tabs>
          <w:tab w:leader="none" w:pos="2585" w:val="left"/>
        </w:tabs>
        <w:numPr>
          <w:ilvl w:val="2"/>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Information. </w:t>
      </w:r>
      <w:r>
        <w:rPr>
          <w:rFonts w:ascii="Arial" w:cs="Arial" w:eastAsia="Arial" w:hAnsi="Arial"/>
          <w:sz w:val="18"/>
          <w:szCs w:val="18"/>
          <w:color w:val="auto"/>
        </w:rPr>
        <w:t>Consultant understands that the Company possesses and will possess Proprietary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important to its business. Consultant understands that Consultant’s engagement creates a relationship of confidence and trust between the Company and Consultant with respect to Proprietary Information.</w:t>
      </w:r>
    </w:p>
    <w:p>
      <w:pPr>
        <w:spacing w:after="0" w:line="175" w:lineRule="exact"/>
        <w:rPr>
          <w:rFonts w:ascii="Arial" w:cs="Arial" w:eastAsia="Arial" w:hAnsi="Arial"/>
          <w:sz w:val="18"/>
          <w:szCs w:val="18"/>
          <w:b w:val="1"/>
          <w:bCs w:val="1"/>
          <w:color w:val="auto"/>
        </w:rPr>
      </w:pPr>
    </w:p>
    <w:p>
      <w:pPr>
        <w:jc w:val="both"/>
        <w:ind w:firstLine="1735"/>
        <w:spacing w:after="0" w:line="303" w:lineRule="auto"/>
        <w:tabs>
          <w:tab w:leader="none" w:pos="2595" w:val="left"/>
        </w:tabs>
        <w:numPr>
          <w:ilvl w:val="2"/>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of the Company. </w:t>
      </w:r>
      <w:r>
        <w:rPr>
          <w:rFonts w:ascii="Arial" w:cs="Arial" w:eastAsia="Arial" w:hAnsi="Arial"/>
          <w:sz w:val="16"/>
          <w:szCs w:val="16"/>
          <w:color w:val="auto"/>
        </w:rPr>
        <w:t>Consultant acknowledges and agrees that all Company Documents and Materials,</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and all patents, patent rights, copyrights, trade secret rights, trademark rights and other rights (including, without limitation, intellectual property rights) anywhere in the world in connection therewith is and shall be the sole property of the Company. Consultant hereby assigns to the Company any and all rights, title and interest Consultant may have or acquire in any Proprietary Information or Company Documents and Materials.</w:t>
      </w:r>
    </w:p>
    <w:p>
      <w:pPr>
        <w:spacing w:after="0" w:line="150" w:lineRule="exact"/>
        <w:rPr>
          <w:rFonts w:ascii="Arial" w:cs="Arial" w:eastAsia="Arial" w:hAnsi="Arial"/>
          <w:sz w:val="16"/>
          <w:szCs w:val="16"/>
          <w:b w:val="1"/>
          <w:bCs w:val="1"/>
          <w:color w:val="auto"/>
        </w:rPr>
      </w:pPr>
    </w:p>
    <w:p>
      <w:pPr>
        <w:jc w:val="both"/>
        <w:ind w:firstLine="1735"/>
        <w:spacing w:after="0" w:line="266" w:lineRule="auto"/>
        <w:tabs>
          <w:tab w:leader="none" w:pos="2575" w:val="left"/>
        </w:tabs>
        <w:numPr>
          <w:ilvl w:val="2"/>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At all times, both during the term of Consultant’s engagement by the Company and after Consultant’s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Consultant shall keep in confidence and trust and shall not use or disclose any Proprietary Information or anything relating to it without the prior written consent of the Board, except as may be necessary in the ordinary course of performing the Services.</w:t>
      </w:r>
    </w:p>
    <w:p>
      <w:pPr>
        <w:spacing w:after="0" w:line="175" w:lineRule="exact"/>
        <w:rPr>
          <w:rFonts w:ascii="Arial" w:cs="Arial" w:eastAsia="Arial" w:hAnsi="Arial"/>
          <w:sz w:val="18"/>
          <w:szCs w:val="18"/>
          <w:b w:val="1"/>
          <w:bCs w:val="1"/>
          <w:color w:val="auto"/>
        </w:rPr>
      </w:pPr>
    </w:p>
    <w:p>
      <w:pPr>
        <w:jc w:val="both"/>
        <w:ind w:firstLine="1735"/>
        <w:spacing w:after="0" w:line="256" w:lineRule="auto"/>
        <w:tabs>
          <w:tab w:leader="none" w:pos="2595" w:val="left"/>
        </w:tabs>
        <w:numPr>
          <w:ilvl w:val="2"/>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Compelled Disclosure. </w:t>
      </w:r>
      <w:r>
        <w:rPr>
          <w:rFonts w:ascii="Arial" w:cs="Arial" w:eastAsia="Arial" w:hAnsi="Arial"/>
          <w:sz w:val="18"/>
          <w:szCs w:val="18"/>
          <w:color w:val="auto"/>
        </w:rPr>
        <w:t>In the event that Consultant is requested in any proceeding to disclose any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Consultant shall give the Company prompt notice of such request so that the Company may seek an appropriate protective order. If, in the absence of a protective order, Consultant is nonetheless compelled by any court or tribunal of competent jurisdiction to disclose Proprietary Information, Consultant may disclose such information without liability hereunder; provided, however, that Consultant gives the Company notice of the Proprietary Information to be disclosed as far in advance of its disclosure as is practicable and uses Consultant’s best efforts to obtain assurances that confidential treatment will be accorded to such Proprietary Information.</w:t>
      </w:r>
    </w:p>
    <w:p>
      <w:pPr>
        <w:spacing w:after="0" w:line="187" w:lineRule="exact"/>
        <w:rPr>
          <w:rFonts w:ascii="Arial" w:cs="Arial" w:eastAsia="Arial" w:hAnsi="Arial"/>
          <w:sz w:val="18"/>
          <w:szCs w:val="18"/>
          <w:b w:val="1"/>
          <w:bCs w:val="1"/>
          <w:color w:val="auto"/>
        </w:rPr>
      </w:pPr>
    </w:p>
    <w:p>
      <w:pPr>
        <w:ind w:right="20" w:firstLine="1735"/>
        <w:spacing w:after="0" w:line="312" w:lineRule="auto"/>
        <w:tabs>
          <w:tab w:leader="none" w:pos="2575" w:val="left"/>
        </w:tabs>
        <w:numPr>
          <w:ilvl w:val="2"/>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Records. </w:t>
      </w:r>
      <w:r>
        <w:rPr>
          <w:rFonts w:ascii="Arial" w:cs="Arial" w:eastAsia="Arial" w:hAnsi="Arial"/>
          <w:sz w:val="17"/>
          <w:szCs w:val="17"/>
          <w:color w:val="auto"/>
        </w:rPr>
        <w:t>Consultant agrees to make and maintain adequate and current written records, in a form specified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of all Inventions, trade secrets and works of authorship assigned or to be assigned to the Company pursuant to this Agreement.</w:t>
      </w:r>
    </w:p>
    <w:p>
      <w:pPr>
        <w:spacing w:after="0" w:line="139" w:lineRule="exact"/>
        <w:rPr>
          <w:rFonts w:ascii="Arial" w:cs="Arial" w:eastAsia="Arial" w:hAnsi="Arial"/>
          <w:sz w:val="17"/>
          <w:szCs w:val="17"/>
          <w:b w:val="1"/>
          <w:bCs w:val="1"/>
          <w:color w:val="auto"/>
        </w:rPr>
      </w:pPr>
    </w:p>
    <w:p>
      <w:pPr>
        <w:jc w:val="both"/>
        <w:ind w:firstLine="1735"/>
        <w:spacing w:after="0" w:line="285" w:lineRule="auto"/>
        <w:tabs>
          <w:tab w:leader="none" w:pos="2555" w:val="left"/>
        </w:tabs>
        <w:numPr>
          <w:ilvl w:val="2"/>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Handling of the Company Documents and Materials. </w:t>
      </w:r>
      <w:r>
        <w:rPr>
          <w:rFonts w:ascii="Arial" w:cs="Arial" w:eastAsia="Arial" w:hAnsi="Arial"/>
          <w:sz w:val="16"/>
          <w:szCs w:val="16"/>
          <w:color w:val="auto"/>
        </w:rPr>
        <w:t>Consultant agrees that during Consultant’s engagement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Consultant shall not remove any Company Documents and Materials from the business premises of the Company or deliver any Company Documents and Materials to any person or entity outside the Company, except as Consultant may be required to do in connection with performing the Services. Consultant further agrees that, immediately upon the termination of Consultant’s engagement for any reason, or during Consultant’s engagement if so requested by the Company, Consultant shall return all Company Documents and Materials, apparatus, equipment and other physical property, or any reproduction of such property, excepting only (i) Consultant’s personal copies of personnel records and records relating to Consultant’s compensation; and</w:t>
      </w:r>
    </w:p>
    <w:p>
      <w:pPr>
        <w:spacing w:after="0" w:line="3" w:lineRule="exact"/>
        <w:rPr>
          <w:rFonts w:ascii="Arial" w:cs="Arial" w:eastAsia="Arial" w:hAnsi="Arial"/>
          <w:sz w:val="16"/>
          <w:szCs w:val="16"/>
          <w:b w:val="1"/>
          <w:bCs w:val="1"/>
          <w:color w:val="auto"/>
        </w:rPr>
      </w:pPr>
    </w:p>
    <w:p>
      <w:pPr>
        <w:ind w:left="280" w:hanging="272"/>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Consultant’s copy of this Agreement.</w:t>
      </w:r>
    </w:p>
    <w:p>
      <w:pPr>
        <w:spacing w:after="0" w:line="220" w:lineRule="exact"/>
        <w:rPr>
          <w:rFonts w:ascii="Arial" w:cs="Arial" w:eastAsia="Arial" w:hAnsi="Arial"/>
          <w:sz w:val="18"/>
          <w:szCs w:val="18"/>
          <w:color w:val="auto"/>
        </w:rPr>
      </w:pPr>
    </w:p>
    <w:p>
      <w:pPr>
        <w:ind w:left="1860" w:hanging="789"/>
        <w:spacing w:after="0"/>
        <w:tabs>
          <w:tab w:leader="none" w:pos="1860" w:val="left"/>
        </w:tabs>
        <w:numPr>
          <w:ilvl w:val="1"/>
          <w:numId w:val="61"/>
        </w:numPr>
        <w:rPr>
          <w:rFonts w:ascii="Arial" w:cs="Arial" w:eastAsia="Arial" w:hAnsi="Arial"/>
          <w:sz w:val="20"/>
          <w:szCs w:val="20"/>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NVENTIONS</w:t>
      </w:r>
      <w:r>
        <w:rPr>
          <w:rFonts w:ascii="Arial" w:cs="Arial" w:eastAsia="Arial" w:hAnsi="Arial"/>
          <w:sz w:val="18"/>
          <w:szCs w:val="18"/>
          <w:b w:val="1"/>
          <w:bCs w:val="1"/>
          <w:color w:val="auto"/>
        </w:rPr>
        <w:t>.</w:t>
      </w:r>
    </w:p>
    <w:p>
      <w:pPr>
        <w:spacing w:after="0" w:line="202" w:lineRule="exact"/>
        <w:rPr>
          <w:rFonts w:ascii="Arial" w:cs="Arial" w:eastAsia="Arial" w:hAnsi="Arial"/>
          <w:sz w:val="20"/>
          <w:szCs w:val="20"/>
          <w:b w:val="1"/>
          <w:bCs w:val="1"/>
          <w:color w:val="auto"/>
        </w:rPr>
      </w:pPr>
    </w:p>
    <w:p>
      <w:pPr>
        <w:jc w:val="both"/>
        <w:ind w:firstLine="1735"/>
        <w:spacing w:after="0" w:line="277" w:lineRule="auto"/>
        <w:tabs>
          <w:tab w:leader="none" w:pos="2585" w:val="left"/>
        </w:tabs>
        <w:numPr>
          <w:ilvl w:val="2"/>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Disclosure. </w:t>
      </w:r>
      <w:r>
        <w:rPr>
          <w:rFonts w:ascii="Arial" w:cs="Arial" w:eastAsia="Arial" w:hAnsi="Arial"/>
          <w:sz w:val="17"/>
          <w:szCs w:val="17"/>
          <w:color w:val="auto"/>
        </w:rPr>
        <w:t>Consultant shall promptly disclose in writing to the Board or to such person designated by the Board all</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made during the term of Consultant’s engagement with the Company related to the Services. Consultant shall also disclose to the Board all Inventions made, discovered, conceived, reduced to practice or developed by Consultant either alone or jointly with others, within six (6) months after the termination of Consultant’s engagement with the Company which resulted, in whole or in part, from Consultant’s prior engagement with the Company and are related to the Services. Such disclosures shall be received by the Company in confidence,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5" w:name="page116"/>
    <w:bookmarkEnd w:id="115"/>
    <w:p>
      <w:pPr>
        <w:spacing w:after="0" w:line="277" w:lineRule="auto"/>
        <w:rPr>
          <w:sz w:val="20"/>
          <w:szCs w:val="20"/>
          <w:color w:val="auto"/>
        </w:rPr>
      </w:pPr>
      <w:r>
        <w:rPr>
          <w:rFonts w:ascii="Arial" w:cs="Arial" w:eastAsia="Arial" w:hAnsi="Arial"/>
          <w:sz w:val="18"/>
          <w:szCs w:val="18"/>
          <w:color w:val="auto"/>
        </w:rPr>
        <w:t>to the extent such Inventions are not assigned to the Company pursuant to subsection (b) below, and do not extend the assignments made in such subsection.</w:t>
      </w:r>
    </w:p>
    <w:p>
      <w:pPr>
        <w:spacing w:after="0" w:line="166" w:lineRule="exact"/>
        <w:rPr>
          <w:sz w:val="20"/>
          <w:szCs w:val="20"/>
          <w:color w:val="auto"/>
        </w:rPr>
      </w:pPr>
    </w:p>
    <w:p>
      <w:pPr>
        <w:jc w:val="both"/>
        <w:ind w:firstLine="1735"/>
        <w:spacing w:after="0" w:line="261" w:lineRule="auto"/>
        <w:tabs>
          <w:tab w:leader="none" w:pos="2595"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of Inventions to the Company. </w:t>
      </w:r>
      <w:r>
        <w:rPr>
          <w:rFonts w:ascii="Arial" w:cs="Arial" w:eastAsia="Arial" w:hAnsi="Arial"/>
          <w:sz w:val="18"/>
          <w:szCs w:val="18"/>
          <w:color w:val="auto"/>
        </w:rPr>
        <w:t>Consultant agrees that all Inventions which Consultant makes, discovers,</w:t>
      </w:r>
      <w:r>
        <w:rPr>
          <w:rFonts w:ascii="Arial" w:cs="Arial" w:eastAsia="Arial" w:hAnsi="Arial"/>
          <w:sz w:val="18"/>
          <w:szCs w:val="18"/>
          <w:b w:val="1"/>
          <w:bCs w:val="1"/>
          <w:color w:val="auto"/>
        </w:rPr>
        <w:t xml:space="preserve"> </w:t>
      </w:r>
      <w:r>
        <w:rPr>
          <w:rFonts w:ascii="Arial" w:cs="Arial" w:eastAsia="Arial" w:hAnsi="Arial"/>
          <w:sz w:val="18"/>
          <w:szCs w:val="18"/>
          <w:color w:val="auto"/>
        </w:rPr>
        <w:t>conceives, reduces to practice or develops (in whole or in part, either alone or jointly with others) during Consultant’s engagement related to the Services, shall be the sole property of the Company to the maximum extent permitted by law and Consultant agrees to assign and hereby does assign to the Company all right, title and interest to the Inventions.</w:t>
      </w:r>
    </w:p>
    <w:p>
      <w:pPr>
        <w:spacing w:after="0" w:line="179" w:lineRule="exact"/>
        <w:rPr>
          <w:rFonts w:ascii="Arial" w:cs="Arial" w:eastAsia="Arial" w:hAnsi="Arial"/>
          <w:sz w:val="18"/>
          <w:szCs w:val="18"/>
          <w:b w:val="1"/>
          <w:bCs w:val="1"/>
          <w:color w:val="auto"/>
        </w:rPr>
      </w:pPr>
    </w:p>
    <w:p>
      <w:pPr>
        <w:jc w:val="both"/>
        <w:ind w:firstLine="1735"/>
        <w:spacing w:after="0" w:line="288" w:lineRule="auto"/>
        <w:tabs>
          <w:tab w:leader="none" w:pos="2575"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Works Made for Hire. </w:t>
      </w:r>
      <w:r>
        <w:rPr>
          <w:rFonts w:ascii="Arial" w:cs="Arial" w:eastAsia="Arial" w:hAnsi="Arial"/>
          <w:sz w:val="16"/>
          <w:szCs w:val="16"/>
          <w:color w:val="auto"/>
        </w:rPr>
        <w:t>Consultant agrees that the Company shall be the sole owner of all patents, patent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copyrights, trade secret rights, trademark rights and all other intellectual property or other rights in connection with Inventions related to the Services. Consultant further acknowledges and agrees that such Inventions related to the Services, including, without limitation, any computer programs, programming documentation and other works of authorship, are “works made for hire” for purposes of the Company’s rights under copyright laws. Consultant hereby assigns to the Company any and all rights, title and interest Consultant may have or acquire in such Inventions. If in the course of Consultant’s engagement with the Company, Consultant incorporates into a Company product, process or machine or a prior Invention or improvement not related to the Services that is owned by Consultant or in which Consultant has an interest, the Consultant will negotiate in good faith, a non-exclusive, royalty-free, irrevocable, perpetual, sublicensable, worldwide license to make, have made, modify, use, market, sell and distribute such prior Invention as part of or in connection with such product, process or machine. If in the course of Consultant’s engagement with the Company, Consultant incorporates into a Company product, process or machine a prior Invention or improvement related to the Services owned by Consultant or in which Consultant has an interest, Consultant agrees to assign and hereby does assign all rights and interest in the Invention to the Company.</w:t>
      </w:r>
    </w:p>
    <w:p>
      <w:pPr>
        <w:spacing w:after="0" w:line="163" w:lineRule="exact"/>
        <w:rPr>
          <w:rFonts w:ascii="Arial" w:cs="Arial" w:eastAsia="Arial" w:hAnsi="Arial"/>
          <w:sz w:val="16"/>
          <w:szCs w:val="16"/>
          <w:b w:val="1"/>
          <w:bCs w:val="1"/>
          <w:color w:val="auto"/>
        </w:rPr>
      </w:pPr>
    </w:p>
    <w:p>
      <w:pPr>
        <w:jc w:val="both"/>
        <w:ind w:firstLine="1735"/>
        <w:spacing w:after="0" w:line="289" w:lineRule="auto"/>
        <w:tabs>
          <w:tab w:leader="none" w:pos="2595"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Cooperation. </w:t>
      </w:r>
      <w:r>
        <w:rPr>
          <w:rFonts w:ascii="Arial" w:cs="Arial" w:eastAsia="Arial" w:hAnsi="Arial"/>
          <w:sz w:val="16"/>
          <w:szCs w:val="16"/>
          <w:color w:val="auto"/>
        </w:rPr>
        <w:t>Consultant agrees to perform, during and after Consultant’s engagement, all acts deemed necessary or</w:t>
      </w:r>
      <w:r>
        <w:rPr>
          <w:rFonts w:ascii="Arial" w:cs="Arial" w:eastAsia="Arial" w:hAnsi="Arial"/>
          <w:sz w:val="16"/>
          <w:szCs w:val="16"/>
          <w:b w:val="1"/>
          <w:bCs w:val="1"/>
          <w:color w:val="auto"/>
        </w:rPr>
        <w:t xml:space="preserve"> </w:t>
      </w:r>
      <w:r>
        <w:rPr>
          <w:rFonts w:ascii="Arial" w:cs="Arial" w:eastAsia="Arial" w:hAnsi="Arial"/>
          <w:sz w:val="16"/>
          <w:szCs w:val="16"/>
          <w:color w:val="auto"/>
        </w:rPr>
        <w:t>desirable by the Company to permit and assist it, at the Company’s expense, in further evidencing and perfecting the assignments made to the Company under this Agreement and in obtaining, maintaining, defending and enforcing patents, patent rights, copyrights, trademark rights, trade secret rights or any other rights in connection with such Inventions and improvements related to the Services in any and all countries. Such acts may include, without limitation, execution of documents and assistance or cooperation in legal proceedings. Consultant hereby irrevocably designates and appoints the Company and its duly authorized officers and agents, as Consultant’s agents and attorney-in-fact, coupled with an interest, to act for and on Consultant’s behalf and in Consultant’s place and stead, to execute and file any documents, applications or related findings and to do all other lawfully permitted acts strictly limited to furthering the purposes set forth above in this Section 8(d), including, without limitation, the perfection of assignment and the prosecution and issuance of patents, patent applications, filing with the FDA, copyright applications and registrations, trademark applications and registrations or other rights in connection with such Inventions and improvements related to the Services with the same legal force and effect as if executed by Consultant.</w:t>
      </w:r>
    </w:p>
    <w:p>
      <w:pPr>
        <w:spacing w:after="0" w:line="160" w:lineRule="exact"/>
        <w:rPr>
          <w:rFonts w:ascii="Arial" w:cs="Arial" w:eastAsia="Arial" w:hAnsi="Arial"/>
          <w:sz w:val="16"/>
          <w:szCs w:val="16"/>
          <w:b w:val="1"/>
          <w:bCs w:val="1"/>
          <w:color w:val="auto"/>
        </w:rPr>
      </w:pPr>
    </w:p>
    <w:p>
      <w:pPr>
        <w:jc w:val="both"/>
        <w:ind w:firstLine="1735"/>
        <w:spacing w:after="0" w:line="258" w:lineRule="auto"/>
        <w:tabs>
          <w:tab w:leader="none" w:pos="2575"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or Waiver of Moral Rights. </w:t>
      </w:r>
      <w:r>
        <w:rPr>
          <w:rFonts w:ascii="Arial" w:cs="Arial" w:eastAsia="Arial" w:hAnsi="Arial"/>
          <w:sz w:val="18"/>
          <w:szCs w:val="18"/>
          <w:color w:val="auto"/>
        </w:rPr>
        <w:t>Any assignment of copyright hereunder (and any ownership of a copyright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a work made for hire) includes all rights of paternity, integrity, disclosure and withdrawal and any other rights that may be known as or referred to as “Moral Rights” (collectively,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To the extent such Moral Rights cannot be assigned under applicable law and to the extent the following is allowed by the law in the various countries where Moral Rights exist, Consultant hereby waives such Moral Rights and consents to any action of the Company that would violate such Moral Rights in the absence of such consent.</w:t>
      </w:r>
    </w:p>
    <w:p>
      <w:pPr>
        <w:spacing w:after="0" w:line="183" w:lineRule="exact"/>
        <w:rPr>
          <w:rFonts w:ascii="Arial" w:cs="Arial" w:eastAsia="Arial" w:hAnsi="Arial"/>
          <w:sz w:val="18"/>
          <w:szCs w:val="18"/>
          <w:b w:val="1"/>
          <w:bCs w:val="1"/>
          <w:color w:val="auto"/>
        </w:rPr>
      </w:pPr>
    </w:p>
    <w:p>
      <w:pPr>
        <w:ind w:left="2560" w:hanging="825"/>
        <w:spacing w:after="0"/>
        <w:tabs>
          <w:tab w:leader="none" w:pos="25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Holdover Assignment.</w:t>
      </w:r>
    </w:p>
    <w:p>
      <w:pPr>
        <w:spacing w:after="0" w:line="229" w:lineRule="exact"/>
        <w:rPr>
          <w:rFonts w:ascii="Arial" w:cs="Arial" w:eastAsia="Arial" w:hAnsi="Arial"/>
          <w:sz w:val="18"/>
          <w:szCs w:val="18"/>
          <w:b w:val="1"/>
          <w:bCs w:val="1"/>
          <w:color w:val="auto"/>
        </w:rPr>
      </w:pPr>
    </w:p>
    <w:p>
      <w:pPr>
        <w:jc w:val="both"/>
        <w:ind w:firstLine="2600"/>
        <w:spacing w:after="0" w:line="255" w:lineRule="auto"/>
        <w:tabs>
          <w:tab w:leader="none" w:pos="3410"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Consultant agrees to, with reasonable compensation and after the Notice Period or termination of Consultant’s engagement with the Company for any reason (1) disclose immediately to the Company all Inventions related to the Services, patentable or not; (2) assist, at the Company’s expense such applications for United States patents and foreign patents covering such Inventions related to the Services as the Company may request; (3) assign to the Company without further compensation to Consultant the entire title and rights to all such Inventions and applications related to the Services that Consultant may have; and (4) execute, acknowledge, deliver, or act as otherwise necessary at the request of the Company all such papers, including but not limited to patent applications,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6" w:name="page117"/>
    <w:bookmarkEnd w:id="116"/>
    <w:p>
      <w:pPr>
        <w:spacing w:after="0" w:line="277" w:lineRule="auto"/>
        <w:rPr>
          <w:sz w:val="20"/>
          <w:szCs w:val="20"/>
          <w:color w:val="auto"/>
        </w:rPr>
      </w:pPr>
      <w:r>
        <w:rPr>
          <w:rFonts w:ascii="Arial" w:cs="Arial" w:eastAsia="Arial" w:hAnsi="Arial"/>
          <w:sz w:val="18"/>
          <w:szCs w:val="18"/>
          <w:color w:val="auto"/>
        </w:rPr>
        <w:t>assignments, power of attorney, as necessary to secure the Company the full rights to such Inventions and applications related to the Services. If such activities are required of Consultant after</w:t>
      </w:r>
    </w:p>
    <w:p>
      <w:pPr>
        <w:spacing w:after="0" w:line="170" w:lineRule="exact"/>
        <w:rPr>
          <w:sz w:val="20"/>
          <w:szCs w:val="20"/>
          <w:color w:val="auto"/>
        </w:rPr>
      </w:pPr>
    </w:p>
    <w:p>
      <w:pPr>
        <w:jc w:val="both"/>
        <w:ind w:firstLine="2600"/>
        <w:spacing w:after="0" w:line="275" w:lineRule="auto"/>
        <w:tabs>
          <w:tab w:leader="none" w:pos="3460" w:val="left"/>
        </w:tabs>
        <w:numPr>
          <w:ilvl w:val="1"/>
          <w:numId w:val="63"/>
        </w:numPr>
        <w:rPr>
          <w:rFonts w:ascii="Arial" w:cs="Arial" w:eastAsia="Arial" w:hAnsi="Arial"/>
          <w:sz w:val="17"/>
          <w:szCs w:val="17"/>
          <w:b w:val="1"/>
          <w:bCs w:val="1"/>
          <w:color w:val="auto"/>
        </w:rPr>
      </w:pPr>
      <w:r>
        <w:rPr>
          <w:rFonts w:ascii="Arial" w:cs="Arial" w:eastAsia="Arial" w:hAnsi="Arial"/>
          <w:sz w:val="17"/>
          <w:szCs w:val="17"/>
          <w:color w:val="auto"/>
        </w:rPr>
        <w:t>The Inventions related to the Services which shall come under this Section 8(f) shall include all Inventions related to the Services that (1) Consultant conceives, reduces to practice, or otherwise makes or develops, either solely or jointly with others, within one year after the termination of this Agreement; (2) are in any way based on any trade secret or confidential or proprietary information that Consultant learned during Consultant’s engagement with the Company; (3) result from any work performed by Consultant for the Company under this Agreement; or (4) are in any way related to the subject matter or activities of Consultant’s engagement with the Company.</w:t>
      </w:r>
    </w:p>
    <w:p>
      <w:pPr>
        <w:spacing w:after="0" w:line="185" w:lineRule="exact"/>
        <w:rPr>
          <w:rFonts w:ascii="Arial" w:cs="Arial" w:eastAsia="Arial" w:hAnsi="Arial"/>
          <w:sz w:val="17"/>
          <w:szCs w:val="17"/>
          <w:b w:val="1"/>
          <w:bCs w:val="1"/>
          <w:color w:val="auto"/>
        </w:rPr>
      </w:pPr>
    </w:p>
    <w:p>
      <w:pPr>
        <w:jc w:val="both"/>
        <w:ind w:left="220" w:firstLine="851"/>
        <w:spacing w:after="0" w:line="268" w:lineRule="auto"/>
        <w:tabs>
          <w:tab w:leader="none" w:pos="1863" w:val="left"/>
        </w:tabs>
        <w:numPr>
          <w:ilvl w:val="0"/>
          <w:numId w:val="64"/>
        </w:numPr>
        <w:rPr>
          <w:rFonts w:ascii="Arial" w:cs="Arial" w:eastAsia="Arial" w:hAnsi="Arial"/>
          <w:sz w:val="19"/>
          <w:szCs w:val="19"/>
          <w:b w:val="1"/>
          <w:bCs w:val="1"/>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w:t>
      </w:r>
      <w:r>
        <w:rPr>
          <w:rFonts w:ascii="Arial" w:cs="Arial" w:eastAsia="Arial" w:hAnsi="Arial"/>
          <w:sz w:val="17"/>
          <w:szCs w:val="17"/>
          <w:b w:val="1"/>
          <w:bCs w:val="1"/>
          <w:color w:val="auto"/>
        </w:rPr>
        <w:t>-S</w:t>
      </w:r>
      <w:r>
        <w:rPr>
          <w:rFonts w:ascii="Arial" w:cs="Arial" w:eastAsia="Arial" w:hAnsi="Arial"/>
          <w:sz w:val="11"/>
          <w:szCs w:val="11"/>
          <w:b w:val="1"/>
          <w:bCs w:val="1"/>
          <w:color w:val="auto"/>
        </w:rPr>
        <w:t>OLICITATION OR</w:t>
      </w:r>
      <w:r>
        <w:rPr>
          <w:rFonts w:ascii="Arial" w:cs="Arial" w:eastAsia="Arial" w:hAnsi="Arial"/>
          <w:sz w:val="17"/>
          <w:szCs w:val="17"/>
          <w:b w:val="1"/>
          <w:bCs w:val="1"/>
          <w:color w:val="auto"/>
        </w:rPr>
        <w:t xml:space="preserve"> H</w:t>
      </w:r>
      <w:r>
        <w:rPr>
          <w:rFonts w:ascii="Arial" w:cs="Arial" w:eastAsia="Arial" w:hAnsi="Arial"/>
          <w:sz w:val="11"/>
          <w:szCs w:val="11"/>
          <w:b w:val="1"/>
          <w:bCs w:val="1"/>
          <w:color w:val="auto"/>
        </w:rPr>
        <w:t>IRE OF THE</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OMPANY</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this Agreement and for one (1) year thereafter,</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shall not solicit any employee of the Company to leave the Company or to accept employment with Consultant or any other entity. As part of this restriction, Consultant shall not (a) interview or provide any input to any entity regarding any such employee during such time period, or (b) without the consent of the Company, which shall not be unreasonably withheld, retain or hire in any capacity, either individually or for any person or entity by which Consultant may be engaged or with which Consultant may be affiliated, any person who is or was employed by the Company at any time during the term of this Agreement and six (6) months after the termination of this Agreement.</w:t>
      </w:r>
    </w:p>
    <w:p>
      <w:pPr>
        <w:spacing w:after="0" w:line="190" w:lineRule="exact"/>
        <w:rPr>
          <w:rFonts w:ascii="Arial" w:cs="Arial" w:eastAsia="Arial" w:hAnsi="Arial"/>
          <w:sz w:val="19"/>
          <w:szCs w:val="19"/>
          <w:b w:val="1"/>
          <w:bCs w:val="1"/>
          <w:color w:val="auto"/>
        </w:rPr>
      </w:pPr>
    </w:p>
    <w:p>
      <w:pPr>
        <w:jc w:val="both"/>
        <w:ind w:left="220" w:firstLine="851"/>
        <w:spacing w:after="0" w:line="252" w:lineRule="auto"/>
        <w:tabs>
          <w:tab w:leader="none" w:pos="1962" w:val="left"/>
        </w:tabs>
        <w:numPr>
          <w:ilvl w:val="0"/>
          <w:numId w:val="64"/>
        </w:numPr>
        <w:rPr>
          <w:rFonts w:ascii="Arial" w:cs="Arial" w:eastAsia="Arial" w:hAnsi="Arial"/>
          <w:sz w:val="20"/>
          <w:szCs w:val="20"/>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w:t>
      </w:r>
      <w:r>
        <w:rPr>
          <w:rFonts w:ascii="Arial" w:cs="Arial" w:eastAsia="Arial" w:hAnsi="Arial"/>
          <w:sz w:val="18"/>
          <w:szCs w:val="18"/>
          <w:b w:val="1"/>
          <w:bCs w:val="1"/>
          <w:color w:val="auto"/>
        </w:rPr>
        <w:t>-S</w:t>
      </w:r>
      <w:r>
        <w:rPr>
          <w:rFonts w:ascii="Arial" w:cs="Arial" w:eastAsia="Arial" w:hAnsi="Arial"/>
          <w:sz w:val="12"/>
          <w:szCs w:val="12"/>
          <w:b w:val="1"/>
          <w:bCs w:val="1"/>
          <w:color w:val="auto"/>
        </w:rPr>
        <w:t>OLICITATION OF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w:t>
      </w:r>
      <w:r>
        <w:rPr>
          <w:rFonts w:ascii="Arial" w:cs="Arial" w:eastAsia="Arial" w:hAnsi="Arial"/>
          <w:sz w:val="18"/>
          <w:szCs w:val="18"/>
          <w:b w:val="1"/>
          <w:bCs w:val="1"/>
          <w:color w:val="auto"/>
        </w:rPr>
        <w:t>-E</w:t>
      </w:r>
      <w:r>
        <w:rPr>
          <w:rFonts w:ascii="Arial" w:cs="Arial" w:eastAsia="Arial" w:hAnsi="Arial"/>
          <w:sz w:val="12"/>
          <w:szCs w:val="12"/>
          <w:b w:val="1"/>
          <w:bCs w:val="1"/>
          <w:color w:val="auto"/>
        </w:rPr>
        <w:t>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this Agreement and for one (1) year thereafter, Consultant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attempt, directly or indirectly, to solicit, entice, hire or otherwise induce any non-employee consultant, vendor or advisor of the Company to terminate their association with the Company.</w:t>
      </w:r>
    </w:p>
    <w:p>
      <w:pPr>
        <w:spacing w:after="0" w:line="201" w:lineRule="exact"/>
        <w:rPr>
          <w:rFonts w:ascii="Arial" w:cs="Arial" w:eastAsia="Arial" w:hAnsi="Arial"/>
          <w:sz w:val="20"/>
          <w:szCs w:val="20"/>
          <w:b w:val="1"/>
          <w:bCs w:val="1"/>
          <w:color w:val="auto"/>
        </w:rPr>
      </w:pPr>
    </w:p>
    <w:p>
      <w:pPr>
        <w:jc w:val="both"/>
        <w:ind w:left="220" w:firstLine="851"/>
        <w:spacing w:after="0" w:line="270" w:lineRule="auto"/>
        <w:tabs>
          <w:tab w:leader="none" w:pos="1951" w:val="left"/>
        </w:tabs>
        <w:numPr>
          <w:ilvl w:val="0"/>
          <w:numId w:val="64"/>
        </w:numPr>
        <w:rPr>
          <w:rFonts w:ascii="Arial" w:cs="Arial" w:eastAsia="Arial" w:hAnsi="Arial"/>
          <w:sz w:val="19"/>
          <w:szCs w:val="19"/>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RRANGEMENT</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ON</w:t>
      </w:r>
      <w:r>
        <w:rPr>
          <w:rFonts w:ascii="Arial" w:cs="Arial" w:eastAsia="Arial" w:hAnsi="Arial"/>
          <w:sz w:val="17"/>
          <w:szCs w:val="17"/>
          <w:b w:val="1"/>
          <w:bCs w:val="1"/>
          <w:color w:val="auto"/>
        </w:rPr>
        <w:t>-E</w:t>
      </w:r>
      <w:r>
        <w:rPr>
          <w:rFonts w:ascii="Arial" w:cs="Arial" w:eastAsia="Arial" w:hAnsi="Arial"/>
          <w:sz w:val="11"/>
          <w:szCs w:val="11"/>
          <w:b w:val="1"/>
          <w:bCs w:val="1"/>
          <w:color w:val="auto"/>
        </w:rPr>
        <w:t>XCLUSIVE</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agrees that, if Consultant enters into an agreement with another entity that is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of tongue-based neuromodulation or therapy-based neuromodulation related to TBI, Multiple Sclerosis or Stroke, it will constitute a conflict of interest with this Agreement and Consultant shall promptly notify the Company of such conflict in writing. The Company may, at its option, elect to terminate this Agreement upon receipt of Consultant’s notice by, and upon, giving notice of such election to Consultant.</w:t>
      </w:r>
    </w:p>
    <w:p>
      <w:pPr>
        <w:spacing w:after="0" w:line="187" w:lineRule="exact"/>
        <w:rPr>
          <w:rFonts w:ascii="Arial" w:cs="Arial" w:eastAsia="Arial" w:hAnsi="Arial"/>
          <w:sz w:val="19"/>
          <w:szCs w:val="19"/>
          <w:b w:val="1"/>
          <w:bCs w:val="1"/>
          <w:color w:val="auto"/>
        </w:rPr>
      </w:pPr>
    </w:p>
    <w:p>
      <w:pPr>
        <w:jc w:val="both"/>
        <w:ind w:left="220" w:firstLine="851"/>
        <w:spacing w:after="0" w:line="251" w:lineRule="auto"/>
        <w:tabs>
          <w:tab w:leader="none" w:pos="1962" w:val="left"/>
        </w:tabs>
        <w:numPr>
          <w:ilvl w:val="0"/>
          <w:numId w:val="64"/>
        </w:numPr>
        <w:rPr>
          <w:rFonts w:ascii="Arial" w:cs="Arial" w:eastAsia="Arial" w:hAnsi="Arial"/>
          <w:sz w:val="20"/>
          <w:szCs w:val="20"/>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UTHORIZATION FOR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UBLICATION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Consultant’s submitting or disclosing for possible publication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dissemination outside the Company any material prepared by Consultant that incorporates information that concerns the Company’s business or anticipated research, Consultant agrees to deliver a copy of such material to the Board for review. Within twenty (20) days following such submission, the Company agrees to notify Consultant in writing whether the Company believes such material contains any Proprietary Information or Inventions related to the Services, and Consultant agrees to make such deletions and revisions as are reasonably requested by the Company to protect its Proprietary Information and Inventions related to the Services. Consultant further agrees to obtain the written consent of the Company prior to any review of such material by persons outside the Company.</w:t>
      </w:r>
    </w:p>
    <w:p>
      <w:pPr>
        <w:spacing w:after="0" w:line="202" w:lineRule="exact"/>
        <w:rPr>
          <w:rFonts w:ascii="Arial" w:cs="Arial" w:eastAsia="Arial" w:hAnsi="Arial"/>
          <w:sz w:val="20"/>
          <w:szCs w:val="20"/>
          <w:b w:val="1"/>
          <w:bCs w:val="1"/>
          <w:color w:val="auto"/>
        </w:rPr>
      </w:pPr>
    </w:p>
    <w:p>
      <w:pPr>
        <w:jc w:val="both"/>
        <w:ind w:left="220" w:firstLine="851"/>
        <w:spacing w:after="0" w:line="285" w:lineRule="auto"/>
        <w:tabs>
          <w:tab w:leader="none" w:pos="1962" w:val="left"/>
        </w:tabs>
        <w:numPr>
          <w:ilvl w:val="0"/>
          <w:numId w:val="64"/>
        </w:numPr>
        <w:rPr>
          <w:rFonts w:ascii="Arial" w:cs="Arial" w:eastAsia="Arial" w:hAnsi="Arial"/>
          <w:sz w:val="18"/>
          <w:szCs w:val="18"/>
          <w:b w:val="1"/>
          <w:bCs w:val="1"/>
          <w:color w:val="auto"/>
        </w:rPr>
      </w:pPr>
      <w:r>
        <w:rPr>
          <w:rFonts w:ascii="Arial" w:cs="Arial" w:eastAsia="Arial" w:hAnsi="Arial"/>
          <w:sz w:val="16"/>
          <w:szCs w:val="16"/>
          <w:b w:val="1"/>
          <w:bCs w:val="1"/>
          <w:color w:val="auto"/>
        </w:rPr>
        <w:t>F</w:t>
      </w:r>
      <w:r>
        <w:rPr>
          <w:rFonts w:ascii="Arial" w:cs="Arial" w:eastAsia="Arial" w:hAnsi="Arial"/>
          <w:sz w:val="11"/>
          <w:szCs w:val="11"/>
          <w:b w:val="1"/>
          <w:bCs w:val="1"/>
          <w:color w:val="auto"/>
        </w:rPr>
        <w:t>ORMER</w:t>
      </w:r>
      <w:r>
        <w:rPr>
          <w:rFonts w:ascii="Arial" w:cs="Arial" w:eastAsia="Arial" w:hAnsi="Arial"/>
          <w:sz w:val="16"/>
          <w:szCs w:val="16"/>
          <w:b w:val="1"/>
          <w:bCs w:val="1"/>
          <w:color w:val="auto"/>
        </w:rPr>
        <w:t xml:space="preserve"> E</w:t>
      </w:r>
      <w:r>
        <w:rPr>
          <w:rFonts w:ascii="Arial" w:cs="Arial" w:eastAsia="Arial" w:hAnsi="Arial"/>
          <w:sz w:val="11"/>
          <w:szCs w:val="11"/>
          <w:b w:val="1"/>
          <w:bCs w:val="1"/>
          <w:color w:val="auto"/>
        </w:rPr>
        <w:t>MPLOYER OR</w:t>
      </w:r>
      <w:r>
        <w:rPr>
          <w:rFonts w:ascii="Arial" w:cs="Arial" w:eastAsia="Arial" w:hAnsi="Arial"/>
          <w:sz w:val="16"/>
          <w:szCs w:val="16"/>
          <w:b w:val="1"/>
          <w:bCs w:val="1"/>
          <w:color w:val="auto"/>
        </w:rPr>
        <w:t xml:space="preserve"> F</w:t>
      </w:r>
      <w:r>
        <w:rPr>
          <w:rFonts w:ascii="Arial" w:cs="Arial" w:eastAsia="Arial" w:hAnsi="Arial"/>
          <w:sz w:val="11"/>
          <w:szCs w:val="11"/>
          <w:b w:val="1"/>
          <w:bCs w:val="1"/>
          <w:color w:val="auto"/>
        </w:rPr>
        <w:t>ORMER</w:t>
      </w:r>
      <w:r>
        <w:rPr>
          <w:rFonts w:ascii="Arial" w:cs="Arial" w:eastAsia="Arial" w:hAnsi="Arial"/>
          <w:sz w:val="16"/>
          <w:szCs w:val="16"/>
          <w:b w:val="1"/>
          <w:bCs w:val="1"/>
          <w:color w:val="auto"/>
        </w:rPr>
        <w:t xml:space="preserve"> C</w:t>
      </w:r>
      <w:r>
        <w:rPr>
          <w:rFonts w:ascii="Arial" w:cs="Arial" w:eastAsia="Arial" w:hAnsi="Arial"/>
          <w:sz w:val="11"/>
          <w:szCs w:val="11"/>
          <w:b w:val="1"/>
          <w:bCs w:val="1"/>
          <w:color w:val="auto"/>
        </w:rPr>
        <w:t>LIENT</w:t>
      </w:r>
      <w:r>
        <w:rPr>
          <w:rFonts w:ascii="Arial" w:cs="Arial" w:eastAsia="Arial" w:hAnsi="Arial"/>
          <w:sz w:val="16"/>
          <w:szCs w:val="16"/>
          <w:b w:val="1"/>
          <w:bCs w:val="1"/>
          <w:color w:val="auto"/>
        </w:rPr>
        <w:t xml:space="preserve"> I</w:t>
      </w:r>
      <w:r>
        <w:rPr>
          <w:rFonts w:ascii="Arial" w:cs="Arial" w:eastAsia="Arial" w:hAnsi="Arial"/>
          <w:sz w:val="11"/>
          <w:szCs w:val="11"/>
          <w:b w:val="1"/>
          <w:bCs w:val="1"/>
          <w:color w:val="auto"/>
        </w:rPr>
        <w:t>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represents and warrants to the Company that Consultant’s</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all of the terms of this Agreement and engagement as a consultant of the Company do not and shall not breach any agreement to keep in confidence proprietary information, knowledge or data acquired by Consultant from any prior employer or client of Consultant in confidence or in trust prior to Consultant’s engagement by the Company, or violate the terms of any covenant not to compete between Consultant and any other such person or entity. Consultant shall not disclose to the Company or use in performing services for the Company any confidential or proprietary information belonging to any previous employer or client of Consultant. Consultant represents and warrants to the Company that Consultant can perform and render the Services for the Company without disclosing or using in the performance of the Services for the Company any confidential or proprietary information belonging to any previous employer or client of Consultant. Consultant has not entered into and Consultant shall not enter into any agreement, either written or oral, in conflict herewith or in conflict with Consultant’s engagement with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7" w:name="page118"/>
    <w:bookmarkEnd w:id="117"/>
    <w:p>
      <w:pPr>
        <w:jc w:val="both"/>
        <w:ind w:left="220" w:firstLine="851"/>
        <w:spacing w:after="0" w:line="266" w:lineRule="auto"/>
        <w:tabs>
          <w:tab w:leader="none" w:pos="1962" w:val="left"/>
        </w:tabs>
        <w:numPr>
          <w:ilvl w:val="2"/>
          <w:numId w:val="65"/>
        </w:numPr>
        <w:rPr>
          <w:rFonts w:ascii="Arial" w:cs="Arial" w:eastAsia="Arial" w:hAnsi="Arial"/>
          <w:sz w:val="19"/>
          <w:szCs w:val="19"/>
          <w:b w:val="1"/>
          <w:bCs w:val="1"/>
          <w:color w:val="auto"/>
        </w:rPr>
      </w:pPr>
      <w:r>
        <w:rPr>
          <w:rFonts w:ascii="Arial" w:cs="Arial" w:eastAsia="Arial" w:hAnsi="Arial"/>
          <w:sz w:val="17"/>
          <w:szCs w:val="17"/>
          <w:b w:val="1"/>
          <w:bCs w:val="1"/>
          <w:color w:val="auto"/>
        </w:rPr>
        <w:t>I</w:t>
      </w:r>
      <w:r>
        <w:rPr>
          <w:rFonts w:ascii="Arial" w:cs="Arial" w:eastAsia="Arial" w:hAnsi="Arial"/>
          <w:sz w:val="11"/>
          <w:szCs w:val="11"/>
          <w:b w:val="1"/>
          <w:bCs w:val="1"/>
          <w:color w:val="auto"/>
        </w:rPr>
        <w:t>NDEPENDENT</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ONTRACTOR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Consultant mutually understand and agree that Consultant shall be at all times</w:t>
      </w:r>
      <w:r>
        <w:rPr>
          <w:rFonts w:ascii="Arial" w:cs="Arial" w:eastAsia="Arial" w:hAnsi="Arial"/>
          <w:sz w:val="17"/>
          <w:szCs w:val="17"/>
          <w:b w:val="1"/>
          <w:bCs w:val="1"/>
          <w:color w:val="auto"/>
        </w:rPr>
        <w:t xml:space="preserve"> </w:t>
      </w:r>
      <w:r>
        <w:rPr>
          <w:rFonts w:ascii="Arial" w:cs="Arial" w:eastAsia="Arial" w:hAnsi="Arial"/>
          <w:sz w:val="17"/>
          <w:szCs w:val="17"/>
          <w:color w:val="auto"/>
        </w:rPr>
        <w:t>acting and performing as an independent contractor. Nothing in this Agreement is intended to create an employer/employee relationship or a joint venture relationship between the parties. The parties agree that Consultant is not eligible for any compensation, fringe benefits, pension, workers’ compensation, sickness or health insurance benefits, or other similar benefits accorded employees of the Company. The parties agree that the Company will not withhold any sums for income tax, unemployment insurance, social security, or any other withholding pursuant to any law or requirement of any governmental body on behalf of Consultant. Consultant acknowledges and agrees that the Company has no obligation under local, state, or federal laws regarding Consultant and that the total commitment and liability of the Company in regard to any arrangement with, or work performed by, Consultant hereunder is to pay the fees and expenses pursuant to the provisions of this Agreement. Consultant shall indemnify and hold the Company harmless from any and all loss, damage, claims, payments, or liability arising with respect to any such payment, withholdings, and benefits, if any. Nothing in this Agreement is intended to allow the Company to exercise control or direction over the manner or method by which Consultant performs the Services under the terms of Consultant’s engagement by the Company.</w:t>
      </w:r>
    </w:p>
    <w:p>
      <w:pPr>
        <w:spacing w:after="0" w:line="196" w:lineRule="exact"/>
        <w:rPr>
          <w:rFonts w:ascii="Arial" w:cs="Arial" w:eastAsia="Arial" w:hAnsi="Arial"/>
          <w:sz w:val="19"/>
          <w:szCs w:val="19"/>
          <w:b w:val="1"/>
          <w:bCs w:val="1"/>
          <w:color w:val="auto"/>
        </w:rPr>
      </w:pPr>
    </w:p>
    <w:p>
      <w:pPr>
        <w:ind w:left="1960" w:hanging="889"/>
        <w:spacing w:after="0"/>
        <w:tabs>
          <w:tab w:leader="none" w:pos="1960" w:val="left"/>
        </w:tabs>
        <w:numPr>
          <w:ilvl w:val="2"/>
          <w:numId w:val="65"/>
        </w:numPr>
        <w:rPr>
          <w:rFonts w:ascii="Arial" w:cs="Arial" w:eastAsia="Arial" w:hAnsi="Arial"/>
          <w:sz w:val="20"/>
          <w:szCs w:val="20"/>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OMPLIANCE</w:t>
      </w:r>
      <w:r>
        <w:rPr>
          <w:rFonts w:ascii="Arial" w:cs="Arial" w:eastAsia="Arial" w:hAnsi="Arial"/>
          <w:sz w:val="18"/>
          <w:szCs w:val="18"/>
          <w:b w:val="1"/>
          <w:bCs w:val="1"/>
          <w:color w:val="auto"/>
        </w:rPr>
        <w:t>.</w:t>
      </w:r>
    </w:p>
    <w:p>
      <w:pPr>
        <w:spacing w:after="0" w:line="206" w:lineRule="exact"/>
        <w:rPr>
          <w:rFonts w:ascii="Arial" w:cs="Arial" w:eastAsia="Arial" w:hAnsi="Arial"/>
          <w:sz w:val="20"/>
          <w:szCs w:val="20"/>
          <w:b w:val="1"/>
          <w:bCs w:val="1"/>
          <w:color w:val="auto"/>
        </w:rPr>
      </w:pPr>
    </w:p>
    <w:p>
      <w:pPr>
        <w:jc w:val="both"/>
        <w:ind w:firstLine="872"/>
        <w:spacing w:after="0" w:line="263" w:lineRule="auto"/>
        <w:tabs>
          <w:tab w:leader="none" w:pos="1721"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Consultant will become familiar with and comply with the Company’s policies and, coincidental with the execution of this Agreement, Consultant will execute a statement of acknowledgement and agreement that Consultant has read and will comply with the Company’s Compliance Policies.</w:t>
      </w:r>
    </w:p>
    <w:p>
      <w:pPr>
        <w:spacing w:after="0" w:line="183" w:lineRule="exact"/>
        <w:rPr>
          <w:rFonts w:ascii="Arial" w:cs="Arial" w:eastAsia="Arial" w:hAnsi="Arial"/>
          <w:sz w:val="18"/>
          <w:szCs w:val="18"/>
          <w:b w:val="1"/>
          <w:bCs w:val="1"/>
          <w:color w:val="auto"/>
        </w:rPr>
      </w:pPr>
    </w:p>
    <w:p>
      <w:pPr>
        <w:jc w:val="both"/>
        <w:ind w:firstLine="872"/>
        <w:spacing w:after="0" w:line="291" w:lineRule="auto"/>
        <w:tabs>
          <w:tab w:leader="none" w:pos="1731" w:val="left"/>
        </w:tabs>
        <w:numPr>
          <w:ilvl w:val="1"/>
          <w:numId w:val="66"/>
        </w:numPr>
        <w:rPr>
          <w:rFonts w:ascii="Arial" w:cs="Arial" w:eastAsia="Arial" w:hAnsi="Arial"/>
          <w:sz w:val="16"/>
          <w:szCs w:val="16"/>
          <w:b w:val="1"/>
          <w:bCs w:val="1"/>
          <w:color w:val="auto"/>
        </w:rPr>
      </w:pPr>
      <w:r>
        <w:rPr>
          <w:rFonts w:ascii="Arial" w:cs="Arial" w:eastAsia="Arial" w:hAnsi="Arial"/>
          <w:sz w:val="16"/>
          <w:szCs w:val="16"/>
          <w:color w:val="auto"/>
        </w:rPr>
        <w:t>Both parties to this Agreement agree to comply with all applicable federal, state, and local laws and regulations in performing their obligations under this Agreement. Both parties to this Agreement expressly acknowledge that the federal anti-kickback statute, 42 U.S.C. § 1320a-7b(b), prohibits the payment or receipt of remuneration as an inducement or reward for the referral, purchase, or ordering of items or services for which payment may be made in whole or in part under a federal health care program. It is the intention of the parties that this Agreement be performed in accordance with the anti-kickback statute. If any portion of this Agreement is found, by any court or agency with jurisdiction over the subject matter of the Agreement, not to be in compliance with the anti-kickback statute, that portion of the Agreement shall be deemed to be retroactively amended and reformed as necessary to comply with the statute, and the parties shall cooperate in taking any steps necessary to ensure such compliance.</w:t>
      </w:r>
    </w:p>
    <w:p>
      <w:pPr>
        <w:spacing w:after="0" w:line="175" w:lineRule="exact"/>
        <w:rPr>
          <w:rFonts w:ascii="Arial" w:cs="Arial" w:eastAsia="Arial" w:hAnsi="Arial"/>
          <w:sz w:val="16"/>
          <w:szCs w:val="16"/>
          <w:b w:val="1"/>
          <w:bCs w:val="1"/>
          <w:color w:val="auto"/>
        </w:rPr>
      </w:pPr>
    </w:p>
    <w:p>
      <w:pPr>
        <w:ind w:left="1960" w:hanging="889"/>
        <w:spacing w:after="0"/>
        <w:tabs>
          <w:tab w:leader="none" w:pos="1960" w:val="left"/>
        </w:tabs>
        <w:numPr>
          <w:ilvl w:val="2"/>
          <w:numId w:val="66"/>
        </w:numPr>
        <w:rPr>
          <w:rFonts w:ascii="Arial" w:cs="Arial" w:eastAsia="Arial" w:hAnsi="Arial"/>
          <w:sz w:val="20"/>
          <w:szCs w:val="20"/>
          <w:b w:val="1"/>
          <w:bCs w:val="1"/>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ARRANTIES</w:t>
      </w:r>
      <w:r>
        <w:rPr>
          <w:rFonts w:ascii="Arial" w:cs="Arial" w:eastAsia="Arial" w:hAnsi="Arial"/>
          <w:sz w:val="18"/>
          <w:szCs w:val="18"/>
          <w:b w:val="1"/>
          <w:bCs w:val="1"/>
          <w:color w:val="auto"/>
        </w:rPr>
        <w:t>.</w:t>
      </w:r>
    </w:p>
    <w:p>
      <w:pPr>
        <w:spacing w:after="0" w:line="206" w:lineRule="exact"/>
        <w:rPr>
          <w:rFonts w:ascii="Arial" w:cs="Arial" w:eastAsia="Arial" w:hAnsi="Arial"/>
          <w:sz w:val="20"/>
          <w:szCs w:val="20"/>
          <w:b w:val="1"/>
          <w:bCs w:val="1"/>
          <w:color w:val="auto"/>
        </w:rPr>
      </w:pPr>
    </w:p>
    <w:p>
      <w:pPr>
        <w:jc w:val="both"/>
        <w:ind w:firstLine="1735"/>
        <w:spacing w:after="0" w:line="271" w:lineRule="auto"/>
        <w:tabs>
          <w:tab w:leader="none" w:pos="2585" w:val="left"/>
        </w:tabs>
        <w:numPr>
          <w:ilvl w:val="3"/>
          <w:numId w:val="66"/>
        </w:numPr>
        <w:rPr>
          <w:rFonts w:ascii="Arial" w:cs="Arial" w:eastAsia="Arial" w:hAnsi="Arial"/>
          <w:sz w:val="17"/>
          <w:szCs w:val="17"/>
          <w:b w:val="1"/>
          <w:bCs w:val="1"/>
          <w:color w:val="auto"/>
        </w:rPr>
      </w:pPr>
      <w:r>
        <w:rPr>
          <w:rFonts w:ascii="Arial" w:cs="Arial" w:eastAsia="Arial" w:hAnsi="Arial"/>
          <w:sz w:val="17"/>
          <w:szCs w:val="17"/>
          <w:color w:val="auto"/>
        </w:rPr>
        <w:t>Consultant represents and warrants that Consultant: (i) is skilled and experienced in providing the Services, and will perform the Services in a professional and workmanlike manner customary in the industry; (ii) has, and will maintain throughout the term of this Agreement, all training, licenses, certifications, and information necessary for safely and properly performing the Services; (iii) will perform the Services in accordance with the terms and conditions of this Agreement and all applicable laws, ordinances and regulations; (iv) has not been found by any agency to have violated any statutes, rules, or regulations concerning the conduct of clinical research or services substantially similar to the Services; nor has received any agency letter alleging the same; (v) has not been terminated from any investigation or research project by a sponsor or agency for misconduct; and (vi) has not been subject to any disciplinary actions by any applicable boards of medicine, institutional review boards, or other similar agencies, nor been subject to any other restrictions or sanctions related to allegations of research or professional misconduct.</w:t>
      </w:r>
    </w:p>
    <w:p>
      <w:pPr>
        <w:spacing w:after="0" w:line="178" w:lineRule="exact"/>
        <w:rPr>
          <w:rFonts w:ascii="Arial" w:cs="Arial" w:eastAsia="Arial" w:hAnsi="Arial"/>
          <w:sz w:val="17"/>
          <w:szCs w:val="17"/>
          <w:b w:val="1"/>
          <w:bCs w:val="1"/>
          <w:color w:val="auto"/>
        </w:rPr>
      </w:pPr>
    </w:p>
    <w:p>
      <w:pPr>
        <w:jc w:val="both"/>
        <w:ind w:firstLine="1735"/>
        <w:spacing w:after="0" w:line="259" w:lineRule="auto"/>
        <w:tabs>
          <w:tab w:leader="none" w:pos="2595" w:val="left"/>
        </w:tabs>
        <w:numPr>
          <w:ilvl w:val="3"/>
          <w:numId w:val="66"/>
        </w:numPr>
        <w:rPr>
          <w:rFonts w:ascii="Arial" w:cs="Arial" w:eastAsia="Arial" w:hAnsi="Arial"/>
          <w:sz w:val="18"/>
          <w:szCs w:val="18"/>
          <w:b w:val="1"/>
          <w:bCs w:val="1"/>
          <w:color w:val="auto"/>
        </w:rPr>
      </w:pPr>
      <w:r>
        <w:rPr>
          <w:rFonts w:ascii="Arial" w:cs="Arial" w:eastAsia="Arial" w:hAnsi="Arial"/>
          <w:sz w:val="18"/>
          <w:szCs w:val="18"/>
          <w:color w:val="auto"/>
        </w:rPr>
        <w:t>Consultant further represents and warrants that (i) Consultant has the full and unrestricted right to disclose any information, know-how, materials, knowledge or data disclosed by Consultant to the Company in the performance of this Agreement; and (ii) the data and Inventions will not infringe any third party intellectual property rights. Consultant agrees to promptly notify Company in writing in the event that any of the foregoing warranties change.</w:t>
      </w:r>
    </w:p>
    <w:p>
      <w:pPr>
        <w:spacing w:after="0" w:line="186" w:lineRule="exact"/>
        <w:rPr>
          <w:rFonts w:ascii="Arial" w:cs="Arial" w:eastAsia="Arial" w:hAnsi="Arial"/>
          <w:sz w:val="18"/>
          <w:szCs w:val="18"/>
          <w:b w:val="1"/>
          <w:bCs w:val="1"/>
          <w:color w:val="auto"/>
        </w:rPr>
      </w:pPr>
    </w:p>
    <w:p>
      <w:pPr>
        <w:ind w:left="2580" w:hanging="845"/>
        <w:spacing w:after="0"/>
        <w:tabs>
          <w:tab w:leader="none" w:pos="2580" w:val="left"/>
        </w:tabs>
        <w:numPr>
          <w:ilvl w:val="3"/>
          <w:numId w:val="66"/>
        </w:numPr>
        <w:rPr>
          <w:rFonts w:ascii="Arial" w:cs="Arial" w:eastAsia="Arial" w:hAnsi="Arial"/>
          <w:sz w:val="16"/>
          <w:szCs w:val="16"/>
          <w:b w:val="1"/>
          <w:bCs w:val="1"/>
          <w:color w:val="auto"/>
        </w:rPr>
      </w:pPr>
      <w:r>
        <w:rPr>
          <w:rFonts w:ascii="Arial" w:cs="Arial" w:eastAsia="Arial" w:hAnsi="Arial"/>
          <w:sz w:val="16"/>
          <w:szCs w:val="16"/>
          <w:color w:val="auto"/>
        </w:rPr>
        <w:t>Consultant further warrants that s/he has never been, is not currently, and during the term of this Agreement will not be:</w:t>
      </w:r>
    </w:p>
    <w:p>
      <w:pPr>
        <w:spacing w:after="0" w:line="46" w:lineRule="exact"/>
        <w:rPr>
          <w:rFonts w:ascii="Arial" w:cs="Arial" w:eastAsia="Arial" w:hAnsi="Arial"/>
          <w:sz w:val="16"/>
          <w:szCs w:val="16"/>
          <w:b w:val="1"/>
          <w:bCs w:val="1"/>
          <w:color w:val="auto"/>
        </w:rPr>
      </w:pPr>
    </w:p>
    <w:p>
      <w:pPr>
        <w:jc w:val="both"/>
        <w:ind w:firstLine="8"/>
        <w:spacing w:after="0" w:line="255" w:lineRule="auto"/>
        <w:tabs>
          <w:tab w:leader="none" w:pos="2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excluded, debarred, suspended, or otherwise ineligible to participate in any federal health care program (e.g., Medicare, Medicaid, Tricare) or any U.S. government procurement or non-procurement program (i.e., listed on the Department of Health and Human Services Office of Inspector General’s List of Excluded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8" w:name="page119"/>
    <w:bookmarkEnd w:id="118"/>
    <w:p>
      <w:pPr>
        <w:jc w:val="both"/>
        <w:spacing w:after="0" w:line="254" w:lineRule="auto"/>
        <w:rPr>
          <w:sz w:val="20"/>
          <w:szCs w:val="20"/>
          <w:color w:val="auto"/>
        </w:rPr>
      </w:pPr>
      <w:r>
        <w:rPr>
          <w:rFonts w:ascii="Arial" w:cs="Arial" w:eastAsia="Arial" w:hAnsi="Arial"/>
          <w:sz w:val="18"/>
          <w:szCs w:val="18"/>
          <w:color w:val="auto"/>
        </w:rPr>
        <w:t>Individuals and Entities, www.oig.hhs.gov/exclusions, or the General Services Administration’s System for Award Management, www.sam.gov); (ii) debarred by the FDA pursuant to 21 U.S.C. § 335a(a) or (b) from providing services in any capacity to a person that has an approved or pending drug product application; (iii) the subject of an FDA debarment investigation or proceeding (or similar proceeding of a foreign equivalent); (iv) convicted of or under indictment for a crime for which an individual or entity could be debarred under 21 U.S.C. § 335a(a) or (b); or (v) convicted of or under indictment for a criminal offense (A) bearing on trustworthiness or (B) that falls within the scope of 42 U.S.C. §§ 1320a-7, 1395ccc, 1395c-5, and/or regulations promulgated thereunder; nor is s/he or will s/he be an employer, employee, partner, shareholder, member, subsidiary, or affiliate of any person or entity described above.</w:t>
      </w:r>
    </w:p>
    <w:p>
      <w:pPr>
        <w:spacing w:after="0" w:line="195" w:lineRule="exact"/>
        <w:rPr>
          <w:sz w:val="20"/>
          <w:szCs w:val="20"/>
          <w:color w:val="auto"/>
        </w:rPr>
      </w:pPr>
    </w:p>
    <w:p>
      <w:pPr>
        <w:jc w:val="both"/>
        <w:ind w:firstLine="1735"/>
        <w:spacing w:after="0" w:line="311" w:lineRule="auto"/>
        <w:tabs>
          <w:tab w:leader="none" w:pos="2595" w:val="left"/>
        </w:tabs>
        <w:numPr>
          <w:ilvl w:val="1"/>
          <w:numId w:val="68"/>
        </w:numPr>
        <w:rPr>
          <w:rFonts w:ascii="Arial" w:cs="Arial" w:eastAsia="Arial" w:hAnsi="Arial"/>
          <w:sz w:val="16"/>
          <w:szCs w:val="16"/>
          <w:b w:val="1"/>
          <w:bCs w:val="1"/>
          <w:color w:val="auto"/>
        </w:rPr>
      </w:pPr>
      <w:r>
        <w:rPr>
          <w:rFonts w:ascii="Arial" w:cs="Arial" w:eastAsia="Arial" w:hAnsi="Arial"/>
          <w:sz w:val="16"/>
          <w:szCs w:val="16"/>
          <w:color w:val="auto"/>
        </w:rPr>
        <w:t>Consultant shall immediately notify the Company in writing if, at any time during the term of this Agreement, (i) any representation or warranty of Consultant contained in this Agreement shall no longer be true and correct, or (ii) Consultant becomes aware of any known, suspected, or alleged violation of law or breach of agreement by the Company, by Consultant, or by any third party relating to the Services or the Company</w:t>
      </w:r>
    </w:p>
    <w:p>
      <w:pPr>
        <w:spacing w:after="0" w:line="158" w:lineRule="exact"/>
        <w:rPr>
          <w:rFonts w:ascii="Arial" w:cs="Arial" w:eastAsia="Arial" w:hAnsi="Arial"/>
          <w:sz w:val="16"/>
          <w:szCs w:val="16"/>
          <w:b w:val="1"/>
          <w:bCs w:val="1"/>
          <w:color w:val="auto"/>
        </w:rPr>
      </w:pPr>
    </w:p>
    <w:p>
      <w:pPr>
        <w:jc w:val="both"/>
        <w:ind w:left="220" w:right="20" w:firstLine="851"/>
        <w:spacing w:after="0" w:line="252" w:lineRule="auto"/>
        <w:tabs>
          <w:tab w:leader="none" w:pos="1962" w:val="left"/>
        </w:tabs>
        <w:numPr>
          <w:ilvl w:val="0"/>
          <w:numId w:val="69"/>
        </w:numPr>
        <w:rPr>
          <w:rFonts w:ascii="Arial" w:cs="Arial" w:eastAsia="Arial" w:hAnsi="Arial"/>
          <w:sz w:val="20"/>
          <w:szCs w:val="20"/>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AINTENANCE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ECORDS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this Agreement and until the expiration of five (5) years after the furnishing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Services pursuant to this Agreement, Consultant shall make available, upon written request of the Company or its designee, any records maintained by Consultant regarding any of the Services performed hereunder by Consultant.</w:t>
      </w:r>
    </w:p>
    <w:p>
      <w:pPr>
        <w:spacing w:after="0" w:line="201" w:lineRule="exact"/>
        <w:rPr>
          <w:rFonts w:ascii="Arial" w:cs="Arial" w:eastAsia="Arial" w:hAnsi="Arial"/>
          <w:sz w:val="20"/>
          <w:szCs w:val="20"/>
          <w:b w:val="1"/>
          <w:bCs w:val="1"/>
          <w:color w:val="auto"/>
        </w:rPr>
      </w:pPr>
    </w:p>
    <w:p>
      <w:pPr>
        <w:ind w:left="220" w:firstLine="851"/>
        <w:spacing w:after="0" w:line="255" w:lineRule="auto"/>
        <w:tabs>
          <w:tab w:leader="none" w:pos="1962" w:val="left"/>
        </w:tabs>
        <w:numPr>
          <w:ilvl w:val="0"/>
          <w:numId w:val="69"/>
        </w:numPr>
        <w:rPr>
          <w:rFonts w:ascii="Arial" w:cs="Arial" w:eastAsia="Arial" w:hAnsi="Arial"/>
          <w:sz w:val="20"/>
          <w:szCs w:val="20"/>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UTHORITY TO</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IND</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shall have no power or authority to execute any agreements or contracts for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to bind the Company in any other manner.</w:t>
      </w:r>
    </w:p>
    <w:p>
      <w:pPr>
        <w:spacing w:after="0" w:line="197" w:lineRule="exact"/>
        <w:rPr>
          <w:rFonts w:ascii="Arial" w:cs="Arial" w:eastAsia="Arial" w:hAnsi="Arial"/>
          <w:sz w:val="20"/>
          <w:szCs w:val="20"/>
          <w:b w:val="1"/>
          <w:bCs w:val="1"/>
          <w:color w:val="auto"/>
        </w:rPr>
      </w:pPr>
    </w:p>
    <w:p>
      <w:pPr>
        <w:jc w:val="both"/>
        <w:ind w:left="220" w:firstLine="851"/>
        <w:spacing w:after="0" w:line="251" w:lineRule="auto"/>
        <w:tabs>
          <w:tab w:leader="none" w:pos="1962" w:val="left"/>
        </w:tabs>
        <w:numPr>
          <w:ilvl w:val="0"/>
          <w:numId w:val="69"/>
        </w:numPr>
        <w:rPr>
          <w:rFonts w:ascii="Arial" w:cs="Arial" w:eastAsia="Arial" w:hAnsi="Arial"/>
          <w:sz w:val="20"/>
          <w:szCs w:val="20"/>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assigned by either party without the written consent of the other party;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the Company may assign this Agreement to any purchaser of all or substantially all of its assets or business (by merger, asset sale, equity sale or otherwise) without Consultant’s consent. Any attempted pledge of any of the rights under this Agreement or assignment of this Agreement without the prior consent of the Company’s shall be void. This Agreement is binding upon and inures to the benefit of the parties hereto and their respective permitted successors and assigns.</w:t>
      </w:r>
    </w:p>
    <w:p>
      <w:pPr>
        <w:spacing w:after="0" w:line="203" w:lineRule="exact"/>
        <w:rPr>
          <w:rFonts w:ascii="Arial" w:cs="Arial" w:eastAsia="Arial" w:hAnsi="Arial"/>
          <w:sz w:val="20"/>
          <w:szCs w:val="20"/>
          <w:b w:val="1"/>
          <w:bCs w:val="1"/>
          <w:color w:val="auto"/>
        </w:rPr>
      </w:pPr>
    </w:p>
    <w:p>
      <w:pPr>
        <w:jc w:val="both"/>
        <w:ind w:left="220" w:firstLine="851"/>
        <w:spacing w:after="0" w:line="252" w:lineRule="auto"/>
        <w:tabs>
          <w:tab w:leader="none" w:pos="1962" w:val="left"/>
        </w:tabs>
        <w:numPr>
          <w:ilvl w:val="0"/>
          <w:numId w:val="69"/>
        </w:numPr>
        <w:rPr>
          <w:rFonts w:ascii="Arial" w:cs="Arial" w:eastAsia="Arial" w:hAnsi="Arial"/>
          <w:sz w:val="20"/>
          <w:szCs w:val="20"/>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EVERABILITY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agrees that if one or more provisions of this Agreement are held to be unenforceable under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such provisions shall be excluded from this Agreement and the balance of the Agreement shall be interpreted as if such provision were so excluded and shall be enforceable in accordance with its terms.</w:t>
      </w:r>
    </w:p>
    <w:p>
      <w:pPr>
        <w:spacing w:after="0" w:line="201" w:lineRule="exact"/>
        <w:rPr>
          <w:rFonts w:ascii="Arial" w:cs="Arial" w:eastAsia="Arial" w:hAnsi="Arial"/>
          <w:sz w:val="20"/>
          <w:szCs w:val="20"/>
          <w:b w:val="1"/>
          <w:bCs w:val="1"/>
          <w:color w:val="auto"/>
        </w:rPr>
      </w:pPr>
    </w:p>
    <w:p>
      <w:pPr>
        <w:ind w:left="1960" w:hanging="889"/>
        <w:spacing w:after="0"/>
        <w:tabs>
          <w:tab w:leader="none" w:pos="1960" w:val="left"/>
        </w:tabs>
        <w:numPr>
          <w:ilvl w:val="0"/>
          <w:numId w:val="69"/>
        </w:numPr>
        <w:rPr>
          <w:rFonts w:ascii="Arial" w:cs="Arial" w:eastAsia="Arial" w:hAnsi="Arial"/>
          <w:sz w:val="19"/>
          <w:szCs w:val="19"/>
          <w:b w:val="1"/>
          <w:bCs w:val="1"/>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INDING</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FFECT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inure to the benefit of and be binding upon, the parties and their respective successors</w:t>
      </w:r>
    </w:p>
    <w:p>
      <w:pPr>
        <w:spacing w:after="0" w:line="17" w:lineRule="exact"/>
        <w:rPr>
          <w:rFonts w:ascii="Arial" w:cs="Arial" w:eastAsia="Arial" w:hAnsi="Arial"/>
          <w:sz w:val="19"/>
          <w:szCs w:val="19"/>
          <w:b w:val="1"/>
          <w:bCs w:val="1"/>
          <w:color w:val="auto"/>
        </w:rPr>
      </w:pPr>
    </w:p>
    <w:p>
      <w:pPr>
        <w:ind w:left="220"/>
        <w:spacing w:after="0"/>
        <w:rPr>
          <w:rFonts w:ascii="Arial" w:cs="Arial" w:eastAsia="Arial" w:hAnsi="Arial"/>
          <w:sz w:val="19"/>
          <w:szCs w:val="19"/>
          <w:b w:val="1"/>
          <w:bCs w:val="1"/>
          <w:color w:val="auto"/>
        </w:rPr>
      </w:pPr>
      <w:r>
        <w:rPr>
          <w:rFonts w:ascii="Arial" w:cs="Arial" w:eastAsia="Arial" w:hAnsi="Arial"/>
          <w:sz w:val="18"/>
          <w:szCs w:val="18"/>
          <w:color w:val="auto"/>
        </w:rPr>
        <w:t>and permitted assigns.</w:t>
      </w:r>
    </w:p>
    <w:p>
      <w:pPr>
        <w:spacing w:after="0" w:line="218" w:lineRule="exact"/>
        <w:rPr>
          <w:rFonts w:ascii="Arial" w:cs="Arial" w:eastAsia="Arial" w:hAnsi="Arial"/>
          <w:sz w:val="19"/>
          <w:szCs w:val="19"/>
          <w:b w:val="1"/>
          <w:bCs w:val="1"/>
          <w:color w:val="auto"/>
        </w:rPr>
      </w:pPr>
    </w:p>
    <w:p>
      <w:pPr>
        <w:ind w:left="1960" w:hanging="889"/>
        <w:spacing w:after="0"/>
        <w:tabs>
          <w:tab w:leader="none" w:pos="1960" w:val="left"/>
        </w:tabs>
        <w:numPr>
          <w:ilvl w:val="0"/>
          <w:numId w:val="69"/>
        </w:numPr>
        <w:rPr>
          <w:rFonts w:ascii="Arial" w:cs="Arial" w:eastAsia="Arial" w:hAnsi="Arial"/>
          <w:sz w:val="20"/>
          <w:szCs w:val="20"/>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amended except by mutual written Agreement of the parties.</w:t>
      </w:r>
    </w:p>
    <w:p>
      <w:pPr>
        <w:spacing w:after="0" w:line="215" w:lineRule="exact"/>
        <w:rPr>
          <w:rFonts w:ascii="Arial" w:cs="Arial" w:eastAsia="Arial" w:hAnsi="Arial"/>
          <w:sz w:val="20"/>
          <w:szCs w:val="20"/>
          <w:b w:val="1"/>
          <w:bCs w:val="1"/>
          <w:color w:val="auto"/>
        </w:rPr>
      </w:pPr>
    </w:p>
    <w:p>
      <w:pPr>
        <w:jc w:val="both"/>
        <w:ind w:left="220" w:firstLine="851"/>
        <w:spacing w:after="0" w:line="251" w:lineRule="auto"/>
        <w:tabs>
          <w:tab w:leader="none" w:pos="1962" w:val="left"/>
        </w:tabs>
        <w:numPr>
          <w:ilvl w:val="0"/>
          <w:numId w:val="69"/>
        </w:numPr>
        <w:rPr>
          <w:rFonts w:ascii="Arial" w:cs="Arial" w:eastAsia="Arial" w:hAnsi="Arial"/>
          <w:sz w:val="20"/>
          <w:szCs w:val="20"/>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QUITABLE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ELIEF</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acknowledges that a breach by the other party of this Agreement may cause the non-breaching</w:t>
      </w:r>
      <w:r>
        <w:rPr>
          <w:rFonts w:ascii="Arial" w:cs="Arial" w:eastAsia="Arial" w:hAnsi="Arial"/>
          <w:sz w:val="18"/>
          <w:szCs w:val="18"/>
          <w:b w:val="1"/>
          <w:bCs w:val="1"/>
          <w:color w:val="auto"/>
        </w:rPr>
        <w:t xml:space="preserve"> </w:t>
      </w:r>
      <w:r>
        <w:rPr>
          <w:rFonts w:ascii="Arial" w:cs="Arial" w:eastAsia="Arial" w:hAnsi="Arial"/>
          <w:sz w:val="18"/>
          <w:szCs w:val="18"/>
          <w:color w:val="auto"/>
        </w:rPr>
        <w:t>party irreparable harm, for which an award of damages would not be adequate compensation and agrees that, in the event of such a breach or threatened breach, the non-breaching party will be entitled to equitable relief, including in the form of a restraining order, orders for preliminary or permanent injunction, specific performance, and any other relief that may be available from any court[, and the parties hereby waive any requirement for the securing or posting of any bond or the showing of actual monetary damages in connection with such relief. These remedies shall not be deemed to be exclusive but shall be in addition to all other remedies available under this Agreement at law or in equity, subject to any express exclusions or limitations in this Agreement to the contrary.</w:t>
      </w:r>
    </w:p>
    <w:p>
      <w:pPr>
        <w:spacing w:after="0" w:line="202" w:lineRule="exact"/>
        <w:rPr>
          <w:rFonts w:ascii="Arial" w:cs="Arial" w:eastAsia="Arial" w:hAnsi="Arial"/>
          <w:sz w:val="20"/>
          <w:szCs w:val="20"/>
          <w:b w:val="1"/>
          <w:bCs w:val="1"/>
          <w:color w:val="auto"/>
        </w:rPr>
      </w:pPr>
    </w:p>
    <w:p>
      <w:pPr>
        <w:jc w:val="both"/>
        <w:ind w:left="220" w:firstLine="851"/>
        <w:spacing w:after="0" w:line="296" w:lineRule="auto"/>
        <w:tabs>
          <w:tab w:leader="none" w:pos="1962" w:val="left"/>
        </w:tabs>
        <w:numPr>
          <w:ilvl w:val="0"/>
          <w:numId w:val="69"/>
        </w:numPr>
        <w:rPr>
          <w:rFonts w:ascii="Arial" w:cs="Arial" w:eastAsia="Arial" w:hAnsi="Arial"/>
          <w:sz w:val="18"/>
          <w:szCs w:val="18"/>
          <w:b w:val="1"/>
          <w:bCs w:val="1"/>
          <w:color w:val="auto"/>
        </w:rPr>
      </w:pPr>
      <w:r>
        <w:rPr>
          <w:rFonts w:ascii="Arial" w:cs="Arial" w:eastAsia="Arial" w:hAnsi="Arial"/>
          <w:sz w:val="16"/>
          <w:szCs w:val="16"/>
          <w:b w:val="1"/>
          <w:bCs w:val="1"/>
          <w:color w:val="auto"/>
        </w:rPr>
        <w:t>N</w:t>
      </w:r>
      <w:r>
        <w:rPr>
          <w:rFonts w:ascii="Arial" w:cs="Arial" w:eastAsia="Arial" w:hAnsi="Arial"/>
          <w:sz w:val="11"/>
          <w:szCs w:val="11"/>
          <w:b w:val="1"/>
          <w:bCs w:val="1"/>
          <w:color w:val="auto"/>
        </w:rPr>
        <w:t>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requests, demands and other communications required or permitted hereunder shall be in writing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mailed by registered or certified mail, postage prepaid, sent by facsimile or electronic or otherwise delivered by hand, messenger or courier service addressed to the address of such party set forth in the introductory paragraph of this Agreement or to such address directed by a party in writing. Each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9" w:name="page120"/>
    <w:bookmarkEnd w:id="119"/>
    <w:p>
      <w:pPr>
        <w:jc w:val="both"/>
        <w:spacing w:after="0" w:line="286" w:lineRule="auto"/>
        <w:rPr>
          <w:sz w:val="20"/>
          <w:szCs w:val="20"/>
          <w:color w:val="auto"/>
        </w:rPr>
      </w:pPr>
      <w:r>
        <w:rPr>
          <w:rFonts w:ascii="Arial" w:cs="Arial" w:eastAsia="Arial" w:hAnsi="Arial"/>
          <w:sz w:val="16"/>
          <w:szCs w:val="16"/>
          <w:color w:val="auto"/>
        </w:rPr>
        <w:t>such notice, request, demand or other communication shall for all purposes of this Agreement be treated as effective or having been given (a) if delivered by hand, messenger or courier service, when delivered (or if sent via a nationally-recognized overnight courier service, freight prepaid, specifying next-business-day delivery, one business day after deposit with the courier), or (b) if sent via mail, at the earlier of its receipt or five (5) days after the same has been deposited in a regularly-maintained receptacle for the deposit of the United States mail, addressed and mailed as aforesaid, or</w:t>
      </w:r>
    </w:p>
    <w:p>
      <w:pPr>
        <w:spacing w:after="0" w:line="1" w:lineRule="exact"/>
        <w:rPr>
          <w:sz w:val="20"/>
          <w:szCs w:val="20"/>
          <w:color w:val="auto"/>
        </w:rPr>
      </w:pPr>
    </w:p>
    <w:p>
      <w:pPr>
        <w:jc w:val="both"/>
        <w:ind w:firstLine="4"/>
        <w:spacing w:after="0" w:line="277" w:lineRule="auto"/>
        <w:tabs>
          <w:tab w:leader="none" w:pos="302"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sent via electronic mail, when directed to the relevant electronic mail address, if sent during normal business hours of the recipient, or if not sent during normal business hours of the recipient, then on the recipient’s next business day. In the event of any conflict between the Company’s books and records and this Agreement or any notice delivered hereunder, the Company’s books and records will control absent fraud or error.</w:t>
      </w:r>
    </w:p>
    <w:p>
      <w:pPr>
        <w:spacing w:after="0" w:line="182" w:lineRule="exact"/>
        <w:rPr>
          <w:rFonts w:ascii="Arial" w:cs="Arial" w:eastAsia="Arial" w:hAnsi="Arial"/>
          <w:sz w:val="17"/>
          <w:szCs w:val="17"/>
          <w:color w:val="auto"/>
        </w:rPr>
      </w:pPr>
    </w:p>
    <w:p>
      <w:pPr>
        <w:jc w:val="both"/>
        <w:ind w:firstLine="851"/>
        <w:spacing w:after="0" w:line="286" w:lineRule="auto"/>
        <w:tabs>
          <w:tab w:leader="none" w:pos="1742" w:val="left"/>
        </w:tabs>
        <w:numPr>
          <w:ilvl w:val="1"/>
          <w:numId w:val="70"/>
        </w:numPr>
        <w:rPr>
          <w:rFonts w:ascii="Arial" w:cs="Arial" w:eastAsia="Arial" w:hAnsi="Arial"/>
          <w:sz w:val="18"/>
          <w:szCs w:val="18"/>
          <w:b w:val="1"/>
          <w:bCs w:val="1"/>
          <w:color w:val="auto"/>
        </w:rPr>
      </w:pPr>
      <w:r>
        <w:rPr>
          <w:rFonts w:ascii="Arial" w:cs="Arial" w:eastAsia="Arial" w:hAnsi="Arial"/>
          <w:sz w:val="16"/>
          <w:szCs w:val="16"/>
          <w:b w:val="1"/>
          <w:bCs w:val="1"/>
          <w:color w:val="auto"/>
        </w:rPr>
        <w:t>E</w:t>
      </w:r>
      <w:r>
        <w:rPr>
          <w:rFonts w:ascii="Arial" w:cs="Arial" w:eastAsia="Arial" w:hAnsi="Arial"/>
          <w:sz w:val="11"/>
          <w:szCs w:val="11"/>
          <w:b w:val="1"/>
          <w:bCs w:val="1"/>
          <w:color w:val="auto"/>
        </w:rPr>
        <w:t>NTIRE</w:t>
      </w:r>
      <w:r>
        <w:rPr>
          <w:rFonts w:ascii="Arial" w:cs="Arial" w:eastAsia="Arial" w:hAnsi="Arial"/>
          <w:sz w:val="16"/>
          <w:szCs w:val="16"/>
          <w:b w:val="1"/>
          <w:bCs w:val="1"/>
          <w:color w:val="auto"/>
        </w:rPr>
        <w:t xml:space="preserve"> A</w:t>
      </w:r>
      <w:r>
        <w:rPr>
          <w:rFonts w:ascii="Arial" w:cs="Arial" w:eastAsia="Arial" w:hAnsi="Arial"/>
          <w:sz w:val="11"/>
          <w:szCs w:val="11"/>
          <w:b w:val="1"/>
          <w:bCs w:val="1"/>
          <w:color w:val="auto"/>
        </w:rPr>
        <w:t>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including all exhibits and appendices to this Agreement, which are incorporated herein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constitutes the complete and exclusive statement of the agreement between the parties, and supersedes all prior agreements, including the December 1, 2014 Employment Agreement and associated Amendments (the “Employment Agreement”), proposals, negotiations and communications between the parties, both oral and written, regarding the subject matter hereof. Consultants acknowledges and agrees that he is not owed any further amount from the Company under the Employment Agreement. Notwithstanding the above, any options that were granted to Consultant by the Company while serving as an employee of the Company shall continue to vest in accordance with the vesting schedules as set forth in the applicable option agreements through the term of this Agreement and/or any Notice Period if applicable. Consultant will have 90 days from the latter of (i) the date of termination of this Agreement or (ii) the last day of the Notice Period to exercise any vested options.</w:t>
      </w:r>
    </w:p>
    <w:p>
      <w:pPr>
        <w:spacing w:after="0" w:line="176" w:lineRule="exact"/>
        <w:rPr>
          <w:rFonts w:ascii="Arial" w:cs="Arial" w:eastAsia="Arial" w:hAnsi="Arial"/>
          <w:sz w:val="18"/>
          <w:szCs w:val="18"/>
          <w:b w:val="1"/>
          <w:bCs w:val="1"/>
          <w:color w:val="auto"/>
        </w:rPr>
      </w:pPr>
    </w:p>
    <w:p>
      <w:pPr>
        <w:jc w:val="both"/>
        <w:ind w:firstLine="851"/>
        <w:spacing w:after="0" w:line="283" w:lineRule="auto"/>
        <w:tabs>
          <w:tab w:leader="none" w:pos="1742" w:val="left"/>
        </w:tabs>
        <w:numPr>
          <w:ilvl w:val="1"/>
          <w:numId w:val="70"/>
        </w:numPr>
        <w:rPr>
          <w:rFonts w:ascii="Arial" w:cs="Arial" w:eastAsia="Arial" w:hAnsi="Arial"/>
          <w:sz w:val="18"/>
          <w:szCs w:val="18"/>
          <w:b w:val="1"/>
          <w:bCs w:val="1"/>
          <w:color w:val="auto"/>
        </w:rPr>
      </w:pPr>
      <w:r>
        <w:rPr>
          <w:rFonts w:ascii="Arial" w:cs="Arial" w:eastAsia="Arial" w:hAnsi="Arial"/>
          <w:sz w:val="16"/>
          <w:szCs w:val="16"/>
          <w:b w:val="1"/>
          <w:bCs w:val="1"/>
          <w:color w:val="auto"/>
        </w:rPr>
        <w:t>W</w:t>
      </w:r>
      <w:r>
        <w:rPr>
          <w:rFonts w:ascii="Arial" w:cs="Arial" w:eastAsia="Arial" w:hAnsi="Arial"/>
          <w:sz w:val="11"/>
          <w:szCs w:val="11"/>
          <w:b w:val="1"/>
          <w:bCs w:val="1"/>
          <w:color w:val="auto"/>
        </w:rPr>
        <w:t>AIVER AND</w:t>
      </w:r>
      <w:r>
        <w:rPr>
          <w:rFonts w:ascii="Arial" w:cs="Arial" w:eastAsia="Arial" w:hAnsi="Arial"/>
          <w:sz w:val="16"/>
          <w:szCs w:val="16"/>
          <w:b w:val="1"/>
          <w:bCs w:val="1"/>
          <w:color w:val="auto"/>
        </w:rPr>
        <w:t xml:space="preserve"> R</w:t>
      </w:r>
      <w:r>
        <w:rPr>
          <w:rFonts w:ascii="Arial" w:cs="Arial" w:eastAsia="Arial" w:hAnsi="Arial"/>
          <w:sz w:val="11"/>
          <w:szCs w:val="11"/>
          <w:b w:val="1"/>
          <w:bCs w:val="1"/>
          <w:color w:val="auto"/>
        </w:rPr>
        <w:t>ELEASE</w:t>
      </w:r>
      <w:r>
        <w:rPr>
          <w:rFonts w:ascii="Arial" w:cs="Arial" w:eastAsia="Arial" w:hAnsi="Arial"/>
          <w:sz w:val="16"/>
          <w:szCs w:val="16"/>
          <w:b w:val="1"/>
          <w:bCs w:val="1"/>
          <w:color w:val="auto"/>
        </w:rPr>
        <w:t xml:space="preserve">. </w:t>
      </w:r>
      <w:r>
        <w:rPr>
          <w:rFonts w:ascii="Arial" w:cs="Arial" w:eastAsia="Arial" w:hAnsi="Arial"/>
          <w:sz w:val="16"/>
          <w:szCs w:val="16"/>
          <w:color w:val="auto"/>
        </w:rPr>
        <w:t>In exchange for the payments and other consideration under this Agreement, Consultant of his own free</w:t>
      </w:r>
      <w:r>
        <w:rPr>
          <w:rFonts w:ascii="Arial" w:cs="Arial" w:eastAsia="Arial" w:hAnsi="Arial"/>
          <w:sz w:val="16"/>
          <w:szCs w:val="16"/>
          <w:b w:val="1"/>
          <w:bCs w:val="1"/>
          <w:color w:val="auto"/>
        </w:rPr>
        <w:t xml:space="preserve"> </w:t>
      </w:r>
      <w:r>
        <w:rPr>
          <w:rFonts w:ascii="Arial" w:cs="Arial" w:eastAsia="Arial" w:hAnsi="Arial"/>
          <w:sz w:val="16"/>
          <w:szCs w:val="16"/>
          <w:color w:val="auto"/>
        </w:rPr>
        <w:t>will, voluntarily waives, releases and forever discharges Company and its respective past and present officers, directors, employees, investors, stockholders, administrators, subsidiaries, affiliates, predecessor and successor corporations and assigns, attorneys and insurers (the “Company Released Parties”) of and from any and all actions or causes of action, suits, grievances, claims, debts, charges, complaints, contracts (whether oral or written, express or implied from any source), claims for recall or reinstatement and promises, whatsoever, in law or equity, which Consultant, or Consultant’s heirs, executors, administrators, successors and assigns, may have, or may have knowledge of or may be charged with knowledge of, as of the date of this Agreement for, upon, or by reason of any matter, cause or thing whatsoever including, but not limited to, any and all matters arising out of Employee’s employment by Company, including, but not limited to, any violation of: (i) the following federal statutes, as amended: Title VII of the Civil Rights Act of 1964; Sections 1981 through 1988 of Title 42 of the United States Code; the Employee Retirement Income Security Act of 1974; the Vocational Rehabilitation Act of 1973; the Age Discrimination in Employment Act of 1967 (“ADEA”); the Older Workers Benefit Protection Act of 1990 (“OWBPA”); the Family and Medical Leave Act; the WARN Act; and the Americans with Disabilities Act of 1990; and (ii) or any other state or federal statute (or constitution), including but not limited to any claim based upon race, sex, national origin, ancestry, religion, age, mental or physical disability, marital status, sexual orientation, retaliation or denial of Family and Medical Leave; claims arising under the Employee Retirement Income Security Act of 1978 ("ERISA"), or pertaining to ERISA-regulated benefits; claims for wages, vacation pay, severance pay, bonus compensation, commissions, deferred compensation, other remuneration of any kind or character; or any other federal, state or local law governing labor relations; claims for any obligations, agreements, express or implied contracts; claims for defamation, invasion of privacy, assault and battery, intentional or negligent infliction of emotional distress, negligence, gross negligence, estoppel, conspiracy or misrepresentation; express or implied duties of good faith and fair dealing; wrongful discharge, violations of public policy; and/or torts for any and all alleged acts, omissions or events up or any other claim which Consultant ever had, now has, or may have, known or unknown, as of the date of execution of this Agreement. Consultant states that he knows of no violation of state, federal, or municipal law or regulation by any of the Company Released Parties, and knows of no ongoing or pending investigation, charge, or complaint by any agency charged with enforcement of state, federal, or municipal law or regulation. Consultant agrees he shall not receive any monetary damages, recovery and/or relief of any type related to any released claim(s), whether pursued by him or any governmental agency, other person or group; provided that nothing in the Agreement prevents him from participating in the whistleblower program maintained by the Securities and Exchange Commission and receiving a whistleblower award thereunder.</w:t>
      </w:r>
    </w:p>
    <w:p>
      <w:pPr>
        <w:spacing w:after="0" w:line="38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540" w:top="341" w:right="339" w:bottom="1440" w:gutter="0" w:footer="0" w:header="0"/>
        </w:sectPr>
      </w:pPr>
    </w:p>
    <w:bookmarkStart w:id="120" w:name="page121"/>
    <w:bookmarkEnd w:id="120"/>
    <w:p>
      <w:pPr>
        <w:jc w:val="both"/>
        <w:ind w:left="100" w:firstLine="851"/>
        <w:spacing w:after="0" w:line="267" w:lineRule="auto"/>
        <w:tabs>
          <w:tab w:leader="none" w:pos="1842" w:val="left"/>
        </w:tabs>
        <w:numPr>
          <w:ilvl w:val="1"/>
          <w:numId w:val="71"/>
        </w:numPr>
        <w:rPr>
          <w:rFonts w:ascii="Arial" w:cs="Arial" w:eastAsia="Arial" w:hAnsi="Arial"/>
          <w:sz w:val="19"/>
          <w:szCs w:val="19"/>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CKNOWLEDGMENT OF</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AIVER OF</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LAIMS UNDER</w:t>
      </w:r>
      <w:r>
        <w:rPr>
          <w:rFonts w:ascii="Arial" w:cs="Arial" w:eastAsia="Arial" w:hAnsi="Arial"/>
          <w:sz w:val="17"/>
          <w:szCs w:val="17"/>
          <w:b w:val="1"/>
          <w:bCs w:val="1"/>
          <w:color w:val="auto"/>
        </w:rPr>
        <w:t xml:space="preserve"> ADEA. </w:t>
      </w:r>
      <w:r>
        <w:rPr>
          <w:rFonts w:ascii="Arial" w:cs="Arial" w:eastAsia="Arial" w:hAnsi="Arial"/>
          <w:sz w:val="17"/>
          <w:szCs w:val="17"/>
          <w:color w:val="auto"/>
        </w:rPr>
        <w:t>Consultant acknowledges that he is waiving and releasing any rights he</w:t>
      </w:r>
      <w:r>
        <w:rPr>
          <w:rFonts w:ascii="Arial" w:cs="Arial" w:eastAsia="Arial" w:hAnsi="Arial"/>
          <w:sz w:val="17"/>
          <w:szCs w:val="17"/>
          <w:b w:val="1"/>
          <w:bCs w:val="1"/>
          <w:color w:val="auto"/>
        </w:rPr>
        <w:t xml:space="preserve"> </w:t>
      </w:r>
      <w:r>
        <w:rPr>
          <w:rFonts w:ascii="Arial" w:cs="Arial" w:eastAsia="Arial" w:hAnsi="Arial"/>
          <w:sz w:val="17"/>
          <w:szCs w:val="17"/>
          <w:color w:val="auto"/>
        </w:rPr>
        <w:t>may have under the OWBPA, the ADEA, and that this waiver and release is knowing and voluntary. Consultant acknowledges that the consideration given for this waiver and release is in addition to anything of value to which he was already entitled. Consultant further acknowledges that he has been advised by this writing that (a) he should consult with an attorney prior to executing this Agreement; (b) he has at least twenty-one (21) days within which to consider this Agreement and that if he signed this Agreement before expiration of that twenty-one (21) calendar day period, he did so knowingly and voluntarily and with the intent of waiving his right to utilize the full twenty-one (21) calendar day consideration period; and (c) he has seven (7) days following his execution of this Agreement to revoke the Agreement (the “Revocation Period”). Communication of any such revocation by Consultant to the Company shall be provided in writing and mailed by certified or registered mail with return receipt requested and shall be addressed to the Company at its principal corporate offices to the attention of the Chief Executive Officer. This Agreement shall not be effective until the Revocation Period has expired.</w:t>
      </w:r>
    </w:p>
    <w:p>
      <w:pPr>
        <w:spacing w:after="0" w:line="189" w:lineRule="exact"/>
        <w:rPr>
          <w:rFonts w:ascii="Arial" w:cs="Arial" w:eastAsia="Arial" w:hAnsi="Arial"/>
          <w:sz w:val="19"/>
          <w:szCs w:val="19"/>
          <w:b w:val="1"/>
          <w:bCs w:val="1"/>
          <w:color w:val="auto"/>
        </w:rPr>
      </w:pPr>
    </w:p>
    <w:p>
      <w:pPr>
        <w:jc w:val="both"/>
        <w:ind w:firstLine="851"/>
        <w:spacing w:after="0" w:line="280" w:lineRule="auto"/>
        <w:tabs>
          <w:tab w:leader="none" w:pos="1751" w:val="left"/>
        </w:tabs>
        <w:numPr>
          <w:ilvl w:val="0"/>
          <w:numId w:val="72"/>
        </w:numPr>
        <w:rPr>
          <w:rFonts w:ascii="Arial" w:cs="Arial" w:eastAsia="Arial" w:hAnsi="Arial"/>
          <w:sz w:val="18"/>
          <w:szCs w:val="18"/>
          <w:b w:val="1"/>
          <w:bCs w:val="1"/>
          <w:color w:val="auto"/>
        </w:rPr>
      </w:pPr>
      <w:r>
        <w:rPr>
          <w:rFonts w:ascii="Arial" w:cs="Arial" w:eastAsia="Arial" w:hAnsi="Arial"/>
          <w:sz w:val="16"/>
          <w:szCs w:val="16"/>
          <w:b w:val="1"/>
          <w:bCs w:val="1"/>
          <w:color w:val="auto"/>
        </w:rPr>
        <w:t>G</w:t>
      </w:r>
      <w:r>
        <w:rPr>
          <w:rFonts w:ascii="Arial" w:cs="Arial" w:eastAsia="Arial" w:hAnsi="Arial"/>
          <w:sz w:val="11"/>
          <w:szCs w:val="11"/>
          <w:b w:val="1"/>
          <w:bCs w:val="1"/>
          <w:color w:val="auto"/>
        </w:rPr>
        <w:t>OVERNING</w:t>
      </w:r>
      <w:r>
        <w:rPr>
          <w:rFonts w:ascii="Arial" w:cs="Arial" w:eastAsia="Arial" w:hAnsi="Arial"/>
          <w:sz w:val="16"/>
          <w:szCs w:val="16"/>
          <w:b w:val="1"/>
          <w:bCs w:val="1"/>
          <w:color w:val="auto"/>
        </w:rPr>
        <w:t xml:space="preserve"> L</w:t>
      </w:r>
      <w:r>
        <w:rPr>
          <w:rFonts w:ascii="Arial" w:cs="Arial" w:eastAsia="Arial" w:hAnsi="Arial"/>
          <w:sz w:val="11"/>
          <w:szCs w:val="11"/>
          <w:b w:val="1"/>
          <w:bCs w:val="1"/>
          <w:color w:val="auto"/>
        </w:rPr>
        <w:t>AW</w:t>
      </w:r>
      <w:r>
        <w:rPr>
          <w:rFonts w:ascii="Arial" w:cs="Arial" w:eastAsia="Arial" w:hAnsi="Arial"/>
          <w:sz w:val="16"/>
          <w:szCs w:val="16"/>
          <w:b w:val="1"/>
          <w:bCs w:val="1"/>
          <w:color w:val="auto"/>
        </w:rPr>
        <w:t>; C</w:t>
      </w:r>
      <w:r>
        <w:rPr>
          <w:rFonts w:ascii="Arial" w:cs="Arial" w:eastAsia="Arial" w:hAnsi="Arial"/>
          <w:sz w:val="11"/>
          <w:szCs w:val="11"/>
          <w:b w:val="1"/>
          <w:bCs w:val="1"/>
          <w:color w:val="auto"/>
        </w:rPr>
        <w:t>ONSENT TO</w:t>
      </w:r>
      <w:r>
        <w:rPr>
          <w:rFonts w:ascii="Arial" w:cs="Arial" w:eastAsia="Arial" w:hAnsi="Arial"/>
          <w:sz w:val="16"/>
          <w:szCs w:val="16"/>
          <w:b w:val="1"/>
          <w:bCs w:val="1"/>
          <w:color w:val="auto"/>
        </w:rPr>
        <w:t xml:space="preserve"> J</w:t>
      </w:r>
      <w:r>
        <w:rPr>
          <w:rFonts w:ascii="Arial" w:cs="Arial" w:eastAsia="Arial" w:hAnsi="Arial"/>
          <w:sz w:val="11"/>
          <w:szCs w:val="11"/>
          <w:b w:val="1"/>
          <w:bCs w:val="1"/>
          <w:color w:val="auto"/>
        </w:rPr>
        <w:t>URISDICTION</w:t>
      </w:r>
      <w:r>
        <w:rPr>
          <w:rFonts w:ascii="Arial" w:cs="Arial" w:eastAsia="Arial" w:hAnsi="Arial"/>
          <w:sz w:val="16"/>
          <w:szCs w:val="16"/>
          <w:b w:val="1"/>
          <w:bCs w:val="1"/>
          <w:color w:val="auto"/>
        </w:rPr>
        <w:t>; W</w:t>
      </w:r>
      <w:r>
        <w:rPr>
          <w:rFonts w:ascii="Arial" w:cs="Arial" w:eastAsia="Arial" w:hAnsi="Arial"/>
          <w:sz w:val="11"/>
          <w:szCs w:val="11"/>
          <w:b w:val="1"/>
          <w:bCs w:val="1"/>
          <w:color w:val="auto"/>
        </w:rPr>
        <w:t>AIVER OF</w:t>
      </w:r>
      <w:r>
        <w:rPr>
          <w:rFonts w:ascii="Arial" w:cs="Arial" w:eastAsia="Arial" w:hAnsi="Arial"/>
          <w:sz w:val="16"/>
          <w:szCs w:val="16"/>
          <w:b w:val="1"/>
          <w:bCs w:val="1"/>
          <w:color w:val="auto"/>
        </w:rPr>
        <w:t xml:space="preserve"> J</w:t>
      </w:r>
      <w:r>
        <w:rPr>
          <w:rFonts w:ascii="Arial" w:cs="Arial" w:eastAsia="Arial" w:hAnsi="Arial"/>
          <w:sz w:val="11"/>
          <w:szCs w:val="11"/>
          <w:b w:val="1"/>
          <w:bCs w:val="1"/>
          <w:color w:val="auto"/>
        </w:rPr>
        <w:t>URY</w:t>
      </w:r>
      <w:r>
        <w:rPr>
          <w:rFonts w:ascii="Arial" w:cs="Arial" w:eastAsia="Arial" w:hAnsi="Arial"/>
          <w:sz w:val="16"/>
          <w:szCs w:val="16"/>
          <w:b w:val="1"/>
          <w:bCs w:val="1"/>
          <w:color w:val="auto"/>
        </w:rPr>
        <w:t xml:space="preserve"> T</w:t>
      </w:r>
      <w:r>
        <w:rPr>
          <w:rFonts w:ascii="Arial" w:cs="Arial" w:eastAsia="Arial" w:hAnsi="Arial"/>
          <w:sz w:val="11"/>
          <w:szCs w:val="11"/>
          <w:b w:val="1"/>
          <w:bCs w:val="1"/>
          <w:color w:val="auto"/>
        </w:rPr>
        <w:t>RIAL</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internal laws of the State of Pennsylvania, without regard to its principles of conflicts of laws. Each of the parties hereto irrevocably submits to the exclusive jurisdiction of the state and federal courts of the State of Pennsylvania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w:t>
      </w:r>
    </w:p>
    <w:p>
      <w:pPr>
        <w:spacing w:after="0" w:line="2" w:lineRule="exact"/>
        <w:rPr>
          <w:rFonts w:ascii="Arial" w:cs="Arial" w:eastAsia="Arial" w:hAnsi="Arial"/>
          <w:sz w:val="18"/>
          <w:szCs w:val="18"/>
          <w:b w:val="1"/>
          <w:bCs w:val="1"/>
          <w:color w:val="auto"/>
        </w:rPr>
      </w:pPr>
    </w:p>
    <w:p>
      <w:pPr>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EACH OF THE PARTIES HERETO WAIVES ANY RIGHT TO REQUEST A TRIAL BY JURY IN ANY LITIGATION WITH RESPECT TO THIS AGREEMENT AND REPRESENTS THAT COUNSEL HAS BEEN CONSULTED SPECIFICALLY AS TO THIS WAIVER.</w:t>
      </w:r>
    </w:p>
    <w:p>
      <w:pPr>
        <w:spacing w:after="0" w:line="194" w:lineRule="exact"/>
        <w:rPr>
          <w:rFonts w:ascii="Arial" w:cs="Arial" w:eastAsia="Arial" w:hAnsi="Arial"/>
          <w:sz w:val="18"/>
          <w:szCs w:val="18"/>
          <w:b w:val="1"/>
          <w:bCs w:val="1"/>
          <w:color w:val="auto"/>
        </w:rPr>
      </w:pPr>
    </w:p>
    <w:p>
      <w:pPr>
        <w:jc w:val="both"/>
        <w:ind w:left="100" w:firstLine="851"/>
        <w:spacing w:after="0" w:line="252" w:lineRule="auto"/>
        <w:tabs>
          <w:tab w:leader="none" w:pos="1842" w:val="left"/>
        </w:tabs>
        <w:numPr>
          <w:ilvl w:val="1"/>
          <w:numId w:val="72"/>
        </w:numPr>
        <w:rPr>
          <w:rFonts w:ascii="Arial" w:cs="Arial" w:eastAsia="Arial" w:hAnsi="Arial"/>
          <w:sz w:val="20"/>
          <w:szCs w:val="20"/>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OLLECTION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OSTS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TTORNEYS</w:t>
      </w:r>
      <w:r>
        <w:rPr>
          <w:rFonts w:ascii="Arial" w:cs="Arial" w:eastAsia="Arial" w:hAnsi="Arial"/>
          <w:sz w:val="18"/>
          <w:szCs w:val="18"/>
          <w:b w:val="1"/>
          <w:bCs w:val="1"/>
          <w:color w:val="auto"/>
        </w:rPr>
        <w:t>’ F</w:t>
      </w:r>
      <w:r>
        <w:rPr>
          <w:rFonts w:ascii="Arial" w:cs="Arial" w:eastAsia="Arial" w:hAnsi="Arial"/>
          <w:sz w:val="12"/>
          <w:szCs w:val="12"/>
          <w:b w:val="1"/>
          <w:bCs w:val="1"/>
          <w:color w:val="auto"/>
        </w:rPr>
        <w:t>EES</w:t>
      </w:r>
      <w:r>
        <w:rPr>
          <w:rFonts w:ascii="Arial" w:cs="Arial" w:eastAsia="Arial" w:hAnsi="Arial"/>
          <w:sz w:val="18"/>
          <w:szCs w:val="18"/>
          <w:b w:val="1"/>
          <w:bCs w:val="1"/>
          <w:color w:val="auto"/>
        </w:rPr>
        <w:t xml:space="preserve">. </w:t>
      </w:r>
      <w:r>
        <w:rPr>
          <w:rFonts w:ascii="Arial" w:cs="Arial" w:eastAsia="Arial" w:hAnsi="Arial"/>
          <w:sz w:val="18"/>
          <w:szCs w:val="18"/>
          <w:color w:val="auto"/>
        </w:rPr>
        <w:t>If a party shall fail to perform an obligation or otherwise breaches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 the other party may recover from the non-performing breaching party all its costs (including actual attorneys’ and investigative fees) to enforce the terms of this Agreement.</w:t>
      </w:r>
    </w:p>
    <w:p>
      <w:pPr>
        <w:spacing w:after="0" w:line="201" w:lineRule="exact"/>
        <w:rPr>
          <w:rFonts w:ascii="Arial" w:cs="Arial" w:eastAsia="Arial" w:hAnsi="Arial"/>
          <w:sz w:val="20"/>
          <w:szCs w:val="20"/>
          <w:b w:val="1"/>
          <w:bCs w:val="1"/>
          <w:color w:val="auto"/>
        </w:rPr>
      </w:pPr>
    </w:p>
    <w:p>
      <w:pPr>
        <w:jc w:val="both"/>
        <w:ind w:left="100" w:firstLine="851"/>
        <w:spacing w:after="0" w:line="284" w:lineRule="auto"/>
        <w:tabs>
          <w:tab w:leader="none" w:pos="1842" w:val="left"/>
        </w:tabs>
        <w:numPr>
          <w:ilvl w:val="1"/>
          <w:numId w:val="72"/>
        </w:numPr>
        <w:rPr>
          <w:rFonts w:ascii="Arial" w:cs="Arial" w:eastAsia="Arial" w:hAnsi="Arial"/>
          <w:sz w:val="18"/>
          <w:szCs w:val="18"/>
          <w:b w:val="1"/>
          <w:bCs w:val="1"/>
          <w:color w:val="auto"/>
        </w:rPr>
      </w:pPr>
      <w:r>
        <w:rPr>
          <w:rFonts w:ascii="Arial" w:cs="Arial" w:eastAsia="Arial" w:hAnsi="Arial"/>
          <w:sz w:val="16"/>
          <w:szCs w:val="16"/>
          <w:b w:val="1"/>
          <w:bCs w:val="1"/>
          <w:color w:val="auto"/>
        </w:rPr>
        <w:t>C</w:t>
      </w:r>
      <w:r>
        <w:rPr>
          <w:rFonts w:ascii="Arial" w:cs="Arial" w:eastAsia="Arial" w:hAnsi="Arial"/>
          <w:sz w:val="11"/>
          <w:szCs w:val="11"/>
          <w:b w:val="1"/>
          <w:bCs w:val="1"/>
          <w:color w:val="auto"/>
        </w:rPr>
        <w:t>OUNTERPARTS</w:t>
      </w:r>
      <w:r>
        <w:rPr>
          <w:rFonts w:ascii="Arial" w:cs="Arial" w:eastAsia="Arial" w:hAnsi="Arial"/>
          <w:sz w:val="16"/>
          <w:szCs w:val="16"/>
          <w:b w:val="1"/>
          <w:bCs w:val="1"/>
          <w:color w:val="auto"/>
        </w:rPr>
        <w:t>/E</w:t>
      </w:r>
      <w:r>
        <w:rPr>
          <w:rFonts w:ascii="Arial" w:cs="Arial" w:eastAsia="Arial" w:hAnsi="Arial"/>
          <w:sz w:val="11"/>
          <w:szCs w:val="11"/>
          <w:b w:val="1"/>
          <w:bCs w:val="1"/>
          <w:color w:val="auto"/>
        </w:rPr>
        <w:t>LECTRONIC</w:t>
      </w:r>
      <w:r>
        <w:rPr>
          <w:rFonts w:ascii="Arial" w:cs="Arial" w:eastAsia="Arial" w:hAnsi="Arial"/>
          <w:sz w:val="16"/>
          <w:szCs w:val="16"/>
          <w:b w:val="1"/>
          <w:bCs w:val="1"/>
          <w:color w:val="auto"/>
        </w:rPr>
        <w:t xml:space="preserve"> E</w:t>
      </w:r>
      <w:r>
        <w:rPr>
          <w:rFonts w:ascii="Arial" w:cs="Arial" w:eastAsia="Arial" w:hAnsi="Arial"/>
          <w:sz w:val="11"/>
          <w:szCs w:val="11"/>
          <w:b w:val="1"/>
          <w:bCs w:val="1"/>
          <w:color w:val="auto"/>
        </w:rPr>
        <w:t>XECUTION AND</w:t>
      </w:r>
      <w:r>
        <w:rPr>
          <w:rFonts w:ascii="Arial" w:cs="Arial" w:eastAsia="Arial" w:hAnsi="Arial"/>
          <w:sz w:val="16"/>
          <w:szCs w:val="16"/>
          <w:b w:val="1"/>
          <w:bCs w:val="1"/>
          <w:color w:val="auto"/>
        </w:rPr>
        <w:t xml:space="preserve"> D</w:t>
      </w:r>
      <w:r>
        <w:rPr>
          <w:rFonts w:ascii="Arial" w:cs="Arial" w:eastAsia="Arial" w:hAnsi="Arial"/>
          <w:sz w:val="11"/>
          <w:szCs w:val="11"/>
          <w:b w:val="1"/>
          <w:bCs w:val="1"/>
          <w:color w:val="auto"/>
        </w:rPr>
        <w:t>ELIVERY</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one or more counterparts and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facsimile, each of which shall constitute an original and all of which together shall constitute one and the same instrument. Signatures of the parties transmitted by facsimile or via .pdf format shall be deemed to be their original signatures for all purposes. The words “execution,” “signed,” “signature,” and words of like import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Pennsylvania Uniform Electronic Transactions Act, or any other similar state laws based on the Uniform Electronic Transactions Act. This Agreement and any signed agreement or instrument entered into in connection with this Agreement, and any amendments hereto or thereto, to the extent delivered by means of a facsimile machine or electronic mail (any such delivery, an </w:t>
      </w:r>
      <w:r>
        <w:rPr>
          <w:rFonts w:ascii="Arial" w:cs="Arial" w:eastAsia="Arial" w:hAnsi="Arial"/>
          <w:sz w:val="16"/>
          <w:szCs w:val="16"/>
          <w:b w:val="1"/>
          <w:bCs w:val="1"/>
          <w:i w:val="1"/>
          <w:iCs w:val="1"/>
          <w:color w:val="auto"/>
        </w:rPr>
        <w:t>“Electronic Delivery”</w:t>
      </w:r>
      <w:r>
        <w:rPr>
          <w:rFonts w:ascii="Arial" w:cs="Arial" w:eastAsia="Arial" w:hAnsi="Arial"/>
          <w:sz w:val="16"/>
          <w:szCs w:val="16"/>
          <w:color w:val="auto"/>
        </w:rPr>
        <w:t>),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IGNATURES ON THE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OLLOWING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177800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440" w:top="351" w:right="339" w:bottom="1440" w:gutter="0" w:footer="0" w:header="0"/>
        </w:sectPr>
      </w:pPr>
    </w:p>
    <w:bookmarkStart w:id="121" w:name="page122"/>
    <w:bookmarkEnd w:id="121"/>
    <w:p>
      <w:pPr>
        <w:ind w:left="860"/>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color w:val="auto"/>
        </w:rPr>
        <w:t>, the Company and Consultant have made this Agreement effective as of the date first set forth above.</w:t>
      </w:r>
    </w:p>
    <w:p>
      <w:pPr>
        <w:sectPr>
          <w:pgSz w:w="11900" w:h="16838" w:orient="portrait"/>
          <w:cols w:equalWidth="0" w:num="1">
            <w:col w:w="10119"/>
          </w:cols>
          <w:pgMar w:left="340" w:top="553" w:right="1440"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 Jonathan Sackier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R</w:t>
      </w:r>
      <w:r>
        <w:rPr>
          <w:rFonts w:ascii="Arial" w:cs="Arial" w:eastAsia="Arial" w:hAnsi="Arial"/>
          <w:sz w:val="17"/>
          <w:szCs w:val="17"/>
          <w:b w:val="1"/>
          <w:bCs w:val="1"/>
          <w:color w:val="auto"/>
        </w:rPr>
        <w:t>. J</w:t>
      </w:r>
      <w:r>
        <w:rPr>
          <w:rFonts w:ascii="Arial" w:cs="Arial" w:eastAsia="Arial" w:hAnsi="Arial"/>
          <w:sz w:val="11"/>
          <w:szCs w:val="11"/>
          <w:b w:val="1"/>
          <w:bCs w:val="1"/>
          <w:color w:val="auto"/>
        </w:rPr>
        <w:t>ONATHAN</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ACKIER</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-127635</wp:posOffset>
            </wp:positionV>
            <wp:extent cx="5417820" cy="11144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5417820" cy="111442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2"/>
          <w:szCs w:val="12"/>
          <w:b w:val="1"/>
          <w:bCs w:val="1"/>
          <w:color w:val="auto"/>
        </w:rPr>
        <w:t>ELIUS</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EDICAL</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ECHNOLOGIES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Dane Andreeff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Name:Dane Andreeff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CEO and President</w:t>
      </w:r>
    </w:p>
    <w:p>
      <w:pPr>
        <w:spacing w:after="0" w:line="200" w:lineRule="exact"/>
        <w:rPr>
          <w:sz w:val="20"/>
          <w:szCs w:val="20"/>
          <w:color w:val="auto"/>
        </w:rPr>
      </w:pPr>
    </w:p>
    <w:p>
      <w:pPr>
        <w:sectPr>
          <w:pgSz w:w="11900" w:h="16838" w:orient="portrait"/>
          <w:cols w:equalWidth="0" w:num="2">
            <w:col w:w="3500" w:space="720"/>
            <w:col w:w="5899"/>
          </w:cols>
          <w:pgMar w:left="340" w:top="55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ONSULTING</w:t>
      </w:r>
      <w:r>
        <w:rPr>
          <w:rFonts w:ascii="Arial" w:cs="Arial" w:eastAsia="Arial" w:hAnsi="Arial"/>
          <w:sz w:val="17"/>
          <w:szCs w:val="17"/>
          <w:color w:val="auto"/>
        </w:rPr>
        <w:t xml:space="preserve"> A</w:t>
      </w:r>
      <w:r>
        <w:rPr>
          <w:rFonts w:ascii="Arial" w:cs="Arial" w:eastAsia="Arial" w:hAnsi="Arial"/>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19"/>
          </w:cols>
          <w:pgMar w:left="340" w:top="553" w:right="1440" w:bottom="1440" w:gutter="0" w:footer="0" w:header="0"/>
          <w:type w:val="continuous"/>
        </w:sectPr>
      </w:pPr>
    </w:p>
    <w:bookmarkStart w:id="122" w:name="page123"/>
    <w:bookmarkEnd w:id="122"/>
    <w:p>
      <w:pPr>
        <w:jc w:val="center"/>
        <w:ind w:right="440"/>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XHIBIT</w:t>
      </w:r>
      <w:r>
        <w:rPr>
          <w:rFonts w:ascii="Arial" w:cs="Arial" w:eastAsia="Arial" w:hAnsi="Arial"/>
          <w:sz w:val="18"/>
          <w:szCs w:val="18"/>
          <w:b w:val="1"/>
          <w:bCs w:val="1"/>
          <w:u w:val="single" w:color="auto"/>
          <w:color w:val="auto"/>
        </w:rPr>
        <w:t xml:space="preserve"> A</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DESCRIPTION OF SERVICES</w:t>
      </w:r>
    </w:p>
    <w:p>
      <w:pPr>
        <w:spacing w:after="0" w:line="225" w:lineRule="exact"/>
        <w:rPr>
          <w:sz w:val="20"/>
          <w:szCs w:val="20"/>
          <w:color w:val="auto"/>
        </w:rPr>
      </w:pPr>
    </w:p>
    <w:p>
      <w:pPr>
        <w:jc w:val="both"/>
        <w:ind w:left="440" w:hanging="440"/>
        <w:spacing w:after="0" w:line="266" w:lineRule="auto"/>
        <w:tabs>
          <w:tab w:leader="none" w:pos="4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Consultation Services. </w:t>
      </w:r>
      <w:r>
        <w:rPr>
          <w:rFonts w:ascii="Arial" w:cs="Arial" w:eastAsia="Arial" w:hAnsi="Arial"/>
          <w:sz w:val="18"/>
          <w:szCs w:val="18"/>
          <w:color w:val="auto"/>
        </w:rPr>
        <w:t>The Company hereby employs the Consultant to serve in the capacity of Medical Counsel of the Company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business development opportunities, fundraising activities at the request of the CEO and COO/CFO, and other strategic projects at the request of management.</w:t>
      </w:r>
    </w:p>
    <w:p>
      <w:pPr>
        <w:spacing w:after="0" w:line="175" w:lineRule="exact"/>
        <w:rPr>
          <w:rFonts w:ascii="Arial" w:cs="Arial" w:eastAsia="Arial" w:hAnsi="Arial"/>
          <w:sz w:val="18"/>
          <w:szCs w:val="18"/>
          <w:b w:val="1"/>
          <w:bCs w:val="1"/>
          <w:color w:val="auto"/>
        </w:rPr>
      </w:pPr>
    </w:p>
    <w:p>
      <w:pPr>
        <w:ind w:left="440" w:hanging="440"/>
        <w:spacing w:after="0" w:line="282" w:lineRule="auto"/>
        <w:tabs>
          <w:tab w:leader="none" w:pos="4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Time Devoted by Consultant. </w:t>
      </w:r>
      <w:r>
        <w:rPr>
          <w:rFonts w:ascii="Arial" w:cs="Arial" w:eastAsia="Arial" w:hAnsi="Arial"/>
          <w:sz w:val="18"/>
          <w:szCs w:val="18"/>
          <w:color w:val="auto"/>
        </w:rPr>
        <w:t>Consultant shall devote time of no more than 20 hours per week on average to support the delivery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w:t>
      </w:r>
    </w:p>
    <w:p>
      <w:pPr>
        <w:spacing w:after="0" w:line="161" w:lineRule="exact"/>
        <w:rPr>
          <w:rFonts w:ascii="Arial" w:cs="Arial" w:eastAsia="Arial" w:hAnsi="Arial"/>
          <w:sz w:val="18"/>
          <w:szCs w:val="18"/>
          <w:b w:val="1"/>
          <w:bCs w:val="1"/>
          <w:color w:val="auto"/>
        </w:rPr>
      </w:pPr>
    </w:p>
    <w:p>
      <w:pPr>
        <w:jc w:val="both"/>
        <w:ind w:left="440" w:hanging="440"/>
        <w:spacing w:after="0" w:line="266" w:lineRule="auto"/>
        <w:tabs>
          <w:tab w:leader="none" w:pos="4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Place Where Service Will Be Rendered. </w:t>
      </w:r>
      <w:r>
        <w:rPr>
          <w:rFonts w:ascii="Arial" w:cs="Arial" w:eastAsia="Arial" w:hAnsi="Arial"/>
          <w:sz w:val="18"/>
          <w:szCs w:val="18"/>
          <w:color w:val="auto"/>
        </w:rPr>
        <w:t>Consultant will perform most services in accordance with this Agreement remotely</w:t>
      </w:r>
      <w:r>
        <w:rPr>
          <w:rFonts w:ascii="Arial" w:cs="Arial" w:eastAsia="Arial" w:hAnsi="Arial"/>
          <w:sz w:val="18"/>
          <w:szCs w:val="18"/>
          <w:i w:val="1"/>
          <w:iCs w:val="1"/>
          <w:color w:val="FF0000"/>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Consultant will perform the Services on the telephone and at such other places as designated by the Company to perform these services in accordance with this Agreement.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6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 - 1</w:t>
      </w:r>
    </w:p>
    <w:p>
      <w:pPr>
        <w:sectPr>
          <w:pgSz w:w="11900" w:h="16838" w:orient="portrait"/>
          <w:cols w:equalWidth="0" w:num="1">
            <w:col w:w="10800"/>
          </w:cols>
          <w:pgMar w:left="760" w:top="553"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4"/>
          <w:szCs w:val="14"/>
          <w:b w:val="1"/>
          <w:bCs w:val="1"/>
          <w:color w:val="FF0000"/>
        </w:rPr>
        <w:t>Exhibit 10.24</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Adopted by the Board of Directors on March 8, 2021</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INDEMNIFICATION AGREEMENT</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This Indemnification Agreement (“</w:t>
      </w:r>
      <w:r>
        <w:rPr>
          <w:rFonts w:ascii="Arial" w:cs="Arial" w:eastAsia="Arial" w:hAnsi="Arial"/>
          <w:sz w:val="20"/>
          <w:szCs w:val="20"/>
          <w:b w:val="1"/>
          <w:bCs w:val="1"/>
          <w:color w:val="auto"/>
        </w:rPr>
        <w:t>Agreement</w:t>
      </w:r>
      <w:r>
        <w:rPr>
          <w:rFonts w:ascii="Arial" w:cs="Arial" w:eastAsia="Arial" w:hAnsi="Arial"/>
          <w:sz w:val="20"/>
          <w:szCs w:val="20"/>
          <w:color w:val="auto"/>
        </w:rPr>
        <w:t>”) is made as of [ ] by and between Helius Medical Technologies,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 ] (“</w:t>
      </w:r>
      <w:r>
        <w:rPr>
          <w:rFonts w:ascii="Arial" w:cs="Arial" w:eastAsia="Arial" w:hAnsi="Arial"/>
          <w:sz w:val="20"/>
          <w:szCs w:val="20"/>
          <w:b w:val="1"/>
          <w:bCs w:val="1"/>
          <w:color w:val="auto"/>
        </w:rPr>
        <w:t>Indemnitee</w:t>
      </w:r>
      <w:r>
        <w:rPr>
          <w:rFonts w:ascii="Arial" w:cs="Arial" w:eastAsia="Arial" w:hAnsi="Arial"/>
          <w:sz w:val="20"/>
          <w:szCs w:val="20"/>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highly competent persons have become more reluctant to serve corporations as directors or officers or in other</w:t>
      </w:r>
      <w:r>
        <w:rPr>
          <w:rFonts w:ascii="Arial" w:cs="Arial" w:eastAsia="Arial" w:hAnsi="Arial"/>
          <w:sz w:val="20"/>
          <w:szCs w:val="20"/>
          <w:b w:val="1"/>
          <w:bCs w:val="1"/>
          <w:color w:val="auto"/>
        </w:rPr>
        <w:t xml:space="preserve"> </w:t>
      </w:r>
      <w:r>
        <w:rPr>
          <w:rFonts w:ascii="Arial" w:cs="Arial" w:eastAsia="Arial" w:hAnsi="Arial"/>
          <w:sz w:val="20"/>
          <w:szCs w:val="20"/>
          <w:color w:val="auto"/>
        </w:rPr>
        <w:t>capacities unless they are provided with adequate protection through insurance or adequate indemnification against inordinate risks of claims and actions against them arising out of their service to and activities on behalf of the corporation and due to the fact that such exposure frequently bears no relationship to compensation paid to such officers and directors;</w:t>
      </w:r>
    </w:p>
    <w:p>
      <w:pPr>
        <w:spacing w:after="0" w:line="18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and Indemnitee recognize that plaintiffs often seek damages in such large amounts and the costs of</w:t>
      </w:r>
      <w:r>
        <w:rPr>
          <w:rFonts w:ascii="Arial" w:cs="Arial" w:eastAsia="Arial" w:hAnsi="Arial"/>
          <w:sz w:val="20"/>
          <w:szCs w:val="20"/>
          <w:b w:val="1"/>
          <w:bCs w:val="1"/>
          <w:color w:val="auto"/>
        </w:rPr>
        <w:t xml:space="preserve"> </w:t>
      </w:r>
      <w:r>
        <w:rPr>
          <w:rFonts w:ascii="Arial" w:cs="Arial" w:eastAsia="Arial" w:hAnsi="Arial"/>
          <w:sz w:val="20"/>
          <w:szCs w:val="20"/>
          <w:color w:val="auto"/>
        </w:rPr>
        <w:t>litigation may be so enormous (whether or not the case is meritorious), that the defense and/or settlement of such litigation is often beyond the personal resources of directors and officers;</w:t>
      </w:r>
    </w:p>
    <w:p>
      <w:pPr>
        <w:spacing w:after="0" w:line="17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Company’s Bylaws, as amended and restated, provide for the indemnification of the officers and directors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to the fullest extent permitted by the General Corporation Law of the State of Delaware (the “</w:t>
      </w:r>
      <w:r>
        <w:rPr>
          <w:rFonts w:ascii="Arial" w:cs="Arial" w:eastAsia="Arial" w:hAnsi="Arial"/>
          <w:sz w:val="20"/>
          <w:szCs w:val="20"/>
          <w:b w:val="1"/>
          <w:bCs w:val="1"/>
          <w:color w:val="auto"/>
        </w:rPr>
        <w:t>DGCL</w:t>
      </w:r>
      <w:r>
        <w:rPr>
          <w:rFonts w:ascii="Arial" w:cs="Arial" w:eastAsia="Arial" w:hAnsi="Arial"/>
          <w:sz w:val="20"/>
          <w:szCs w:val="20"/>
          <w:color w:val="auto"/>
        </w:rPr>
        <w:t>”). The Bylaws expressly provide that the indemnification provisions set forth therein are not exclusive and contemplate that contracts may be entered into between the Company and its directors and officers with respect to indemnification;</w:t>
      </w:r>
    </w:p>
    <w:p>
      <w:pPr>
        <w:spacing w:after="0" w:line="18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Section 145 of the DGCL empowers the Company to indemnify its officers, directors, employees and agents by</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to indemnify persons who serve, at the Company’s request, as the directors, officers, employees or agents of other corporations or enterprises;</w:t>
      </w:r>
    </w:p>
    <w:p>
      <w:pPr>
        <w:spacing w:after="0" w:line="17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Section 102(b)(7) of the DGCL allows the Company to include in its Certificate of Incorporation a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limiting or eliminating the personal liability of a director for monetary damages in respect of claims by shareholders and corporations for breach of certain fiduciary duties, and the Company has so provided in its Certificate of Incorporation that each director shall be exculpated from such liability to the maximum extent permitted by law;</w:t>
      </w:r>
    </w:p>
    <w:p>
      <w:pPr>
        <w:spacing w:after="0" w:line="183"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after reasonable investigation, has determined that the liability insurance coverage presently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may be inadequate in certain circumstances to cover all possible exposure for which Indemnitee should be protected;</w:t>
      </w:r>
    </w:p>
    <w:p>
      <w:pPr>
        <w:spacing w:after="0" w:line="118"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uncertainties relating to such insurance and to indemnification have increased the difficulty of attracting and</w:t>
      </w:r>
      <w:r>
        <w:rPr>
          <w:rFonts w:ascii="Arial" w:cs="Arial" w:eastAsia="Arial" w:hAnsi="Arial"/>
          <w:sz w:val="20"/>
          <w:szCs w:val="20"/>
          <w:b w:val="1"/>
          <w:bCs w:val="1"/>
          <w:color w:val="auto"/>
        </w:rPr>
        <w:t xml:space="preserve"> </w:t>
      </w:r>
      <w:r>
        <w:rPr>
          <w:rFonts w:ascii="Arial" w:cs="Arial" w:eastAsia="Arial" w:hAnsi="Arial"/>
          <w:sz w:val="20"/>
          <w:szCs w:val="20"/>
          <w:color w:val="auto"/>
        </w:rPr>
        <w:t>retaining highly competent persons to serve as directors and officers;</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Board has determined that the increased difficulty in attracting and retaining such persons is detrimental to the</w:t>
      </w:r>
      <w:r>
        <w:rPr>
          <w:rFonts w:ascii="Arial" w:cs="Arial" w:eastAsia="Arial" w:hAnsi="Arial"/>
          <w:sz w:val="20"/>
          <w:szCs w:val="20"/>
          <w:b w:val="1"/>
          <w:bCs w:val="1"/>
          <w:color w:val="auto"/>
        </w:rPr>
        <w:t xml:space="preserve"> </w:t>
      </w:r>
      <w:r>
        <w:rPr>
          <w:rFonts w:ascii="Arial" w:cs="Arial" w:eastAsia="Arial" w:hAnsi="Arial"/>
          <w:sz w:val="20"/>
          <w:szCs w:val="20"/>
          <w:color w:val="auto"/>
        </w:rPr>
        <w:t>best interests of the Company’s stockholders and that the Company should act to assure such persons that there will be increased certainty of such protection in the future;</w:t>
      </w:r>
    </w:p>
    <w:p>
      <w:pPr>
        <w:spacing w:after="0" w:line="177"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it is reasonable, prudent and necessary for the Company contractually to obligate itself to indemnify, and to advance</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on behalf of, such persons to the fullest extent permitted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sz w:val="20"/>
          <w:szCs w:val="20"/>
          <w:color w:val="auto"/>
        </w:rPr>
      </w:pPr>
      <w:r>
        <w:rPr>
          <w:rFonts w:ascii="Arial" w:cs="Arial" w:eastAsia="Arial" w:hAnsi="Arial"/>
          <w:sz w:val="19"/>
          <w:szCs w:val="19"/>
          <w:color w:val="auto"/>
        </w:rPr>
        <w:t>applicable law so that they will serve or continue to serve the Company free from undue concern that they will not be so indemnified;</w:t>
      </w:r>
    </w:p>
    <w:p>
      <w:pPr>
        <w:spacing w:after="0" w:line="221"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this Agreement is a supplement to and in furtherance of the Company’s Certificate of Incorporation, as corrected,</w:t>
      </w:r>
      <w:r>
        <w:rPr>
          <w:rFonts w:ascii="Arial" w:cs="Arial" w:eastAsia="Arial" w:hAnsi="Arial"/>
          <w:sz w:val="20"/>
          <w:szCs w:val="20"/>
          <w:b w:val="1"/>
          <w:bCs w:val="1"/>
          <w:color w:val="auto"/>
        </w:rPr>
        <w:t xml:space="preserve"> </w:t>
      </w:r>
      <w:r>
        <w:rPr>
          <w:rFonts w:ascii="Arial" w:cs="Arial" w:eastAsia="Arial" w:hAnsi="Arial"/>
          <w:sz w:val="20"/>
          <w:szCs w:val="20"/>
          <w:color w:val="auto"/>
        </w:rPr>
        <w:t>and Bylaws and any resolutions adopted pursuant thereto, and shall not be deemed a substitute therefor, nor to diminish or abrogate any rights of Indemnitee thereunder; and</w:t>
      </w:r>
    </w:p>
    <w:p>
      <w:pPr>
        <w:spacing w:after="0" w:line="17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Indemnitee does not regard the protection available under the Company’s Certificate of Incorporation, Bylaws and</w:t>
      </w:r>
      <w:r>
        <w:rPr>
          <w:rFonts w:ascii="Arial" w:cs="Arial" w:eastAsia="Arial" w:hAnsi="Arial"/>
          <w:sz w:val="20"/>
          <w:szCs w:val="20"/>
          <w:b w:val="1"/>
          <w:bCs w:val="1"/>
          <w:color w:val="auto"/>
        </w:rPr>
        <w:t xml:space="preserve"> </w:t>
      </w:r>
      <w:r>
        <w:rPr>
          <w:rFonts w:ascii="Arial" w:cs="Arial" w:eastAsia="Arial" w:hAnsi="Arial"/>
          <w:sz w:val="20"/>
          <w:szCs w:val="20"/>
          <w:color w:val="auto"/>
        </w:rPr>
        <w:t>insurance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be so indemnified.</w:t>
      </w:r>
    </w:p>
    <w:p>
      <w:pPr>
        <w:spacing w:after="0" w:line="18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the covenants contained herein, the Company and Indemnitee do</w:t>
      </w:r>
      <w:r>
        <w:rPr>
          <w:rFonts w:ascii="Arial" w:cs="Arial" w:eastAsia="Arial" w:hAnsi="Arial"/>
          <w:sz w:val="20"/>
          <w:szCs w:val="20"/>
          <w:b w:val="1"/>
          <w:bCs w:val="1"/>
          <w:color w:val="auto"/>
        </w:rPr>
        <w:t xml:space="preserve"> </w:t>
      </w:r>
      <w:r>
        <w:rPr>
          <w:rFonts w:ascii="Arial" w:cs="Arial" w:eastAsia="Arial" w:hAnsi="Arial"/>
          <w:sz w:val="20"/>
          <w:szCs w:val="20"/>
          <w:color w:val="auto"/>
        </w:rPr>
        <w:t>hereby covenant and agree as follows:</w:t>
      </w:r>
    </w:p>
    <w:p>
      <w:pPr>
        <w:spacing w:after="0" w:line="165"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18"/>
          <w:szCs w:val="18"/>
          <w:u w:val="single" w:color="auto"/>
          <w:color w:val="auto"/>
        </w:rPr>
        <w:t>Services to the Company.</w:t>
      </w:r>
      <w:r>
        <w:rPr>
          <w:rFonts w:ascii="Arial" w:cs="Arial" w:eastAsia="Arial" w:hAnsi="Arial"/>
          <w:sz w:val="21"/>
          <w:szCs w:val="21"/>
          <w:color w:val="auto"/>
        </w:rPr>
        <w:t xml:space="preserve"> </w:t>
      </w:r>
      <w:r>
        <w:rPr>
          <w:rFonts w:ascii="Arial" w:cs="Arial" w:eastAsia="Arial" w:hAnsi="Arial"/>
          <w:sz w:val="18"/>
          <w:szCs w:val="18"/>
          <w:color w:val="auto"/>
        </w:rPr>
        <w:t>Indemnitee agrees to serve as a director or officer of the Company or, at the request</w:t>
      </w:r>
      <w:r>
        <w:rPr>
          <w:rFonts w:ascii="Arial" w:cs="Arial" w:eastAsia="Arial" w:hAnsi="Arial"/>
          <w:sz w:val="21"/>
          <w:szCs w:val="21"/>
          <w:color w:val="auto"/>
        </w:rPr>
        <w:t xml:space="preserve"> </w:t>
      </w:r>
      <w:r>
        <w:rPr>
          <w:rFonts w:ascii="Arial" w:cs="Arial" w:eastAsia="Arial" w:hAnsi="Arial"/>
          <w:sz w:val="18"/>
          <w:szCs w:val="18"/>
          <w:color w:val="auto"/>
        </w:rPr>
        <w:t>of the Company, as a director, officer, employee, agent or fiduciary of another corporation, partnership, joint venture, trust, employee benefit plan or other enterprise. Indemnitee may at any time and for any reason resign from such position (subject to any other contractual obligation or any obligation imposed by operation of law), in which event the Company shall have no obligation under this Agreement to continue Indemnitee in such position with respect to actions taken following any such resignation becoming effective. This Agreement shall not be deemed an employment contract between the Company (or any of its subsidiaries or any other corporation, limited liability company, partnership, joint venture, trust employee benefit plan or other enterprise of which Indemnitee was serving at the Company’s request as a director, officer, employee, agent or fiduciary) and Indemnitee. Indemnitee specifically acknowledges that Indemnitee’s employment with the Company (or any of its subsidiaries or any other corporation, limited liability company, partnership, joint venture, trust employee benefit plan or other enterprise of which Indemnitee was serving at the Company’s request as a director, officer, employee, agent or fiduciary), if any, is at will, and the Indemnitee may be discharged at any time for any reason, with or without cause, except as may be otherwise provided in any written employment contract between Indemnitee and the Company (or any of its subsidiaries or any other corporation, limited liability company, partnership, joint venture, trust employee benefit plan or other enterprise of which Indemnitee was serving at the Company’s request as a director, officer, employee, agent or fiduciary). The foregoing notwithstanding, this Agreement shall continue in force after Indemnitee has ceased to serve as an officer or director of the Company.</w:t>
      </w:r>
    </w:p>
    <w:p>
      <w:pPr>
        <w:spacing w:after="0" w:line="166"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8"/>
          <w:szCs w:val="18"/>
          <w:u w:val="single" w:color="auto"/>
          <w:color w:val="auto"/>
        </w:rPr>
        <w:t xml:space="preserve">Definitions.  </w:t>
      </w:r>
      <w:r>
        <w:rPr>
          <w:rFonts w:ascii="Arial" w:cs="Arial" w:eastAsia="Arial" w:hAnsi="Arial"/>
          <w:sz w:val="18"/>
          <w:szCs w:val="18"/>
          <w:color w:val="auto"/>
        </w:rPr>
        <w:t>As used in this Agreement:</w:t>
      </w:r>
    </w:p>
    <w:p>
      <w:pPr>
        <w:spacing w:after="0" w:line="205" w:lineRule="exact"/>
        <w:rPr>
          <w:sz w:val="20"/>
          <w:szCs w:val="20"/>
          <w:color w:val="auto"/>
        </w:rPr>
      </w:pPr>
    </w:p>
    <w:p>
      <w:pPr>
        <w:ind w:left="2600" w:hanging="865"/>
        <w:spacing w:after="0"/>
        <w:tabs>
          <w:tab w:leader="none" w:pos="2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occur upon the earliest to occur after the date of this Agreement</w:t>
      </w:r>
    </w:p>
    <w:p>
      <w:pPr>
        <w:spacing w:after="0" w:line="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any of the following events:</w:t>
      </w:r>
    </w:p>
    <w:p>
      <w:pPr>
        <w:spacing w:after="0" w:line="199" w:lineRule="exact"/>
        <w:rPr>
          <w:rFonts w:ascii="Arial" w:cs="Arial" w:eastAsia="Arial" w:hAnsi="Arial"/>
          <w:sz w:val="18"/>
          <w:szCs w:val="18"/>
          <w:color w:val="auto"/>
        </w:rPr>
      </w:pPr>
    </w:p>
    <w:p>
      <w:pPr>
        <w:jc w:val="both"/>
        <w:ind w:firstLine="2600"/>
        <w:spacing w:after="0" w:line="250" w:lineRule="auto"/>
        <w:tabs>
          <w:tab w:leader="none" w:pos="3345"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Acquisition of Stock by Third Party</w:t>
      </w:r>
      <w:r>
        <w:rPr>
          <w:rFonts w:ascii="Arial" w:cs="Arial" w:eastAsia="Arial" w:hAnsi="Arial"/>
          <w:sz w:val="20"/>
          <w:szCs w:val="20"/>
          <w:color w:val="auto"/>
        </w:rPr>
        <w:t>. Any Person (as defined below) is or becomes the Beneficial Owner (as defined below), directly or indirectly, of securities of the Company representing thirty-five percent (35%) or more of the combined voting power of the Company’s then outstanding securities;</w:t>
      </w:r>
    </w:p>
    <w:p>
      <w:pPr>
        <w:spacing w:after="0" w:line="185" w:lineRule="exact"/>
        <w:rPr>
          <w:rFonts w:ascii="Arial" w:cs="Arial" w:eastAsia="Arial" w:hAnsi="Arial"/>
          <w:sz w:val="20"/>
          <w:szCs w:val="20"/>
          <w:color w:val="auto"/>
        </w:rPr>
      </w:pPr>
    </w:p>
    <w:p>
      <w:pPr>
        <w:jc w:val="both"/>
        <w:ind w:firstLine="2600"/>
        <w:spacing w:after="0" w:line="250" w:lineRule="auto"/>
        <w:tabs>
          <w:tab w:leader="none" w:pos="3399"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Change in Board</w:t>
      </w:r>
      <w:r>
        <w:rPr>
          <w:rFonts w:ascii="Arial" w:cs="Arial" w:eastAsia="Arial" w:hAnsi="Arial"/>
          <w:sz w:val="20"/>
          <w:szCs w:val="20"/>
          <w:color w:val="auto"/>
        </w:rPr>
        <w:t>. During any period of two (2) consecutive years (not including any period prior to the execution of this Agreement), individuals who at the beginning of such period constitute the Board, and any new director (other than a director designated by a person who has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5" w:name="page126"/>
    <w:bookmarkEnd w:id="125"/>
    <w:p>
      <w:pPr>
        <w:jc w:val="both"/>
        <w:spacing w:after="0" w:line="246" w:lineRule="auto"/>
        <w:rPr>
          <w:sz w:val="20"/>
          <w:szCs w:val="20"/>
          <w:color w:val="auto"/>
        </w:rPr>
      </w:pPr>
      <w:r>
        <w:rPr>
          <w:rFonts w:ascii="Arial" w:cs="Arial" w:eastAsia="Arial" w:hAnsi="Arial"/>
          <w:sz w:val="20"/>
          <w:szCs w:val="20"/>
          <w:color w:val="auto"/>
        </w:rPr>
        <w:t xml:space="preserve">entered into an agreement with the Company to effect a transaction described in </w:t>
      </w:r>
      <w:r>
        <w:rPr>
          <w:rFonts w:ascii="Arial" w:cs="Arial" w:eastAsia="Arial" w:hAnsi="Arial"/>
          <w:sz w:val="20"/>
          <w:szCs w:val="20"/>
          <w:u w:val="single" w:color="auto"/>
          <w:color w:val="auto"/>
        </w:rPr>
        <w:t>Section 2(a)i</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2(a)iii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2(a)iv</w:t>
      </w:r>
      <w:r>
        <w:rPr>
          <w:rFonts w:ascii="Arial" w:cs="Arial" w:eastAsia="Arial" w:hAnsi="Arial"/>
          <w:sz w:val="20"/>
          <w:szCs w:val="20"/>
          <w:color w:val="auto"/>
        </w:rPr>
        <w:t>)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91" w:lineRule="exact"/>
        <w:rPr>
          <w:sz w:val="20"/>
          <w:szCs w:val="20"/>
          <w:color w:val="auto"/>
        </w:rPr>
      </w:pPr>
    </w:p>
    <w:p>
      <w:pPr>
        <w:jc w:val="both"/>
        <w:ind w:firstLine="2600"/>
        <w:spacing w:after="0" w:line="243" w:lineRule="auto"/>
        <w:tabs>
          <w:tab w:leader="none" w:pos="3455"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Corporate Transactions</w:t>
      </w:r>
      <w:r>
        <w:rPr>
          <w:rFonts w:ascii="Arial" w:cs="Arial" w:eastAsia="Arial" w:hAnsi="Arial"/>
          <w:sz w:val="20"/>
          <w:szCs w:val="20"/>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95" w:lineRule="exact"/>
        <w:rPr>
          <w:rFonts w:ascii="Arial" w:cs="Arial" w:eastAsia="Arial" w:hAnsi="Arial"/>
          <w:sz w:val="20"/>
          <w:szCs w:val="20"/>
          <w:color w:val="auto"/>
        </w:rPr>
      </w:pPr>
    </w:p>
    <w:p>
      <w:pPr>
        <w:ind w:firstLine="2600"/>
        <w:spacing w:after="0" w:line="287" w:lineRule="auto"/>
        <w:tabs>
          <w:tab w:leader="none" w:pos="3431"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Liquidation</w:t>
      </w:r>
      <w:r>
        <w:rPr>
          <w:rFonts w:ascii="Arial" w:cs="Arial" w:eastAsia="Arial" w:hAnsi="Arial"/>
          <w:sz w:val="19"/>
          <w:szCs w:val="19"/>
          <w:color w:val="auto"/>
        </w:rPr>
        <w:t>. The approval by the stockholders of the Company of a complete liquidation of the Company or an agreement for the sale or disposition by the Company of all or substantially all of the Company’s assets; and</w:t>
      </w:r>
    </w:p>
    <w:p>
      <w:pPr>
        <w:spacing w:after="0" w:line="152" w:lineRule="exact"/>
        <w:rPr>
          <w:rFonts w:ascii="Arial" w:cs="Arial" w:eastAsia="Arial" w:hAnsi="Arial"/>
          <w:sz w:val="19"/>
          <w:szCs w:val="19"/>
          <w:color w:val="auto"/>
        </w:rPr>
      </w:pPr>
    </w:p>
    <w:p>
      <w:pPr>
        <w:jc w:val="both"/>
        <w:ind w:firstLine="2600"/>
        <w:spacing w:after="0" w:line="269" w:lineRule="auto"/>
        <w:tabs>
          <w:tab w:leader="none" w:pos="337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Other Events</w:t>
      </w:r>
      <w:r>
        <w:rPr>
          <w:rFonts w:ascii="Arial" w:cs="Arial" w:eastAsia="Arial" w:hAnsi="Arial"/>
          <w:sz w:val="19"/>
          <w:szCs w:val="19"/>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Section 2(a)</w:t>
      </w:r>
      <w:r>
        <w:rPr>
          <w:rFonts w:ascii="Arial" w:cs="Arial" w:eastAsia="Arial" w:hAnsi="Arial"/>
          <w:sz w:val="20"/>
          <w:szCs w:val="20"/>
          <w:color w:val="auto"/>
        </w:rPr>
        <w:t>, the following terms shall have the following meanings:</w:t>
      </w:r>
    </w:p>
    <w:p>
      <w:pPr>
        <w:spacing w:after="0" w:line="210" w:lineRule="exact"/>
        <w:rPr>
          <w:sz w:val="20"/>
          <w:szCs w:val="20"/>
          <w:color w:val="auto"/>
        </w:rPr>
      </w:pPr>
    </w:p>
    <w:p>
      <w:pPr>
        <w:ind w:left="3260" w:hanging="927"/>
        <w:spacing w:after="0"/>
        <w:tabs>
          <w:tab w:leader="none" w:pos="3260" w:val="left"/>
        </w:tabs>
        <w:numPr>
          <w:ilvl w:val="1"/>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shall  mean  the  Securities  Exchange  Act  of  1934,  as</w:t>
      </w:r>
    </w:p>
    <w:p>
      <w:pPr>
        <w:spacing w:after="0" w:line="21" w:lineRule="exact"/>
        <w:rPr>
          <w:rFonts w:ascii="Arial" w:cs="Arial" w:eastAsia="Arial" w:hAnsi="Arial"/>
          <w:sz w:val="20"/>
          <w:szCs w:val="20"/>
          <w:color w:val="auto"/>
        </w:rPr>
      </w:pPr>
    </w:p>
    <w:p>
      <w:pPr>
        <w:ind w:left="1740"/>
        <w:spacing w:after="0"/>
        <w:rPr>
          <w:rFonts w:ascii="Arial" w:cs="Arial" w:eastAsia="Arial" w:hAnsi="Arial"/>
          <w:sz w:val="20"/>
          <w:szCs w:val="20"/>
          <w:color w:val="auto"/>
        </w:rPr>
      </w:pPr>
      <w:r>
        <w:rPr>
          <w:rFonts w:ascii="Arial" w:cs="Arial" w:eastAsia="Arial" w:hAnsi="Arial"/>
          <w:sz w:val="20"/>
          <w:szCs w:val="20"/>
          <w:color w:val="auto"/>
        </w:rPr>
        <w:t>amended.</w:t>
      </w:r>
    </w:p>
    <w:p>
      <w:pPr>
        <w:spacing w:after="0" w:line="193" w:lineRule="exact"/>
        <w:rPr>
          <w:rFonts w:ascii="Arial" w:cs="Arial" w:eastAsia="Arial" w:hAnsi="Arial"/>
          <w:sz w:val="20"/>
          <w:szCs w:val="20"/>
          <w:color w:val="auto"/>
        </w:rPr>
      </w:pPr>
    </w:p>
    <w:p>
      <w:pPr>
        <w:jc w:val="both"/>
        <w:ind w:left="1740" w:right="1720" w:firstLine="593"/>
        <w:spacing w:after="0" w:line="262" w:lineRule="auto"/>
        <w:tabs>
          <w:tab w:leader="none" w:pos="3250" w:val="left"/>
        </w:tabs>
        <w:numPr>
          <w:ilvl w:val="1"/>
          <w:numId w:val="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xml:space="preserve">” shall have the meaning as set forth in Sections 13(d) and 14(d) of the Exchange Act; </w:t>
      </w:r>
      <w:r>
        <w:rPr>
          <w:rFonts w:ascii="Arial" w:cs="Arial" w:eastAsia="Arial" w:hAnsi="Arial"/>
          <w:sz w:val="19"/>
          <w:szCs w:val="19"/>
          <w:i w:val="1"/>
          <w:iCs w:val="1"/>
          <w:color w:val="auto"/>
        </w:rPr>
        <w:t>provided, however</w:t>
      </w:r>
      <w:r>
        <w:rPr>
          <w:rFonts w:ascii="Arial" w:cs="Arial" w:eastAsia="Arial" w:hAnsi="Arial"/>
          <w:sz w:val="19"/>
          <w:szCs w:val="19"/>
          <w:color w:val="auto"/>
        </w:rPr>
        <w:t>,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70" w:lineRule="exact"/>
        <w:rPr>
          <w:rFonts w:ascii="Arial" w:cs="Arial" w:eastAsia="Arial" w:hAnsi="Arial"/>
          <w:sz w:val="19"/>
          <w:szCs w:val="19"/>
          <w:color w:val="auto"/>
        </w:rPr>
      </w:pPr>
    </w:p>
    <w:p>
      <w:pPr>
        <w:jc w:val="both"/>
        <w:ind w:left="1740" w:right="1740" w:firstLine="593"/>
        <w:spacing w:after="0" w:line="248" w:lineRule="auto"/>
        <w:tabs>
          <w:tab w:leader="none" w:pos="3250" w:val="left"/>
        </w:tabs>
        <w:numPr>
          <w:ilvl w:val="1"/>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w:t>
      </w:r>
      <w:r>
        <w:rPr>
          <w:rFonts w:ascii="Arial" w:cs="Arial" w:eastAsia="Arial" w:hAnsi="Arial"/>
          <w:sz w:val="20"/>
          <w:szCs w:val="20"/>
          <w:color w:val="auto"/>
        </w:rPr>
        <w:t xml:space="preserve">” shall have the meaning given to such term in Rule 13d-3 under the Exchange Act; </w:t>
      </w:r>
      <w:r>
        <w:rPr>
          <w:rFonts w:ascii="Arial" w:cs="Arial" w:eastAsia="Arial" w:hAnsi="Arial"/>
          <w:sz w:val="20"/>
          <w:szCs w:val="20"/>
          <w:i w:val="1"/>
          <w:iCs w:val="1"/>
          <w:color w:val="auto"/>
        </w:rPr>
        <w:t>provided, however</w:t>
      </w:r>
      <w:r>
        <w:rPr>
          <w:rFonts w:ascii="Arial" w:cs="Arial" w:eastAsia="Arial" w:hAnsi="Arial"/>
          <w:sz w:val="20"/>
          <w:szCs w:val="20"/>
          <w:color w:val="auto"/>
        </w:rPr>
        <w:t>, that Beneficial Owner shall exclude any Person otherwise becoming a Beneficial Owner by reason of the stockholders of the Company approving a merger of the Company with another entity.</w:t>
      </w:r>
    </w:p>
    <w:p>
      <w:pPr>
        <w:spacing w:after="0" w:line="183" w:lineRule="exact"/>
        <w:rPr>
          <w:rFonts w:ascii="Arial" w:cs="Arial" w:eastAsia="Arial" w:hAnsi="Arial"/>
          <w:sz w:val="20"/>
          <w:szCs w:val="20"/>
          <w:color w:val="auto"/>
        </w:rPr>
      </w:pPr>
    </w:p>
    <w:p>
      <w:pPr>
        <w:jc w:val="both"/>
        <w:ind w:firstLine="1735"/>
        <w:spacing w:after="0" w:line="253" w:lineRule="auto"/>
        <w:tabs>
          <w:tab w:leader="none" w:pos="2606" w:val="left"/>
        </w:tabs>
        <w:numPr>
          <w:ilvl w:val="0"/>
          <w:numId w:val="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Corporate Status</w:t>
      </w:r>
      <w:r>
        <w:rPr>
          <w:rFonts w:ascii="Arial" w:cs="Arial" w:eastAsia="Arial" w:hAnsi="Arial"/>
          <w:sz w:val="20"/>
          <w:szCs w:val="20"/>
          <w:color w:val="auto"/>
        </w:rPr>
        <w:t>” describes the status of a person who is or was a director, officer, employee, agent or fiduciary of the Company or of any other corporation, limited liability company, partnership or joint venture, trust, employee benefit plan or other enterprise which such person is or was serving at the request of the Company.</w:t>
      </w:r>
    </w:p>
    <w:p>
      <w:pPr>
        <w:spacing w:after="0" w:line="177" w:lineRule="exact"/>
        <w:rPr>
          <w:rFonts w:ascii="Arial" w:cs="Arial" w:eastAsia="Arial" w:hAnsi="Arial"/>
          <w:sz w:val="20"/>
          <w:szCs w:val="20"/>
          <w:color w:val="auto"/>
        </w:rPr>
      </w:pPr>
    </w:p>
    <w:p>
      <w:pPr>
        <w:ind w:firstLine="1735"/>
        <w:spacing w:after="0" w:line="267" w:lineRule="auto"/>
        <w:tabs>
          <w:tab w:leader="none" w:pos="2595" w:val="left"/>
        </w:tabs>
        <w:numPr>
          <w:ilvl w:val="0"/>
          <w:numId w:val="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Disinterested Director</w:t>
      </w:r>
      <w:r>
        <w:rPr>
          <w:rFonts w:ascii="Arial" w:cs="Arial" w:eastAsia="Arial" w:hAnsi="Arial"/>
          <w:sz w:val="20"/>
          <w:szCs w:val="20"/>
          <w:color w:val="auto"/>
        </w:rPr>
        <w:t>” means a director of the Company who is not and was not a party to the Proceeding in respect of which indemnification is sought by Indemnitee.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6" w:name="page127"/>
    <w:bookmarkEnd w:id="126"/>
    <w:p>
      <w:pPr>
        <w:jc w:val="both"/>
        <w:ind w:firstLine="1735"/>
        <w:spacing w:after="0" w:line="257" w:lineRule="auto"/>
        <w:tabs>
          <w:tab w:leader="none" w:pos="2606" w:val="left"/>
        </w:tabs>
        <w:numPr>
          <w:ilvl w:val="0"/>
          <w:numId w:val="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Expenses</w:t>
      </w:r>
      <w:r>
        <w:rPr>
          <w:rFonts w:ascii="Arial" w:cs="Arial" w:eastAsia="Arial" w:hAnsi="Arial"/>
          <w:sz w:val="19"/>
          <w:szCs w:val="19"/>
          <w:color w:val="auto"/>
        </w:rPr>
        <w:t xml:space="preserve">”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shall include (i) Expenses incurred in connection with any appeal resulting from any Proceeding, including without limitation the premium, security for, and other costs relating to any cost bond, supersedeas bond, or other appeal bond or its equivalent, and (ii) for purposes of </w:t>
      </w:r>
      <w:r>
        <w:rPr>
          <w:rFonts w:ascii="Arial" w:cs="Arial" w:eastAsia="Arial" w:hAnsi="Arial"/>
          <w:sz w:val="19"/>
          <w:szCs w:val="19"/>
          <w:u w:val="single" w:color="auto"/>
          <w:color w:val="auto"/>
        </w:rPr>
        <w:t>Section 13(d)</w:t>
      </w:r>
      <w:r>
        <w:rPr>
          <w:rFonts w:ascii="Arial" w:cs="Arial" w:eastAsia="Arial" w:hAnsi="Arial"/>
          <w:sz w:val="19"/>
          <w:szCs w:val="19"/>
          <w:color w:val="auto"/>
        </w:rPr>
        <w:t xml:space="preserve">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spacing w:after="0" w:line="175" w:lineRule="exact"/>
        <w:rPr>
          <w:rFonts w:ascii="Arial" w:cs="Arial" w:eastAsia="Arial" w:hAnsi="Arial"/>
          <w:sz w:val="19"/>
          <w:szCs w:val="19"/>
          <w:color w:val="auto"/>
        </w:rPr>
      </w:pPr>
    </w:p>
    <w:p>
      <w:pPr>
        <w:jc w:val="both"/>
        <w:ind w:firstLine="1735"/>
        <w:spacing w:after="0" w:line="257" w:lineRule="auto"/>
        <w:tabs>
          <w:tab w:leader="none" w:pos="2595" w:val="left"/>
        </w:tabs>
        <w:numPr>
          <w:ilvl w:val="0"/>
          <w:numId w:val="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Independent Counsel</w:t>
      </w:r>
      <w:r>
        <w:rPr>
          <w:rFonts w:ascii="Arial" w:cs="Arial" w:eastAsia="Arial" w:hAnsi="Arial"/>
          <w:sz w:val="19"/>
          <w:szCs w:val="19"/>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75" w:lineRule="exact"/>
        <w:rPr>
          <w:rFonts w:ascii="Arial" w:cs="Arial" w:eastAsia="Arial" w:hAnsi="Arial"/>
          <w:sz w:val="19"/>
          <w:szCs w:val="19"/>
          <w:color w:val="auto"/>
        </w:rPr>
      </w:pPr>
    </w:p>
    <w:p>
      <w:pPr>
        <w:jc w:val="both"/>
        <w:ind w:firstLine="1735"/>
        <w:spacing w:after="0" w:line="256" w:lineRule="auto"/>
        <w:tabs>
          <w:tab w:leader="none" w:pos="2573" w:val="left"/>
        </w:tabs>
        <w:numPr>
          <w:ilvl w:val="0"/>
          <w:numId w:val="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Proceeding</w:t>
      </w:r>
      <w:r>
        <w:rPr>
          <w:rFonts w:ascii="Arial" w:cs="Arial" w:eastAsia="Arial" w:hAnsi="Arial"/>
          <w:sz w:val="19"/>
          <w:szCs w:val="19"/>
          <w:color w:val="auto"/>
        </w:rPr>
        <w:t>”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legislative, or investigative nature, including any appeal therefrom, in which Indemnitee was, is or will be involved as a party, potential party, non-party witness or otherwise by reason of the fact that Indemnitee is or was a director or officer of the Company, by reason of any action taken by him or of any action on his part while acting as director or officer of the Company, or by reason of the fact that he is or was serving at the request of the Company as a director, officer, employee or agent of another corporation, limited liability company, partnership, joint venture, trust or other enterprise, in each case whether or not serving in such capacity at the time any liability or expense is incurred for which indemnification, reimbursement, or advancement of expenses can be provided under this Agreement; except one initiated by an Indemnitee to enforce his rights under this Agreement.</w:t>
      </w:r>
    </w:p>
    <w:p>
      <w:pPr>
        <w:spacing w:after="0" w:line="18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18"/>
          <w:szCs w:val="18"/>
          <w:u w:val="single" w:color="auto"/>
          <w:color w:val="auto"/>
        </w:rPr>
        <w:t>Indemnity in Third-Party Proceedings.</w:t>
      </w:r>
      <w:r>
        <w:rPr>
          <w:rFonts w:ascii="Arial" w:cs="Arial" w:eastAsia="Arial" w:hAnsi="Arial"/>
          <w:sz w:val="21"/>
          <w:szCs w:val="21"/>
          <w:color w:val="auto"/>
        </w:rPr>
        <w:t xml:space="preserve"> </w:t>
      </w:r>
      <w:r>
        <w:rPr>
          <w:rFonts w:ascii="Arial" w:cs="Arial" w:eastAsia="Arial" w:hAnsi="Arial"/>
          <w:sz w:val="18"/>
          <w:szCs w:val="18"/>
          <w:color w:val="auto"/>
        </w:rPr>
        <w:t>The Company shall indemnify Indemnitee in accordance with the</w:t>
      </w:r>
      <w:r>
        <w:rPr>
          <w:rFonts w:ascii="Arial" w:cs="Arial" w:eastAsia="Arial" w:hAnsi="Arial"/>
          <w:sz w:val="21"/>
          <w:szCs w:val="21"/>
          <w:color w:val="auto"/>
        </w:rPr>
        <w:t xml:space="preserve"> </w:t>
      </w:r>
      <w:r>
        <w:rPr>
          <w:rFonts w:ascii="Arial" w:cs="Arial" w:eastAsia="Arial" w:hAnsi="Arial"/>
          <w:sz w:val="18"/>
          <w:szCs w:val="18"/>
          <w:color w:val="auto"/>
        </w:rPr>
        <w:t xml:space="preserve">provisions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if, by reason of his Corporate Status, Indemnitee is, or is threatened to be made, a party to or a participant in any Proceeding, other than a Proceeding by or in the right of the Company to procure a judgment in its favor. Pursuant to this </w:t>
      </w:r>
      <w:r>
        <w:rPr>
          <w:rFonts w:ascii="Arial" w:cs="Arial" w:eastAsia="Arial" w:hAnsi="Arial"/>
          <w:sz w:val="18"/>
          <w:szCs w:val="18"/>
          <w:u w:val="single" w:color="auto"/>
          <w:color w:val="auto"/>
        </w:rPr>
        <w:t>Section 3</w:t>
      </w:r>
      <w:r>
        <w:rPr>
          <w:rFonts w:ascii="Arial" w:cs="Arial" w:eastAsia="Arial" w:hAnsi="Arial"/>
          <w:sz w:val="18"/>
          <w:szCs w:val="18"/>
          <w:color w:val="auto"/>
        </w:rPr>
        <w:t>, Indemnitee shall be indemnified to the fullest extent permitted by applicable law against all Expenses, judgments, penalties, fines and amounts paid in settlement actually and reasonably incurred by Indemnitee or on his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his conduct was unlawful.</w:t>
      </w:r>
    </w:p>
    <w:p>
      <w:pPr>
        <w:spacing w:after="0" w:line="16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19"/>
          <w:szCs w:val="19"/>
          <w:u w:val="single" w:color="auto"/>
          <w:color w:val="auto"/>
        </w:rPr>
        <w:t>Indemnity in Proceedings by or in the Right of the Company.</w:t>
      </w:r>
      <w:r>
        <w:rPr>
          <w:rFonts w:ascii="Arial" w:cs="Arial" w:eastAsia="Arial" w:hAnsi="Arial"/>
          <w:sz w:val="22"/>
          <w:szCs w:val="22"/>
          <w:color w:val="auto"/>
        </w:rPr>
        <w:t xml:space="preserve"> </w:t>
      </w:r>
      <w:r>
        <w:rPr>
          <w:rFonts w:ascii="Arial" w:cs="Arial" w:eastAsia="Arial" w:hAnsi="Arial"/>
          <w:sz w:val="19"/>
          <w:szCs w:val="19"/>
          <w:color w:val="auto"/>
        </w:rPr>
        <w:t>The Company shall indemnify Indemnitee in</w:t>
      </w:r>
      <w:r>
        <w:rPr>
          <w:rFonts w:ascii="Arial" w:cs="Arial" w:eastAsia="Arial" w:hAnsi="Arial"/>
          <w:sz w:val="22"/>
          <w:szCs w:val="22"/>
          <w:color w:val="auto"/>
        </w:rPr>
        <w:t xml:space="preserve"> </w:t>
      </w:r>
      <w:r>
        <w:rPr>
          <w:rFonts w:ascii="Arial" w:cs="Arial" w:eastAsia="Arial" w:hAnsi="Arial"/>
          <w:sz w:val="19"/>
          <w:szCs w:val="19"/>
          <w:color w:val="auto"/>
        </w:rPr>
        <w:t xml:space="preserve">accordance with the provisions of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if, by reason of his Corporate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7" w:name="page128"/>
    <w:bookmarkEnd w:id="127"/>
    <w:p>
      <w:pPr>
        <w:jc w:val="both"/>
        <w:spacing w:after="0" w:line="273" w:lineRule="auto"/>
        <w:rPr>
          <w:sz w:val="20"/>
          <w:szCs w:val="20"/>
          <w:color w:val="auto"/>
        </w:rPr>
      </w:pPr>
      <w:r>
        <w:rPr>
          <w:rFonts w:ascii="Arial" w:cs="Arial" w:eastAsia="Arial" w:hAnsi="Arial"/>
          <w:sz w:val="18"/>
          <w:szCs w:val="18"/>
          <w:color w:val="auto"/>
        </w:rPr>
        <w:t xml:space="preserve">Status, Indemnitee is, or is threatened to be made, a party to or a participant in any Proceeding by or in the right of the Company to procure a judgment in its favor.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Indemnitee shall be indemnified to the fullest extent permitted by applicable law against all Expenses actually and reasonably incurred by him or on his behalf in connection with such Proceeding or any claim, issue or matter therein, if Indemnitee acted in good faith and in a manner he reasonably believed to be in or not opposed to the best interests of the Company. No indemnification for Expenses shall be made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in respect of any claim, issue or matter as to which Indemnitee shall have been finally adjudged by a court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w:t>
      </w:r>
    </w:p>
    <w:p>
      <w:pPr>
        <w:spacing w:after="0" w:line="164"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18"/>
          <w:szCs w:val="18"/>
          <w:u w:val="single" w:color="auto"/>
          <w:color w:val="auto"/>
        </w:rPr>
        <w:t>Indemnification for Expenses of a Party Who is Wholly or Partly Successful.</w:t>
      </w:r>
      <w:r>
        <w:rPr>
          <w:rFonts w:ascii="Arial" w:cs="Arial" w:eastAsia="Arial" w:hAnsi="Arial"/>
          <w:sz w:val="21"/>
          <w:szCs w:val="21"/>
          <w:color w:val="auto"/>
        </w:rPr>
        <w:t xml:space="preserve"> </w:t>
      </w:r>
      <w:r>
        <w:rPr>
          <w:rFonts w:ascii="Arial" w:cs="Arial" w:eastAsia="Arial" w:hAnsi="Arial"/>
          <w:sz w:val="18"/>
          <w:szCs w:val="18"/>
          <w:color w:val="auto"/>
        </w:rPr>
        <w:t>Notwithstanding any other</w:t>
      </w:r>
      <w:r>
        <w:rPr>
          <w:rFonts w:ascii="Arial" w:cs="Arial" w:eastAsia="Arial" w:hAnsi="Arial"/>
          <w:sz w:val="21"/>
          <w:szCs w:val="21"/>
          <w:color w:val="auto"/>
        </w:rPr>
        <w:t xml:space="preserve"> </w:t>
      </w:r>
      <w:r>
        <w:rPr>
          <w:rFonts w:ascii="Arial" w:cs="Arial" w:eastAsia="Arial" w:hAnsi="Arial"/>
          <w:sz w:val="18"/>
          <w:szCs w:val="18"/>
          <w:color w:val="auto"/>
        </w:rPr>
        <w:t>provisions of this Agreement, to the fullest extent permitted by applicable law and to the extent that Indemnitee is, by reason of his Corporate Status, a party to (or a participant in) and is successful, on the merits or otherwise, in any Proceeding or in defense of any claim, issue or matter therein, in whole or in part, the Company shall indemnify Indemnitee against all Expenses actually and reasonably incurred by him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If the Indemnitee is not wholly successful in such Proceeding, the Company also shall indemnify Indemnitee against all Expenses reasonably incurred in connection with a claim, issue or matter related to any claim, issue, or matter on which the Indemnitee was successful. For purposes of this Section and without limiting the foregoing, if any Proceeding is disposed of, on the merits or otherwise (including a disposition without prejudice), without (i) the disposition being adverse to Indemnitee, (ii) an adjudication that Indemnitee was liable to the Company, (iii) a plea of guilty or nolo contendere by Indemnitee, (iv) an adjudication that Indemnitee did not act in good faith and in a manner Indemnitee reasonably believed to be in or not opposed to the best interests of the Company and (v) with respect to any criminal proceeding, an adjudication that Indemnitee had reasonable cause to believe Indemnitee’s conduct was unlawful, Indemnitee shall be considered for purposes of this Agreement to have been successful with respect thereto.</w:t>
      </w:r>
    </w:p>
    <w:p>
      <w:pPr>
        <w:spacing w:after="0" w:line="16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19"/>
          <w:szCs w:val="19"/>
          <w:u w:val="single" w:color="auto"/>
          <w:color w:val="auto"/>
        </w:rPr>
        <w:t>Indemnification For Expenses of a Witness.</w:t>
      </w:r>
      <w:r>
        <w:rPr>
          <w:rFonts w:ascii="Arial" w:cs="Arial" w:eastAsia="Arial" w:hAnsi="Arial"/>
          <w:sz w:val="22"/>
          <w:szCs w:val="22"/>
          <w:color w:val="auto"/>
        </w:rPr>
        <w:t xml:space="preserve"> </w:t>
      </w:r>
      <w:r>
        <w:rPr>
          <w:rFonts w:ascii="Arial" w:cs="Arial" w:eastAsia="Arial" w:hAnsi="Arial"/>
          <w:sz w:val="19"/>
          <w:szCs w:val="19"/>
          <w:color w:val="auto"/>
        </w:rPr>
        <w:t>Notwithstanding any other provision of this Agreement, to the</w:t>
      </w:r>
      <w:r>
        <w:rPr>
          <w:rFonts w:ascii="Arial" w:cs="Arial" w:eastAsia="Arial" w:hAnsi="Arial"/>
          <w:sz w:val="22"/>
          <w:szCs w:val="22"/>
          <w:color w:val="auto"/>
        </w:rPr>
        <w:t xml:space="preserve"> </w:t>
      </w:r>
      <w:r>
        <w:rPr>
          <w:rFonts w:ascii="Arial" w:cs="Arial" w:eastAsia="Arial" w:hAnsi="Arial"/>
          <w:sz w:val="19"/>
          <w:szCs w:val="19"/>
          <w:color w:val="auto"/>
        </w:rPr>
        <w:t>fullest extent permitted by applicable law and to the extent that Indemnitee is, by reason of his Corporate Status, a witness or otherwise participates in any Proceeding to which Indemnitee is not a party, he shall be indemnified against all Expenses actually and reasonably incurred by him or on his behalf in connection therewith.</w:t>
      </w:r>
    </w:p>
    <w:p>
      <w:pPr>
        <w:spacing w:after="0" w:line="189"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Additional Indemnification.</w:t>
      </w:r>
    </w:p>
    <w:p>
      <w:pPr>
        <w:spacing w:after="0" w:line="211" w:lineRule="exact"/>
        <w:rPr>
          <w:sz w:val="20"/>
          <w:szCs w:val="20"/>
          <w:color w:val="auto"/>
        </w:rPr>
      </w:pPr>
    </w:p>
    <w:p>
      <w:pPr>
        <w:jc w:val="both"/>
        <w:ind w:firstLine="1735"/>
        <w:spacing w:after="0" w:line="244" w:lineRule="auto"/>
        <w:tabs>
          <w:tab w:leader="none" w:pos="2595"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Notwithstanding any limitation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w:t>
      </w:r>
      <w:r>
        <w:rPr>
          <w:rFonts w:ascii="Arial" w:cs="Arial" w:eastAsia="Arial" w:hAnsi="Arial"/>
          <w:sz w:val="20"/>
          <w:szCs w:val="20"/>
          <w:color w:val="auto"/>
        </w:rPr>
        <w:t>, the Company shall indemnify Indemnitee to the fullest extent permitted by applicable law if Indemnitee, by reason of his Corporate Status, is a party to or threatened to be made a party to any Proceeding (including a Proceeding by or in the right of the Company to procure a judgment in its favor) against all Expenses, judgments, fines and amounts paid in settlement actually and reasonably incurred by Indemnitee in connection with the Proceeding.</w:t>
      </w:r>
    </w:p>
    <w:p>
      <w:pPr>
        <w:spacing w:after="0" w:line="188" w:lineRule="exact"/>
        <w:rPr>
          <w:rFonts w:ascii="Arial" w:cs="Arial" w:eastAsia="Arial" w:hAnsi="Arial"/>
          <w:sz w:val="20"/>
          <w:szCs w:val="20"/>
          <w:color w:val="auto"/>
        </w:rPr>
      </w:pPr>
    </w:p>
    <w:p>
      <w:pPr>
        <w:ind w:firstLine="1735"/>
        <w:spacing w:after="0" w:line="267" w:lineRule="auto"/>
        <w:tabs>
          <w:tab w:leader="none" w:pos="2606"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7(a)</w:t>
      </w:r>
      <w:r>
        <w:rPr>
          <w:rFonts w:ascii="Arial" w:cs="Arial" w:eastAsia="Arial" w:hAnsi="Arial"/>
          <w:sz w:val="20"/>
          <w:szCs w:val="20"/>
          <w:color w:val="auto"/>
        </w:rPr>
        <w:t>, the meaning of the phrase “</w:t>
      </w:r>
      <w:r>
        <w:rPr>
          <w:rFonts w:ascii="Arial" w:cs="Arial" w:eastAsia="Arial" w:hAnsi="Arial"/>
          <w:sz w:val="20"/>
          <w:szCs w:val="20"/>
          <w:b w:val="1"/>
          <w:bCs w:val="1"/>
          <w:color w:val="auto"/>
        </w:rPr>
        <w:t>to the fullest extent permitted by applicable</w:t>
      </w:r>
      <w:r>
        <w:rPr>
          <w:rFonts w:ascii="Arial" w:cs="Arial" w:eastAsia="Arial" w:hAnsi="Arial"/>
          <w:sz w:val="20"/>
          <w:szCs w:val="20"/>
          <w:color w:val="auto"/>
        </w:rPr>
        <w:t xml:space="preserve"> </w:t>
      </w:r>
      <w:r>
        <w:rPr>
          <w:rFonts w:ascii="Arial" w:cs="Arial" w:eastAsia="Arial" w:hAnsi="Arial"/>
          <w:sz w:val="20"/>
          <w:szCs w:val="20"/>
          <w:b w:val="1"/>
          <w:bCs w:val="1"/>
          <w:color w:val="auto"/>
        </w:rPr>
        <w:t>law</w:t>
      </w:r>
      <w:r>
        <w:rPr>
          <w:rFonts w:ascii="Arial" w:cs="Arial" w:eastAsia="Arial" w:hAnsi="Arial"/>
          <w:sz w:val="20"/>
          <w:szCs w:val="20"/>
          <w:color w:val="auto"/>
        </w:rPr>
        <w:t>” shall include, but not be limited to:</w:t>
      </w:r>
    </w:p>
    <w:p>
      <w:pPr>
        <w:spacing w:after="0" w:line="169" w:lineRule="exact"/>
        <w:rPr>
          <w:sz w:val="20"/>
          <w:szCs w:val="20"/>
          <w:color w:val="auto"/>
        </w:rPr>
      </w:pPr>
    </w:p>
    <w:p>
      <w:pPr>
        <w:ind w:firstLine="2600"/>
        <w:spacing w:after="0" w:line="287" w:lineRule="auto"/>
        <w:tabs>
          <w:tab w:leader="none" w:pos="3345" w:val="left"/>
        </w:tabs>
        <w:numPr>
          <w:ilvl w:val="0"/>
          <w:numId w:val="80"/>
        </w:numPr>
        <w:rPr>
          <w:rFonts w:ascii="Arial" w:cs="Arial" w:eastAsia="Arial" w:hAnsi="Arial"/>
          <w:sz w:val="19"/>
          <w:szCs w:val="19"/>
          <w:color w:val="auto"/>
        </w:rPr>
      </w:pPr>
      <w:r>
        <w:rPr>
          <w:rFonts w:ascii="Arial" w:cs="Arial" w:eastAsia="Arial" w:hAnsi="Arial"/>
          <w:sz w:val="19"/>
          <w:szCs w:val="19"/>
          <w:color w:val="auto"/>
        </w:rPr>
        <w:t>to the fullest extent permitted by the provision of the DGCL that authorizes or contemplates additional indemnification by agreement, or the corresponding provision of any amendment to or replacement of the DGCL,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8" w:name="page129"/>
    <w:bookmarkEnd w:id="128"/>
    <w:p>
      <w:pPr>
        <w:ind w:firstLine="2600"/>
        <w:spacing w:after="0" w:line="316" w:lineRule="auto"/>
        <w:tabs>
          <w:tab w:leader="none" w:pos="339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the fullest extent authorized or permitted by any amendments to or replacements of the DGCL adopted after the date of this Agreement that increase the extent to which a corporation may indemnify its officers and directors.</w:t>
      </w:r>
    </w:p>
    <w:p>
      <w:pPr>
        <w:spacing w:after="0" w:line="125" w:lineRule="exact"/>
        <w:rPr>
          <w:sz w:val="20"/>
          <w:szCs w:val="20"/>
          <w:color w:val="auto"/>
        </w:rPr>
      </w:pPr>
    </w:p>
    <w:p>
      <w:pPr>
        <w:ind w:left="880"/>
        <w:spacing w:after="0"/>
        <w:tabs>
          <w:tab w:leader="none" w:pos="2360" w:val="left"/>
          <w:tab w:leader="none" w:pos="346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20"/>
          <w:szCs w:val="20"/>
          <w:u w:val="single" w:color="auto"/>
          <w:color w:val="auto"/>
        </w:rPr>
        <w:t>Exclusions.</w:t>
      </w:r>
      <w:r>
        <w:rPr>
          <w:sz w:val="20"/>
          <w:szCs w:val="20"/>
          <w:color w:val="auto"/>
        </w:rPr>
        <w:tab/>
      </w:r>
      <w:r>
        <w:rPr>
          <w:rFonts w:ascii="Arial" w:cs="Arial" w:eastAsia="Arial" w:hAnsi="Arial"/>
          <w:sz w:val="18"/>
          <w:szCs w:val="18"/>
          <w:color w:val="auto"/>
        </w:rPr>
        <w:t>Notwithstanding any provision in this Agreement, the Company shall not be obligated under this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Agreement to make any indemnity in connection with any claim made against Indemnitee:</w:t>
      </w:r>
    </w:p>
    <w:p>
      <w:pPr>
        <w:spacing w:after="0" w:line="200" w:lineRule="exact"/>
        <w:rPr>
          <w:sz w:val="20"/>
          <w:szCs w:val="20"/>
          <w:color w:val="auto"/>
        </w:rPr>
      </w:pPr>
    </w:p>
    <w:p>
      <w:pPr>
        <w:jc w:val="both"/>
        <w:ind w:firstLine="1735"/>
        <w:spacing w:after="0" w:line="257" w:lineRule="auto"/>
        <w:tabs>
          <w:tab w:leader="none" w:pos="2595"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for any Proceedings with respect to which final judgment is rendered against Indemnitee for payment of (i) an accounting of profits made from the purchase and sale (or sale and purchase) by Indemnitee of securities of the Company within the meaning of Section 16(b) of the Exchange Act (as defined in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hereof) or similar provisions of state statutory law or common law, or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9"/>
          <w:szCs w:val="19"/>
          <w:b w:val="1"/>
          <w:bCs w:val="1"/>
          <w:color w:val="auto"/>
        </w:rPr>
        <w:t>Sarbanes-Oxley Act</w:t>
      </w:r>
      <w:r>
        <w:rPr>
          <w:rFonts w:ascii="Arial" w:cs="Arial" w:eastAsia="Arial" w:hAnsi="Arial"/>
          <w:sz w:val="19"/>
          <w:szCs w:val="19"/>
          <w:color w:val="auto"/>
        </w:rPr>
        <w:t>”), or the payment to the Company of profits arising from the purchase and sale by Indemnitee of securities in violation of Section 306 of the Sarbanes-Oxley Act), or</w:t>
      </w:r>
    </w:p>
    <w:p>
      <w:pPr>
        <w:spacing w:after="0" w:line="180" w:lineRule="exact"/>
        <w:rPr>
          <w:rFonts w:ascii="Arial" w:cs="Arial" w:eastAsia="Arial" w:hAnsi="Arial"/>
          <w:sz w:val="19"/>
          <w:szCs w:val="19"/>
          <w:color w:val="auto"/>
        </w:rPr>
      </w:pPr>
    </w:p>
    <w:p>
      <w:pPr>
        <w:jc w:val="both"/>
        <w:ind w:firstLine="1735"/>
        <w:spacing w:after="0" w:line="246" w:lineRule="auto"/>
        <w:tabs>
          <w:tab w:leader="none" w:pos="2606"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any Proceeding involving the enforcement of non-compete and/or non-disclosure agreements or the non-compete and/or non-disclosure provisions of employment, consulting or similar agreements the Indemnitee may be a party to with the Company or any subsidiary of the Company or any other applicable foreign or domestic corporation, partnership, joint venture, trust or other enterprise, if any; or</w:t>
      </w:r>
    </w:p>
    <w:p>
      <w:pPr>
        <w:spacing w:after="0" w:line="191" w:lineRule="exact"/>
        <w:rPr>
          <w:rFonts w:ascii="Arial" w:cs="Arial" w:eastAsia="Arial" w:hAnsi="Arial"/>
          <w:sz w:val="20"/>
          <w:szCs w:val="20"/>
          <w:color w:val="auto"/>
        </w:rPr>
      </w:pPr>
    </w:p>
    <w:p>
      <w:pPr>
        <w:jc w:val="both"/>
        <w:ind w:firstLine="1735"/>
        <w:spacing w:after="0" w:line="244" w:lineRule="auto"/>
        <w:tabs>
          <w:tab w:leader="none" w:pos="2595"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13(d)</w:t>
      </w:r>
      <w:r>
        <w:rPr>
          <w:rFonts w:ascii="Arial" w:cs="Arial" w:eastAsia="Arial" w:hAnsi="Arial"/>
          <w:sz w:val="20"/>
          <w:szCs w:val="20"/>
          <w:color w:val="auto"/>
        </w:rPr>
        <w:t xml:space="preserve">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190"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19"/>
          <w:szCs w:val="19"/>
          <w:u w:val="single" w:color="auto"/>
          <w:color w:val="auto"/>
        </w:rPr>
        <w:t>Advances of Expenses.</w:t>
      </w:r>
      <w:r>
        <w:rPr>
          <w:rFonts w:ascii="Arial" w:cs="Arial" w:eastAsia="Arial" w:hAnsi="Arial"/>
          <w:sz w:val="22"/>
          <w:szCs w:val="22"/>
          <w:color w:val="auto"/>
        </w:rPr>
        <w:t xml:space="preserve"> </w:t>
      </w:r>
      <w:r>
        <w:rPr>
          <w:rFonts w:ascii="Arial" w:cs="Arial" w:eastAsia="Arial" w:hAnsi="Arial"/>
          <w:sz w:val="19"/>
          <w:szCs w:val="19"/>
          <w:color w:val="auto"/>
        </w:rPr>
        <w:t>The Company shall advance, to the extent not prohibited by law, the Expenses</w:t>
      </w:r>
      <w:r>
        <w:rPr>
          <w:rFonts w:ascii="Arial" w:cs="Arial" w:eastAsia="Arial" w:hAnsi="Arial"/>
          <w:sz w:val="22"/>
          <w:szCs w:val="22"/>
          <w:color w:val="auto"/>
        </w:rPr>
        <w:t xml:space="preserve"> </w:t>
      </w:r>
      <w:r>
        <w:rPr>
          <w:rFonts w:ascii="Arial" w:cs="Arial" w:eastAsia="Arial" w:hAnsi="Arial"/>
          <w:sz w:val="19"/>
          <w:szCs w:val="19"/>
          <w:color w:val="auto"/>
        </w:rPr>
        <w:t xml:space="preserve">incurred by Indemnitee by reason of his Corporate Status in connection with any Proceeding, and such advancement shall be made within thirty (30) days after receipt by the Corporation of (i) a statement or statements from Indemnitee requesting such advance or advances from time to time, whether prior to or after final disposition of any Proceeding, and (ii) an undertaking by or on behalf of Indemnitee to repay such amount or amounts, only if, and to the extent that, it shall ultimately be determined that Indemnitee is not entitled to be indemnified by the Corporation as authorized by this Agreement or otherwise. Such undertaking shall be accepted without reference to the financial ability of Indemnitee to make such repayment. Advances shall be unsecured and interest free. Advances shall include any and all reasonable Expenses incurred pursuing an action to enforce this right of advancement, including Expenses incurred preparing and forwarding statements to the Company to support the advances claimed.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shall not apply to any claim made by Indemnitee for which indemnity is excluded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or to any Proceeding for which the Company has assumed the defense thereof in accordance with </w:t>
      </w:r>
      <w:r>
        <w:rPr>
          <w:rFonts w:ascii="Arial" w:cs="Arial" w:eastAsia="Arial" w:hAnsi="Arial"/>
          <w:sz w:val="19"/>
          <w:szCs w:val="19"/>
          <w:u w:val="single" w:color="auto"/>
          <w:color w:val="auto"/>
        </w:rPr>
        <w:t>Section 10(b)</w:t>
      </w:r>
      <w:r>
        <w:rPr>
          <w:rFonts w:ascii="Arial" w:cs="Arial" w:eastAsia="Arial" w:hAnsi="Arial"/>
          <w:sz w:val="19"/>
          <w:szCs w:val="19"/>
          <w:color w:val="auto"/>
        </w:rPr>
        <w:t xml:space="preserve"> of this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9" w:name="page130"/>
    <w:bookmarkEnd w:id="129"/>
    <w:p>
      <w:pPr>
        <w:ind w:left="880"/>
        <w:spacing w:after="0"/>
        <w:tabs>
          <w:tab w:leader="none" w:pos="248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8"/>
          <w:szCs w:val="18"/>
          <w:u w:val="single" w:color="auto"/>
          <w:color w:val="auto"/>
        </w:rPr>
        <w:t>Procedure for Notification and Defense of Claim.</w:t>
      </w:r>
    </w:p>
    <w:p>
      <w:pPr>
        <w:spacing w:after="0" w:line="211" w:lineRule="exact"/>
        <w:rPr>
          <w:sz w:val="20"/>
          <w:szCs w:val="20"/>
          <w:color w:val="auto"/>
        </w:rPr>
      </w:pPr>
    </w:p>
    <w:p>
      <w:pPr>
        <w:jc w:val="both"/>
        <w:ind w:firstLine="1735"/>
        <w:spacing w:after="0" w:line="255" w:lineRule="auto"/>
        <w:tabs>
          <w:tab w:leader="none" w:pos="2595" w:val="left"/>
        </w:tabs>
        <w:numPr>
          <w:ilvl w:val="0"/>
          <w:numId w:val="83"/>
        </w:numPr>
        <w:rPr>
          <w:rFonts w:ascii="Arial" w:cs="Arial" w:eastAsia="Arial" w:hAnsi="Arial"/>
          <w:sz w:val="19"/>
          <w:szCs w:val="19"/>
          <w:color w:val="auto"/>
        </w:rPr>
      </w:pPr>
      <w:r>
        <w:rPr>
          <w:rFonts w:ascii="Arial" w:cs="Arial" w:eastAsia="Arial" w:hAnsi="Arial"/>
          <w:sz w:val="19"/>
          <w:szCs w:val="19"/>
          <w:color w:val="auto"/>
        </w:rPr>
        <w:t>Indemnitee shall notify the Company in writing of any matter with respect to which Indemnitee intends to seek indemnification or advancement of Expenses hereunder as soon as reasonably practicable following the receipt by Indemnitee of written notice thereof. The written notification to the Company shall include a description of the nature of the Proceeding and the facts underlying the Proceeding.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action, suit or proceeding. The omission by Indemnitee to notify the Company hereunder will not relieve the Company from any liability which it may have to Indemnitee hereunder or otherwise than under this Agreement unless, and to the extent that, such failure actually and materially prejudices the interests of the Company, and any delay in so notifying the Company shall not constitute a waiver by Indemnitee of any rights under this Agreement. The Secretary of the Company shall, promptly upon receipt of such a request for indemnification, advise the Board in writing that Indemnitee has requested indemnification.</w:t>
      </w:r>
    </w:p>
    <w:p>
      <w:pPr>
        <w:spacing w:after="0" w:line="186" w:lineRule="exact"/>
        <w:rPr>
          <w:rFonts w:ascii="Arial" w:cs="Arial" w:eastAsia="Arial" w:hAnsi="Arial"/>
          <w:sz w:val="19"/>
          <w:szCs w:val="19"/>
          <w:color w:val="auto"/>
        </w:rPr>
      </w:pPr>
    </w:p>
    <w:p>
      <w:pPr>
        <w:jc w:val="both"/>
        <w:ind w:firstLine="1735"/>
        <w:spacing w:after="0" w:line="255" w:lineRule="auto"/>
        <w:tabs>
          <w:tab w:leader="none" w:pos="2606" w:val="left"/>
        </w:tabs>
        <w:numPr>
          <w:ilvl w:val="0"/>
          <w:numId w:val="83"/>
        </w:numPr>
        <w:rPr>
          <w:rFonts w:ascii="Arial" w:cs="Arial" w:eastAsia="Arial" w:hAnsi="Arial"/>
          <w:sz w:val="19"/>
          <w:szCs w:val="19"/>
          <w:color w:val="auto"/>
        </w:rPr>
      </w:pPr>
      <w:r>
        <w:rPr>
          <w:rFonts w:ascii="Arial" w:cs="Arial" w:eastAsia="Arial" w:hAnsi="Arial"/>
          <w:sz w:val="19"/>
          <w:szCs w:val="19"/>
          <w:color w:val="auto"/>
        </w:rPr>
        <w:t>In the event the Company shall be obligated to pay the Expenses of Indemnitee with respect to a Proceeding, as provided in this Agreement, the Company shall be entitled to assume the defense of such Proceeding, with counsel reasonably acceptable to Indemnitee, upon delivery of written notice of its election to do so. After delivery of such notice, approval of such counsel by Indemnitee and retention of such counsel by the Company, the Company will not be liable to Indemnitee under this Agreement for any fees of counsel subsequently incurred by Indemnitee with respect to the same Proceeding, provided that (1) Indemnitee shall have the right to employ Indemnitee’s own counsel in such Proceeding at Indemnitee’s expense and (2) if (i) the employment of counsel by Indemnitee has been previously authorized in writing by the Company, (ii) counsel to the Company or Indemnitee shall have reasonably concluded that there may be a conflict of interest or position, or reasonably believes that a conflict is likely to arise, on any significant issue between the Company and the Indemnitee in the conduct of such defense or (iii) the Company shall not, in fact, have employed counsel to assume the defense of such Proceeding, then the fees and expenses of Indemnitee’s counsel shall be at the expense of the Company, except as otherwise expressly provided by this Agreement.</w:t>
      </w:r>
    </w:p>
    <w:p>
      <w:pPr>
        <w:spacing w:after="0" w:line="186" w:lineRule="exact"/>
        <w:rPr>
          <w:rFonts w:ascii="Arial" w:cs="Arial" w:eastAsia="Arial" w:hAnsi="Arial"/>
          <w:sz w:val="19"/>
          <w:szCs w:val="19"/>
          <w:color w:val="auto"/>
        </w:rPr>
      </w:pPr>
    </w:p>
    <w:p>
      <w:pPr>
        <w:ind w:left="2600" w:hanging="865"/>
        <w:spacing w:after="0"/>
        <w:tabs>
          <w:tab w:leader="none" w:pos="260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Company will be entitled to participate in the Proceeding at its own expense.</w:t>
      </w:r>
    </w:p>
    <w:p>
      <w:pPr>
        <w:spacing w:after="0" w:line="211" w:lineRule="exact"/>
        <w:rPr>
          <w:sz w:val="20"/>
          <w:szCs w:val="20"/>
          <w:color w:val="auto"/>
        </w:rPr>
      </w:pPr>
    </w:p>
    <w:p>
      <w:pPr>
        <w:ind w:left="880"/>
        <w:spacing w:after="0"/>
        <w:tabs>
          <w:tab w:leader="none" w:pos="246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8"/>
          <w:szCs w:val="18"/>
          <w:u w:val="single" w:color="auto"/>
          <w:color w:val="auto"/>
        </w:rPr>
        <w:t>Procedure Upon Application for Indemnification.</w:t>
      </w:r>
    </w:p>
    <w:p>
      <w:pPr>
        <w:spacing w:after="0" w:line="211" w:lineRule="exact"/>
        <w:rPr>
          <w:sz w:val="20"/>
          <w:szCs w:val="20"/>
          <w:color w:val="auto"/>
        </w:rPr>
      </w:pPr>
    </w:p>
    <w:p>
      <w:pPr>
        <w:jc w:val="both"/>
        <w:ind w:firstLine="1735"/>
        <w:spacing w:after="0" w:line="271" w:lineRule="auto"/>
        <w:tabs>
          <w:tab w:leader="none" w:pos="25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Upon written request by Indemnitee for indemnification pursuant to </w:t>
      </w:r>
      <w:r>
        <w:rPr>
          <w:rFonts w:ascii="Arial" w:cs="Arial" w:eastAsia="Arial" w:hAnsi="Arial"/>
          <w:sz w:val="18"/>
          <w:szCs w:val="18"/>
          <w:u w:val="single" w:color="auto"/>
          <w:color w:val="auto"/>
        </w:rPr>
        <w:t>Section 10(a)</w:t>
      </w:r>
      <w:r>
        <w:rPr>
          <w:rFonts w:ascii="Arial" w:cs="Arial" w:eastAsia="Arial" w:hAnsi="Arial"/>
          <w:sz w:val="18"/>
          <w:szCs w:val="18"/>
          <w:color w:val="auto"/>
        </w:rPr>
        <w:t>, a determination, if required by applicable law, with respect to Indemnitee’s entitlement thereto shall be made in the specific case: (i) if a Change in Control shall have occurred after the date of this Agreement, by Independent Counsel in a written opinion to the Board, a copy of which shall be delivered to Indemnitee; or (ii) if a Change in Control shall not have occurred after the date of this Agreement, (A) by a majority vote of the Disinterested Directors, even though less than a quorum of the Board, (B) by a committee of Disinterested Directors designated by a majority vote of the Disinterested Directors, even though less than a quorum of the Board, (C) if there are no such Disinterested Directors or, if such Disinterested Directors so direct, by Independent Counsel in a written opinion to the Board, a copy of which shall be delivered to Indemnitee or (D) if so directed by the Disinterested Directors, by the stockholders of the Company; and, if it is so determined that Indemnitee is entitled to indemnification, payment to Indemnitee shall be made within ten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0" w:name="page131"/>
    <w:bookmarkEnd w:id="130"/>
    <w:p>
      <w:pPr>
        <w:jc w:val="both"/>
        <w:spacing w:after="0" w:line="282" w:lineRule="auto"/>
        <w:rPr>
          <w:sz w:val="20"/>
          <w:szCs w:val="20"/>
          <w:color w:val="auto"/>
        </w:rPr>
      </w:pPr>
      <w:r>
        <w:rPr>
          <w:rFonts w:ascii="Arial" w:cs="Arial" w:eastAsia="Arial" w:hAnsi="Arial"/>
          <w:sz w:val="18"/>
          <w:szCs w:val="18"/>
          <w:color w:val="auto"/>
        </w:rPr>
        <w:t>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61" w:lineRule="exact"/>
        <w:rPr>
          <w:sz w:val="20"/>
          <w:szCs w:val="20"/>
          <w:color w:val="auto"/>
        </w:rPr>
      </w:pPr>
    </w:p>
    <w:p>
      <w:pPr>
        <w:jc w:val="both"/>
        <w:ind w:firstLine="1735"/>
        <w:spacing w:after="0" w:line="268" w:lineRule="auto"/>
        <w:tabs>
          <w:tab w:leader="none" w:pos="2606"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In the event the determination of entitlement to indemnification is to be made by Independent Counsel pursuant to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hereof, the Independent Counsel shall be selected as provided in this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If a Change in Control shall not have occurred after the date of this Agreement, the Independent Counsel shall be selected by the Board, and the Company shall give written notice to Indemnitee advising him of the identity of the Independent Counsel so selected. If a Change in Control shall have occurred after the date of this Agreement,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objection may be asserted only on the ground that the Independent Counsel so selected does not meet the requirements of “Independent Counsel”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twenty (20) days after the submission by Indemnitee or the Company, as the case may be, of a written objection, no Independent Counsel shall have been selected and not objected to, either the Company or Indemnitee may petition a court of competent jurisdiction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hereof. Upon the due commencement of any judicial proceeding or arbitration pursuant to </w:t>
      </w:r>
      <w:r>
        <w:rPr>
          <w:rFonts w:ascii="Arial" w:cs="Arial" w:eastAsia="Arial" w:hAnsi="Arial"/>
          <w:sz w:val="18"/>
          <w:szCs w:val="18"/>
          <w:u w:val="single" w:color="auto"/>
          <w:color w:val="auto"/>
        </w:rPr>
        <w:t>Section 13(a)</w:t>
      </w:r>
      <w:r>
        <w:rPr>
          <w:rFonts w:ascii="Arial" w:cs="Arial" w:eastAsia="Arial" w:hAnsi="Arial"/>
          <w:sz w:val="18"/>
          <w:szCs w:val="18"/>
          <w:color w:val="auto"/>
        </w:rPr>
        <w:t xml:space="preserve"> of this Agreement, Independent Counsel shall be discharged and relieved of any further responsibility in such capacity (subject to the applicable standards of professional conduct then prevailing).</w:t>
      </w:r>
    </w:p>
    <w:p>
      <w:pPr>
        <w:spacing w:after="0" w:line="177"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6"/>
          <w:szCs w:val="16"/>
          <w:u w:val="single" w:color="auto"/>
          <w:color w:val="auto"/>
        </w:rPr>
        <w:t>Presumptions and Effect of Certain Proceedings.</w:t>
      </w:r>
    </w:p>
    <w:p>
      <w:pPr>
        <w:spacing w:after="0" w:line="211" w:lineRule="exact"/>
        <w:rPr>
          <w:sz w:val="20"/>
          <w:szCs w:val="20"/>
          <w:color w:val="auto"/>
        </w:rPr>
      </w:pPr>
    </w:p>
    <w:p>
      <w:pPr>
        <w:jc w:val="both"/>
        <w:ind w:firstLine="1735"/>
        <w:spacing w:after="0" w:line="272" w:lineRule="auto"/>
        <w:tabs>
          <w:tab w:leader="none" w:pos="25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In making a determination with respect to entitlement to indemnification hereunder, the person or persons or entity making such determination shall, to the fullest extent not prohibited by law, presume that Indemnitee is entitled to indemnification under this Agreement if Indemnitee has submitted a request for indemnification in accordance with </w:t>
      </w:r>
      <w:r>
        <w:rPr>
          <w:rFonts w:ascii="Arial" w:cs="Arial" w:eastAsia="Arial" w:hAnsi="Arial"/>
          <w:sz w:val="18"/>
          <w:szCs w:val="18"/>
          <w:u w:val="single" w:color="auto"/>
          <w:color w:val="auto"/>
        </w:rPr>
        <w:t>Section 10(a)</w:t>
      </w:r>
      <w:r>
        <w:rPr>
          <w:rFonts w:ascii="Arial" w:cs="Arial" w:eastAsia="Arial" w:hAnsi="Arial"/>
          <w:sz w:val="18"/>
          <w:szCs w:val="18"/>
          <w:color w:val="auto"/>
        </w:rPr>
        <w:t xml:space="preserve">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1" w:name="page132"/>
    <w:bookmarkEnd w:id="131"/>
    <w:p>
      <w:pPr>
        <w:jc w:val="both"/>
        <w:ind w:firstLine="1735"/>
        <w:spacing w:after="0" w:line="269" w:lineRule="auto"/>
        <w:tabs>
          <w:tab w:leader="none" w:pos="2606"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13(e)</w:t>
      </w:r>
      <w:r>
        <w:rPr>
          <w:rFonts w:ascii="Arial" w:cs="Arial" w:eastAsia="Arial" w:hAnsi="Arial"/>
          <w:sz w:val="18"/>
          <w:szCs w:val="18"/>
          <w:color w:val="auto"/>
        </w:rPr>
        <w:t xml:space="preserve">, if the person, persons or entity empowered or selected under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Agreement to determine whether Indemnitee is entitled to indemnification shall not have made a determination within sixty (60)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w:t>
      </w:r>
      <w:r>
        <w:rPr>
          <w:rFonts w:ascii="Arial" w:cs="Arial" w:eastAsia="Arial" w:hAnsi="Arial"/>
          <w:sz w:val="18"/>
          <w:szCs w:val="18"/>
          <w:u w:val="single" w:color="auto"/>
          <w:color w:val="auto"/>
        </w:rPr>
        <w:t>Section 12(b)</w:t>
      </w:r>
      <w:r>
        <w:rPr>
          <w:rFonts w:ascii="Arial" w:cs="Arial" w:eastAsia="Arial" w:hAnsi="Arial"/>
          <w:sz w:val="18"/>
          <w:szCs w:val="18"/>
          <w:color w:val="auto"/>
        </w:rPr>
        <w:t xml:space="preserve"> shall not apply (i) if the determination of entitlement to indemnification is to be made by the stockholders pursuant to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of this Agreement and if (A)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of this Agreement.</w:t>
      </w:r>
    </w:p>
    <w:p>
      <w:pPr>
        <w:spacing w:after="0" w:line="176" w:lineRule="exact"/>
        <w:rPr>
          <w:rFonts w:ascii="Arial" w:cs="Arial" w:eastAsia="Arial" w:hAnsi="Arial"/>
          <w:sz w:val="18"/>
          <w:szCs w:val="18"/>
          <w:color w:val="auto"/>
        </w:rPr>
      </w:pPr>
    </w:p>
    <w:p>
      <w:pPr>
        <w:jc w:val="both"/>
        <w:ind w:firstLine="1735"/>
        <w:spacing w:after="0" w:line="260" w:lineRule="auto"/>
        <w:tabs>
          <w:tab w:leader="none" w:pos="2595"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The termination of any Proceeding or of any claim, issue or matter therein, by judgment, order, settlement or conviction, or upon a plea of </w:t>
      </w:r>
      <w:r>
        <w:rPr>
          <w:rFonts w:ascii="Arial" w:cs="Arial" w:eastAsia="Arial" w:hAnsi="Arial"/>
          <w:sz w:val="19"/>
          <w:szCs w:val="19"/>
          <w:u w:val="single" w:color="auto"/>
          <w:color w:val="auto"/>
        </w:rPr>
        <w:t>nolo contendere</w:t>
      </w:r>
      <w:r>
        <w:rPr>
          <w:rFonts w:ascii="Arial" w:cs="Arial" w:eastAsia="Arial" w:hAnsi="Arial"/>
          <w:sz w:val="19"/>
          <w:szCs w:val="19"/>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180" w:lineRule="exact"/>
        <w:rPr>
          <w:rFonts w:ascii="Arial" w:cs="Arial" w:eastAsia="Arial" w:hAnsi="Arial"/>
          <w:sz w:val="19"/>
          <w:szCs w:val="19"/>
          <w:color w:val="auto"/>
        </w:rPr>
      </w:pPr>
    </w:p>
    <w:p>
      <w:pPr>
        <w:jc w:val="both"/>
        <w:ind w:firstLine="1735"/>
        <w:spacing w:after="0" w:line="255" w:lineRule="auto"/>
        <w:tabs>
          <w:tab w:leader="none" w:pos="2606"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Reliance as Safe Harbor</w:t>
      </w:r>
      <w:r>
        <w:rPr>
          <w:rFonts w:ascii="Arial" w:cs="Arial" w:eastAsia="Arial" w:hAnsi="Arial"/>
          <w:sz w:val="19"/>
          <w:szCs w:val="19"/>
          <w:color w:val="auto"/>
        </w:rPr>
        <w:t>. For purposes of any determination of good faith, Indemnitee shall be deemed to have acted in good faith if Indemnitee’s action is based on the records or books of account of the Company or other corporation, limited liability company, partnership, joint venture, trust employee benefit plan or other enterprise of which Indemnitee was serving as a director, officer, employee, agent or fiduciary, including financial statements, or on information supplied to Indemnitee by the officers of the Company or other corporation, limited liability company, partnership, joint venture, trust employee benefit plan or other enterprise of which Indemnitee was serving as a director, officer, employee, agent or fiduciary in the course of their duties, or on the advice of legal counsel for the enterprise or on information or records given or reports made to the Company or other corporation, limited liability company, partnership, joint venture, trust employee benefit plan or other enterprise of which Indemnitee was serving as a director, officer, employee, agent or fiduciary by an independent certified public accountant or by an appraiser or other expert selected with the reasonable care by the Company or other corporation, limited liability company, partnership, joint venture, trust employee benefit plan or other enterprise of which Indemnitee was serving as a director, officer, employee, agent or fiduciary. The provisions of this Section 12(d) shall not be deemed to be exclusive or to limit in any way the other circumstances in which the Indemnitee may be deemed to have met the applicable standard of conduct set forth in this Agreement.</w:t>
      </w:r>
    </w:p>
    <w:p>
      <w:pPr>
        <w:spacing w:after="0" w:line="181" w:lineRule="exact"/>
        <w:rPr>
          <w:rFonts w:ascii="Arial" w:cs="Arial" w:eastAsia="Arial" w:hAnsi="Arial"/>
          <w:sz w:val="19"/>
          <w:szCs w:val="19"/>
          <w:color w:val="auto"/>
        </w:rPr>
      </w:pPr>
    </w:p>
    <w:p>
      <w:pPr>
        <w:jc w:val="both"/>
        <w:ind w:firstLine="1735"/>
        <w:spacing w:after="0" w:line="250" w:lineRule="auto"/>
        <w:tabs>
          <w:tab w:leader="none" w:pos="2595"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Actions of Others</w:t>
      </w:r>
      <w:r>
        <w:rPr>
          <w:rFonts w:ascii="Arial" w:cs="Arial" w:eastAsia="Arial" w:hAnsi="Arial"/>
          <w:sz w:val="20"/>
          <w:szCs w:val="20"/>
          <w:color w:val="auto"/>
        </w:rPr>
        <w:t>. The knowledge and/or actions, or failure to act, of any other director, officer, agent or employee of the Company or other corporation, limited liability company, partnership, joint venture, trust employee benefit plan or other enterprise of which Indemnitee was serving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2" w:name="page133"/>
    <w:bookmarkEnd w:id="132"/>
    <w:p>
      <w:pPr>
        <w:ind w:right="20"/>
        <w:spacing w:after="0" w:line="260" w:lineRule="auto"/>
        <w:rPr>
          <w:sz w:val="20"/>
          <w:szCs w:val="20"/>
          <w:color w:val="auto"/>
        </w:rPr>
      </w:pPr>
      <w:r>
        <w:rPr>
          <w:rFonts w:ascii="Arial" w:cs="Arial" w:eastAsia="Arial" w:hAnsi="Arial"/>
          <w:sz w:val="20"/>
          <w:szCs w:val="20"/>
          <w:color w:val="auto"/>
        </w:rPr>
        <w:t>as a director, officer, employee, agent or fiduciary shall not be imputed to Indemnitee for purposes of determining the right to indemnification under this Agreement.</w:t>
      </w:r>
    </w:p>
    <w:p>
      <w:pPr>
        <w:spacing w:after="0" w:line="17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6"/>
          <w:szCs w:val="16"/>
          <w:u w:val="single" w:color="auto"/>
          <w:color w:val="auto"/>
        </w:rPr>
        <w:t>Remedies of Indemnitee.</w:t>
      </w:r>
    </w:p>
    <w:p>
      <w:pPr>
        <w:spacing w:after="0" w:line="211" w:lineRule="exact"/>
        <w:rPr>
          <w:sz w:val="20"/>
          <w:szCs w:val="20"/>
          <w:color w:val="auto"/>
        </w:rPr>
      </w:pPr>
    </w:p>
    <w:p>
      <w:pPr>
        <w:jc w:val="both"/>
        <w:ind w:firstLine="1735"/>
        <w:spacing w:after="0" w:line="269" w:lineRule="auto"/>
        <w:tabs>
          <w:tab w:leader="none" w:pos="25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13(e)</w:t>
      </w:r>
      <w:r>
        <w:rPr>
          <w:rFonts w:ascii="Arial" w:cs="Arial" w:eastAsia="Arial" w:hAnsi="Arial"/>
          <w:sz w:val="18"/>
          <w:szCs w:val="18"/>
          <w:color w:val="auto"/>
        </w:rPr>
        <w:t xml:space="preserve">, in the event that (i) a determination is made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Agreement that Indemnitee is not entitled to indemnification under this Agreement, (ii) advancement of Expenses is not timely made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this Agreement, (iii) no determination of entitlement to indemnification shall have been made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11(a)</w:t>
      </w:r>
      <w:r>
        <w:rPr>
          <w:rFonts w:ascii="Arial" w:cs="Arial" w:eastAsia="Arial" w:hAnsi="Arial"/>
          <w:sz w:val="18"/>
          <w:szCs w:val="18"/>
          <w:color w:val="auto"/>
        </w:rPr>
        <w:t xml:space="preserve"> of this Agreement within ninety (90) days after receipt by the Company of the request for indemnification, (iv) payment of indemnification is not made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the last sentence of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of this Agreement within ten (10) days after receipt by the Company of a written request therefor, (v) payment of indemnification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is not made within ten (10)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a court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w:t>
      </w:r>
      <w:r>
        <w:rPr>
          <w:rFonts w:ascii="Arial" w:cs="Arial" w:eastAsia="Arial" w:hAnsi="Arial"/>
          <w:sz w:val="18"/>
          <w:szCs w:val="18"/>
          <w:u w:val="single" w:color="auto"/>
          <w:color w:val="auto"/>
        </w:rPr>
        <w:t>Section 13(a)</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clause shall not apply in respect of a proceeding brought by Indemnitee to enforce his rights under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The Company shall not oppose Indemnitee’s right to seek any such adjudication or award in arbitration.</w:t>
      </w:r>
    </w:p>
    <w:p>
      <w:pPr>
        <w:spacing w:after="0" w:line="176" w:lineRule="exact"/>
        <w:rPr>
          <w:rFonts w:ascii="Arial" w:cs="Arial" w:eastAsia="Arial" w:hAnsi="Arial"/>
          <w:sz w:val="18"/>
          <w:szCs w:val="18"/>
          <w:color w:val="auto"/>
        </w:rPr>
      </w:pPr>
    </w:p>
    <w:p>
      <w:pPr>
        <w:jc w:val="both"/>
        <w:ind w:firstLine="1735"/>
        <w:spacing w:after="0" w:line="260" w:lineRule="auto"/>
        <w:tabs>
          <w:tab w:leader="none" w:pos="2606"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In the event that a determination shall have been made pursuant to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of this Agreement that Indemnitee is not entitled to indemnification, any judicial proceeding or arbitration commenced pursuant to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shall be conducted in all respects as a </w:t>
      </w:r>
      <w:r>
        <w:rPr>
          <w:rFonts w:ascii="Arial" w:cs="Arial" w:eastAsia="Arial" w:hAnsi="Arial"/>
          <w:sz w:val="19"/>
          <w:szCs w:val="19"/>
          <w:u w:val="single" w:color="auto"/>
          <w:color w:val="auto"/>
        </w:rPr>
        <w:t>de novo</w:t>
      </w:r>
      <w:r>
        <w:rPr>
          <w:rFonts w:ascii="Arial" w:cs="Arial" w:eastAsia="Arial" w:hAnsi="Arial"/>
          <w:sz w:val="19"/>
          <w:szCs w:val="19"/>
          <w:color w:val="auto"/>
        </w:rPr>
        <w:t xml:space="preserve"> trial, or arbitration, on the merits and Indemnitee shall not be prejudiced by reason of that adverse determination. In any judicial proceeding or arbitration commenced pursuant to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the Company shall have the burden of proving Indemnitee is not entitled to indemnification or advancement of Expenses, as the case may be.</w:t>
      </w:r>
    </w:p>
    <w:p>
      <w:pPr>
        <w:spacing w:after="0" w:line="180" w:lineRule="exact"/>
        <w:rPr>
          <w:rFonts w:ascii="Arial" w:cs="Arial" w:eastAsia="Arial" w:hAnsi="Arial"/>
          <w:sz w:val="19"/>
          <w:szCs w:val="19"/>
          <w:color w:val="auto"/>
        </w:rPr>
      </w:pPr>
    </w:p>
    <w:p>
      <w:pPr>
        <w:jc w:val="both"/>
        <w:ind w:firstLine="1735"/>
        <w:spacing w:after="0" w:line="244" w:lineRule="auto"/>
        <w:tabs>
          <w:tab w:leader="none" w:pos="2595"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If a determination shall have been made pursuant to </w:t>
      </w:r>
      <w:r>
        <w:rPr>
          <w:rFonts w:ascii="Arial" w:cs="Arial" w:eastAsia="Arial" w:hAnsi="Arial"/>
          <w:sz w:val="20"/>
          <w:szCs w:val="20"/>
          <w:u w:val="single" w:color="auto"/>
          <w:color w:val="auto"/>
        </w:rPr>
        <w:t>Section 11(a)</w:t>
      </w:r>
      <w:r>
        <w:rPr>
          <w:rFonts w:ascii="Arial" w:cs="Arial" w:eastAsia="Arial" w:hAnsi="Arial"/>
          <w:sz w:val="20"/>
          <w:szCs w:val="20"/>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20"/>
          <w:szCs w:val="20"/>
          <w:u w:val="single" w:color="auto"/>
          <w:color w:val="auto"/>
        </w:rPr>
        <w:t>Section 13</w:t>
      </w:r>
      <w:r>
        <w:rPr>
          <w:rFonts w:ascii="Arial" w:cs="Arial" w:eastAsia="Arial" w:hAnsi="Arial"/>
          <w:sz w:val="20"/>
          <w:szCs w:val="20"/>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94" w:lineRule="exact"/>
        <w:rPr>
          <w:rFonts w:ascii="Arial" w:cs="Arial" w:eastAsia="Arial" w:hAnsi="Arial"/>
          <w:sz w:val="20"/>
          <w:szCs w:val="20"/>
          <w:color w:val="auto"/>
        </w:rPr>
      </w:pPr>
    </w:p>
    <w:p>
      <w:pPr>
        <w:jc w:val="both"/>
        <w:ind w:firstLine="1735"/>
        <w:spacing w:after="0" w:line="257" w:lineRule="auto"/>
        <w:tabs>
          <w:tab w:leader="none" w:pos="2606"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The Company shall, to the fullest extent not prohibited by law, be precluded from asserting in any judicial proceeding or arbitration commenced pursuant to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that the procedures and presumptions of this Agreement are not valid, binding and enforceable and shall stipulate in any such court or before any such arbitrator that the Company is bound by all the provisions of this Agreement. It is the intent of the Company that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indemnify Indemnitee against any and all Expenses and, if requested by Indemnitee, shall (within ten (10) days after receipt by the Company of a written request therefor) advance, to the extent not prohibited by law,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3" w:name="page134"/>
    <w:bookmarkEnd w:id="133"/>
    <w:p>
      <w:pPr>
        <w:jc w:val="both"/>
        <w:spacing w:after="0" w:line="246" w:lineRule="auto"/>
        <w:rPr>
          <w:sz w:val="20"/>
          <w:szCs w:val="20"/>
          <w:color w:val="auto"/>
        </w:rPr>
      </w:pPr>
      <w:r>
        <w:rPr>
          <w:rFonts w:ascii="Arial" w:cs="Arial" w:eastAsia="Arial" w:hAnsi="Arial"/>
          <w:sz w:val="20"/>
          <w:szCs w:val="20"/>
          <w:color w:val="auto"/>
        </w:rPr>
        <w:t>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91" w:lineRule="exact"/>
        <w:rPr>
          <w:sz w:val="20"/>
          <w:szCs w:val="20"/>
          <w:color w:val="auto"/>
        </w:rPr>
      </w:pPr>
    </w:p>
    <w:p>
      <w:pPr>
        <w:ind w:firstLine="1735"/>
        <w:spacing w:after="0" w:line="260" w:lineRule="auto"/>
        <w:tabs>
          <w:tab w:leader="none" w:pos="2595" w:val="left"/>
        </w:tabs>
        <w:numPr>
          <w:ilvl w:val="0"/>
          <w:numId w:val="89"/>
        </w:numPr>
        <w:rPr>
          <w:rFonts w:ascii="Arial" w:cs="Arial" w:eastAsia="Arial" w:hAnsi="Arial"/>
          <w:sz w:val="20"/>
          <w:szCs w:val="20"/>
          <w:color w:val="auto"/>
        </w:rPr>
      </w:pPr>
      <w:r>
        <w:rPr>
          <w:rFonts w:ascii="Arial" w:cs="Arial" w:eastAsia="Arial" w:hAnsi="Arial"/>
          <w:sz w:val="20"/>
          <w:szCs w:val="20"/>
          <w:color w:val="auto"/>
        </w:rPr>
        <w:t>Notwithstanding anything in this Agreement to the contrary, no determination as to entitlement to indemnification under this Agreement shall be required to be made prior to the final disposition of the Proceeding.</w:t>
      </w:r>
    </w:p>
    <w:p>
      <w:pPr>
        <w:spacing w:after="0" w:line="17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8"/>
          <w:szCs w:val="18"/>
          <w:u w:val="single" w:color="auto"/>
          <w:color w:val="auto"/>
        </w:rPr>
        <w:t>Non-exclusivity; Survival of Rights; Insurance;.</w:t>
      </w:r>
    </w:p>
    <w:p>
      <w:pPr>
        <w:spacing w:after="0" w:line="211" w:lineRule="exact"/>
        <w:rPr>
          <w:sz w:val="20"/>
          <w:szCs w:val="20"/>
          <w:color w:val="auto"/>
        </w:rPr>
      </w:pPr>
    </w:p>
    <w:p>
      <w:pPr>
        <w:jc w:val="both"/>
        <w:ind w:firstLine="1735"/>
        <w:spacing w:after="0" w:line="255" w:lineRule="auto"/>
        <w:tabs>
          <w:tab w:leader="none" w:pos="2595"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rights of indemnification and to receive advancement of Expenses as provided by this Agreement shall not be deemed exclusive of any other rights to which Indemnitee may at any time be entitled under applicable law, the Company’s Certificate of Incorporation, the Company’s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Delaware law, whether by statute or judicial decision, permits greater indemnification or advancement of Expenses than would be afforded currently under the Company’s Certificate of Incorporation, the Company’s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4" w:lineRule="exact"/>
        <w:rPr>
          <w:rFonts w:ascii="Arial" w:cs="Arial" w:eastAsia="Arial" w:hAnsi="Arial"/>
          <w:sz w:val="19"/>
          <w:szCs w:val="19"/>
          <w:color w:val="auto"/>
        </w:rPr>
      </w:pPr>
    </w:p>
    <w:p>
      <w:pPr>
        <w:jc w:val="both"/>
        <w:ind w:firstLine="1735"/>
        <w:spacing w:after="0" w:line="242" w:lineRule="auto"/>
        <w:tabs>
          <w:tab w:leader="none" w:pos="2606" w:val="left"/>
        </w:tabs>
        <w:numPr>
          <w:ilvl w:val="0"/>
          <w:numId w:val="90"/>
        </w:numPr>
        <w:rPr>
          <w:rFonts w:ascii="Arial" w:cs="Arial" w:eastAsia="Arial" w:hAnsi="Arial"/>
          <w:sz w:val="20"/>
          <w:szCs w:val="20"/>
          <w:color w:val="auto"/>
        </w:rPr>
      </w:pPr>
      <w:r>
        <w:rPr>
          <w:rFonts w:ascii="Arial" w:cs="Arial" w:eastAsia="Arial" w:hAnsi="Arial"/>
          <w:sz w:val="20"/>
          <w:szCs w:val="20"/>
          <w:color w:val="auto"/>
        </w:rPr>
        <w:t>To the extent that the Company maintains an insurance policy or policies providing liability insurance for directors, officers, employees, or agents of the Company or of any other corporation, partnership, joint venture, trust, employee benefit plan or other enterprise which such person serves at the request of the Company,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and the Indemnitee shall thereafter take all necessary or desirable action to cause such insurers to pay, on behalf of the Indemnitee, all amounts payable as a result of such proceeding in accordance with the terms of such policies.</w:t>
      </w:r>
    </w:p>
    <w:p>
      <w:pPr>
        <w:spacing w:after="0" w:line="194" w:lineRule="exact"/>
        <w:rPr>
          <w:rFonts w:ascii="Arial" w:cs="Arial" w:eastAsia="Arial" w:hAnsi="Arial"/>
          <w:sz w:val="20"/>
          <w:szCs w:val="20"/>
          <w:color w:val="auto"/>
        </w:rPr>
      </w:pPr>
    </w:p>
    <w:p>
      <w:pPr>
        <w:jc w:val="both"/>
        <w:ind w:firstLine="1735"/>
        <w:spacing w:after="0" w:line="244" w:lineRule="auto"/>
        <w:tabs>
          <w:tab w:leader="none" w:pos="2595"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Company’s obligation to indemnify or advance Expenses hereunder to Indemnitee who is or was serving at the request of the Company as a director, officer,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employee benefit plan or other enterprise.</w:t>
      </w:r>
    </w:p>
    <w:p>
      <w:pPr>
        <w:spacing w:after="0" w:line="194" w:lineRule="exact"/>
        <w:rPr>
          <w:rFonts w:ascii="Arial" w:cs="Arial" w:eastAsia="Arial" w:hAnsi="Arial"/>
          <w:sz w:val="20"/>
          <w:szCs w:val="20"/>
          <w:color w:val="auto"/>
        </w:rPr>
      </w:pPr>
    </w:p>
    <w:p>
      <w:pPr>
        <w:jc w:val="both"/>
        <w:ind w:firstLine="1735"/>
        <w:spacing w:after="0" w:line="250" w:lineRule="auto"/>
        <w:tabs>
          <w:tab w:leader="none" w:pos="2606"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Company hereby acknowledges that, in addition to the rights provided in Article V of the Bylaws and this Agreement, Indemnitee may have certain rights to indemnification, advancement of Expenses and/or insurance (an “</w:t>
      </w:r>
      <w:r>
        <w:rPr>
          <w:rFonts w:ascii="Arial" w:cs="Arial" w:eastAsia="Arial" w:hAnsi="Arial"/>
          <w:sz w:val="20"/>
          <w:szCs w:val="20"/>
          <w:b w:val="1"/>
          <w:bCs w:val="1"/>
          <w:color w:val="auto"/>
        </w:rPr>
        <w:t>Indemnity Right</w:t>
      </w:r>
      <w:r>
        <w:rPr>
          <w:rFonts w:ascii="Arial" w:cs="Arial" w:eastAsia="Arial" w:hAnsi="Arial"/>
          <w:sz w:val="20"/>
          <w:szCs w:val="20"/>
          <w:color w:val="auto"/>
        </w:rPr>
        <w:t>”) provided by another Person, whether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4" w:name="page135"/>
    <w:bookmarkEnd w:id="134"/>
    <w:p>
      <w:pPr>
        <w:jc w:val="both"/>
        <w:spacing w:after="0" w:line="255" w:lineRule="auto"/>
        <w:rPr>
          <w:sz w:val="20"/>
          <w:szCs w:val="20"/>
          <w:color w:val="auto"/>
        </w:rPr>
      </w:pPr>
      <w:r>
        <w:rPr>
          <w:rFonts w:ascii="Arial" w:cs="Arial" w:eastAsia="Arial" w:hAnsi="Arial"/>
          <w:sz w:val="19"/>
          <w:szCs w:val="19"/>
          <w:color w:val="auto"/>
        </w:rPr>
        <w:t>now or in the future (a “</w:t>
      </w:r>
      <w:r>
        <w:rPr>
          <w:rFonts w:ascii="Arial" w:cs="Arial" w:eastAsia="Arial" w:hAnsi="Arial"/>
          <w:sz w:val="19"/>
          <w:szCs w:val="19"/>
          <w:b w:val="1"/>
          <w:bCs w:val="1"/>
          <w:color w:val="auto"/>
        </w:rPr>
        <w:t>Third Party Indemnitor</w:t>
      </w:r>
      <w:r>
        <w:rPr>
          <w:rFonts w:ascii="Arial" w:cs="Arial" w:eastAsia="Arial" w:hAnsi="Arial"/>
          <w:sz w:val="19"/>
          <w:szCs w:val="19"/>
          <w:color w:val="auto"/>
        </w:rPr>
        <w:t xml:space="preserve">”). Notwithstanding anything to the contrary herein, the Company hereby agrees that in the event Indemnitee has an Indemnity Right, the Company (A) is the indemnitor of first resort (i.e., its obligations to indemnify Indemnitee are primary and any obligation of the applicable Third Party Indemnitor or its insurers to advance Expenses or to provide indemnification for the same Expenses or liabilities incurred by Indemnitee is secondary and excess); (B) shall be required to advance the full amount of Expenses incurred by Indemnitee and shall be liable for the full amount of all Expenses, judgments, penalties, fines and amounts paid in settlement by Indemnitee or on his behalf to the extent legally permitted and as required hereunder, without regard to any rights Indemnitee may have against the Third Party Indemnitor or its insurers; and (C) irrevocably waives, relinquishes and releases the Third Party Indemnitor and such insurers from any and all claims against the Third Party Indemnitor or such insurers for contribution, by way of subrogation or any other recovery of any kind in respect thereof. In furtherance and not in limitation of the foregoing, the Company agrees that in the event that any Third Party Indemnitor or its insurer should advance any Expenses or make any payment to Indemnitee for matters subject to advancement or indemnification by the Company pursuant to this Agreement or otherwise, the Company shall promptly reimburse such Third Party Indemnitor or insurer and that such Third Party Indemnitor or insurer shall be subrogated to all of the claims or rights of Indemnitee hereunder or otherwise including to the payment of Expenses in an action to collect. The Company agrees that any Third Party Indemnitor or its insurer not a party hereto shall be an express third party beneficiary of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able to enforce such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of this Agreement according to its terms.</w:t>
      </w:r>
    </w:p>
    <w:p>
      <w:pPr>
        <w:spacing w:after="0" w:line="178"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19"/>
          <w:szCs w:val="19"/>
          <w:u w:val="single" w:color="auto"/>
          <w:color w:val="auto"/>
        </w:rPr>
        <w:t>Severability.</w:t>
      </w:r>
      <w:r>
        <w:rPr>
          <w:rFonts w:ascii="Arial" w:cs="Arial" w:eastAsia="Arial" w:hAnsi="Arial"/>
          <w:sz w:val="22"/>
          <w:szCs w:val="22"/>
          <w:color w:val="auto"/>
        </w:rPr>
        <w:t xml:space="preserve"> </w:t>
      </w:r>
      <w:r>
        <w:rPr>
          <w:rFonts w:ascii="Arial" w:cs="Arial" w:eastAsia="Arial" w:hAnsi="Arial"/>
          <w:sz w:val="19"/>
          <w:szCs w:val="19"/>
          <w:color w:val="auto"/>
        </w:rPr>
        <w:t>If any provision or provisions of this Agreement shall be held to be invalid, illegal or</w:t>
      </w:r>
      <w:r>
        <w:rPr>
          <w:rFonts w:ascii="Arial" w:cs="Arial" w:eastAsia="Arial" w:hAnsi="Arial"/>
          <w:sz w:val="22"/>
          <w:szCs w:val="22"/>
          <w:color w:val="auto"/>
        </w:rPr>
        <w:t xml:space="preserve"> </w:t>
      </w:r>
      <w:r>
        <w:rPr>
          <w:rFonts w:ascii="Arial" w:cs="Arial" w:eastAsia="Arial" w:hAnsi="Arial"/>
          <w:sz w:val="19"/>
          <w:szCs w:val="19"/>
          <w:color w:val="auto"/>
        </w:rPr>
        <w:t>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3"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19"/>
          <w:szCs w:val="19"/>
          <w:u w:val="single" w:color="auto"/>
          <w:color w:val="auto"/>
        </w:rPr>
        <w:t>Enforcement</w:t>
      </w:r>
      <w:r>
        <w:rPr>
          <w:rFonts w:ascii="Arial" w:cs="Arial" w:eastAsia="Arial" w:hAnsi="Arial"/>
          <w:sz w:val="19"/>
          <w:szCs w:val="19"/>
          <w:color w:val="auto"/>
        </w:rPr>
        <w:t>. The Company expressly confirms and agrees that it has entered into this Agreement and</w:t>
      </w:r>
      <w:r>
        <w:rPr>
          <w:rFonts w:ascii="Arial" w:cs="Arial" w:eastAsia="Arial" w:hAnsi="Arial"/>
          <w:sz w:val="22"/>
          <w:szCs w:val="22"/>
          <w:color w:val="auto"/>
        </w:rPr>
        <w:t xml:space="preserve"> </w:t>
      </w:r>
      <w:r>
        <w:rPr>
          <w:rFonts w:ascii="Arial" w:cs="Arial" w:eastAsia="Arial" w:hAnsi="Arial"/>
          <w:sz w:val="19"/>
          <w:szCs w:val="19"/>
          <w:color w:val="auto"/>
        </w:rPr>
        <w:t>assumed the obligations imposed on it hereby in order to induce Indemnitee to serve as a director or officer of the Company, and the Company acknowledges that Indemnitee is relying upon this Agreement in serving as a director or officer of the Company.</w:t>
      </w:r>
    </w:p>
    <w:p>
      <w:pPr>
        <w:spacing w:after="0" w:line="19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18"/>
          <w:szCs w:val="18"/>
          <w:u w:val="single" w:color="auto"/>
          <w:color w:val="auto"/>
        </w:rPr>
        <w:t>Entire Agreement. Supersedes Prior Agreements</w:t>
      </w:r>
      <w:r>
        <w:rPr>
          <w:rFonts w:ascii="Arial" w:cs="Arial" w:eastAsia="Arial" w:hAnsi="Arial"/>
          <w:sz w:val="18"/>
          <w:szCs w:val="18"/>
          <w:color w:val="auto"/>
        </w:rPr>
        <w:t>. This Agreement constitutes the entire agreement between</w:t>
      </w:r>
      <w:r>
        <w:rPr>
          <w:rFonts w:ascii="Arial" w:cs="Arial" w:eastAsia="Arial" w:hAnsi="Arial"/>
          <w:sz w:val="21"/>
          <w:szCs w:val="21"/>
          <w:color w:val="auto"/>
        </w:rPr>
        <w:t xml:space="preserve"> </w:t>
      </w:r>
      <w:r>
        <w:rPr>
          <w:rFonts w:ascii="Arial" w:cs="Arial" w:eastAsia="Arial" w:hAnsi="Arial"/>
          <w:sz w:val="18"/>
          <w:szCs w:val="18"/>
          <w:color w:val="auto"/>
        </w:rPr>
        <w:t xml:space="preserve">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Agreement is a supplement to and in furtherance of the Certificate of Incorporation of the Company, the employment agreement between the Company and Indemnity and applicable law, and shall not be deemed a substitute therefor, nor to diminish or abrogate any rights of Indemnitee thereunder.</w:t>
      </w:r>
    </w:p>
    <w:p>
      <w:pPr>
        <w:spacing w:after="0" w:line="165"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19"/>
          <w:szCs w:val="19"/>
          <w:u w:val="single" w:color="auto"/>
          <w:color w:val="auto"/>
        </w:rPr>
        <w:t>Modification and Waiver.</w:t>
      </w:r>
      <w:r>
        <w:rPr>
          <w:rFonts w:ascii="Arial" w:cs="Arial" w:eastAsia="Arial" w:hAnsi="Arial"/>
          <w:sz w:val="22"/>
          <w:szCs w:val="22"/>
          <w:color w:val="auto"/>
        </w:rPr>
        <w:t xml:space="preserve"> </w:t>
      </w:r>
      <w:r>
        <w:rPr>
          <w:rFonts w:ascii="Arial" w:cs="Arial" w:eastAsia="Arial" w:hAnsi="Arial"/>
          <w:sz w:val="19"/>
          <w:szCs w:val="19"/>
          <w:color w:val="auto"/>
        </w:rPr>
        <w:t>No supplement, modification or amendment of this Agreement shall be binding</w:t>
      </w:r>
      <w:r>
        <w:rPr>
          <w:rFonts w:ascii="Arial" w:cs="Arial" w:eastAsia="Arial" w:hAnsi="Arial"/>
          <w:sz w:val="22"/>
          <w:szCs w:val="22"/>
          <w:color w:val="auto"/>
        </w:rPr>
        <w:t xml:space="preserve"> </w:t>
      </w:r>
      <w:r>
        <w:rPr>
          <w:rFonts w:ascii="Arial" w:cs="Arial" w:eastAsia="Arial" w:hAnsi="Arial"/>
          <w:sz w:val="19"/>
          <w:szCs w:val="19"/>
          <w:color w:val="auto"/>
        </w:rPr>
        <w:t>unless executed in writing by the parties thereto. No waiver of any of the provisions of this Agreement shall be deemed or shall constitute a waiver of any other provisions of this Agreement nor shall any waiver constitute a continuing waiver.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5" w:name="page136"/>
    <w:bookmarkEnd w:id="135"/>
    <w:p>
      <w:pPr>
        <w:jc w:val="both"/>
        <w:ind w:firstLine="864"/>
        <w:spacing w:after="0" w:line="246"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19"/>
          <w:szCs w:val="19"/>
          <w:u w:val="single" w:color="auto"/>
          <w:color w:val="auto"/>
        </w:rPr>
        <w:t>Notice by Indemnitee.</w:t>
      </w:r>
      <w:r>
        <w:rPr>
          <w:rFonts w:ascii="Arial" w:cs="Arial" w:eastAsia="Arial" w:hAnsi="Arial"/>
          <w:sz w:val="22"/>
          <w:szCs w:val="22"/>
          <w:color w:val="auto"/>
        </w:rPr>
        <w:t xml:space="preserve"> </w:t>
      </w:r>
      <w:r>
        <w:rPr>
          <w:rFonts w:ascii="Arial" w:cs="Arial" w:eastAsia="Arial" w:hAnsi="Arial"/>
          <w:sz w:val="19"/>
          <w:szCs w:val="19"/>
          <w:color w:val="auto"/>
        </w:rPr>
        <w:t>Indemnitee agrees promptly to notify the Company in writing upon being served with</w:t>
      </w:r>
      <w:r>
        <w:rPr>
          <w:rFonts w:ascii="Arial" w:cs="Arial" w:eastAsia="Arial" w:hAnsi="Arial"/>
          <w:sz w:val="22"/>
          <w:szCs w:val="22"/>
          <w:color w:val="auto"/>
        </w:rPr>
        <w:t xml:space="preserve"> </w:t>
      </w:r>
      <w:r>
        <w:rPr>
          <w:rFonts w:ascii="Arial" w:cs="Arial" w:eastAsia="Arial" w:hAnsi="Arial"/>
          <w:sz w:val="19"/>
          <w:szCs w:val="19"/>
          <w:color w:val="auto"/>
        </w:rPr>
        <w:t>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the Indemnitee under this Agreement or otherwise except to the extent the Corporation is prejudiced in its defense of such action, suit or proceeding as a result of such failure.</w:t>
      </w:r>
    </w:p>
    <w:p>
      <w:pPr>
        <w:spacing w:after="0" w:line="187"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2"/>
          <w:szCs w:val="22"/>
          <w:color w:val="auto"/>
        </w:rPr>
        <w:t xml:space="preserve">Section 20. </w:t>
      </w:r>
      <w:r>
        <w:rPr>
          <w:rFonts w:ascii="Arial" w:cs="Arial" w:eastAsia="Arial" w:hAnsi="Arial"/>
          <w:sz w:val="19"/>
          <w:szCs w:val="19"/>
          <w:u w:val="single" w:color="auto"/>
          <w:color w:val="auto"/>
        </w:rPr>
        <w:t>Notices.</w:t>
      </w:r>
      <w:r>
        <w:rPr>
          <w:rFonts w:ascii="Arial" w:cs="Arial" w:eastAsia="Arial" w:hAnsi="Arial"/>
          <w:sz w:val="22"/>
          <w:szCs w:val="22"/>
          <w:color w:val="auto"/>
        </w:rPr>
        <w:t xml:space="preserve"> </w:t>
      </w:r>
      <w:r>
        <w:rPr>
          <w:rFonts w:ascii="Arial" w:cs="Arial" w:eastAsia="Arial" w:hAnsi="Arial"/>
          <w:sz w:val="19"/>
          <w:szCs w:val="19"/>
          <w:color w:val="auto"/>
        </w:rPr>
        <w:t>All notices, requests, demands and other communications under this Agreement shall be in writing</w:t>
      </w:r>
      <w:r>
        <w:rPr>
          <w:rFonts w:ascii="Arial" w:cs="Arial" w:eastAsia="Arial" w:hAnsi="Arial"/>
          <w:sz w:val="22"/>
          <w:szCs w:val="22"/>
          <w:color w:val="auto"/>
        </w:rPr>
        <w:t xml:space="preserve"> </w:t>
      </w:r>
      <w:r>
        <w:rPr>
          <w:rFonts w:ascii="Arial" w:cs="Arial" w:eastAsia="Arial" w:hAnsi="Arial"/>
          <w:sz w:val="19"/>
          <w:szCs w:val="19"/>
          <w:color w:val="auto"/>
        </w:rPr>
        <w:t>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oral confirmation that such transmission has been received:</w:t>
      </w:r>
    </w:p>
    <w:p>
      <w:pPr>
        <w:spacing w:after="0" w:line="191" w:lineRule="exact"/>
        <w:rPr>
          <w:sz w:val="20"/>
          <w:szCs w:val="20"/>
          <w:color w:val="auto"/>
        </w:rPr>
      </w:pPr>
    </w:p>
    <w:p>
      <w:pPr>
        <w:ind w:firstLine="1735"/>
        <w:spacing w:after="0" w:line="260" w:lineRule="auto"/>
        <w:tabs>
          <w:tab w:leader="none" w:pos="2595" w:val="left"/>
        </w:tabs>
        <w:numPr>
          <w:ilvl w:val="0"/>
          <w:numId w:val="91"/>
        </w:numPr>
        <w:rPr>
          <w:rFonts w:ascii="Arial" w:cs="Arial" w:eastAsia="Arial" w:hAnsi="Arial"/>
          <w:sz w:val="20"/>
          <w:szCs w:val="20"/>
          <w:color w:val="auto"/>
        </w:rPr>
      </w:pPr>
      <w:r>
        <w:rPr>
          <w:rFonts w:ascii="Arial" w:cs="Arial" w:eastAsia="Arial" w:hAnsi="Arial"/>
          <w:sz w:val="20"/>
          <w:szCs w:val="20"/>
          <w:color w:val="auto"/>
        </w:rPr>
        <w:t>If to Indemnitee, at the address indicated on the signature page of this Agreement, or such other address as Indemnitee shall provide to the Company.</w:t>
      </w:r>
    </w:p>
    <w:p>
      <w:pPr>
        <w:spacing w:after="0" w:line="176" w:lineRule="exact"/>
        <w:rPr>
          <w:rFonts w:ascii="Arial" w:cs="Arial" w:eastAsia="Arial" w:hAnsi="Arial"/>
          <w:sz w:val="20"/>
          <w:szCs w:val="20"/>
          <w:color w:val="auto"/>
        </w:rPr>
      </w:pPr>
    </w:p>
    <w:p>
      <w:pPr>
        <w:ind w:left="2620" w:hanging="885"/>
        <w:spacing w:after="0"/>
        <w:tabs>
          <w:tab w:leader="none" w:pos="26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If to the Company to</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Helius Medical Technologies,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642 Newtown Yardley Rd #100</w:t>
      </w:r>
    </w:p>
    <w:p>
      <w:pPr>
        <w:ind w:left="2600"/>
        <w:spacing w:after="0"/>
        <w:rPr>
          <w:sz w:val="20"/>
          <w:szCs w:val="20"/>
          <w:color w:val="auto"/>
        </w:rPr>
      </w:pPr>
      <w:r>
        <w:rPr>
          <w:rFonts w:ascii="Arial" w:cs="Arial" w:eastAsia="Arial" w:hAnsi="Arial"/>
          <w:sz w:val="20"/>
          <w:szCs w:val="20"/>
          <w:color w:val="auto"/>
        </w:rPr>
        <w:t>Newtown, PA 18940</w:t>
      </w:r>
    </w:p>
    <w:p>
      <w:pPr>
        <w:ind w:left="2600"/>
        <w:spacing w:after="0"/>
        <w:rPr>
          <w:sz w:val="20"/>
          <w:szCs w:val="20"/>
          <w:color w:val="auto"/>
        </w:rPr>
      </w:pPr>
      <w:r>
        <w:rPr>
          <w:rFonts w:ascii="Arial" w:cs="Arial" w:eastAsia="Arial" w:hAnsi="Arial"/>
          <w:sz w:val="20"/>
          <w:szCs w:val="20"/>
          <w:color w:val="auto"/>
        </w:rPr>
        <w:t>Attention: Chief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or to any other address as may have been furnished to Indemnitee by the Company.</w:t>
      </w:r>
    </w:p>
    <w:p>
      <w:pPr>
        <w:spacing w:after="0" w:line="211"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18"/>
          <w:szCs w:val="18"/>
          <w:u w:val="single" w:color="auto"/>
          <w:color w:val="auto"/>
        </w:rPr>
        <w:t>Contribution.</w:t>
      </w:r>
      <w:r>
        <w:rPr>
          <w:rFonts w:ascii="Arial" w:cs="Arial" w:eastAsia="Arial" w:hAnsi="Arial"/>
          <w:sz w:val="21"/>
          <w:szCs w:val="21"/>
          <w:color w:val="auto"/>
        </w:rPr>
        <w:t xml:space="preserve"> </w:t>
      </w:r>
      <w:r>
        <w:rPr>
          <w:rFonts w:ascii="Arial" w:cs="Arial" w:eastAsia="Arial" w:hAnsi="Arial"/>
          <w:sz w:val="18"/>
          <w:szCs w:val="18"/>
          <w:color w:val="auto"/>
        </w:rPr>
        <w:t>To the fullest extent permissible under applicable law, if the indemnification provided for in</w:t>
      </w:r>
      <w:r>
        <w:rPr>
          <w:rFonts w:ascii="Arial" w:cs="Arial" w:eastAsia="Arial" w:hAnsi="Arial"/>
          <w:sz w:val="21"/>
          <w:szCs w:val="21"/>
          <w:color w:val="auto"/>
        </w:rPr>
        <w:t xml:space="preserve"> </w:t>
      </w:r>
      <w:r>
        <w:rPr>
          <w:rFonts w:ascii="Arial" w:cs="Arial" w:eastAsia="Arial" w:hAnsi="Arial"/>
          <w:sz w:val="18"/>
          <w:szCs w:val="18"/>
          <w:color w:val="auto"/>
        </w:rPr>
        <w:t>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67"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19"/>
          <w:szCs w:val="19"/>
          <w:u w:val="single" w:color="auto"/>
          <w:color w:val="auto"/>
        </w:rPr>
        <w:t>Applicable Law and Consent to Jurisdiction.</w:t>
      </w:r>
      <w:r>
        <w:rPr>
          <w:rFonts w:ascii="Arial" w:cs="Arial" w:eastAsia="Arial" w:hAnsi="Arial"/>
          <w:sz w:val="22"/>
          <w:szCs w:val="22"/>
          <w:color w:val="auto"/>
        </w:rPr>
        <w:t xml:space="preserve"> </w:t>
      </w:r>
      <w:r>
        <w:rPr>
          <w:rFonts w:ascii="Arial" w:cs="Arial" w:eastAsia="Arial" w:hAnsi="Arial"/>
          <w:sz w:val="19"/>
          <w:szCs w:val="19"/>
          <w:color w:val="auto"/>
        </w:rPr>
        <w:t>This Agreement and the legal relations among the parties shall</w:t>
      </w:r>
      <w:r>
        <w:rPr>
          <w:rFonts w:ascii="Arial" w:cs="Arial" w:eastAsia="Arial" w:hAnsi="Arial"/>
          <w:sz w:val="22"/>
          <w:szCs w:val="22"/>
          <w:color w:val="auto"/>
        </w:rPr>
        <w:t xml:space="preserve"> </w:t>
      </w:r>
      <w:r>
        <w:rPr>
          <w:rFonts w:ascii="Arial" w:cs="Arial" w:eastAsia="Arial" w:hAnsi="Arial"/>
          <w:sz w:val="19"/>
          <w:szCs w:val="19"/>
          <w:color w:val="auto"/>
        </w:rPr>
        <w:t xml:space="preserve">be governed by, and construed and enforced in accordance with, the laws of the State of Delaware, without regard to its conflict of laws rules. Except with respect to any arbitration commenced by Indemnitee pursuant to </w:t>
      </w:r>
      <w:r>
        <w:rPr>
          <w:rFonts w:ascii="Arial" w:cs="Arial" w:eastAsia="Arial" w:hAnsi="Arial"/>
          <w:sz w:val="19"/>
          <w:szCs w:val="19"/>
          <w:u w:val="single" w:color="auto"/>
          <w:color w:val="auto"/>
        </w:rPr>
        <w:t>Section 13(a)</w:t>
      </w:r>
      <w:r>
        <w:rPr>
          <w:rFonts w:ascii="Arial" w:cs="Arial" w:eastAsia="Arial" w:hAnsi="Arial"/>
          <w:sz w:val="19"/>
          <w:szCs w:val="19"/>
          <w:color w:val="auto"/>
        </w:rPr>
        <w:t xml:space="preserve"> of this Agreement, the Company and Indemnitee hereby irrevocably and unconditionally (i) agree that any action or proceeding arising out of or in connection with this Agreement shall be brought only in the Chancery Court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Corporation Services Company as its agent in the State of Delaware as such party’s agent for acceptance of legal process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6" w:name="page137"/>
    <w:bookmarkEnd w:id="136"/>
    <w:p>
      <w:pPr>
        <w:jc w:val="both"/>
        <w:spacing w:after="0" w:line="246" w:lineRule="auto"/>
        <w:rPr>
          <w:sz w:val="20"/>
          <w:szCs w:val="20"/>
          <w:color w:val="auto"/>
        </w:rPr>
      </w:pPr>
      <w:r>
        <w:rPr>
          <w:rFonts w:ascii="Arial" w:cs="Arial" w:eastAsia="Arial" w:hAnsi="Arial"/>
          <w:sz w:val="20"/>
          <w:szCs w:val="20"/>
          <w:color w:val="auto"/>
        </w:rPr>
        <w:t>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8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18"/>
          <w:szCs w:val="18"/>
          <w:u w:val="single" w:color="auto"/>
          <w:color w:val="auto"/>
        </w:rPr>
        <w:t>Identical Counterparts.</w:t>
      </w:r>
      <w:r>
        <w:rPr>
          <w:rFonts w:ascii="Arial" w:cs="Arial" w:eastAsia="Arial" w:hAnsi="Arial"/>
          <w:sz w:val="21"/>
          <w:szCs w:val="21"/>
          <w:color w:val="auto"/>
        </w:rPr>
        <w:t xml:space="preserve"> </w:t>
      </w:r>
      <w:r>
        <w:rPr>
          <w:rFonts w:ascii="Arial" w:cs="Arial" w:eastAsia="Arial" w:hAnsi="Arial"/>
          <w:sz w:val="18"/>
          <w:szCs w:val="18"/>
          <w:color w:val="auto"/>
        </w:rPr>
        <w:t>This Agreement may be executed in one or more counterparts, each of which shall for</w:t>
      </w:r>
      <w:r>
        <w:rPr>
          <w:rFonts w:ascii="Arial" w:cs="Arial" w:eastAsia="Arial" w:hAnsi="Arial"/>
          <w:sz w:val="21"/>
          <w:szCs w:val="21"/>
          <w:color w:val="auto"/>
        </w:rPr>
        <w:t xml:space="preserve"> </w:t>
      </w:r>
      <w:r>
        <w:rPr>
          <w:rFonts w:ascii="Arial" w:cs="Arial" w:eastAsia="Arial" w:hAnsi="Arial"/>
          <w:sz w:val="18"/>
          <w:szCs w:val="18"/>
          <w:color w:val="auto"/>
        </w:rPr>
        <w:t>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59"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19"/>
          <w:szCs w:val="19"/>
          <w:u w:val="single" w:color="auto"/>
          <w:color w:val="auto"/>
        </w:rPr>
        <w:t>Miscellaneous.</w:t>
      </w:r>
      <w:r>
        <w:rPr>
          <w:rFonts w:ascii="Arial" w:cs="Arial" w:eastAsia="Arial" w:hAnsi="Arial"/>
          <w:sz w:val="22"/>
          <w:szCs w:val="22"/>
          <w:color w:val="auto"/>
        </w:rPr>
        <w:t xml:space="preserve"> </w:t>
      </w:r>
      <w:r>
        <w:rPr>
          <w:rFonts w:ascii="Arial" w:cs="Arial" w:eastAsia="Arial" w:hAnsi="Arial"/>
          <w:sz w:val="19"/>
          <w:szCs w:val="19"/>
          <w:color w:val="auto"/>
        </w:rPr>
        <w:t>Use of the masculine pronoun shall be deemed to include usage of the feminine pronoun</w:t>
      </w:r>
      <w:r>
        <w:rPr>
          <w:rFonts w:ascii="Arial" w:cs="Arial" w:eastAsia="Arial" w:hAnsi="Arial"/>
          <w:sz w:val="22"/>
          <w:szCs w:val="22"/>
          <w:color w:val="auto"/>
        </w:rPr>
        <w:t xml:space="preserve"> </w:t>
      </w:r>
      <w:r>
        <w:rPr>
          <w:rFonts w:ascii="Arial" w:cs="Arial" w:eastAsia="Arial" w:hAnsi="Arial"/>
          <w:sz w:val="19"/>
          <w:szCs w:val="19"/>
          <w:color w:val="auto"/>
        </w:rPr>
        <w:t>where appropriate. The headings of the paragraphs of this Agreement are inserted for convenience only and shall not be deemed to constitute part of this Agreement or to affect the construction thereof.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7" w:name="page138"/>
    <w:bookmarkEnd w:id="137"/>
    <w:p>
      <w:pPr>
        <w:ind w:left="880"/>
        <w:spacing w:after="0"/>
        <w:rPr>
          <w:sz w:val="20"/>
          <w:szCs w:val="20"/>
          <w:color w:val="auto"/>
        </w:rPr>
      </w:pPr>
      <w:r>
        <w:rPr>
          <w:rFonts w:ascii="Arial" w:cs="Arial" w:eastAsia="Arial" w:hAnsi="Arial"/>
          <w:sz w:val="16"/>
          <w:szCs w:val="16"/>
          <w:color w:val="auto"/>
        </w:rPr>
        <w:t>IN WITNESS WHEREOF, the parties have caused this Agreement to be signed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HELIUS MEDICAL TECHNOLIGIES, INC.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_________________________________</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Name:</w:t>
      </w:r>
    </w:p>
    <w:p>
      <w:pPr>
        <w:ind w:left="4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INDEMNITEE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Address: _________________________</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_________________________</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_________________________</w:t>
      </w:r>
    </w:p>
    <w:p>
      <w:pPr>
        <w:spacing w:after="0" w:line="200" w:lineRule="exact"/>
        <w:rPr>
          <w:sz w:val="20"/>
          <w:szCs w:val="20"/>
          <w:color w:val="auto"/>
        </w:rPr>
      </w:pPr>
    </w:p>
    <w:p>
      <w:pPr>
        <w:spacing w:after="0" w:line="234"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w:t>
      </w:r>
      <w:r>
        <w:rPr>
          <w:rFonts w:ascii="Arial" w:cs="Arial" w:eastAsia="Arial" w:hAnsi="Arial"/>
          <w:sz w:val="14"/>
          <w:szCs w:val="14"/>
          <w:b w:val="1"/>
          <w:bCs w:val="1"/>
          <w:i w:val="1"/>
          <w:iCs w:val="1"/>
          <w:color w:val="auto"/>
        </w:rPr>
        <w:t>IGNATURE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P</w:t>
      </w:r>
      <w:r>
        <w:rPr>
          <w:rFonts w:ascii="Arial" w:cs="Arial" w:eastAsia="Arial" w:hAnsi="Arial"/>
          <w:sz w:val="14"/>
          <w:szCs w:val="14"/>
          <w:b w:val="1"/>
          <w:bCs w:val="1"/>
          <w:i w:val="1"/>
          <w:iCs w:val="1"/>
          <w:color w:val="auto"/>
        </w:rPr>
        <w:t>AGE TO</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I</w:t>
      </w:r>
      <w:r>
        <w:rPr>
          <w:rFonts w:ascii="Arial" w:cs="Arial" w:eastAsia="Arial" w:hAnsi="Arial"/>
          <w:sz w:val="14"/>
          <w:szCs w:val="14"/>
          <w:b w:val="1"/>
          <w:bCs w:val="1"/>
          <w:i w:val="1"/>
          <w:iCs w:val="1"/>
          <w:color w:val="auto"/>
        </w:rPr>
        <w:t>NDEMNIFICATION</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A</w:t>
      </w:r>
      <w:r>
        <w:rPr>
          <w:rFonts w:ascii="Arial" w:cs="Arial" w:eastAsia="Arial" w:hAnsi="Arial"/>
          <w:sz w:val="14"/>
          <w:szCs w:val="14"/>
          <w:b w:val="1"/>
          <w:bCs w:val="1"/>
          <w:i w:val="1"/>
          <w:iCs w:val="1"/>
          <w:color w:val="auto"/>
        </w:rPr>
        <w:t>GREEMENT</w:t>
      </w:r>
      <w:r>
        <w:rPr>
          <w:rFonts w:ascii="Arial" w:cs="Arial" w:eastAsia="Arial" w:hAnsi="Arial"/>
          <w:sz w:val="22"/>
          <w:szCs w:val="22"/>
          <w:b w:val="1"/>
          <w:bCs w:val="1"/>
          <w:color w:val="auto"/>
        </w:rPr>
        <w:t>]</w:t>
      </w:r>
    </w:p>
    <w:p>
      <w:pPr>
        <w:sectPr>
          <w:pgSz w:w="11900" w:h="16838" w:orient="portrait"/>
          <w:cols w:equalWidth="0" w:num="1">
            <w:col w:w="10500"/>
          </w:cols>
          <w:pgMar w:left="320" w:top="555" w:right="107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21.1</w:t>
            </w:r>
          </w:p>
        </w:tc>
      </w:tr>
      <w:tr>
        <w:trPr>
          <w:trHeight w:val="432"/>
        </w:trPr>
        <w:tc>
          <w:tcPr>
            <w:tcW w:w="1300" w:type="dxa"/>
            <w:vAlign w:val="bottom"/>
          </w:tcPr>
          <w:p>
            <w:pPr>
              <w:spacing w:after="0"/>
              <w:rPr>
                <w:sz w:val="24"/>
                <w:szCs w:val="24"/>
                <w:color w:val="auto"/>
              </w:rPr>
            </w:pPr>
          </w:p>
        </w:tc>
        <w:tc>
          <w:tcPr>
            <w:tcW w:w="8620" w:type="dxa"/>
            <w:vAlign w:val="bottom"/>
          </w:tcPr>
          <w:p>
            <w:pPr>
              <w:ind w:left="1760"/>
              <w:spacing w:after="0"/>
              <w:rPr>
                <w:sz w:val="20"/>
                <w:szCs w:val="20"/>
                <w:color w:val="auto"/>
              </w:rPr>
            </w:pPr>
            <w:r>
              <w:rPr>
                <w:rFonts w:ascii="Arial" w:cs="Arial" w:eastAsia="Arial" w:hAnsi="Arial"/>
                <w:sz w:val="18"/>
                <w:szCs w:val="18"/>
                <w:b w:val="1"/>
                <w:bCs w:val="1"/>
                <w:color w:val="auto"/>
              </w:rPr>
              <w:t>SUBSIDIARIES OF HELIUS MEDICAL TECHNOLOGIES, INC</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0"/>
        </w:trPr>
        <w:tc>
          <w:tcPr>
            <w:tcW w:w="1300" w:type="dxa"/>
            <w:vAlign w:val="bottom"/>
          </w:tcPr>
          <w:p>
            <w:pPr>
              <w:spacing w:after="0"/>
              <w:rPr>
                <w:sz w:val="20"/>
                <w:szCs w:val="20"/>
                <w:color w:val="auto"/>
              </w:rPr>
            </w:pPr>
            <w:r>
              <w:rPr>
                <w:rFonts w:ascii="Arial" w:cs="Arial" w:eastAsia="Arial" w:hAnsi="Arial"/>
                <w:sz w:val="18"/>
                <w:szCs w:val="18"/>
                <w:b w:val="1"/>
                <w:bCs w:val="1"/>
                <w:color w:val="auto"/>
              </w:rPr>
              <w:t>ENTITY NAME</w:t>
            </w:r>
          </w:p>
        </w:tc>
        <w:tc>
          <w:tcPr>
            <w:tcW w:w="862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JURISDICTION</w:t>
            </w:r>
          </w:p>
        </w:tc>
      </w:tr>
      <w:tr>
        <w:trPr>
          <w:trHeight w:val="20"/>
        </w:trPr>
        <w:tc>
          <w:tcPr>
            <w:tcW w:w="130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9920" w:type="dxa"/>
            <w:vAlign w:val="bottom"/>
            <w:gridSpan w:val="2"/>
          </w:tcPr>
          <w:p>
            <w:pPr>
              <w:spacing w:after="0"/>
              <w:rPr>
                <w:sz w:val="20"/>
                <w:szCs w:val="20"/>
                <w:color w:val="auto"/>
              </w:rPr>
            </w:pPr>
            <w:r>
              <w:rPr>
                <w:rFonts w:ascii="Arial" w:cs="Arial" w:eastAsia="Arial" w:hAnsi="Arial"/>
                <w:sz w:val="18"/>
                <w:szCs w:val="18"/>
                <w:color w:val="auto"/>
              </w:rPr>
              <w:t>Helius Medical,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Delaware</w:t>
            </w: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Helius Medical Technologies (Canada),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Canada</w:t>
            </w: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Helius NeuroRehab,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Delaware</w:t>
            </w: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Helius Canada Acquisition Ltd.</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Canada</w:t>
            </w:r>
          </w:p>
        </w:tc>
      </w:tr>
      <w:tr>
        <w:trPr>
          <w:trHeight w:val="230"/>
        </w:trPr>
        <w:tc>
          <w:tcPr>
            <w:tcW w:w="9920" w:type="dxa"/>
            <w:vAlign w:val="bottom"/>
            <w:gridSpan w:val="2"/>
          </w:tcPr>
          <w:p>
            <w:pPr>
              <w:spacing w:after="0"/>
              <w:rPr>
                <w:sz w:val="20"/>
                <w:szCs w:val="20"/>
                <w:color w:val="auto"/>
              </w:rPr>
            </w:pPr>
            <w:r>
              <w:rPr>
                <w:rFonts w:ascii="Arial" w:cs="Arial" w:eastAsia="Arial" w:hAnsi="Arial"/>
                <w:sz w:val="18"/>
                <w:szCs w:val="18"/>
                <w:color w:val="auto"/>
              </w:rPr>
              <w:t>Heuro Canada,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11240"/>
          </w:cols>
          <w:pgMar w:left="320" w:top="337"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Helius Medical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Newtown, Pennsylvania</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333-236101), Form S-1 (No. 333-250974 and 333-248824) and Form S-8 (No. 333-204155, 333-218095 and 333-229724) of Helius Medical Technologies, Inc., of our report dated March 10, 2021, relating to the consolidated financial statements of Helius Medical Technologies, Inc., which appears in this Annual Report on Form 10-K for the year ended December 31, 2020. Our report contains an explanatory paragraph regarding the Company’s ability to continue as a going concern.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Dane C. Andreeff, certify that:</w:t>
      </w:r>
    </w:p>
    <w:p>
      <w:pPr>
        <w:spacing w:after="0" w:line="117"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Helius Medical Technologies,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Dane C. Andreeff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Dane C. Andreeff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Joyce LaViscount, certify that:</w:t>
      </w:r>
    </w:p>
    <w:p>
      <w:pPr>
        <w:spacing w:after="0" w:line="117" w:lineRule="exact"/>
        <w:rPr>
          <w:sz w:val="20"/>
          <w:szCs w:val="20"/>
          <w:color w:val="auto"/>
        </w:rPr>
      </w:pPr>
    </w:p>
    <w:p>
      <w:pPr>
        <w:ind w:left="500" w:hanging="492"/>
        <w:spacing w:after="0"/>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Helius Medical Technologies,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Joyce LaViscount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Joyce LaViscount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Annual Report on Form 10-K of Helius Medical Technologies, Inc. (the "Company") for the year ended December 31, 2020 as filed with the Securities and Exchange Commission on the date hereof (the "Report"), Dane C. Andreeff, as Interim Chief Executive Officer of the Company, and Joyce LaViscount, as Chief Financial Officer of the Company, each hereby certifies, pursuant to 18 U.S.C. Section 1350, as adopted pursuant to Section 906 of the Sarbanes-Oxley Act of 2002, that, to the best of their knowledge:</w:t>
      </w:r>
    </w:p>
    <w:p>
      <w:pPr>
        <w:spacing w:after="0" w:line="79" w:lineRule="exact"/>
        <w:rPr>
          <w:sz w:val="20"/>
          <w:szCs w:val="20"/>
          <w:color w:val="auto"/>
        </w:rPr>
      </w:pPr>
    </w:p>
    <w:p>
      <w:pPr>
        <w:ind w:left="500" w:hanging="492"/>
        <w:spacing w:after="0"/>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Dane C. Andreeff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Dane C. Andreeff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Joyce LaViscount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Joyce LaViscount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pacing w:after="0" w:line="2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Helius Medical Technologies, Inc. and will be retained by Helius Medical Technologies,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o"/>
      <w:numFmt w:val="bullet"/>
      <w:start w:val="1"/>
    </w:lvl>
  </w:abstractNum>
  <w:abstractNum w:abstractNumId="8">
    <w:nsid w:val="79A1DEAA"/>
    <w:multiLevelType w:val="hybridMultilevel"/>
    <w:lvl w:ilvl="0">
      <w:lvlJc w:val="left"/>
      <w:lvlText w:val="o"/>
      <w:numFmt w:val="bullet"/>
      <w:start w:val="1"/>
    </w:lvl>
  </w:abstractNum>
  <w:abstractNum w:abstractNumId="9">
    <w:nsid w:val="75C6C33A"/>
    <w:multiLevelType w:val="hybridMultilevel"/>
    <w:lvl w:ilvl="0">
      <w:lvlJc w:val="left"/>
      <w:lvlText w:val="o"/>
      <w:numFmt w:val="bullet"/>
      <w:start w:val="1"/>
    </w:lvl>
  </w:abstractNum>
  <w:abstractNum w:abstractNumId="10">
    <w:nsid w:val="12E685FB"/>
    <w:multiLevelType w:val="hybridMultilevel"/>
    <w:lvl w:ilvl="0">
      <w:lvlJc w:val="left"/>
      <w:lvlText w:val="o"/>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1"/>
      <w:numFmt w:val="upperLetter"/>
      <w:start w:val="35"/>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1)"/>
      <w:numFmt w:val="lowerRoman"/>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decimal"/>
      <w:start w:val="2"/>
    </w:lvl>
  </w:abstractNum>
  <w:abstractNum w:abstractNumId="39">
    <w:nsid w:val="1F48EAA1"/>
    <w:multiLevelType w:val="hybridMultilevel"/>
    <w:lvl w:ilvl="0">
      <w:lvlJc w:val="left"/>
      <w:lvlText w:val="%1."/>
      <w:numFmt w:val="decimal"/>
      <w:start w:val="606"/>
    </w:lvl>
  </w:abstractNum>
  <w:abstractNum w:abstractNumId="40">
    <w:nsid w:val="1381823A"/>
    <w:multiLevelType w:val="hybridMultilevel"/>
    <w:lvl w:ilvl="0">
      <w:lvlJc w:val="left"/>
      <w:lvlText w:val="(%1)"/>
      <w:numFmt w:val="lowerRoman"/>
      <w:start w:val="1"/>
    </w:lvl>
  </w:abstractNum>
  <w:abstractNum w:abstractNumId="41">
    <w:nsid w:val="5DB70AE5"/>
    <w:multiLevelType w:val="hybridMultilevel"/>
    <w:lvl w:ilvl="0">
      <w:lvlJc w:val="left"/>
      <w:lvlText w:val="%1."/>
      <w:numFmt w:val="decimal"/>
      <w:start w:val="3"/>
    </w:lvl>
  </w:abstractNum>
  <w:abstractNum w:abstractNumId="42">
    <w:nsid w:val="100F8FCA"/>
    <w:multiLevelType w:val="hybridMultilevel"/>
    <w:lvl w:ilvl="0">
      <w:lvlJc w:val="left"/>
      <w:lvlText w:val="%1."/>
      <w:numFmt w:val="decimal"/>
      <w:start w:val="4"/>
    </w:lvl>
  </w:abstractNum>
  <w:abstractNum w:abstractNumId="43">
    <w:nsid w:val="6590700B"/>
    <w:multiLevelType w:val="hybridMultilevel"/>
    <w:lvl w:ilvl="0">
      <w:lvlJc w:val="left"/>
      <w:lvlText w:val="(%1)"/>
      <w:numFmt w:val="decimal"/>
      <w:start w:val="1"/>
    </w:lvl>
  </w:abstractNum>
  <w:abstractNum w:abstractNumId="44">
    <w:nsid w:val="15014ACB"/>
    <w:multiLevelType w:val="hybridMultilevel"/>
    <w:lvl w:ilvl="0">
      <w:lvlJc w:val="left"/>
      <w:lvlText w:val="%1."/>
      <w:numFmt w:val="decimal"/>
      <w:start w:val="6"/>
    </w:lvl>
  </w:abstractNum>
  <w:abstractNum w:abstractNumId="45">
    <w:nsid w:val="5F5E7FD0"/>
    <w:multiLevelType w:val="hybridMultilevel"/>
    <w:lvl w:ilvl="0">
      <w:lvlJc w:val="left"/>
      <w:lvlText w:val="%1."/>
      <w:numFmt w:val="decimal"/>
      <w:start w:val="7"/>
    </w:lvl>
  </w:abstractNum>
  <w:abstractNum w:abstractNumId="46">
    <w:nsid w:val="98A3148"/>
    <w:multiLevelType w:val="hybridMultilevel"/>
    <w:lvl w:ilvl="0">
      <w:lvlJc w:val="left"/>
      <w:lvlText w:val="(%1)"/>
      <w:numFmt w:val="lowerLetter"/>
      <w:start w:val="1"/>
    </w:lvl>
  </w:abstractNum>
  <w:abstractNum w:abstractNumId="47">
    <w:nsid w:val="799D0247"/>
    <w:multiLevelType w:val="hybridMultilevel"/>
    <w:lvl w:ilvl="0">
      <w:lvlJc w:val="left"/>
      <w:lvlText w:val="(%1)"/>
      <w:numFmt w:val="lowerLetter"/>
      <w:start w:val="3"/>
    </w:lvl>
  </w:abstractNum>
  <w:abstractNum w:abstractNumId="48">
    <w:nsid w:val="6B94764"/>
    <w:multiLevelType w:val="hybridMultilevel"/>
    <w:lvl w:ilvl="0">
      <w:lvlJc w:val="left"/>
      <w:lvlText w:val="(%1)"/>
      <w:numFmt w:val="lowerLetter"/>
      <w:start w:val="4"/>
    </w:lvl>
  </w:abstractNum>
  <w:abstractNum w:abstractNumId="49">
    <w:nsid w:val="42C296BD"/>
    <w:multiLevelType w:val="hybridMultilevel"/>
    <w:lvl w:ilvl="0">
      <w:lvlJc w:val="left"/>
      <w:lvlText w:val="(%1)"/>
      <w:numFmt w:val="lowerLetter"/>
      <w:start w:val="5"/>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1."/>
      <w:numFmt w:val="decimal"/>
      <w:start w:val="9"/>
    </w:lvl>
  </w:abstractNum>
  <w:abstractNum w:abstractNumId="52">
    <w:nsid w:val="661E3F1E"/>
    <w:multiLevelType w:val="hybridMultilevel"/>
    <w:lvl w:ilvl="0">
      <w:lvlJc w:val="left"/>
      <w:lvlText w:val="%1."/>
      <w:numFmt w:val="decimal"/>
      <w:start w:val="10"/>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7">
    <w:nsid w:val="613EFDC5"/>
    <w:multiLevelType w:val="hybridMultilevel"/>
    <w:lvl w:ilvl="0">
      <w:lvlJc w:val="left"/>
      <w:lvlText w:val="%1."/>
      <w:numFmt w:val="decimal"/>
      <w:start w:val="4"/>
    </w:lvl>
    <w:lvl w:ilvl="1">
      <w:lvlJc w:val="left"/>
      <w:lvlText w:val="(%2)"/>
      <w:numFmt w:val="lowerLetter"/>
      <w:start w:val="1"/>
    </w:lvl>
  </w:abstractNum>
  <w:abstractNum w:abstractNumId="58">
    <w:nsid w:val="BF72B14"/>
    <w:multiLevelType w:val="hybridMultilevel"/>
    <w:lvl w:ilvl="0">
      <w:lvlJc w:val="left"/>
      <w:lvlText w:val="%1."/>
      <w:numFmt w:val="decimal"/>
      <w:start w:val="6"/>
    </w:lvl>
  </w:abstractNum>
  <w:abstractNum w:abstractNumId="59">
    <w:nsid w:val="11447B73"/>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60">
    <w:nsid w:val="42963E5A"/>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1"/>
    </w:lvl>
  </w:abstractNum>
  <w:abstractNum w:abstractNumId="61">
    <w:nsid w:val="A0382C5"/>
    <w:multiLevelType w:val="hybridMultilevel"/>
    <w:lvl w:ilvl="0">
      <w:lvlJc w:val="left"/>
      <w:lvlText w:val="(%1)"/>
      <w:numFmt w:val="lowerLetter"/>
      <w:start w:val="2"/>
    </w:lvl>
    <w:lvl w:ilvl="1">
      <w:lvlJc w:val="left"/>
      <w:lvlText w:val="(%2)"/>
      <w:numFmt w:val="lowerLetter"/>
      <w:start w:val="9"/>
    </w:lvl>
  </w:abstractNum>
  <w:abstractNum w:abstractNumId="62">
    <w:nsid w:val="8F2B15E"/>
    <w:multiLevelType w:val="hybridMultilevel"/>
    <w:lvl w:ilvl="0">
      <w:lvlJc w:val="left"/>
      <w:lvlText w:val="%1"/>
      <w:numFmt w:val="decimal"/>
      <w:start w:val="1"/>
    </w:lvl>
    <w:lvl w:ilvl="1">
      <w:lvlJc w:val="left"/>
      <w:lvlText w:val="(%2)"/>
      <w:numFmt w:val="lowerRoman"/>
      <w:start w:val="2"/>
    </w:lvl>
  </w:abstractNum>
  <w:abstractNum w:abstractNumId="63">
    <w:nsid w:val="1A32234B"/>
    <w:multiLevelType w:val="hybridMultilevel"/>
    <w:lvl w:ilvl="0">
      <w:lvlJc w:val="left"/>
      <w:lvlText w:val="%1."/>
      <w:numFmt w:val="decimal"/>
      <w:start w:val="9"/>
    </w:lvl>
    <w:lvl w:ilvl="1">
      <w:lvlJc w:val="left"/>
      <w:lvlText w:val="%2"/>
      <w:numFmt w:val="lowerRoman"/>
      <w:start w:val="1"/>
    </w:lvl>
  </w:abstractNum>
  <w:abstractNum w:abstractNumId="64">
    <w:nsid w:val="3B0FD37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4"/>
    </w:lvl>
    <w:lvl w:ilvl="3">
      <w:lvlJc w:val="left"/>
      <w:lvlText w:val="%4"/>
      <w:numFmt w:val="lowerLetter"/>
      <w:start w:val="1"/>
    </w:lvl>
  </w:abstractNum>
  <w:abstractNum w:abstractNumId="65">
    <w:nsid w:val="68EB2F6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6"/>
    </w:lvl>
    <w:lvl w:ilvl="3">
      <w:lvlJc w:val="left"/>
      <w:lvlText w:val="(%4)"/>
      <w:numFmt w:val="lowerLetter"/>
      <w:start w:val="1"/>
    </w:lvl>
  </w:abstractNum>
  <w:abstractNum w:abstractNumId="66">
    <w:nsid w:val="4962813B"/>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67">
    <w:nsid w:val="60B6DF70"/>
    <w:multiLevelType w:val="hybridMultilevel"/>
    <w:lvl w:ilvl="0">
      <w:lvlJc w:val="left"/>
      <w:lvlText w:val="%1"/>
      <w:numFmt w:val="decimal"/>
      <w:start w:val="1"/>
    </w:lvl>
    <w:lvl w:ilvl="1">
      <w:lvlJc w:val="left"/>
      <w:lvlText w:val="(%2)"/>
      <w:numFmt w:val="lowerLetter"/>
      <w:start w:val="4"/>
    </w:lvl>
  </w:abstractNum>
  <w:abstractNum w:abstractNumId="68">
    <w:nsid w:val="6A5EE64"/>
    <w:multiLevelType w:val="hybridMultilevel"/>
    <w:lvl w:ilvl="0">
      <w:lvlJc w:val="left"/>
      <w:lvlText w:val="%1."/>
      <w:numFmt w:val="decimal"/>
      <w:start w:val="17"/>
    </w:lvl>
    <w:lvl w:ilvl="1">
      <w:lvlJc w:val="left"/>
      <w:lvlText w:val="%2"/>
      <w:numFmt w:val="lowerLetter"/>
      <w:start w:val="1"/>
    </w:lvl>
  </w:abstractNum>
  <w:abstractNum w:abstractNumId="69">
    <w:nsid w:val="14330624"/>
    <w:multiLevelType w:val="hybridMultilevel"/>
    <w:lvl w:ilvl="0">
      <w:lvlJc w:val="left"/>
      <w:lvlText w:val="(%1)"/>
      <w:numFmt w:val="lowerLetter"/>
      <w:start w:val="3"/>
    </w:lvl>
    <w:lvl w:ilvl="1">
      <w:lvlJc w:val="left"/>
      <w:lvlText w:val="%2."/>
      <w:numFmt w:val="decimal"/>
      <w:start w:val="25"/>
    </w:lvl>
  </w:abstractNum>
  <w:abstractNum w:abstractNumId="70">
    <w:nsid w:val="7FFFCA11"/>
    <w:multiLevelType w:val="hybridMultilevel"/>
    <w:lvl w:ilvl="0">
      <w:lvlJc w:val="left"/>
      <w:lvlText w:val="%1"/>
      <w:numFmt w:val="decimal"/>
      <w:start w:val="1"/>
    </w:lvl>
    <w:lvl w:ilvl="1">
      <w:lvlJc w:val="left"/>
      <w:lvlText w:val="%2."/>
      <w:numFmt w:val="decimal"/>
      <w:start w:val="27"/>
    </w:lvl>
  </w:abstractNum>
  <w:abstractNum w:abstractNumId="71">
    <w:nsid w:val="1A27709E"/>
    <w:multiLevelType w:val="hybridMultilevel"/>
    <w:lvl w:ilvl="0">
      <w:lvlJc w:val="left"/>
      <w:lvlText w:val="%1."/>
      <w:numFmt w:val="decimal"/>
      <w:start w:val="28"/>
    </w:lvl>
    <w:lvl w:ilvl="1">
      <w:lvlJc w:val="left"/>
      <w:lvlText w:val="%2."/>
      <w:numFmt w:val="decimal"/>
      <w:start w:val="29"/>
    </w:lvl>
  </w:abstractNum>
  <w:abstractNum w:abstractNumId="72">
    <w:nsid w:val="71EA1109"/>
    <w:multiLevelType w:val="hybridMultilevel"/>
    <w:lvl w:ilvl="0">
      <w:lvlJc w:val="left"/>
      <w:lvlText w:val="%1."/>
      <w:numFmt w:val="decimal"/>
      <w:start w:val="1"/>
    </w:lvl>
  </w:abstractNum>
  <w:abstractNum w:abstractNumId="73">
    <w:nsid w:val="100F59DC"/>
    <w:multiLevelType w:val="hybridMultilevel"/>
    <w:lvl w:ilvl="0">
      <w:lvlJc w:val="left"/>
      <w:lvlText w:val="(%1)"/>
      <w:numFmt w:val="lowerLetter"/>
      <w:start w:val="1"/>
    </w:lvl>
    <w:lvl w:ilvl="1">
      <w:lvlJc w:val="left"/>
      <w:lvlText w:val="%2."/>
      <w:numFmt w:val="lowerRoman"/>
      <w:start w:val="1"/>
    </w:lvl>
  </w:abstractNum>
  <w:abstractNum w:abstractNumId="74">
    <w:nsid w:val="7FB7E0AA"/>
    <w:multiLevelType w:val="hybridMultilevel"/>
    <w:lvl w:ilvl="0">
      <w:lvlJc w:val="left"/>
      <w:lvlText w:val="%1."/>
      <w:numFmt w:val="lowerRoman"/>
      <w:start w:val="3"/>
    </w:lvl>
  </w:abstractNum>
  <w:abstractNum w:abstractNumId="75">
    <w:nsid w:val="6EB5BD4"/>
    <w:multiLevelType w:val="hybridMultilevel"/>
    <w:lvl w:ilvl="0">
      <w:lvlJc w:val="left"/>
      <w:lvlText w:val="%1"/>
      <w:numFmt w:val="lowerLetter"/>
      <w:start w:val="1"/>
    </w:lvl>
    <w:lvl w:ilvl="1">
      <w:lvlJc w:val="left"/>
      <w:lvlText w:val="(%2)"/>
      <w:numFmt w:val="upperLetter"/>
      <w:start w:val="1"/>
    </w:lvl>
  </w:abstractNum>
  <w:abstractNum w:abstractNumId="76">
    <w:nsid w:val="6F6DD9AC"/>
    <w:multiLevelType w:val="hybridMultilevel"/>
    <w:lvl w:ilvl="0">
      <w:lvlJc w:val="left"/>
      <w:lvlText w:val="(%1)"/>
      <w:numFmt w:val="lowerLetter"/>
      <w:start w:val="2"/>
    </w:lvl>
    <w:lvl w:ilvl="1">
      <w:lvlJc w:val="left"/>
      <w:lvlText w:val="%2"/>
      <w:numFmt w:val="upperLetter"/>
      <w:start w:val="1"/>
    </w:lvl>
  </w:abstractNum>
  <w:abstractNum w:abstractNumId="77">
    <w:nsid w:val="94211F2"/>
    <w:multiLevelType w:val="hybridMultilevel"/>
    <w:lvl w:ilvl="0">
      <w:lvlJc w:val="left"/>
      <w:lvlText w:val="(%1)"/>
      <w:numFmt w:val="lowerLetter"/>
      <w:start w:val="4"/>
    </w:lvl>
  </w:abstractNum>
  <w:abstractNum w:abstractNumId="78">
    <w:nsid w:val="885E1B"/>
    <w:multiLevelType w:val="hybridMultilevel"/>
    <w:lvl w:ilvl="0">
      <w:lvlJc w:val="left"/>
      <w:lvlText w:val="(%1)"/>
      <w:numFmt w:val="lowerLetter"/>
      <w:start w:val="1"/>
    </w:lvl>
  </w:abstractNum>
  <w:abstractNum w:abstractNumId="79">
    <w:nsid w:val="76272110"/>
    <w:multiLevelType w:val="hybridMultilevel"/>
    <w:lvl w:ilvl="0">
      <w:lvlJc w:val="left"/>
      <w:lvlText w:val="%1."/>
      <w:numFmt w:val="lowerRoman"/>
      <w:start w:val="1"/>
    </w:lvl>
  </w:abstractNum>
  <w:abstractNum w:abstractNumId="80">
    <w:nsid w:val="4C04A8AF"/>
    <w:multiLevelType w:val="hybridMultilevel"/>
    <w:lvl w:ilvl="0">
      <w:lvlJc w:val="left"/>
      <w:lvlText w:val="%1."/>
      <w:numFmt w:val="lowerRoman"/>
      <w:start w:val="2"/>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lowerLetter"/>
      <w:start w:val="2"/>
    </w:lvl>
  </w:abstractNum>
  <w:abstractNum w:abstractNumId="85">
    <w:nsid w:val="68EBC550"/>
    <w:multiLevelType w:val="hybridMultilevel"/>
    <w:lvl w:ilvl="0">
      <w:lvlJc w:val="left"/>
      <w:lvlText w:val="(%1)"/>
      <w:numFmt w:val="lowerLetter"/>
      <w:start w:val="1"/>
    </w:lvl>
  </w:abstractNum>
  <w:abstractNum w:abstractNumId="86">
    <w:nsid w:val="2DF6D648"/>
    <w:multiLevelType w:val="hybridMultilevel"/>
    <w:lvl w:ilvl="0">
      <w:lvlJc w:val="left"/>
      <w:lvlText w:val="(%1)"/>
      <w:numFmt w:val="lowerLetter"/>
      <w:start w:val="2"/>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lowerLetter"/>
      <w:start w:val="5"/>
    </w:lvl>
  </w:abstractNum>
  <w:abstractNum w:abstractNumId="89">
    <w:nsid w:val="39EE015C"/>
    <w:multiLevelType w:val="hybridMultilevel"/>
    <w:lvl w:ilvl="0">
      <w:lvlJc w:val="left"/>
      <w:lvlText w:val="(%1)"/>
      <w:numFmt w:val="lowerLetter"/>
      <w:start w:val="1"/>
    </w:lvl>
  </w:abstractNum>
  <w:abstractNum w:abstractNumId="90">
    <w:nsid w:val="57FC4FBB"/>
    <w:multiLevelType w:val="hybridMultilevel"/>
    <w:lvl w:ilvl="0">
      <w:lvlJc w:val="left"/>
      <w:lvlText w:val="(%1)"/>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101" Type="http://schemas.openxmlformats.org/officeDocument/2006/relationships/hyperlink" Target="http://www.sec.gov/Archives/edgar/data/0001610853/000156459018020736/hsdt-10q_20180630.htm" TargetMode="External"/><Relationship Id="rId102" Type="http://schemas.openxmlformats.org/officeDocument/2006/relationships/hyperlink" Target="http://www.sec.gov/Archives/edgar/data/0001610853/000119312518312155/d646047dex31.htm" TargetMode="External"/><Relationship Id="rId103" Type="http://schemas.openxmlformats.org/officeDocument/2006/relationships/hyperlink" Target="http://www.sec.gov/Archives/edgar/data/1610853/000156459020058917/hsdt-ex31_7.htm" TargetMode="External"/><Relationship Id="rId104" Type="http://schemas.openxmlformats.org/officeDocument/2006/relationships/hyperlink" Target="http://www.sec.gov/Archives/edgar/data/0001610853/000156459018020736/hsdt-ex33_68.htm" TargetMode="External"/><Relationship Id="rId105" Type="http://schemas.openxmlformats.org/officeDocument/2006/relationships/hyperlink" Target="http://www.sec.gov/Archives/edgar/data/1610853/000106299316009103/exhibit4-1.htm" TargetMode="External"/><Relationship Id="rId106" Type="http://schemas.openxmlformats.org/officeDocument/2006/relationships/hyperlink" Target="http://www.sec.gov/Archives/edgar/data/0001610853/000156459017023191/hsdt-ex43_70.htm" TargetMode="External"/><Relationship Id="rId107" Type="http://schemas.openxmlformats.org/officeDocument/2006/relationships/hyperlink" Target="http://www.sec.gov/Archives/edgar/data/0001610853/000119312518115686/d569290dex41.htm" TargetMode="External"/><Relationship Id="rId108" Type="http://schemas.openxmlformats.org/officeDocument/2006/relationships/hyperlink" Target="http://www.sec.gov/Archives/edgar/data/1610853/000119312521011714/d15508dex41.htm" TargetMode="External"/><Relationship Id="rId109" Type="http://schemas.openxmlformats.org/officeDocument/2006/relationships/hyperlink" Target="http://www.sec.gov/Archives/edgar/data/1610853/000119312521011714/d15508dex42.htm" TargetMode="External"/><Relationship Id="rId110" Type="http://schemas.openxmlformats.org/officeDocument/2006/relationships/hyperlink" Target="http://www.sec.gov/Archives/edgar/data/1610853/000156459020041093/hsdt-ex102_8.htm" TargetMode="External"/><Relationship Id="rId111" Type="http://schemas.openxmlformats.org/officeDocument/2006/relationships/hyperlink" Target="http://www.sec.gov/Archives/edgar/data/1610853/000156459020041093/hsdt-ex101_7.htm" TargetMode="External"/><Relationship Id="rId112" Type="http://schemas.openxmlformats.org/officeDocument/2006/relationships/hyperlink" Target="http://www.sec.gov/Archives/edgar/data/0001610853/000106299315000536/exhibit10-5.htm" TargetMode="External"/><Relationship Id="rId113" Type="http://schemas.openxmlformats.org/officeDocument/2006/relationships/hyperlink" Target="http://www.sec.gov/Archives/edgar/data/0001610853/000106299314005608/exhibit10-8.htm" TargetMode="External"/><Relationship Id="rId114" Type="http://schemas.openxmlformats.org/officeDocument/2006/relationships/hyperlink" Target="http://www.sec.gov/Archives/edgar/data/0001610853/000118374014000218/fs1ex10-1.htm" TargetMode="External"/><Relationship Id="rId117" Type="http://schemas.openxmlformats.org/officeDocument/2006/relationships/hyperlink" Target="http://www.sec.gov/Archives/edgar/data/0001610853/000118374014000218/fs1ex10-7.htm" TargetMode="External"/><Relationship Id="rId118" Type="http://schemas.openxmlformats.org/officeDocument/2006/relationships/hyperlink" Target="http://www.sec.gov/Archives/edgar/data/0001610853/000118374014000218/fs1ex10-2.htm" TargetMode="External"/><Relationship Id="rId119" Type="http://schemas.openxmlformats.org/officeDocument/2006/relationships/hyperlink" Target="http://www.sec.gov/Archives/edgar/data/0001610853/000118374014000218/fs1ex10-5.htm" TargetMode="External"/><Relationship Id="rId120" Type="http://schemas.openxmlformats.org/officeDocument/2006/relationships/hyperlink" Target="http://www.sec.gov/Archives/edgar/data/0001610853/000106299315000536/exhibit10-12.htm" TargetMode="External"/><Relationship Id="rId121" Type="http://schemas.openxmlformats.org/officeDocument/2006/relationships/hyperlink" Target="http://www.sec.gov/Archives/edgar/data/0001610853/000118374014000218/fs1ex10-3.htm" TargetMode="External"/><Relationship Id="rId122" Type="http://schemas.openxmlformats.org/officeDocument/2006/relationships/hyperlink" Target="http://www.sec.gov/Archives/edgar/data/0001610853/000118374014000218/fs1ex10-4.htm" TargetMode="External"/><Relationship Id="rId123" Type="http://schemas.openxmlformats.org/officeDocument/2006/relationships/hyperlink" Target="http://www.sec.gov/Archives/edgar/data/0001610853/000106299316007961/exhibit10-3.htm" TargetMode="External"/><Relationship Id="rId124" Type="http://schemas.openxmlformats.org/officeDocument/2006/relationships/hyperlink" Target="http://www.sec.gov/Archives/edgar/data/0001610853/000106299315005471/exhibit2-1.htm" TargetMode="External"/><Relationship Id="rId125" Type="http://schemas.openxmlformats.org/officeDocument/2006/relationships/hyperlink" Target="http://www.sec.gov/Archives/edgar/data/1610853/000156459017021203/hsdt-ex101_6.htm" TargetMode="External"/><Relationship Id="rId126" Type="http://schemas.openxmlformats.org/officeDocument/2006/relationships/hyperlink" Target="http://www.sec.gov/Archives/edgar/data/1610853/000156459019007839/hsdt-ex1027_291.htm" TargetMode="External"/><Relationship Id="rId127" Type="http://schemas.openxmlformats.org/officeDocument/2006/relationships/hyperlink" Target="http://www.sec.gov/Archives/edgar/data/0001610853/000106299316009390/exhibit10-22.htm" TargetMode="External"/><Relationship Id="rId128" Type="http://schemas.openxmlformats.org/officeDocument/2006/relationships/hyperlink" Target="http://www.sec.gov/Archives/edgar/data/0001610853/000106299316012444/exhibit10-2.htm" TargetMode="External"/><Relationship Id="rId129" Type="http://schemas.openxmlformats.org/officeDocument/2006/relationships/hyperlink" Target="http://www.sec.gov/Archives/edgar/data/1610853/000156459017023191/hsdt-ex43_70.htm" TargetMode="External"/><Relationship Id="rId130" Type="http://schemas.openxmlformats.org/officeDocument/2006/relationships/hyperlink" Target="http://www.sec.gov/Archives/edgar/data/0001610853/000118374014000218/fs1ex4-1.htm" TargetMode="External"/><Relationship Id="rId131" Type="http://schemas.openxmlformats.org/officeDocument/2006/relationships/hyperlink" Target="http://www.sec.gov/Archives/edgar/data/0001610853/000156459017005926/hsdt-ex1025_990.htm" TargetMode="External"/><Relationship Id="rId132" Type="http://schemas.openxmlformats.org/officeDocument/2006/relationships/hyperlink" Target="http://www.sec.gov/Archives/edgar/data/0001610853/000156459017005926/hsdt-ex10251_1221.htm" TargetMode="External"/><Relationship Id="rId133" Type="http://schemas.openxmlformats.org/officeDocument/2006/relationships/hyperlink" Target="http://www.sec.gov/Archives/edgar/data/0001610853/000119312517175405/d382247dex47.htm" TargetMode="External"/><Relationship Id="rId134" Type="http://schemas.openxmlformats.org/officeDocument/2006/relationships/hyperlink" Target="http://www.sec.gov/Archives/edgar/data/0001610853/000119312517175405/d382247dex48.htm" TargetMode="External"/><Relationship Id="rId137" Type="http://schemas.openxmlformats.org/officeDocument/2006/relationships/hyperlink" Target="http://www.sec.gov/Archives/edgar/data/0001610853/000119312517175405/d382247dex49.htm" TargetMode="External"/><Relationship Id="rId138" Type="http://schemas.openxmlformats.org/officeDocument/2006/relationships/hyperlink" Target="http://www.sec.gov/Archives/edgar/data/0001610853/000156459018028537/hsdt-ex102_17.htm" TargetMode="External"/><Relationship Id="rId139" Type="http://schemas.openxmlformats.org/officeDocument/2006/relationships/hyperlink" Target="http://www.sec.gov/Archives/edgar/data/0001610853/000156459018028537/hsdt-ex103_18.htm" TargetMode="External"/><Relationship Id="rId140" Type="http://schemas.openxmlformats.org/officeDocument/2006/relationships/hyperlink" Target="http://www.sec.gov/Archives/edgar/data/0001610853/000156459018028537/hsdt-ex104_19.htm" TargetMode="External"/><Relationship Id="rId141" Type="http://schemas.openxmlformats.org/officeDocument/2006/relationships/hyperlink" Target="http://www.sec.gov/Archives/edgar/data/1610853/000156459020046019/hsdt-ex101_7.htm" TargetMode="External"/><Relationship Id="rId142" Type="http://schemas.openxmlformats.org/officeDocument/2006/relationships/hyperlink" Target="http://www.sec.gov/Archives/edgar/data/1610853/000156459020011626/hsdt-ex101_22.htm" TargetMode="External"/><Relationship Id="rId143" Type="http://schemas.openxmlformats.org/officeDocument/2006/relationships/hyperlink" Target="http://www.sec.gov/Archives/edgar/data/1610853/000156459020047638/hsdt-ex101_8.htm" TargetMode="External"/><Relationship Id="rId144" Type="http://schemas.openxmlformats.org/officeDocument/2006/relationships/hyperlink" Target="http://www.sec.gov/Archives/edgar/data/1610853/000156459020053577/hsdt-ex105_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2021-03-10T16:33:00Z</dcterms:created>
  <dcterms:modified xsi:type="dcterms:W3CDTF">2021-03-10T16:33:00Z</dcterms:modified>
</cp:coreProperties>
</file>