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jc w:val="center"/>
        <w:ind w:right="-19"/>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56515</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66675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16" w:lineRule="exact"/>
        <w:rPr>
          <w:sz w:val="24"/>
          <w:szCs w:val="24"/>
          <w:color w:val="auto"/>
        </w:rPr>
      </w:pPr>
    </w:p>
    <w:p>
      <w:pPr>
        <w:ind w:right="4800" w:firstLine="8"/>
        <w:spacing w:after="0" w:line="253" w:lineRule="auto"/>
        <w:tabs>
          <w:tab w:leader="none" w:pos="1188"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Annual report pursuant to Section 13 or 15(d) of the Securities Exchange Act of 1934. </w:t>
      </w:r>
      <w:r>
        <w:rPr>
          <w:rFonts w:ascii="Arial" w:cs="Arial" w:eastAsia="Arial" w:hAnsi="Arial"/>
          <w:sz w:val="14"/>
          <w:szCs w:val="14"/>
          <w:color w:val="auto"/>
        </w:rPr>
        <w:t>For the Fiscal Year Ended December 31, 2021</w:t>
      </w:r>
    </w:p>
    <w:p>
      <w:pPr>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or</w:t>
      </w:r>
    </w:p>
    <w:p>
      <w:pPr>
        <w:sectPr>
          <w:pgSz w:w="11900" w:h="16838" w:orient="portrait"/>
          <w:cols w:equalWidth="0" w:num="1">
            <w:col w:w="11240"/>
          </w:cols>
          <w:pgMar w:left="320" w:top="400" w:right="339" w:bottom="1440" w:gutter="0" w:footer="0" w:header="0"/>
        </w:sectPr>
      </w:pPr>
    </w:p>
    <w:p>
      <w:pPr>
        <w:spacing w:after="0" w:line="12" w:lineRule="exact"/>
        <w:rPr>
          <w:sz w:val="24"/>
          <w:szCs w:val="24"/>
          <w:color w:val="auto"/>
        </w:rPr>
      </w:pPr>
    </w:p>
    <w:p>
      <w:pPr>
        <w:ind w:left="1200" w:hanging="1192"/>
        <w:spacing w:after="0"/>
        <w:tabs>
          <w:tab w:leader="none" w:pos="12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55"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For the transition period from _____ to _____</w:t>
      </w:r>
    </w:p>
    <w:p>
      <w:pPr>
        <w:spacing w:after="0" w:line="4" w:lineRule="exact"/>
        <w:rPr>
          <w:sz w:val="24"/>
          <w:szCs w:val="24"/>
          <w:color w:val="auto"/>
        </w:rPr>
      </w:pPr>
    </w:p>
    <w:p>
      <w:pPr>
        <w:ind w:left="4660"/>
        <w:spacing w:after="0"/>
        <w:rPr>
          <w:sz w:val="20"/>
          <w:szCs w:val="20"/>
          <w:color w:val="auto"/>
        </w:rPr>
      </w:pPr>
      <w:r>
        <w:rPr>
          <w:rFonts w:ascii="Arial" w:cs="Arial" w:eastAsia="Arial" w:hAnsi="Arial"/>
          <w:sz w:val="14"/>
          <w:szCs w:val="14"/>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22225</wp:posOffset>
            </wp:positionV>
            <wp:extent cx="1585595" cy="805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559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left="4040"/>
        <w:spacing w:after="0"/>
        <w:rPr>
          <w:sz w:val="20"/>
          <w:szCs w:val="20"/>
          <w:color w:val="auto"/>
        </w:rPr>
      </w:pPr>
      <w:r>
        <w:rPr>
          <w:rFonts w:ascii="Arial" w:cs="Arial" w:eastAsia="Arial" w:hAnsi="Arial"/>
          <w:sz w:val="14"/>
          <w:szCs w:val="14"/>
          <w:b w:val="1"/>
          <w:bCs w:val="1"/>
          <w:color w:val="auto"/>
        </w:rPr>
        <w:t>HELIUS MEDICAL TECHNOLOGIES, INC.</w:t>
      </w:r>
    </w:p>
    <w:p>
      <w:pPr>
        <w:spacing w:after="0" w:line="4" w:lineRule="exact"/>
        <w:rPr>
          <w:sz w:val="24"/>
          <w:szCs w:val="24"/>
          <w:color w:val="auto"/>
        </w:rPr>
      </w:pPr>
    </w:p>
    <w:p>
      <w:pPr>
        <w:jc w:val="center"/>
        <w:ind w:left="4040"/>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122555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12"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Delaware</w:t>
      </w:r>
    </w:p>
    <w:p>
      <w:pPr>
        <w:ind w:left="1860"/>
        <w:spacing w:after="0" w:line="226" w:lineRule="auto"/>
        <w:rPr>
          <w:sz w:val="20"/>
          <w:szCs w:val="20"/>
          <w:color w:val="auto"/>
        </w:rPr>
      </w:pPr>
      <w:r>
        <w:rPr>
          <w:rFonts w:ascii="Arial" w:cs="Arial" w:eastAsia="Arial" w:hAnsi="Arial"/>
          <w:sz w:val="14"/>
          <w:szCs w:val="14"/>
          <w:b w:val="1"/>
          <w:bCs w:val="1"/>
          <w:color w:val="auto"/>
        </w:rPr>
        <w:t>(State or other jurisdiction of</w:t>
      </w:r>
    </w:p>
    <w:p>
      <w:pPr>
        <w:ind w:left="1820"/>
        <w:spacing w:after="0"/>
        <w:rPr>
          <w:sz w:val="20"/>
          <w:szCs w:val="20"/>
          <w:color w:val="auto"/>
        </w:rPr>
      </w:pPr>
      <w:r>
        <w:rPr>
          <w:rFonts w:ascii="Arial" w:cs="Arial" w:eastAsia="Arial" w:hAnsi="Arial"/>
          <w:sz w:val="14"/>
          <w:szCs w:val="14"/>
          <w:b w:val="1"/>
          <w:bCs w:val="1"/>
          <w:color w:val="auto"/>
        </w:rPr>
        <w:t>incorporation or organization)</w:t>
      </w:r>
    </w:p>
    <w:p>
      <w:pPr>
        <w:spacing w:after="0" w:line="2" w:lineRule="exact"/>
        <w:rPr>
          <w:sz w:val="24"/>
          <w:szCs w:val="24"/>
          <w:color w:val="auto"/>
        </w:rPr>
      </w:pPr>
    </w:p>
    <w:p>
      <w:pPr>
        <w:jc w:val="center"/>
        <w:ind w:right="1700"/>
        <w:spacing w:after="0"/>
        <w:rPr>
          <w:sz w:val="20"/>
          <w:szCs w:val="20"/>
          <w:color w:val="auto"/>
        </w:rPr>
      </w:pPr>
      <w:r>
        <w:rPr>
          <w:rFonts w:ascii="Arial" w:cs="Arial" w:eastAsia="Arial" w:hAnsi="Arial"/>
          <w:sz w:val="14"/>
          <w:szCs w:val="14"/>
          <w:b w:val="1"/>
          <w:bCs w:val="1"/>
          <w:color w:val="auto"/>
        </w:rPr>
        <w:t>642 Newtown Yardley Road, Suite 100</w:t>
      </w:r>
    </w:p>
    <w:p>
      <w:pPr>
        <w:jc w:val="center"/>
        <w:ind w:right="1700"/>
        <w:spacing w:after="0" w:line="221" w:lineRule="auto"/>
        <w:rPr>
          <w:sz w:val="20"/>
          <w:szCs w:val="20"/>
          <w:color w:val="auto"/>
        </w:rPr>
      </w:pPr>
      <w:r>
        <w:rPr>
          <w:rFonts w:ascii="Arial" w:cs="Arial" w:eastAsia="Arial" w:hAnsi="Arial"/>
          <w:sz w:val="14"/>
          <w:szCs w:val="14"/>
          <w:b w:val="1"/>
          <w:bCs w:val="1"/>
          <w:color w:val="auto"/>
        </w:rPr>
        <w:t>Newtown, Pennsylvania</w:t>
      </w:r>
    </w:p>
    <w:p>
      <w:pPr>
        <w:jc w:val="center"/>
        <w:ind w:right="17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36-4787690</w:t>
      </w:r>
    </w:p>
    <w:p>
      <w:pPr>
        <w:ind w:left="60"/>
        <w:spacing w:after="0" w:line="226" w:lineRule="auto"/>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jc w:val="center"/>
        <w:ind w:right="2180"/>
        <w:spacing w:after="0"/>
        <w:rPr>
          <w:sz w:val="20"/>
          <w:szCs w:val="20"/>
          <w:color w:val="auto"/>
        </w:rPr>
      </w:pPr>
      <w:r>
        <w:rPr>
          <w:rFonts w:ascii="Arial" w:cs="Arial" w:eastAsia="Arial" w:hAnsi="Arial"/>
          <w:sz w:val="14"/>
          <w:szCs w:val="14"/>
          <w:b w:val="1"/>
          <w:bCs w:val="1"/>
          <w:color w:val="auto"/>
        </w:rPr>
        <w:t>18940</w:t>
      </w:r>
    </w:p>
    <w:p>
      <w:pPr>
        <w:spacing w:after="0" w:line="120" w:lineRule="exact"/>
        <w:rPr>
          <w:sz w:val="24"/>
          <w:szCs w:val="24"/>
          <w:color w:val="auto"/>
        </w:rPr>
      </w:pPr>
    </w:p>
    <w:p>
      <w:pPr>
        <w:jc w:val="center"/>
        <w:ind w:right="2180"/>
        <w:spacing w:after="0"/>
        <w:rPr>
          <w:sz w:val="20"/>
          <w:szCs w:val="20"/>
          <w:color w:val="auto"/>
        </w:rPr>
      </w:pPr>
      <w:r>
        <w:rPr>
          <w:rFonts w:ascii="Arial" w:cs="Arial" w:eastAsia="Arial" w:hAnsi="Arial"/>
          <w:sz w:val="14"/>
          <w:szCs w:val="14"/>
          <w:b w:val="1"/>
          <w:bCs w:val="1"/>
          <w:color w:val="auto"/>
        </w:rPr>
        <w:t>(Zip Code)</w:t>
      </w:r>
    </w:p>
    <w:p>
      <w:pPr>
        <w:spacing w:after="0" w:line="204" w:lineRule="exact"/>
        <w:rPr>
          <w:sz w:val="24"/>
          <w:szCs w:val="24"/>
          <w:color w:val="auto"/>
        </w:rPr>
      </w:pPr>
    </w:p>
    <w:p>
      <w:pPr>
        <w:sectPr>
          <w:pgSz w:w="11900" w:h="16838" w:orient="portrait"/>
          <w:cols w:equalWidth="0" w:num="2">
            <w:col w:w="7220" w:space="700"/>
            <w:col w:w="3320"/>
          </w:cols>
          <w:pgMar w:left="320" w:top="400"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(215) 944-6100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80" w:type="dxa"/>
            <w:vAlign w:val="bottom"/>
          </w:tcPr>
          <w:p>
            <w:pPr>
              <w:spacing w:after="0"/>
              <w:rPr>
                <w:sz w:val="15"/>
                <w:szCs w:val="15"/>
                <w:color w:val="auto"/>
              </w:rPr>
            </w:pPr>
          </w:p>
        </w:tc>
        <w:tc>
          <w:tcPr>
            <w:tcW w:w="3040" w:type="dxa"/>
            <w:vAlign w:val="bottom"/>
            <w:gridSpan w:val="5"/>
          </w:tcPr>
          <w:p>
            <w:pPr>
              <w:jc w:val="center"/>
              <w:ind w:right="920"/>
              <w:spacing w:after="0"/>
              <w:rPr>
                <w:sz w:val="20"/>
                <w:szCs w:val="20"/>
                <w:color w:val="auto"/>
              </w:rPr>
            </w:pPr>
            <w:r>
              <w:rPr>
                <w:rFonts w:ascii="Arial" w:cs="Arial" w:eastAsia="Arial" w:hAnsi="Arial"/>
                <w:sz w:val="14"/>
                <w:szCs w:val="14"/>
                <w:b w:val="1"/>
                <w:bCs w:val="1"/>
                <w:color w:val="auto"/>
                <w:w w:val="94"/>
              </w:rPr>
              <w:t>Trading Symbol</w:t>
            </w:r>
          </w:p>
        </w:tc>
        <w:tc>
          <w:tcPr>
            <w:tcW w:w="3820" w:type="dxa"/>
            <w:vAlign w:val="bottom"/>
          </w:tcPr>
          <w:p>
            <w:pPr>
              <w:jc w:val="center"/>
              <w:ind w:right="76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53"/>
        </w:trPr>
        <w:tc>
          <w:tcPr>
            <w:tcW w:w="43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2"/>
              </w:rPr>
              <w:t>Class A Common Stock, $0.001 par value per share</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rPr>
              <w:t>HSDT</w:t>
            </w:r>
          </w:p>
        </w:tc>
        <w:tc>
          <w:tcPr>
            <w:tcW w:w="6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20" w:type="dxa"/>
            <w:vAlign w:val="bottom"/>
            <w:tcBorders>
              <w:top w:val="single" w:sz="8" w:color="auto"/>
            </w:tcBorders>
          </w:tcPr>
          <w:p>
            <w:pPr>
              <w:jc w:val="center"/>
              <w:ind w:right="768"/>
              <w:spacing w:after="0" w:line="153" w:lineRule="exact"/>
              <w:rPr>
                <w:sz w:val="20"/>
                <w:szCs w:val="20"/>
                <w:color w:val="auto"/>
              </w:rPr>
            </w:pPr>
            <w:r>
              <w:rPr>
                <w:rFonts w:ascii="Arial" w:cs="Arial" w:eastAsia="Arial" w:hAnsi="Arial"/>
                <w:sz w:val="14"/>
                <w:szCs w:val="14"/>
                <w:b w:val="1"/>
                <w:bCs w:val="1"/>
                <w:color w:val="auto"/>
                <w:w w:val="96"/>
              </w:rPr>
              <w:t>The Nasdaq Stock Market LLC</w:t>
            </w:r>
          </w:p>
        </w:tc>
      </w:tr>
      <w:tr>
        <w:trPr>
          <w:trHeight w:val="186"/>
        </w:trPr>
        <w:tc>
          <w:tcPr>
            <w:tcW w:w="11240" w:type="dxa"/>
            <w:vAlign w:val="bottom"/>
            <w:gridSpan w:val="8"/>
          </w:tcPr>
          <w:p>
            <w:pPr>
              <w:ind w:left="37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r>
      <w:tr>
        <w:trPr>
          <w:trHeight w:val="147"/>
        </w:trPr>
        <w:tc>
          <w:tcPr>
            <w:tcW w:w="4380" w:type="dxa"/>
            <w:vAlign w:val="bottom"/>
            <w:gridSpan w:val="2"/>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rPr>
                <w:sz w:val="12"/>
                <w:szCs w:val="12"/>
                <w:color w:val="auto"/>
              </w:rPr>
            </w:pPr>
          </w:p>
        </w:tc>
        <w:tc>
          <w:tcPr>
            <w:tcW w:w="4380" w:type="dxa"/>
            <w:vAlign w:val="bottom"/>
            <w:gridSpan w:val="2"/>
          </w:tcPr>
          <w:p>
            <w:pPr>
              <w:spacing w:after="0"/>
              <w:rPr>
                <w:sz w:val="12"/>
                <w:szCs w:val="12"/>
                <w:color w:val="auto"/>
              </w:rPr>
            </w:pPr>
          </w:p>
        </w:tc>
      </w:tr>
      <w:tr>
        <w:trPr>
          <w:trHeight w:val="204"/>
        </w:trPr>
        <w:tc>
          <w:tcPr>
            <w:tcW w:w="11240" w:type="dxa"/>
            <w:vAlign w:val="bottom"/>
            <w:gridSpan w:val="8"/>
          </w:tcPr>
          <w:p>
            <w:pPr>
              <w:ind w:left="50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7420" w:type="dxa"/>
            <w:vAlign w:val="bottom"/>
            <w:gridSpan w:val="7"/>
          </w:tcPr>
          <w:p>
            <w:pPr>
              <w:ind w:left="500"/>
              <w:spacing w:after="0" w:line="161" w:lineRule="exact"/>
              <w:rPr>
                <w:sz w:val="20"/>
                <w:szCs w:val="20"/>
                <w:color w:val="auto"/>
              </w:rPr>
            </w:pPr>
            <w:r>
              <w:rPr>
                <w:rFonts w:ascii="Arial" w:cs="Arial" w:eastAsia="Arial" w:hAnsi="Arial"/>
                <w:sz w:val="14"/>
                <w:szCs w:val="14"/>
                <w:color w:val="auto"/>
                <w:w w:val="94"/>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4"/>
              </w:rPr>
              <w:t>☐</w:t>
            </w:r>
          </w:p>
        </w:tc>
        <w:tc>
          <w:tcPr>
            <w:tcW w:w="3820" w:type="dxa"/>
            <w:vAlign w:val="bottom"/>
          </w:tcPr>
          <w:p>
            <w:pPr>
              <w:ind w:left="1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4"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496"/>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p>
      <w:pPr>
        <w:spacing w:after="0" w:line="161" w:lineRule="exact"/>
        <w:tabs>
          <w:tab w:leader="none" w:pos="84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63" w:lineRule="exact"/>
        <w:rPr>
          <w:sz w:val="24"/>
          <w:szCs w:val="24"/>
          <w:color w:val="auto"/>
        </w:rPr>
      </w:pPr>
    </w:p>
    <w:p>
      <w:pPr>
        <w:spacing w:after="0" w:line="161" w:lineRule="exact"/>
        <w:tabs>
          <w:tab w:leader="none" w:pos="846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2" w:lineRule="exact"/>
        <w:rPr>
          <w:sz w:val="24"/>
          <w:szCs w:val="24"/>
          <w:color w:val="auto"/>
        </w:rPr>
      </w:pPr>
    </w:p>
    <w:p>
      <w:pPr>
        <w:ind w:left="84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35" w:lineRule="exact"/>
        <w:rPr>
          <w:sz w:val="24"/>
          <w:szCs w:val="24"/>
          <w:color w:val="auto"/>
        </w:rPr>
      </w:pPr>
    </w:p>
    <w:p>
      <w:pPr>
        <w:jc w:val="both"/>
        <w:ind w:firstLine="49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firstLine="496"/>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p>
    <w:p>
      <w:pPr>
        <w:spacing w:after="0" w:line="1" w:lineRule="exact"/>
        <w:rPr>
          <w:sz w:val="24"/>
          <w:szCs w:val="24"/>
          <w:color w:val="auto"/>
        </w:rPr>
      </w:pPr>
    </w:p>
    <w:p>
      <w:pPr>
        <w:ind w:left="500"/>
        <w:spacing w:after="0" w:line="161" w:lineRule="exact"/>
        <w:tabs>
          <w:tab w:leader="none" w:pos="702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9" w:lineRule="exact"/>
        <w:rPr>
          <w:sz w:val="24"/>
          <w:szCs w:val="24"/>
          <w:color w:val="auto"/>
        </w:rPr>
      </w:pPr>
    </w:p>
    <w:p>
      <w:pPr>
        <w:jc w:val="both"/>
        <w:ind w:firstLine="496"/>
        <w:spacing w:after="0" w:line="246" w:lineRule="auto"/>
        <w:rPr>
          <w:sz w:val="20"/>
          <w:szCs w:val="20"/>
          <w:color w:val="auto"/>
        </w:rPr>
      </w:pPr>
      <w:r>
        <w:rPr>
          <w:rFonts w:ascii="Arial" w:cs="Arial" w:eastAsia="Arial" w:hAnsi="Arial"/>
          <w:sz w:val="14"/>
          <w:szCs w:val="14"/>
          <w:color w:val="auto"/>
        </w:rPr>
        <w:t>The aggregate market value of the common equity held by non-affiliates of the registrant on June 30, 2021, based on the closing price on that date of $16.99 per share, was approximately $37,214,794. As of March 4, 2022, there were 3,794,269 shares of the registrant’s Class A common stock outstanding.</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21"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pursuant to Regulation 14A in connection with the registrant’s 2022 Annual Meeting of Stockholders, to be filed subsequent to the date hereof, are incorporated by reference into Part III of this report. Such Definitive Proxy Statement will be filed with the Securities and Exchange Commission not later than 120 days after the conclusion of the registrant’s fiscal year ended December 31, 2021.</w:t>
      </w:r>
    </w:p>
    <w:p>
      <w:pPr>
        <w:spacing w:after="0" w:line="183" w:lineRule="exact"/>
        <w:rPr>
          <w:sz w:val="24"/>
          <w:szCs w:val="24"/>
          <w:color w:val="auto"/>
        </w:rPr>
      </w:pPr>
    </w:p>
    <w:p>
      <w:pPr>
        <w:spacing w:after="0"/>
        <w:tabs>
          <w:tab w:leader="none" w:pos="2420" w:val="left"/>
          <w:tab w:leader="none" w:pos="4260" w:val="left"/>
        </w:tabs>
        <w:rPr>
          <w:sz w:val="20"/>
          <w:szCs w:val="20"/>
          <w:color w:val="auto"/>
        </w:rPr>
      </w:pPr>
      <w:r>
        <w:rPr>
          <w:rFonts w:ascii="Arial" w:cs="Arial" w:eastAsia="Arial" w:hAnsi="Arial"/>
          <w:sz w:val="14"/>
          <w:szCs w:val="14"/>
          <w:color w:val="auto"/>
        </w:rPr>
        <w:t>Audit Firm Id: 243</w:t>
      </w:r>
      <w:r>
        <w:rPr>
          <w:sz w:val="20"/>
          <w:szCs w:val="20"/>
          <w:color w:val="auto"/>
        </w:rPr>
        <w:tab/>
      </w:r>
      <w:r>
        <w:rPr>
          <w:rFonts w:ascii="Arial" w:cs="Arial" w:eastAsia="Arial" w:hAnsi="Arial"/>
          <w:sz w:val="14"/>
          <w:szCs w:val="14"/>
          <w:color w:val="auto"/>
        </w:rPr>
        <w:t>Auditor Name: BDO</w:t>
      </w:r>
      <w:r>
        <w:rPr>
          <w:sz w:val="20"/>
          <w:szCs w:val="20"/>
          <w:color w:val="auto"/>
        </w:rPr>
        <w:tab/>
      </w:r>
      <w:r>
        <w:rPr>
          <w:rFonts w:ascii="Arial" w:cs="Arial" w:eastAsia="Arial" w:hAnsi="Arial"/>
          <w:sz w:val="13"/>
          <w:szCs w:val="13"/>
          <w:color w:val="auto"/>
        </w:rPr>
        <w:t>USA, LLPAuditor Location: Philadelphia, PA,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720090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Item</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gridSpan w:val="16"/>
          </w:tcPr>
          <w:p>
            <w:pPr>
              <w:jc w:val="center"/>
              <w:ind w:right="4600"/>
              <w:spacing w:after="0"/>
              <w:rPr>
                <w:sz w:val="20"/>
                <w:szCs w:val="20"/>
                <w:color w:val="auto"/>
              </w:rPr>
            </w:pPr>
            <w:r>
              <w:rPr>
                <w:rFonts w:ascii="Arial" w:cs="Arial" w:eastAsia="Arial" w:hAnsi="Arial"/>
                <w:sz w:val="14"/>
                <w:szCs w:val="14"/>
                <w:b w:val="1"/>
                <w:bCs w:val="1"/>
                <w:color w:val="auto"/>
                <w:w w:val="90"/>
              </w:rPr>
              <w:t>Description</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Page</w:t>
            </w:r>
          </w:p>
        </w:tc>
      </w:tr>
      <w:tr>
        <w:trPr>
          <w:trHeight w:val="291"/>
        </w:trPr>
        <w:tc>
          <w:tcPr>
            <w:tcW w:w="3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gridSpan w:val="5"/>
          </w:tcPr>
          <w:p>
            <w:pPr>
              <w:jc w:val="center"/>
              <w:ind w:right="20"/>
              <w:spacing w:after="0"/>
              <w:rPr>
                <w:rFonts w:ascii="Arial" w:cs="Arial" w:eastAsia="Arial" w:hAnsi="Arial"/>
                <w:sz w:val="18"/>
                <w:szCs w:val="18"/>
                <w:b w:val="1"/>
                <w:bCs w:val="1"/>
                <w:color w:val="0000EE"/>
                <w:w w:val="98"/>
              </w:rPr>
            </w:pPr>
            <w:hyperlink w:anchor="page6">
              <w:r>
                <w:rPr>
                  <w:rFonts w:ascii="Arial" w:cs="Arial" w:eastAsia="Arial" w:hAnsi="Arial"/>
                  <w:sz w:val="18"/>
                  <w:szCs w:val="18"/>
                  <w:b w:val="1"/>
                  <w:bCs w:val="1"/>
                  <w:color w:val="0000EE"/>
                  <w:w w:val="98"/>
                </w:rPr>
                <w:t>PART I</w:t>
              </w:r>
            </w:hyperlink>
          </w:p>
        </w:tc>
        <w:tc>
          <w:tcPr>
            <w:tcW w:w="4600" w:type="dxa"/>
            <w:vAlign w:val="bottom"/>
            <w:gridSpan w:val="10"/>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BUSINESS</w:t>
            </w:r>
          </w:p>
        </w:tc>
        <w:tc>
          <w:tcPr>
            <w:tcW w:w="3580" w:type="dxa"/>
            <w:vAlign w:val="bottom"/>
            <w:gridSpan w:val="15"/>
          </w:tcPr>
          <w:p>
            <w:pPr>
              <w:spacing w:after="0"/>
              <w:rPr>
                <w:sz w:val="24"/>
                <w:szCs w:val="24"/>
                <w:color w:val="auto"/>
              </w:rPr>
            </w:pPr>
          </w:p>
        </w:tc>
        <w:tc>
          <w:tcPr>
            <w:tcW w:w="580" w:type="dxa"/>
            <w:vAlign w:val="bottom"/>
            <w:tcBorders>
              <w:top w:val="single" w:sz="8" w:color="0000EE"/>
            </w:tcBorders>
            <w:gridSpan w:val="2"/>
          </w:tcPr>
          <w:p>
            <w:pPr>
              <w:spacing w:after="0"/>
              <w:rPr>
                <w:sz w:val="24"/>
                <w:szCs w:val="24"/>
                <w:color w:val="auto"/>
              </w:rPr>
            </w:pPr>
          </w:p>
        </w:tc>
        <w:tc>
          <w:tcPr>
            <w:tcW w:w="4660" w:type="dxa"/>
            <w:vAlign w:val="bottom"/>
            <w:gridSpan w:val="12"/>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RISK FACTORS</w:t>
              </w:r>
            </w:hyperlink>
          </w:p>
        </w:tc>
        <w:tc>
          <w:tcPr>
            <w:tcW w:w="8420" w:type="dxa"/>
            <w:vAlign w:val="bottom"/>
            <w:gridSpan w:val="2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9680" w:type="dxa"/>
            <w:vAlign w:val="bottom"/>
            <w:gridSpan w:val="3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UNRESOLVED STAFF COMMENTS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1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PROPERTIES</w:t>
              </w:r>
            </w:hyperlink>
          </w:p>
        </w:tc>
        <w:tc>
          <w:tcPr>
            <w:tcW w:w="1760" w:type="dxa"/>
            <w:vAlign w:val="bottom"/>
            <w:tcBorders>
              <w:top w:val="single" w:sz="8" w:color="0000EE"/>
            </w:tcBorders>
            <w:gridSpan w:val="7"/>
          </w:tcPr>
          <w:p>
            <w:pPr>
              <w:spacing w:after="0"/>
              <w:rPr>
                <w:sz w:val="17"/>
                <w:szCs w:val="17"/>
                <w:color w:val="auto"/>
              </w:rPr>
            </w:pPr>
          </w:p>
        </w:tc>
        <w:tc>
          <w:tcPr>
            <w:tcW w:w="6860" w:type="dxa"/>
            <w:vAlign w:val="bottom"/>
            <w:gridSpan w:val="20"/>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LEGAL PROCEEDINGS</w:t>
              </w:r>
            </w:hyperlink>
          </w:p>
        </w:tc>
        <w:tc>
          <w:tcPr>
            <w:tcW w:w="7800" w:type="dxa"/>
            <w:vAlign w:val="bottom"/>
            <w:gridSpan w:val="2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680" w:type="dxa"/>
            <w:vAlign w:val="bottom"/>
            <w:gridSpan w:val="31"/>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r>
      <w:tr>
        <w:trPr>
          <w:trHeight w:val="31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PART II</w:t>
              </w:r>
            </w:hyperlink>
          </w:p>
        </w:tc>
        <w:tc>
          <w:tcPr>
            <w:tcW w:w="4620" w:type="dxa"/>
            <w:vAlign w:val="bottom"/>
            <w:gridSpan w:val="11"/>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317"/>
        </w:trPr>
        <w:tc>
          <w:tcPr>
            <w:tcW w:w="11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680" w:type="dxa"/>
            <w:vAlign w:val="bottom"/>
            <w:gridSpan w:val="31"/>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MARKET FOR REGISTRANT’S COMMON EQUITY, RELATED STOCKHOLDER MATTERS AND ISSUER PURCHASES</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OF EQUITY SECURITIES</w:t>
              </w:r>
            </w:hyperlink>
          </w:p>
        </w:tc>
        <w:tc>
          <w:tcPr>
            <w:tcW w:w="7100" w:type="dxa"/>
            <w:vAlign w:val="bottom"/>
            <w:tcBorders>
              <w:top w:val="single" w:sz="8" w:color="0000EE"/>
            </w:tcBorders>
            <w:gridSpan w:val="21"/>
          </w:tcPr>
          <w:p>
            <w:pPr>
              <w:spacing w:after="0"/>
              <w:rPr>
                <w:sz w:val="17"/>
                <w:szCs w:val="17"/>
                <w:color w:val="auto"/>
              </w:rPr>
            </w:pPr>
          </w:p>
        </w:tc>
        <w:tc>
          <w:tcPr>
            <w:tcW w:w="340" w:type="dxa"/>
            <w:vAlign w:val="bottom"/>
            <w:gridSpan w:val="2"/>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52</w:t>
            </w:r>
          </w:p>
        </w:tc>
      </w:tr>
      <w:tr>
        <w:trPr>
          <w:trHeight w:val="412"/>
        </w:trPr>
        <w:tc>
          <w:tcPr>
            <w:tcW w:w="11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04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53">
              <w:r>
                <w:rPr>
                  <w:rFonts w:ascii="Arial" w:cs="Arial" w:eastAsia="Arial" w:hAnsi="Arial"/>
                  <w:sz w:val="18"/>
                  <w:szCs w:val="18"/>
                  <w:color w:val="0000EE"/>
                  <w:w w:val="93"/>
                </w:rPr>
                <w:t>[RESERVED]</w:t>
              </w:r>
            </w:hyperlink>
          </w:p>
        </w:tc>
        <w:tc>
          <w:tcPr>
            <w:tcW w:w="8640" w:type="dxa"/>
            <w:vAlign w:val="bottom"/>
            <w:gridSpan w:val="2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8920" w:type="dxa"/>
            <w:vAlign w:val="bottom"/>
            <w:tcBorders>
              <w:bottom w:val="single" w:sz="8" w:color="0000EE"/>
            </w:tcBorders>
            <w:gridSpan w:val="27"/>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MANAGEMENT’S DISCUSSION AND ANALYSIS OF FINANCIAL CONDITION AND RESULTS OF OPERATIONS</w:t>
              </w:r>
            </w:hyperlink>
          </w:p>
        </w:tc>
        <w:tc>
          <w:tcPr>
            <w:tcW w:w="760" w:type="dxa"/>
            <w:vAlign w:val="bottom"/>
            <w:gridSpan w:val="4"/>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968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QUANTITATIVE AND QUALITATIVE DISCLOSURES ABOUT MARKET RISK</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46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FINANCIAL STATEMENTS AND SUPPLEMENTARY DATA</w:t>
              </w:r>
            </w:hyperlink>
          </w:p>
        </w:tc>
        <w:tc>
          <w:tcPr>
            <w:tcW w:w="1480" w:type="dxa"/>
            <w:vAlign w:val="bottom"/>
            <w:tcBorders>
              <w:top w:val="single" w:sz="8" w:color="0000EE"/>
            </w:tcBorders>
            <w:gridSpan w:val="6"/>
          </w:tcPr>
          <w:p>
            <w:pPr>
              <w:spacing w:after="0"/>
              <w:rPr>
                <w:sz w:val="17"/>
                <w:szCs w:val="17"/>
                <w:color w:val="auto"/>
              </w:rPr>
            </w:pPr>
          </w:p>
        </w:tc>
        <w:tc>
          <w:tcPr>
            <w:tcW w:w="3540" w:type="dxa"/>
            <w:vAlign w:val="bottom"/>
            <w:gridSpan w:val="7"/>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9100" w:type="dxa"/>
            <w:vAlign w:val="bottom"/>
            <w:tcBorders>
              <w:bottom w:val="single" w:sz="8" w:color="0000EE"/>
            </w:tcBorders>
            <w:gridSpan w:val="28"/>
          </w:tcPr>
          <w:p>
            <w:pPr>
              <w:spacing w:after="0" w:line="196" w:lineRule="exact"/>
              <w:rPr>
                <w:rFonts w:ascii="Arial" w:cs="Arial" w:eastAsia="Arial" w:hAnsi="Arial"/>
                <w:sz w:val="18"/>
                <w:szCs w:val="18"/>
                <w:color w:val="0000EE"/>
                <w:w w:val="97"/>
              </w:rPr>
            </w:pPr>
            <w:hyperlink w:anchor="page67">
              <w:r>
                <w:rPr>
                  <w:rFonts w:ascii="Arial" w:cs="Arial" w:eastAsia="Arial" w:hAnsi="Arial"/>
                  <w:sz w:val="18"/>
                  <w:szCs w:val="18"/>
                  <w:color w:val="0000EE"/>
                  <w:w w:val="97"/>
                </w:rPr>
                <w:t>CHANGES IN AND DISAGREEMENTS WITH ACCOUNTANTS ON ACCOUNTING AND FINANCIAL DISCLOSURE</w:t>
              </w:r>
            </w:hyperlink>
          </w:p>
        </w:tc>
        <w:tc>
          <w:tcPr>
            <w:tcW w:w="580" w:type="dxa"/>
            <w:vAlign w:val="bottom"/>
            <w:gridSpan w:val="3"/>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9680" w:type="dxa"/>
            <w:vAlign w:val="bottom"/>
            <w:gridSpan w:val="31"/>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CONTROLS AND PROCEDURES</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66</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26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OTHER INFORMATION</w:t>
              </w:r>
            </w:hyperlink>
          </w:p>
        </w:tc>
        <w:tc>
          <w:tcPr>
            <w:tcW w:w="7080" w:type="dxa"/>
            <w:vAlign w:val="bottom"/>
            <w:gridSpan w:val="21"/>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140" w:type="dxa"/>
            <w:vAlign w:val="bottom"/>
            <w:gridSpan w:val="3"/>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9C.</w:t>
            </w:r>
          </w:p>
        </w:tc>
        <w:tc>
          <w:tcPr>
            <w:tcW w:w="696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DISCLOSURE REGARDING FOREIGN JURISDICTIONS THAT PREVENT INSPECTIONS</w:t>
              </w:r>
            </w:hyperlink>
          </w:p>
        </w:tc>
        <w:tc>
          <w:tcPr>
            <w:tcW w:w="2720" w:type="dxa"/>
            <w:vAlign w:val="bottom"/>
            <w:gridSpan w:val="6"/>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r>
      <w:tr>
        <w:trPr>
          <w:trHeight w:val="31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PART III</w:t>
              </w:r>
            </w:hyperlink>
          </w:p>
        </w:tc>
        <w:tc>
          <w:tcPr>
            <w:tcW w:w="4580" w:type="dxa"/>
            <w:vAlign w:val="bottom"/>
            <w:gridSpan w:val="9"/>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580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69">
              <w:r>
                <w:rPr>
                  <w:rFonts w:ascii="Arial" w:cs="Arial" w:eastAsia="Arial" w:hAnsi="Arial"/>
                  <w:sz w:val="18"/>
                  <w:szCs w:val="18"/>
                  <w:color w:val="0000EE"/>
                  <w:w w:val="94"/>
                </w:rPr>
                <w:t>DIRECTORS, EXECUTIVE OFFICERS AND CORPORATE GOVERNANCE</w:t>
              </w:r>
            </w:hyperlink>
          </w:p>
        </w:tc>
        <w:tc>
          <w:tcPr>
            <w:tcW w:w="3880" w:type="dxa"/>
            <w:vAlign w:val="bottom"/>
            <w:gridSpan w:val="8"/>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9680" w:type="dxa"/>
            <w:vAlign w:val="bottom"/>
            <w:gridSpan w:val="3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EXECUTIVE COMPENSATION</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140" w:type="dxa"/>
            <w:vAlign w:val="bottom"/>
            <w:gridSpan w:val="3"/>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9680" w:type="dxa"/>
            <w:vAlign w:val="bottom"/>
            <w:gridSpan w:val="31"/>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SECURITY OWNERSHIP OF CERTAIN BENEFICIAL OWNERS AND MANAGEMENT AND RELATED STOCKHOLDER</w:t>
              </w:r>
            </w:hyperlink>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1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MATTERS</w:t>
              </w:r>
            </w:hyperlink>
          </w:p>
        </w:tc>
        <w:tc>
          <w:tcPr>
            <w:tcW w:w="320" w:type="dxa"/>
            <w:vAlign w:val="bottom"/>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r>
      <w:tr>
        <w:trPr>
          <w:trHeight w:val="20"/>
        </w:trPr>
        <w:tc>
          <w:tcPr>
            <w:tcW w:w="1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9680" w:type="dxa"/>
            <w:vAlign w:val="bottom"/>
            <w:gridSpan w:val="3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7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PRINCIPAL ACCOUNTANT FEES AND SERVICES</w:t>
              </w:r>
            </w:hyperlink>
          </w:p>
        </w:tc>
        <w:tc>
          <w:tcPr>
            <w:tcW w:w="1980" w:type="dxa"/>
            <w:vAlign w:val="bottom"/>
            <w:gridSpan w:val="5"/>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r>
      <w:tr>
        <w:trPr>
          <w:trHeight w:val="318"/>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20" w:type="dxa"/>
            <w:vAlign w:val="bottom"/>
            <w:gridSpan w:val="17"/>
          </w:tcPr>
          <w:p>
            <w:pPr>
              <w:jc w:val="center"/>
              <w:ind w:right="4600"/>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IV</w:t>
              </w:r>
            </w:hyperlink>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318"/>
        </w:trPr>
        <w:tc>
          <w:tcPr>
            <w:tcW w:w="114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4380" w:type="dxa"/>
            <w:vAlign w:val="bottom"/>
            <w:gridSpan w:val="1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 FINANCIAL STATEMENT SCHEDULES</w:t>
              </w:r>
            </w:hyperlink>
          </w:p>
        </w:tc>
        <w:tc>
          <w:tcPr>
            <w:tcW w:w="700" w:type="dxa"/>
            <w:vAlign w:val="bottom"/>
            <w:tcBorders>
              <w:top w:val="single" w:sz="8" w:color="0000EE"/>
            </w:tcBorders>
            <w:gridSpan w:val="6"/>
          </w:tcPr>
          <w:p>
            <w:pPr>
              <w:spacing w:after="0"/>
              <w:rPr>
                <w:sz w:val="24"/>
                <w:szCs w:val="24"/>
                <w:color w:val="auto"/>
              </w:rPr>
            </w:pPr>
          </w:p>
        </w:tc>
        <w:tc>
          <w:tcPr>
            <w:tcW w:w="4600" w:type="dxa"/>
            <w:vAlign w:val="bottom"/>
            <w:gridSpan w:val="10"/>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69</w:t>
            </w:r>
          </w:p>
        </w:tc>
      </w:tr>
      <w:tr>
        <w:trPr>
          <w:trHeight w:val="196"/>
        </w:trPr>
        <w:tc>
          <w:tcPr>
            <w:tcW w:w="114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19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FORM 10-K SUMMARY</w:t>
              </w:r>
            </w:hyperlink>
          </w:p>
        </w:tc>
        <w:tc>
          <w:tcPr>
            <w:tcW w:w="2140" w:type="dxa"/>
            <w:vAlign w:val="bottom"/>
            <w:tcBorders>
              <w:top w:val="single" w:sz="8" w:color="0000EE"/>
            </w:tcBorders>
            <w:gridSpan w:val="6"/>
          </w:tcPr>
          <w:p>
            <w:pPr>
              <w:spacing w:after="0"/>
              <w:rPr>
                <w:sz w:val="17"/>
                <w:szCs w:val="17"/>
                <w:color w:val="auto"/>
              </w:rPr>
            </w:pPr>
          </w:p>
        </w:tc>
        <w:tc>
          <w:tcPr>
            <w:tcW w:w="5640" w:type="dxa"/>
            <w:vAlign w:val="bottom"/>
            <w:gridSpan w:val="18"/>
          </w:tcPr>
          <w:p>
            <w:pPr>
              <w:spacing w:after="0"/>
              <w:rPr>
                <w:sz w:val="17"/>
                <w:szCs w:val="17"/>
                <w:color w:val="auto"/>
              </w:rPr>
            </w:pP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71</w:t>
            </w:r>
          </w:p>
        </w:tc>
      </w:tr>
    </w:tbl>
    <w:p>
      <w:pPr>
        <w:spacing w:after="0" w:line="134" w:lineRule="exact"/>
        <w:rPr>
          <w:sz w:val="20"/>
          <w:szCs w:val="20"/>
          <w:color w:val="auto"/>
        </w:rPr>
      </w:pPr>
    </w:p>
    <w:p>
      <w:pPr>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SIGNATURES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In this Annual Report on Form 10-K, unless otherwise specified, references to “we,” “us,” “our,” “Helius” or “the Company” mean Helius Medical Technologies, Inc. and its wholly owned subsidiaries, Helius Medical, Inc, or HMI, Helius NeuroRehab, Inc., or HNR, Helius Medical Technologies (Canada), Inc., or HMC, and Helius Canada Acquisition Ltd., or HCA, unless the context otherwise requires. All financial information is stated in U.S. dollars unless otherwise specified. Our financial statements are prepared in accordance with accounting principles generally accepted in the United States, or U.S. GAAP.</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Annual Report on Form 10-K, or the Annual Report, includes certain statements that may constitute “forward-looking statements.” All statements contained in this Annual Report, other than statements of historical facts, that address events or developments that the Company expects to occur, are forward-looking statements. These statements are based on management’s expectations at the time the statements are made and are subject to risks, uncertainty, and changes in circumstances, which may cause actual results, performance, financial condition or achievements to differ materially from anticipated results, performance, financial condition or achievements. All statements contained herein that are not clearly historical in nature are forward-looking and the words “anticipate,” “believe,” “calls for,” “could” “depends,” “estimate,” “expect,” “extrapolate,” “foresee,” “goal,” “intend,” “likely,” “might,” “plan,” “project,” “propose,” “potential,” “target,” “think,” and similar expressions, or that events or conditions “may,” “should occur” “will,” “would,” or any similar expressions are generally intended to identify forward-looking statements.</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forward-looking statements in this Annual Report include but are not limited to statements relating to: the Company’s future growth and operational progress, including manufacturing activities for the PoNS device, receipt of prescriptions and progress of commercialization of the PoNS device in the U.S., the COVID-19 pandemic including its impact on the Company, clinical development plans, product development activities, plans for U.S. Food and Drug Administration, or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our accountants’ future perspective including any going concerns, any future stock price, our ability to build commercial infrastructure, and our ability to receive reimbursement coverage under Medicare, Medicaid or under other insurance plans.</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Such forward-looking statements are necessarily based upon a number of estimates and assumptions that, while considered reasonable by Helius, are inherently subject to significant business, economic, competitive political and social uncertainties and contingencies. The factors and assumptions used by management of the Company to develop such forward-looking statements include, but are not limited to, uncertainties associated with the Company’s capital requirements to achieve its business objectives, availability of funds, including that funding from our purchase agreement with Lincoln Park Capital Fund, LLC may be limited or be insufficient to fund our operations, the ability to find additional sources of funding, the impact of the COVID-19 pandemic, manufacturing, labor shortage and supply chain risks, including risks related to manufacturing delays, build a commercial team and build relationships with Key Opinion Leaders, neurology experts and neurorehabilitation centers the Company’s ability to train physical therapists in the supervision of the use of the PoNS treatment, the Company’s ability to secure contracts with rehabilitation clinics, the Company’s ability to obtain national Medicare coverage and to obtain a reimbursement code so that the PoNS device is covered by Medicare and Medicaid, the Company’s ability to build internal commercial infrastructure, secure state distribution licenses, market awareness of the PoNS device, future clinical trials and the clinical development process, the product development process and FDA regulatory submission review and approval process, other development activities, ongoing government regulation and other factors included in the section entitled “Risk Factors.”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we believe the expectations expressed in such forward-looking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You should refer to the “Risk Factors” section of this Annual Report for a discussion of important factors that may cause our actual results to differ materially from those expressed or implied by our forward-looking statements. As a result of these factors, we cannot assure you that the forward-looking statements in this Annual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forward-looking statements speak only as of the date of this Annual Report. Except as required by law, we assume no obligation to update or revise these forward-looking statements for any reason, even if new information becomes available in the future. You should, however, review the factors and risks and other information we describe in the reports we will file from time to time with the Securities and Exchange Commission (the “SEC”) after the date of this Annual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business is subject to a number of risks, as fully described in “Item 1A. Risk Factors” in this Annual Report. The principal factors and uncertainties include, among others:</w:t>
      </w:r>
    </w:p>
    <w:p>
      <w:pPr>
        <w:spacing w:after="0" w:line="17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losses and may not achieve or sustain profitability in the future;</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will require additional financing to carry out our plan of operations, and failure to obtain such financing may cause our business to fail;</w:t>
      </w:r>
    </w:p>
    <w:p>
      <w:pPr>
        <w:spacing w:after="0" w:line="250" w:lineRule="exact"/>
        <w:rPr>
          <w:rFonts w:ascii="Arial" w:cs="Arial" w:eastAsia="Arial" w:hAnsi="Arial"/>
          <w:sz w:val="17"/>
          <w:szCs w:val="17"/>
          <w:color w:val="auto"/>
        </w:rPr>
      </w:pPr>
    </w:p>
    <w:p>
      <w:pPr>
        <w:ind w:left="740" w:right="18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only have one product, the PoNS device, which is authorized for commercial distribution in Canada, Australia, and in the U.S. for treatment of MS, and we have not obtained authorization to distribute the PoNS device commercially in Europe or in the U.S. for other indications and may never obtain such authorizations;</w:t>
      </w:r>
    </w:p>
    <w:p>
      <w:pPr>
        <w:spacing w:after="0" w:line="183"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encounter substantial delays in planned clinical trials, and planned clinical trials may fail to demonstrate the safety and efficacy of the PoNS device to the satisfaction of regulatory authorities;</w:t>
      </w:r>
    </w:p>
    <w:p>
      <w:pPr>
        <w:spacing w:after="0" w:line="170" w:lineRule="exact"/>
        <w:rPr>
          <w:rFonts w:ascii="Arial" w:cs="Arial" w:eastAsia="Arial" w:hAnsi="Arial"/>
          <w:sz w:val="18"/>
          <w:szCs w:val="18"/>
          <w:color w:val="auto"/>
        </w:rPr>
      </w:pPr>
    </w:p>
    <w:p>
      <w:pPr>
        <w:ind w:left="740" w:right="38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Generation of revenue related to the PoNS technology is dependent on the PoNS Therapy being prescribed by physicians in the U.S. and our ability to train physical therapists in the supervision of the use of the PoNS Therapy;</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awareness of the PoNS device is limited, and the neuromodulation market is new and uncertain;</w:t>
      </w:r>
    </w:p>
    <w:p>
      <w:pPr>
        <w:spacing w:after="0" w:line="238" w:lineRule="exact"/>
        <w:rPr>
          <w:rFonts w:ascii="Arial" w:cs="Arial" w:eastAsia="Arial" w:hAnsi="Arial"/>
          <w:sz w:val="18"/>
          <w:szCs w:val="18"/>
          <w:color w:val="auto"/>
        </w:rPr>
      </w:pPr>
    </w:p>
    <w:p>
      <w:pPr>
        <w:ind w:left="7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third-party scientists and research institutions, in part, for research and development and on third parties for the manufacture and distribution of our product;</w:t>
      </w:r>
    </w:p>
    <w:p>
      <w:pPr>
        <w:spacing w:after="0" w:line="170" w:lineRule="exact"/>
        <w:rPr>
          <w:rFonts w:ascii="Arial" w:cs="Arial" w:eastAsia="Arial" w:hAnsi="Arial"/>
          <w:sz w:val="18"/>
          <w:szCs w:val="18"/>
          <w:color w:val="auto"/>
        </w:rPr>
      </w:pPr>
    </w:p>
    <w:p>
      <w:pPr>
        <w:ind w:left="740" w:right="52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outbreaks of communicable diseases may continue to materially and adversely affect our business, financial condition and results of operations;</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parties may gain access to our technology if our intellectual property protection is insufficient;</w:t>
      </w:r>
    </w:p>
    <w:p>
      <w:pPr>
        <w:spacing w:after="0" w:line="238"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various litigation claims and legal proceedings, including intellectual property litigation, which may adversely affect our business;</w:t>
      </w:r>
    </w:p>
    <w:p>
      <w:pPr>
        <w:spacing w:after="0" w:line="170" w:lineRule="exact"/>
        <w:rPr>
          <w:rFonts w:ascii="Arial" w:cs="Arial" w:eastAsia="Arial" w:hAnsi="Arial"/>
          <w:sz w:val="18"/>
          <w:szCs w:val="18"/>
          <w:color w:val="auto"/>
        </w:rPr>
      </w:pPr>
    </w:p>
    <w:p>
      <w:pPr>
        <w:jc w:val="both"/>
        <w:ind w:left="740" w:right="36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Commercialization of our product outside of Canada, Australia, and the U.S. for indications other than MS is dependent on obtaining market authorization from the FDA and foreign regulatory authorities, which will require significant time, research, development, and clinical study expenditures and ultimately may not be successful;</w:t>
      </w:r>
    </w:p>
    <w:p>
      <w:pPr>
        <w:spacing w:after="0" w:line="183"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secure contracts with workers’ compensation and third-party administrators or rehabilitation clinics could have a negative impact on our sales and would have a material adverse effect on our business, financial condition and operating results;</w:t>
      </w:r>
    </w:p>
    <w:p>
      <w:pPr>
        <w:spacing w:after="0" w:line="170" w:lineRule="exact"/>
        <w:rPr>
          <w:rFonts w:ascii="Arial" w:cs="Arial" w:eastAsia="Arial" w:hAnsi="Arial"/>
          <w:sz w:val="18"/>
          <w:szCs w:val="18"/>
          <w:color w:val="auto"/>
        </w:rPr>
      </w:pPr>
    </w:p>
    <w:p>
      <w:pPr>
        <w:ind w:left="740" w:right="20" w:hanging="368"/>
        <w:spacing w:after="0" w:line="26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a reimbursement code from the U.S. Department of Health and Human Services so that the PoNS device is covered by Medicare and Medicaid could have a negative impact on our intended sales and would have a material adverse effect on our business, financial condition and operating results;</w:t>
      </w:r>
    </w:p>
    <w:p>
      <w:pPr>
        <w:spacing w:after="0" w:line="183"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comply with healthcare laws, we could face substantial penalties and financial exposure;</w:t>
      </w:r>
    </w:p>
    <w:p>
      <w:pPr>
        <w:spacing w:after="0" w:line="238" w:lineRule="exact"/>
        <w:rPr>
          <w:rFonts w:ascii="Arial" w:cs="Arial" w:eastAsia="Arial" w:hAnsi="Arial"/>
          <w:sz w:val="18"/>
          <w:szCs w:val="18"/>
          <w:color w:val="auto"/>
        </w:rPr>
      </w:pPr>
    </w:p>
    <w:p>
      <w:pPr>
        <w:ind w:left="740" w:right="64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ongoing government scrutiny and regulation in connection with the development of product candidates and following marketing authorization;</w:t>
      </w:r>
    </w:p>
    <w:p>
      <w:pPr>
        <w:spacing w:after="0" w:line="170" w:lineRule="exact"/>
        <w:rPr>
          <w:rFonts w:ascii="Arial" w:cs="Arial" w:eastAsia="Arial" w:hAnsi="Arial"/>
          <w:sz w:val="18"/>
          <w:szCs w:val="18"/>
          <w:color w:val="auto"/>
        </w:rPr>
      </w:pPr>
    </w:p>
    <w:p>
      <w:pPr>
        <w:ind w:left="740" w:right="2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After commercialization, a product recall or the discovery of serious safety issues with our products could have a significant adverse impact on us; and</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been the victim of a cyber-related crime, and our controls may not be successful in avoiding future cyber-related crimes.</w:t>
      </w:r>
    </w:p>
    <w:p>
      <w:pPr>
        <w:spacing w:after="0" w:line="238" w:lineRule="exact"/>
        <w:rPr>
          <w:rFonts w:ascii="Arial" w:cs="Arial" w:eastAsia="Arial" w:hAnsi="Arial"/>
          <w:sz w:val="18"/>
          <w:szCs w:val="18"/>
          <w:color w:val="auto"/>
        </w:rPr>
      </w:pPr>
    </w:p>
    <w:p>
      <w:pPr>
        <w:ind w:left="740" w:right="3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reliant on third-party, single-sourced contract manufacturing, exposing us to risks that could delay our sales or result in higher costs or lost product revenues.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Annual Report, we reference information, statistics and estimates regarding the medical devices and healthcare industries. We have obtained this information from various third-party sources, including industry and general publications, reports by market research firms and other sources. This information involves a number of assumptions and limitations, and we have not independently verified the accuracy or completeness of this information. Some data and other information are also based on the good faith estimates of management, which are derived from our research, review of internal surveys, general information discussed in the industry, and third-party sources. We believe that these external sources and estimates are reliable but have not independently verified them. The industries in which we operate are subject to a high degree of uncertainty, change, and risk due to a variety of factors, including those described in “Item 1A. Risk Factors.” These and other factors could cause results to differ materially from those expressed in this Annual Report and other publications.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non-implanted technologies targeted at reducing symptoms of neurological disease or trauma.</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product, known as the Portable Neuromodulation Stimulator, or PoNS</w:t>
      </w:r>
      <w:r>
        <w:rPr>
          <w:rFonts w:ascii="Arial" w:cs="Arial" w:eastAsia="Arial" w:hAnsi="Arial"/>
          <w:sz w:val="14"/>
          <w:szCs w:val="14"/>
          <w:color w:val="auto"/>
        </w:rPr>
        <w:t>®</w:t>
      </w:r>
      <w:r>
        <w:rPr>
          <w:rFonts w:ascii="Arial" w:cs="Arial" w:eastAsia="Arial" w:hAnsi="Arial"/>
          <w:sz w:val="17"/>
          <w:szCs w:val="17"/>
          <w:color w:val="auto"/>
        </w:rPr>
        <w:t>, is an innovative non-implanted medical device, inclusive of a controller and mouthpiece, which delivers mild electrical stimulation to the surface of the tongue to provide treatment of gait deficit and chronic balance deficit. PoNS has marketing clearance in the U.S. for use in the U.S. as a short term treatment of gait deficit due to mild-to-moderate symptoms for multiple sclerosis, or MS, and is to be used as an adjunct to a supervised therapeutic exercise program in patients 22 years of age and over by prescription only. We are currently accepting prescriptions for PoNS in the U.S., and we expect the first commercial sales to occur in the near term. PoNS is authorized for sale in Canada for two indications: (i) for use as a short term treatment (14 weeks) of chronic balance deficit due to mild-to-moderate traumatic brain injury, or mmTBI, and is to be used in conjunction with physical therapy, or PoNS Therapy</w:t>
      </w:r>
      <w:r>
        <w:rPr>
          <w:rFonts w:ascii="Arial" w:cs="Arial" w:eastAsia="Arial" w:hAnsi="Arial"/>
          <w:sz w:val="14"/>
          <w:szCs w:val="14"/>
          <w:color w:val="auto"/>
        </w:rPr>
        <w:t>TM</w:t>
      </w:r>
      <w:r>
        <w:rPr>
          <w:rFonts w:ascii="Arial" w:cs="Arial" w:eastAsia="Arial" w:hAnsi="Arial"/>
          <w:sz w:val="17"/>
          <w:szCs w:val="17"/>
          <w:color w:val="auto"/>
        </w:rPr>
        <w:t>; and (ii) for use as a short term treatment (14 weeks) of gait deficit due to mild and moderate symptoms from MS and it is to be used in conjunction with physical therapy. It has been commercially available in Canada since March 2019. PoNS is authorized for sale as a Class IIa medical device in Australia and we are currently seeking a business partner to commercialize and distribute PoNS in Australia.</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PoNS Device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PoNS device is a non-implanted medical device comprised of a controller and a mouthpiece that are connected by a cord. The controller is worn around the neck and the mouthpiece sits on the tongue during treatment. PoNS Therapy, or the “Therapy”, utilizes the PoNS device in conjunction with supervised therapeutic exercise. The Therapy consists of condition specific exercises for movement control, balance and gait training, and breathing and awareness training that are designed to focus on the individual patient’s functional deficits. The Therapy is completed over a period of 14 weeks. The first 2 weeks of the Therapy are administered in a rehabilitation or physical therapy clinic by a PoNS trained therapist. The remaining 12 weeks are completed at home with weekly clinic visits to monitor progress, assess improvements and ensure the therapy level is still appropriate. When the device is on, the 143 gold-plated electrodes on the mouthpiece send mild electrical signals to the tongue. These impulses stimulate sensory nerves in the tongue that have direct pathways to the brain, through the brain stem. The combination of mild stimulation with supervised therapeutic exercise may enhance the neuroplastic effect, potentially resulting in functional improvements in balance and gait. During each clinic visit and at the end of the 14-week Therapy, the clinic downloads the PoNS usage data from the device and reviews it with the patient. This usage data in combination with the detail of the completed treatment assessments gives the clinician and the patient a unique and powerful method to assess treatment progress. The patient initiates their Therapy sessions with the PoNS device under the supervision of the clinicians through regular check ins.</w:t>
      </w:r>
    </w:p>
    <w:p>
      <w:pPr>
        <w:spacing w:after="0" w:line="1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Clinical research has shown that translingual neurostimulation activates two major cranial nerves – the trigeminal nerve, and the facial nerve, which creates a flow of neural impulses that are delivered directly into the brain stem and cerebellum – the main control centers for multiple functions including sensory perception and movement. From the brain stem, these impulses travel throughout the brain and may activate or reactivate neurons and structures involved in human function. Researchers believe that supervised therapeutic exercise with neurostimulation can initiate changes in the brain, supporting the restructuring and reorganization (neuroplasticity) of certain areas of the brain.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Design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PoNS device is ergonomically designed for patient comfort, is relatively light, contains a replaceable hygienic mouthpiece and a rechargeable battery with built-in technology to allow for tracking of the patient’s usage, including time and intensity of treatments. See 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-34290</wp:posOffset>
            </wp:positionV>
            <wp:extent cx="1499870" cy="1499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9870"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Figure 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Portable Neuromodulation Stimulator, PoNS device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mouthpiece of the PoNS device sits on the front third of the tongue and is held in place by the lips and closed mouth. See 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168910</wp:posOffset>
            </wp:positionV>
            <wp:extent cx="3188970" cy="2331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897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Figure 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rechargeable lithium polymer battery with built-in charge safety circuitry provides power. While the voltage and pulse timing to each electrode are programmed into the device and cannot be altered, the user can adjust the stimulus intensity, which is achieved by adjusting the electrical pulse width. The sensation produced by the mouthpiece is similar to the feeling of drinking a carbonated beverage. The patented waveform is specifically designed to minimize the potential for tissue irritation.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Multiple Sclerosis and Current Available Treatments</w:t>
      </w:r>
    </w:p>
    <w:p>
      <w:pPr>
        <w:spacing w:after="0" w:line="225" w:lineRule="exact"/>
        <w:rPr>
          <w:sz w:val="20"/>
          <w:szCs w:val="20"/>
          <w:color w:val="auto"/>
        </w:rPr>
      </w:pPr>
    </w:p>
    <w:p>
      <w:pPr>
        <w:jc w:val="both"/>
        <w:ind w:right="100"/>
        <w:spacing w:after="0" w:line="291" w:lineRule="auto"/>
        <w:rPr>
          <w:sz w:val="20"/>
          <w:szCs w:val="20"/>
          <w:color w:val="auto"/>
        </w:rPr>
      </w:pPr>
      <w:r>
        <w:rPr>
          <w:rFonts w:ascii="Arial" w:cs="Arial" w:eastAsia="Arial" w:hAnsi="Arial"/>
          <w:sz w:val="16"/>
          <w:szCs w:val="16"/>
          <w:color w:val="auto"/>
        </w:rPr>
        <w:t>Multiple Sclerosis, or MS, is currently classified as an autoimmune disease of the central nervous system. The disease attacks the myelin, the protective covering of the nerve necessary for the transmission of nerve impulses through nerve fibers, causing inflammation and often damaging the myelin. Damage to the myelin is variable, depending on the course of the disease, which influences the type and severity of symptoms. MS is unpredictable and can cause symptoms such as extreme fatigue, lack of coordination, weakness, tingling, impaired sensation, vision problems, bladder problems, cognitive impairment and mood changes. Its effects can be physical and emotional with a substantial financial burden. Currently there is no cure and patients with MS experience a progressive decline in health over time. There are a variety of treatments available for MS, some of which are experimental, including pharmaceutical, dietary, and surgical, which may or may not be covered by government or private health insurance.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Findings from a National MS Society study estimate that nearly 1 million people in the U.S. are living with MS of which approximately 25-30% are on Medicare and 93,000 people in Canada are living with MS. The National MS Society estimates that 2.3 million people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both"/>
        <w:spacing w:after="0" w:line="263" w:lineRule="auto"/>
        <w:rPr>
          <w:sz w:val="20"/>
          <w:szCs w:val="20"/>
          <w:color w:val="auto"/>
        </w:rPr>
      </w:pPr>
      <w:r>
        <w:rPr>
          <w:rFonts w:ascii="Arial" w:cs="Arial" w:eastAsia="Arial" w:hAnsi="Arial"/>
          <w:sz w:val="18"/>
          <w:szCs w:val="18"/>
          <w:color w:val="auto"/>
        </w:rPr>
        <w:t>live with MS globally. The U.S. and Canada have the highest rates of MS, with 309 cases per 100,000 in the U.S., and 291 cases per 100,000 in Canada, respectively. Given the nature of this neurodegenerative disease, these individuals and their caretakers are active in exploring treatment options that may resolve or delay the progression of symptoms. There is also a well-established advocacy framework.</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Mobility disability and walking impairment are among the most debilitating consequences of MS with approximately 85% of individuals diagnosed with MS reporting gait impairment as a major limitation in their daily lives. Gait is one of the most important bodily functions for MS patients and gait parameters, such as walking speed and stride length, have been shown to be significant predicators of patient independence in daily activities. A survey of 436 patients found that 45% reported a mobility disability in the first month following diagnosis, with upwards of 90% of patients reporting a mobility disability within 10 years of their diagnosis. Additionally, 50-80% of MS patients suffer from balance and gait dysfunction and over 50% fall at least once a year. It has also been reported that unemployment rates in MS patients range from 24-80% with higher rates associated with decreased ambulation and mobility. The Centers for Disease Control, or CDC, reports that individuals with disabilities, like MS, that result in limited mobility are at greater risk for health problems including injury, mental health and depression, overweight and obesity, pain, pressure sores or ulcers and other issues.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2016 economic analysis of MS found the total lifetime costs per person with MS to be $4.1 million, with average yearly healthcare costs ranging from $30 thousand to $100 thousand based on the severity of the disease. Since the exact cause of MS is still unknown, there is no known prevention. Although there is no cure for MS yet, treatments can manage symptoms. MS medications are designed to lessen the frequency of relapses and slow the progression of the disease, but none have proven to halt progression of the disease.</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While there are several disease-modifying medications approved by the FDA to treat MS, only one drug approved by FDA and Heath Canada, Ampyra® (dalfampridine), is indicated for the improvement </w:t>
      </w:r>
      <w:r>
        <w:rPr>
          <w:rFonts w:ascii="Arial" w:cs="Arial" w:eastAsia="Arial" w:hAnsi="Arial"/>
          <w:sz w:val="18"/>
          <w:szCs w:val="18"/>
          <w:color w:val="231F20"/>
        </w:rPr>
        <w:t>of gait speed in patients with MS, which offers the closest comparison to the effects of PoNS Therapy on</w:t>
      </w:r>
      <w:r>
        <w:rPr>
          <w:rFonts w:ascii="Arial" w:cs="Arial" w:eastAsia="Arial" w:hAnsi="Arial"/>
          <w:sz w:val="18"/>
          <w:szCs w:val="18"/>
          <w:color w:val="auto"/>
        </w:rPr>
        <w:t xml:space="preserve"> </w:t>
      </w:r>
      <w:r>
        <w:rPr>
          <w:rFonts w:ascii="Arial" w:cs="Arial" w:eastAsia="Arial" w:hAnsi="Arial"/>
          <w:sz w:val="18"/>
          <w:szCs w:val="18"/>
          <w:color w:val="231F20"/>
        </w:rPr>
        <w:t>improvement in gait.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mmTBI and Current Available Treatments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an estimated 14.5 million people globally, with over 1.5 million in the U.S. and 350,000 in Canada, living with balance deficit due to mmTBI. Every year in the U.S. and Canada, there are approximately 420,000 and 20,000 newly diagnosed mmTBIs, respectively, resulting in balance deficit. This condition often has a significant impact on one’s quality of life, negatively affecting independence, employability, productivity, mental health and participation in the community. Rehabilitation is often required following a mmTBI for resulting motor, cognitive and behavioral impairments. The current standard of care to address balance issues following a mmTBI is supervised therapeutic exercise. While supervised therapeutic exercise can help to promote balance recovery, individuals are often unable to return to their full function and are left living with a balance deficit.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the development of the PoNS device, there were no cleared treatments that were clinically indicated to treat balance deficit. A few studies have suggested that supervised therapeutic exercise aimed at improving balance and gait may be mildly effective for rehabilitation in the mmTBI population. Given the small number of published studies, the small number of patients enrolled in the studies of which we are aware, the varying range of interventional protocols employed in such studies and the lower levels of study design, it is difficult to draw any conclusions regarding the effectiveness and dosing parameters of using supervised therapeutic exercise alone for the treatment of balance deficit following mmTBI. Consequently, we believe that there is a large potential commercial opportunity for the PoNS Therapy in the treatment of balance deficit due to mmTBI. Our goal is to establish the PoNS Therapy as the standard of care for this condition all over the world.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PoNS Clinical Trials and Scientific Support in MS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two peer reviewed published clinical trials reporting on the results of clinical trials comparing active PoNS + PT vs Placebo PoNS + PT in subjects with mild and moderate MS: Tyler et al. Journal of NeuroEngineering and Rehabilitation 2014, 11:79 and Leonard et al. Multiple Sclerosis Journal Experimental, Translational and Clinical January-March 2017: 19 DOI: 10.1177/ 2055217317690561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Summary results of the Tyler study in 20 patients with mild and moderate MS:</w:t>
      </w:r>
    </w:p>
    <w:p>
      <w:pPr>
        <w:spacing w:after="0" w:line="23" w:lineRule="exact"/>
        <w:rPr>
          <w:sz w:val="20"/>
          <w:szCs w:val="20"/>
          <w:color w:val="auto"/>
        </w:rPr>
      </w:pPr>
    </w:p>
    <w:p>
      <w:pPr>
        <w:ind w:left="740" w:right="20" w:hanging="368"/>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 comparison of the Dynamic Gait Index (DGI), a measure of the ability to walk, after 14 weeks of treatment of 10 subjects treated with active PoNS + PT Vs 10 subjects treated with placebo PoNS + PT</w:t>
      </w:r>
    </w:p>
    <w:p>
      <w:pPr>
        <w:ind w:left="740" w:hanging="36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showed a statistically significant change (p&lt;0.005) in favor of the Active PoNS group.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Summary results from the Leonard study in 14 patients treated with mild and moderate MS:</w:t>
      </w:r>
    </w:p>
    <w:p>
      <w:pPr>
        <w:spacing w:after="0" w:line="23" w:lineRule="exact"/>
        <w:rPr>
          <w:sz w:val="20"/>
          <w:szCs w:val="20"/>
          <w:color w:val="auto"/>
        </w:rPr>
      </w:pPr>
    </w:p>
    <w:p>
      <w:pPr>
        <w:jc w:val="both"/>
        <w:ind w:left="780" w:hanging="367"/>
        <w:spacing w:after="0" w:line="25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week 14 there was a statistically significant improvement p=0.001 in the NeuroCom Sensory Organization Test (SOT), a test of subject’s ability to balance, versus baseline for the 7 subjects in the active PoNS treated group and non-significant change in the 7 subjects in placebo PoNS treated group vs baseline.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Summary of Real-World Evidence (RWE) in MS patients treated with PoNS in Canada.</w:t>
      </w:r>
    </w:p>
    <w:p>
      <w:pPr>
        <w:spacing w:after="0" w:line="23" w:lineRule="exact"/>
        <w:rPr>
          <w:sz w:val="20"/>
          <w:szCs w:val="20"/>
          <w:color w:val="auto"/>
        </w:rPr>
      </w:pPr>
    </w:p>
    <w:p>
      <w:pPr>
        <w:ind w:left="74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Treatment outcomes for patients treated in Canada are captured in the Company-developed validated data capture system. 43 patients with MS were treated with PoNS in Canada between March 2019 and December 2019.</w:t>
      </w:r>
    </w:p>
    <w:p>
      <w:pPr>
        <w:ind w:left="740" w:right="2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Using all available data from the treated MS patients, the mean improvement from baseline to Week 14 in the FGA (functional gait assessment) was 4.53 (95% CI 3.35 to 5.72). Based on observed data, the median improvement was 5 points.</w:t>
      </w:r>
    </w:p>
    <w:p>
      <w:pPr>
        <w:ind w:left="740" w:right="20" w:hanging="368"/>
        <w:spacing w:after="0" w:line="250"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56.7% had an improvement at Week 14 greater than or equal to 4 points, the minimum detectable change. We believe this finding is particularly notable given that the RWE data set consisted of patients with chronic MS with long durations of disease.</w:t>
      </w:r>
    </w:p>
    <w:p>
      <w:pPr>
        <w:ind w:left="740" w:hanging="36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the excellent safety profile, these data support a positive benefit risk ratio in the real-world setting.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PoNS Clinical Trials and Scientific Support in mmTBI</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There are two peer reviewed published clinical trials reporting on the results of the PoNS Therapy for persons with mmTBI. The first is from our registrational clinical trial (TBI-001): Ptito A, Papa, L, Gregory, K, Folmer, RL, Walker, WC, Prabhakaran, V, Wardini, R, Skinner, KL, Yochelson, M, (2020). “A Prospective, Multicenter Study to Assess the Safety and Efficacy of Translingual Neurostimulation Plus Physical Therapy for the Treatment of a Chronic Balance Deficit Due to Mild-to-Moderate Traumatic Brain Injury”. </w:t>
      </w:r>
      <w:r>
        <w:rPr>
          <w:rFonts w:ascii="Arial" w:cs="Arial" w:eastAsia="Arial" w:hAnsi="Arial"/>
          <w:sz w:val="18"/>
          <w:szCs w:val="18"/>
          <w:i w:val="1"/>
          <w:iCs w:val="1"/>
          <w:color w:val="auto"/>
        </w:rPr>
        <w:t>Neuromodulation: Technology at the Neural Interface</w:t>
      </w:r>
      <w:r>
        <w:rPr>
          <w:rFonts w:ascii="Arial" w:cs="Arial" w:eastAsia="Arial" w:hAnsi="Arial"/>
          <w:sz w:val="18"/>
          <w:szCs w:val="18"/>
          <w:color w:val="auto"/>
        </w:rPr>
        <w:t>. The second is from the Long-Term Treatment study in mmTBI Trial: Tyler, ME, Skinner, KL, Prabhakaran, V, Kaczmarek, KA, Danilov, YP (2019). “Translingual neurostimulation for the treatment of chronic symptoms due to mild-to-moderate traumatic brain injury.” Archives of Rehabilitation Research and Clinical Translation; 1(304):100026.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PoNS Registrational Clinical Trial in mmTBI</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completed our registrational clinical trial (TBI-001) of the PoNS Therapy for persons with mmTBI in 2017. It was a double-blind randomized, controlled study of the safety and effectiveness of the PoNS Therapy using translingual noninvasive stimulation in participants with balance deficit due to mmTBI.</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trial was launched in 2015 in conjunction with the U.S. Army Medical Research and Materiel Command, or the USAMRMC, and was conducted at seven sites in the U.S. and Canada. The trial evaluated 122 randomized participants between the ages of 18 and 65 years. Each participant received five weeks of treatment, two weeks in clinic and three weeks at home. The treatment consisted of physical therapy geared toward the functional capability of each individual participant. Enrolled participants worked with a certified PoNS trainer and were randomized to receive either a high-frequency pulse, or HFP, (25.7 million pulses per 20-minute treatment) or a low-frequency pulse, or LFP, (13,728 pulses per 20-minute treatment) PoNS device. While the HFP and the LFP devices were identical, the frequency of the pulses was different.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Design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participants provided a prior neuroradiologic report (obtained at least one year after the most recent mmTBI), if available, and completed demographic and quality of life surveys and a medical history during an initial screening visit. Participants who met the initial screening entrance criteria were scheduled for an MRI of the head, a neuropsychiatric evaluation, the SOT to evaluate balance, and a 20-minute walk on the treadmill to evaluate fitness. Key eligibility criteria to participate in the study included the following:</w:t>
      </w:r>
    </w:p>
    <w:p>
      <w:pPr>
        <w:spacing w:after="0" w:line="2"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Male or female, 18 to 65 years of age.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1-year post most recent mmTBI at the time of screening.</w:t>
      </w:r>
    </w:p>
    <w:p>
      <w:pPr>
        <w:spacing w:after="0" w:line="22" w:lineRule="exact"/>
        <w:rPr>
          <w:rFonts w:ascii="Arial" w:cs="Arial" w:eastAsia="Arial" w:hAnsi="Arial"/>
          <w:sz w:val="18"/>
          <w:szCs w:val="18"/>
          <w:color w:val="auto"/>
        </w:rPr>
      </w:pPr>
    </w:p>
    <w:p>
      <w:pPr>
        <w:ind w:left="740" w:hanging="368"/>
        <w:spacing w:after="0" w:line="258"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participated in a focused physical rehabilitation program for mmTBI and had been deemed by the treating clinician to have reached a plateau.</w:t>
      </w:r>
    </w:p>
    <w:p>
      <w:pPr>
        <w:ind w:left="740" w:hanging="368"/>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Had a balance disorder SOT composite score of at least 16 points below the normative value for the participant’s age.</w:t>
      </w:r>
    </w:p>
    <w:p>
      <w:pPr>
        <w:spacing w:after="0" w:line="9" w:lineRule="exact"/>
        <w:rPr>
          <w:rFonts w:ascii="Arial" w:cs="Arial" w:eastAsia="Arial" w:hAnsi="Arial"/>
          <w:sz w:val="18"/>
          <w:szCs w:val="18"/>
          <w:color w:val="auto"/>
        </w:rPr>
      </w:pPr>
    </w:p>
    <w:p>
      <w:pPr>
        <w:ind w:left="740" w:right="20" w:hanging="368"/>
        <w:spacing w:after="0" w:line="276" w:lineRule="auto"/>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Stable neurologic status, as determined from the participant’s medical records and the trial physician’s opinion based on no new or changing symptoms.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Participants meeting all the eligibility criteria, and who were not disqualified by exclusion criteria applicable to the trial, were enrolled and randomly assigned in blocks of four to receive an HFP or LFP device. Randomization occurred at each site, according to the randomization plan developed by the clinical research organization. An objective balance assessment was performed using the composite score from the SOT, which measures balance using computerized sensors that objectively measure participants’ ability to maintain balance under six different conditions. The SOT is a widely used measurement tool for balance disorder associated with TBI and was used as the primary efficacy endpoint for the trial. According to published clinical trial data, patients that received physical therapy alone to treat balance deficit related to mmTBI improved by an average of ten to 13 points on the SOT scale, a 0 to 100 scale, and clinical experience shows those patients tend to drift back to baseline levels when physical therapy is discontinued. On average, participants entered the trial with an SOT composite score of approximately 40, which is a score that indicates substantially compromised functional balance. In the trial, an SOT responder was defined as a participant with an improvement of at least 15 points in his/her SOT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composite score from baseline to the end of five weeks of PoNS Therapy, a level of change that to our knowledge, has not been achieved in clinical trials of patients with mmTBI-related balance disorder undergoing standard of care physical therapy.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Trial Results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trial’s statistical analysis plan stated that, if the outcome of the primary effectiveness endpoint showed that PoNS Therapy in the HFP and LFP arms both produced responses of greater than 15 points on the SOT composite score that were not significantly different from one another, the secondary endpoint would be calculated by combining the two groups and comparing the response to baseline at week two and week five. This would imply that both devices had a clinical effect.</w:t>
      </w:r>
    </w:p>
    <w:p>
      <w:pPr>
        <w:spacing w:after="0" w:line="187" w:lineRule="exact"/>
        <w:rPr>
          <w:sz w:val="20"/>
          <w:szCs w:val="20"/>
          <w:color w:val="auto"/>
        </w:rPr>
      </w:pPr>
    </w:p>
    <w:p>
      <w:pPr>
        <w:jc w:val="both"/>
        <w:ind w:left="380"/>
        <w:spacing w:after="0" w:line="267" w:lineRule="auto"/>
        <w:rPr>
          <w:sz w:val="20"/>
          <w:szCs w:val="20"/>
          <w:color w:val="auto"/>
        </w:rPr>
      </w:pPr>
      <w:r>
        <w:rPr>
          <w:rFonts w:ascii="Arial" w:cs="Arial" w:eastAsia="Arial" w:hAnsi="Arial"/>
          <w:sz w:val="17"/>
          <w:szCs w:val="17"/>
          <w:color w:val="auto"/>
        </w:rPr>
        <w:t>The primary effectiveness endpoint demonstrated a trend toward a higher responder rate in the HFP arm (with 71.2% of subjects experiencing a greater than 15 point improvement on the SOT composite score) than in the LFP arm (with 63.5% of subjects experiencing a greater than 15 point improvement on the SOT composite score), p&lt;0.081. The primary effectiveness endpoint was not reached because of the significant therapeutic effect observed in the LFP arm. Because both arms produced responses of greater than 15 points on the SOT composite score that were not significantly different from one another, the secondary effectiveness endpoint was calculated per the statistical analysis plan, as described above. The secondary effectiveness endpoints demonstrated statistically and clinically significant increases in SOT composite scores:</w:t>
      </w:r>
    </w:p>
    <w:p>
      <w:pPr>
        <w:ind w:left="1460" w:hanging="359"/>
        <w:spacing w:after="0" w:line="238" w:lineRule="auto"/>
        <w:tabs>
          <w:tab w:leader="none" w:pos="146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The mean improvement at two weeks for the pooled arms was 18.3 points, P&lt;0.0005.</w:t>
      </w:r>
    </w:p>
    <w:p>
      <w:pPr>
        <w:ind w:left="1460" w:hanging="359"/>
        <w:spacing w:after="0"/>
        <w:tabs>
          <w:tab w:leader="none" w:pos="1460" w:val="left"/>
        </w:tabs>
        <w:numPr>
          <w:ilvl w:val="0"/>
          <w:numId w:val="8"/>
        </w:numPr>
        <w:rPr>
          <w:rFonts w:ascii="Courier New" w:cs="Courier New" w:eastAsia="Courier New" w:hAnsi="Courier New"/>
          <w:sz w:val="18"/>
          <w:szCs w:val="18"/>
          <w:color w:val="auto"/>
        </w:rPr>
      </w:pPr>
      <w:r>
        <w:rPr>
          <w:rFonts w:ascii="Arial" w:cs="Arial" w:eastAsia="Arial" w:hAnsi="Arial"/>
          <w:sz w:val="18"/>
          <w:szCs w:val="18"/>
          <w:color w:val="auto"/>
        </w:rPr>
        <w:t>The mean improvement at five weeks for the pooled arms was 24.6 points, P&lt;0.0005.</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majority of patients who have a balance disorder associated with mmTBI are subjected to a higher risk of falls and headaches, the primary safety endpoint was an improvement in the frequency of falls as determined by daily event recording on the participant data case report form during the in-clinic phase of the study (week two). The secondary safety endpoint was the frequency and severity of headaches, as measured by the Headache Disability Index at baseline and at the end of treatment, which was at week five.</w:t>
      </w:r>
    </w:p>
    <w:p>
      <w:pPr>
        <w:spacing w:after="0" w:line="1" w:lineRule="exact"/>
        <w:rPr>
          <w:sz w:val="20"/>
          <w:szCs w:val="20"/>
          <w:color w:val="auto"/>
        </w:rPr>
      </w:pPr>
    </w:p>
    <w:p>
      <w:pPr>
        <w:ind w:left="1460" w:right="580" w:hanging="359"/>
        <w:spacing w:after="0" w:line="241" w:lineRule="auto"/>
        <w:tabs>
          <w:tab w:leader="none" w:pos="146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We successfully met the primary and secondary safety endpoints as measured by a decrease in falls at week two and decrease in headaches at week five, respectively, in both treatment groups.</w:t>
      </w:r>
    </w:p>
    <w:p>
      <w:pPr>
        <w:spacing w:after="0" w:line="1" w:lineRule="exact"/>
        <w:rPr>
          <w:rFonts w:ascii="Courier New" w:cs="Courier New" w:eastAsia="Courier New" w:hAnsi="Courier New"/>
          <w:sz w:val="18"/>
          <w:szCs w:val="18"/>
          <w:color w:val="auto"/>
        </w:rPr>
      </w:pPr>
    </w:p>
    <w:p>
      <w:pPr>
        <w:ind w:left="1460" w:hanging="359"/>
        <w:spacing w:after="0" w:line="232" w:lineRule="auto"/>
        <w:tabs>
          <w:tab w:leader="none" w:pos="146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There were no serious device related adverse events.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PoNS Long-Term Treatment Trial in mmTBI: A 26-Week Study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study was performed to understand the durability of response to the PoNS Therapy. This double-blind randomized controlled study in patients with mmTBI was completed in 2017 at the Tactile Communication Neurorehabilitation Laboratory at the University of Wisconsin-Madison and was sponsored by the U.S. Army. The study was conducted with 22 and 21 participants randomized to the HFP and LFP PoNS Therapy arms, respectively. Participants underwent 14 weeks of active treatment identical in format to the treatment regime in our registrational clinical trial described above, followed by a 12-week washout period when participants discontinued the PoNS Therapy and were told to resume normal daily lifestyles with no specified physical therapy regime. SOT composite scores were captured at specific time points throughout the study, including at 14 weeks and after the 12-week washout (26 weeks).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study results were as follows:</w:t>
      </w:r>
    </w:p>
    <w:p>
      <w:pPr>
        <w:spacing w:after="0" w:line="22" w:lineRule="exact"/>
        <w:rPr>
          <w:sz w:val="20"/>
          <w:szCs w:val="20"/>
          <w:color w:val="auto"/>
        </w:rPr>
      </w:pPr>
    </w:p>
    <w:p>
      <w:pPr>
        <w:ind w:left="1460" w:right="320" w:hanging="359"/>
        <w:spacing w:after="0" w:line="241"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There was no statistical difference between the HFP and LFP PoNS Therapy arms mirroring the results of the registrational clinical trial.</w:t>
      </w:r>
    </w:p>
    <w:p>
      <w:pPr>
        <w:spacing w:after="0" w:line="1" w:lineRule="exact"/>
        <w:rPr>
          <w:rFonts w:ascii="Courier New" w:cs="Courier New" w:eastAsia="Courier New" w:hAnsi="Courier New"/>
          <w:sz w:val="18"/>
          <w:szCs w:val="18"/>
          <w:color w:val="auto"/>
        </w:rPr>
      </w:pPr>
    </w:p>
    <w:p>
      <w:pPr>
        <w:ind w:left="1460" w:right="820" w:hanging="359"/>
        <w:spacing w:after="0" w:line="241"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On average, participants entered the study with an SOT composite score of approximately 40, which is a score that indicates substantially compromised functional balance.</w:t>
      </w:r>
    </w:p>
    <w:p>
      <w:pPr>
        <w:ind w:left="1460" w:right="240" w:hanging="359"/>
        <w:spacing w:after="0" w:line="241"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At the end of 14 weeks of active treatment with the HFP PoNS arm, patients showed improvements on average of 29.8 points on the SOT composite score.</w:t>
      </w:r>
    </w:p>
    <w:p>
      <w:pPr>
        <w:ind w:left="1460" w:right="140" w:hanging="359"/>
        <w:spacing w:after="0" w:line="242" w:lineRule="auto"/>
        <w:tabs>
          <w:tab w:leader="none" w:pos="1460" w:val="left"/>
        </w:tabs>
        <w:numPr>
          <w:ilvl w:val="0"/>
          <w:numId w:val="10"/>
        </w:numPr>
        <w:rPr>
          <w:rFonts w:ascii="Courier New" w:cs="Courier New" w:eastAsia="Courier New" w:hAnsi="Courier New"/>
          <w:sz w:val="18"/>
          <w:szCs w:val="18"/>
          <w:color w:val="auto"/>
        </w:rPr>
      </w:pPr>
      <w:r>
        <w:rPr>
          <w:rFonts w:ascii="Arial" w:cs="Arial" w:eastAsia="Arial" w:hAnsi="Arial"/>
          <w:sz w:val="18"/>
          <w:szCs w:val="18"/>
          <w:color w:val="auto"/>
        </w:rPr>
        <w:t>After the 12-week washout period, the participants, on average, maintained the same SOT composite score as after 14 weeks of PoNS Therapy.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Conclusion:</w:t>
      </w:r>
    </w:p>
    <w:p>
      <w:pPr>
        <w:spacing w:after="0" w:line="22" w:lineRule="exact"/>
        <w:rPr>
          <w:sz w:val="20"/>
          <w:szCs w:val="20"/>
          <w:color w:val="auto"/>
        </w:rPr>
      </w:pPr>
    </w:p>
    <w:p>
      <w:pPr>
        <w:jc w:val="both"/>
        <w:ind w:left="1460" w:hanging="359"/>
        <w:spacing w:after="0" w:line="287" w:lineRule="auto"/>
        <w:tabs>
          <w:tab w:leader="none" w:pos="1460" w:val="left"/>
        </w:tabs>
        <w:numPr>
          <w:ilvl w:val="0"/>
          <w:numId w:val="11"/>
        </w:numPr>
        <w:rPr>
          <w:rFonts w:ascii="Courier New" w:cs="Courier New" w:eastAsia="Courier New" w:hAnsi="Courier New"/>
          <w:sz w:val="16"/>
          <w:szCs w:val="16"/>
          <w:color w:val="auto"/>
        </w:rPr>
      </w:pPr>
      <w:r>
        <w:rPr>
          <w:rFonts w:ascii="Arial" w:cs="Arial" w:eastAsia="Arial" w:hAnsi="Arial"/>
          <w:sz w:val="16"/>
          <w:szCs w:val="16"/>
          <w:color w:val="auto"/>
        </w:rPr>
        <w:t>The study demonstrated that the PoNS Therapy could, on average, allow patients with mmTBI who had balance deficit and other injury-related functional disabilities, achieve an SOT composite score in the normal range in 14 weeks and maintain that benefit after a 12-week washout period. We believe that this data supports the durability of the response to the treatment and the potential restoration of the balance system. Furthermore, in a subset of nine participants, sequential magnetic resonance imaging, or MRI, scans were performed that showed increased grey matter volume in the cerebellum and elsewhere, commensurate with improved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Overall Conclusion from the Two mmTBI Trials.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most significant observations from the two mmTBI trials 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 w:name="page11"/>
    <w:bookmarkEnd w:id="10"/>
    <w:p>
      <w:pPr>
        <w:ind w:left="740" w:right="120" w:hanging="368"/>
        <w:spacing w:after="0" w:line="258"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registrational and long-term treatment trials combined were the largest non-implanted neuromodulation trials in balance and gait deficit due to mmTBI ever performed.</w:t>
      </w:r>
    </w:p>
    <w:p>
      <w:pPr>
        <w:spacing w:after="0" w:line="1" w:lineRule="exact"/>
        <w:rPr>
          <w:rFonts w:ascii="Arial" w:cs="Arial" w:eastAsia="Arial" w:hAnsi="Arial"/>
          <w:sz w:val="18"/>
          <w:szCs w:val="18"/>
          <w:color w:val="auto"/>
        </w:rPr>
      </w:pPr>
    </w:p>
    <w:p>
      <w:pPr>
        <w:ind w:left="740" w:right="48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Participants who had a chronic balance disorder resistant to conventional physical therapy were, on average, in the normal range of balance following the 14 weeks of treatment.</w:t>
      </w:r>
    </w:p>
    <w:p>
      <w:pPr>
        <w:ind w:left="740" w:right="160" w:hanging="368"/>
        <w:spacing w:after="0" w:line="250"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PoNS Therapy in one data set also resulted, on average, in patients maintaining the improvement for at least a 12-week period suggesting a permanent improvement in participants’ balance issues.</w:t>
      </w:r>
    </w:p>
    <w:p>
      <w:pPr>
        <w:ind w:left="740" w:hanging="368"/>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were no differences in clinical outcomes across the clinical trial sites performing both trials.</w:t>
      </w:r>
    </w:p>
    <w:p>
      <w:pPr>
        <w:spacing w:after="0" w:line="9" w:lineRule="exact"/>
        <w:rPr>
          <w:rFonts w:ascii="Arial" w:cs="Arial" w:eastAsia="Arial" w:hAnsi="Arial"/>
          <w:sz w:val="18"/>
          <w:szCs w:val="18"/>
          <w:color w:val="auto"/>
        </w:rPr>
      </w:pPr>
    </w:p>
    <w:p>
      <w:pPr>
        <w:ind w:left="740" w:right="520" w:hanging="368"/>
        <w:spacing w:after="0" w:line="258"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were no differences at baseline in age, sex, time from injury, amount of previous physical therapy, level of disability or adherence to therapy in each of the treatment groups.</w:t>
      </w:r>
    </w:p>
    <w:p>
      <w:pPr>
        <w:ind w:left="740" w:hanging="368"/>
        <w:spacing w:after="0"/>
        <w:tabs>
          <w:tab w:leader="none" w:pos="7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difference in therapeutic effect noted between high and low frequency pulse groups may suggest that there was an independent device effect.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balance deficit due to mmTBI.</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This label expansion expanded our addressable market in Canada to include a patient population seeking treatment options that may resolve or delay the progression of MS gait deficit symptoms.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Breakthrough Devices Program offers manufacturers an opportunity to interact with the FDA to efficiently address topics as they arise during the premarket review phase, which can help manufacturers receive feedback from the FDA and identify areas of agreement in a timely way. Manufacturers can also expect prioritized review of their submission.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Breakthrough Device Designation does not change the requirements for approval of an application for a marketing authorization.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26, 2021, we received marketing authorization from the FDA of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CMS announced MCIT was delayed from becoming effective March 15, 2021 to May 15, 2021 with an additional comment period during that time. On May 14, 2021, CMS announced it further delayed the effective date of the final rule until December 15, 2021 to provide CMS an opportunity to determine appropriate next steps. On September 15, 2021, CMS published a proposal that would repeal the MCIT pathway. Following a 30-day comment period included in the proposal, CMS announced on November 12, 2021 that it was repealing MCIT to address concerns that the provisions in the final rule may have not been sufficient to protect Medicare patients. While we will continue to monitor this, we also remain focused on building out our reimbursement strategy for both commercial and government payers. We are still working to understand current Medicare requirements and policies for coverage, coding, and payment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of durable medical equipment and assess how the PoNS device may be treated with respect to coding, coverage, and reimbursement under the Medicare program.</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September 2021, we started activities to setup and implement a new study as part of a Therapeutic Experience Program, or TEP, with NYU Langone Health as our first Center of Excellence clinical site. The TEP is a Helius-sponsored, open label observations, interventional multi-center outcome research trial designed to assess adherence to on-label PoNS therapy for improvement in gait deficits with MS in a real-world clinical setting. The study will measure subjects’ adherence to PoNS therapy, which combines the PoNS device with physical therapy, to better understand the relationship between adherence to the treatment regimen and therapeutic functional outcome. The primary endpoint of the study is maintenance of gait improvement from the end of supervised therapy (Phase 1) to the end of unsupervised therapy (Phase 2) in relation to the subject’s adherence to PoNS therapy. The secondary endpoints are improvement of gait and balance deficit over time, and clinical global impression of change. The study will be conducted at ten to twelve Centers of Excellence across the U.S., with an estimated average of four PoNS devices per site. Enrollment is expected to commence in first half of 2022 and continue throughout the year. Approximately forty to fifty patients with MS are expected to participate in the study.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Stroke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a clinical trial of PoNS therapy in stroke patients in collaboration with Medical University of South Carolina is planned to commence in the second quarter of 2022 with initial patient enrollments beginning in the second half of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April 2019, we announced that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intended for short term use by healthcare professionals as an adjunct to a therapeutic exercise program to improve balance and gait. PoNS is not intended to be used alone without an exercise program. We are working to establish a distribution partner for Australia but currently do not expect to have commercial sales of PoNS in Australia in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 and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Canadian Strategic Alliance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Health Tech Connex, Inc., or HTC entered into a Share Purchase Agreement, or the SPA, whereby we, through our wholly owned subsidiary, acquired Heuro from HTC. Under the terms of the SPA, total consideration of approximately $1.6 million was paid to HTC, which included (1) the repayment to HTC for their investment in the set-up of Heuro’s initial commercial infrastructure including the establishment of five authorized PoNS clinics across Canada, (2) the current market value of 55 PoNS devices which we also are to provide to HTC under the SPA, (3) the CAD$750 thousand receivable from the September 2018 strategic alliance agreement and (4) the sale of exclusivity rights granted to HTC in the Co-Promotion Agreement, as defined below, to provide PoNS Therapy in the Fraser Valley and Vancouver metro regions of British Columbia.</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connection with the Share Purchase Agreement, on October 30, 2019, we entered into a Clinical Research and Co-Promotion Agreement with HTC, or the Co-Promotion Agreement, whereby each company will promote the sales of the PoNS Therapy and the NeuroCatch</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device throughout Canada. The co-promotion arrangement terminated in accordance with its terms on December 31, 2020. Also, subject to certain terms and conditions, we granted to HTC the exclusive right to provide the PoNS Therapy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On January 31, 2022, we notified HTC of its material breaches under the Co-Promotion Agreement, which HTC failed to cure under the terms of the Co-Promotion Agreement, and as such, it is our position that this exclusivity right is no longer in effect.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Manufacturing and Logistics Services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2017, we entered into an agreement with Cambridge Consultants LLC, or Cambridge, pursuant to which Cambridge assumed responsibilities for key aspects of the design and development of the PoNS device. As part of the agreement, Cambridge validated the performance of the engineering, design verification testing and product documentation to support our FDA submission. Cambridge also assisted us in the identification of, and transition to, our commercial-scale manufacturer.</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December 29, 2017, we selected Keytronic Corporation, or Keytronic, as our contract-manufacturing partner for the PoNS device after a competitive selection process. The commercial design of the PoNS device is manufactured and assembled at Keytronic’s facility located in Oakdale, Minnesota. Keytronic manufactured devices for engineering and design verification testing and for our FDA submission as well as commercial devices for launch inventory. Keytronic has multiple locations across the U.S., Mexico and China with back-up manufacturing capabilities to help mitigate the risk of a single source provider. We remain ultimately responsible for the compliance of our submissions and products, and activities performed on our behalf.</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place an emphasis on protecting our patented technology, trade secrets and know-how and only share confidential information on an as needed basis. Keytronic is registered as a medical device manufacturer in good standing with the FDA and along with Cambridge are certified in accordance with International Organization for Standardization, or ISO, 13485, a comprehensive quality management system for the design and manufacture of medical devices. HMI maintains a compliant quality management system certified to ISO 13485:2016 and compliant with MDSAP requirements for the U.S., Canada and Australia.</w:t>
      </w:r>
    </w:p>
    <w:p>
      <w:pPr>
        <w:spacing w:after="0" w:line="18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July 2021, we entered into a contract with Healthlink International Inc. to provide third party logistics for domestic and Canadian shipment and order fulfillment, and to provide warehousing services for finished goods. Healthlink is a life science solutions company, specializing in logistics, temperature-controlled warehousing, fulfillment and freight management as well as back-office services, including multilingual customer service, financial services and VAT management.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Canadian Commercialization Efforts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2019, we commenced the commercialization of our PoNS Therapy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Therapy, including the acquisition of the Heuro Canada operating entity of HTC. These efforts, which were led by our local Canadian commercial team, included the establishment of our authorized clinic network throughout Canada, launching digital marketing campaigns, and building key opinion leader and advocacy networks.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in-depth market analysis and field intelligence, our Canadian commercial team began an expansion plan to increase the number of authorized PoNS clinics. During the year ended December 31, 2021, we authorized 6 new clinical locations to have 37 clinic locations across Canada as of December 31, 2021. In addition to continuing to increase the number of clinic locations, we have shifted our focus to driving patient throughput to these clinics. Sales performance in Canada continues to be impacted by the COVID-19 pandemic due to space restrictions that the provincial governments have imposed as well as the risk tolerance of patients and therapists.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Toronto Rehabilitation Institute (part of University Health Network) we are continuing our clinical experience program, the results of which we will look to publish in 2022.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refine our go-to-market pricing model. In 2020, we implemented a modified pricing approach which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Therapy and drive market awareness which we believe resulted in an increase in the volume of units sold, beginning in the second half of 2020. We extended the promotional pricing through the end of 2021 including any order placed and accepted, but not fulfilled before December 31, 2021. The promotional pricing was discontinued in 2022 when new pricing was established.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Therapy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collision insurance and workers’ compensation, or WC, market as well as long-term disability cases. Our reimbursement strategy for MS is focused on commercial insurers/extended health benefits.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Therapy strategy, we are also gathering comprehensive health economic assessments of treatment outcomes. These data will, in-turn, be used to support our applications for WC, auto insurance and commercial insurance reimbursement initiatives in Canada, the U.S. and other markets around the world. We believe the Canadian commercial experience will be extremely valuable to prepare us for our launches in the U.S. and internationally.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real-world results from the collective experience of our patients that have completed the 14-week PoNS Therapy, in Canada thus far, have been encouraging. Consistent with what we observed in our two clinical trials, one for 5 weeks and the other for 14 weeks, commercial MS and mmTBI patients demonstrated improvements in balance and gait within the first two weeks followed by continued improvement over the following twelve weeks. The majority of patients had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Therapy in Canada.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Commercialization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stated, 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Throughout the pre-commercial phase during 2021, we developed and refined our commercial strategy including a focus on payer strategy, both government and commercial, securing distribution licenses in various states and beginning to build relationships with key large neurorehabilitation centers, which focus on treatment of MS patients. We continue to generate data on outcomes of the PoNS Therapy generated from treatment of patients in Canada and ensuring that our scientific data is presented at many of the key national and international neurology and neuromodulation meetings. We believe this scientific dissemination may begin to pave the way to establishing the PoNS Therapy as the standard of care for the treatment of MS-related gait deficit.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 w:name="page15"/>
    <w:bookmarkEnd w:id="14"/>
    <w:p>
      <w:pPr>
        <w:jc w:val="both"/>
        <w:spacing w:after="0" w:line="273" w:lineRule="auto"/>
        <w:rPr>
          <w:sz w:val="20"/>
          <w:szCs w:val="20"/>
          <w:color w:val="auto"/>
        </w:rPr>
      </w:pPr>
      <w:r>
        <w:rPr>
          <w:rFonts w:ascii="Arial" w:cs="Arial" w:eastAsia="Arial" w:hAnsi="Arial"/>
          <w:sz w:val="17"/>
          <w:szCs w:val="17"/>
          <w:color w:val="auto"/>
        </w:rPr>
        <w:t>We are currently accepting prescriptions for PoNS in the United States, and we anticipate our first commercial sales in the near term. We have targeted specific Key Opinion Leaders (i.e., neurologists and physiatrists) and their associated neurorehabilitation centers, where selected physical therapists will be trained to deliver the PoNS Therapy. Importantly, this focused strategy will also allow us to measure patient outcomes to determine if they are similar to those observed in our clinical trials. To further develop and implement the PoNS commercialization strategy, we have hired a Vice President of Sales and Marketing, North America, have identified the initial launch areas within the U.S., and we have continued to build out our commercial team, including field sales, reimbursement specialists, and marketing and operational support commensurate with PoNS sales activity.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2021, we contracted with an industry consultant to conduct a health economic study of PoNS. Based upon the results of this study and comparing PoNS to other medical devices utilizing similar patented technologies, we established a U.S. list price for the PoNS device of $25,700, comprised of $17,800 for the controller and $7,900 for the mouthpiece. We are pursuing commercial insurance coverage and Medicare reimbursement for PoNS within the Durable Medical Equipment, or DME, benefit category. While there are currently no applicable Healthcare Common Procedure Coding System, or HCPCS, codes to describe the PoNS device or mouthpiece, we intend to use miscellaneous codes – E1399 (Miscellaneous durable medical equipment) and A9999 (Miscellaneous DME supply or accessory, not otherwise specified) until specific HCPCS codes are created. We have applied for unique HCPCS codes during the third quarter of 2021, which is a nine month process from application until coding is to be effective, if assigned. We also intend to provide broad access and reimbursement for the PoNS Therapy over time through commercial insurers. Prior to the initiation of CMS or broad commercial payer coverage, we anticipate the primary source of sales will be self-pay patients. We expect to support the cost of the PoNS Therapy by offering a cash pay discount, collaborating with third parties to provide self-pay patients with financing options as well as working with advocacy groups and charitable organizations to help self-pay patients access our technology. In general, we anticipate that it will take at least 24 months to obtain broad coverage and reimbursement among government and private payers.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Commercialization in Other Markets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submitted an application for a CE Mark in December 2018. In preparation for our launch in the United Kingdom, or UK, and the EU, we entered into a consulting agreement with a UK-based company with expertise in the development of new services in the healthcare industry to leverage local market insights to develop a comprehensive commercialization strategy and tactical plan for launch of the PoNS Therapy in the UK. As previously described, in August 2019, we withdrew our application for EU market authorization and will revisit our UK and EU commercialization plans as terms of market authorization become clearer under the new regulations.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submitted an application to the TGA in Australia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PoNS is authorized as a non-implanted neurostimulator intended for short term used by healthcare professionals as an adjunct to a therapeutic exercise program to improve balance and gait. PoNS is not intended to be used alone without an exercise program. We are working to establish a distribution partner for Australia but currently do not expect to have commercial sales of PoNS in Australia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have re-opened, as of December 31, 2021, they were all operating at reduced capacity, which limited operations to 50% capacity during the second half of 2021. Some patients have begun to return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Thus far during the first quarter of 2022, capacity has remained at the 50% threshold with the expectation that the capacity limit will increase as provinces continue to lift restrictions. We continue to monitor the impact of COVID-19 and adjust our operations as the circumstances 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and may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has and may continue to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Two of our suppliers experienced significant labor shortages as a result of COVID-19 from the end of November 2021 through early January 2022 which reduced the available resources needed to build and test product which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extent to which the COVID-19 pandemic will continue to impact our business, including our U.S. commercial launch and sales in Canada, as well as our results of operations and our financial condition will depend on future developments, which are highly uncertain and cannot be predicted. We do not yet know the full extent of the impact of COVID-19 on our business, operations or the global economy as a whole.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Reimbursement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traditional life and health payers may be among the earliest to provide coverage and reimbursement for the PoNS Therapy, and therefore, we are focusing on gaining coverage for the PoNS Therapy through them. Life and health encompasses long- and short-term disability claims. Because these payers are responsible for both medical expenses and lost wages, they have an incentive to seek ways to help injured employees to return to work. As part of our commercial treatment program in Canada, we will collect both outcomes and return to work data, which we plan to utilize with life and health, provincial workers compensation insurance programs, and property and casualty insurers to demonstrate both the clinical and economic value associated with the PoNS Therapy.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Reimbursement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U.S., we plan to engage with select payer segments to obtain coverage and reimbursement for the PoNS Therapy. We intend to combine evidence from our clinical trials and real-world experience from commercial clinics in Canada to demonstrate the value proposition of the PoNS Therapy to payers and support favorable coverage and reimbursement decisions.</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purpose of the MCIT rule was to provide national Medicare coverage as early as the same day as FDA market authorization for breakthrough devices and coverage would last for four years. On September 15, 2021, CMS published a proposal that would repeal the MCIT pathway. Following a 30-day comment period included in the proposal, CMS announced on November 12, 2021 that it was rescinding the MCIT final rule to address concerns that the provisions in the final rule may have not been sufficient to protect Medicare patients. While we will continue to monitor this, we also remain focused on building out our reimbursement strategy for both commercial and government payers. We continue to work with Medicare requirements and policies for coverage, coding, and payment of durable medical equipment and assess how the PoNS device may be treated with respect to coding, coverage, and reimbursement under the Medicare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neurostimulation market is predominantly comprised of surgically implanted, invasive technologies that are not directly competitive with our technology. Several neurostimulation companies are large, publicly-traded companies that have a history in the market, have significantly easier access to capital and other resources and have an established product pipeline. The combined clinical research and product development done by the industry, including by us and all of our competitors, is uncovering the beneficial effects of neurostimulation which now establishes neuromodulation as a valid and scientifically supported approach to the treatment of neurological conditions, and accordingly, we expect for competition in the non-implanted space to grow in the future.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However, we believe that we will have the first-mover advantage in the non-implanted neurostimulation space.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right="20"/>
        <w:spacing w:after="0" w:line="277" w:lineRule="auto"/>
        <w:rPr>
          <w:sz w:val="20"/>
          <w:szCs w:val="20"/>
          <w:color w:val="auto"/>
        </w:rPr>
      </w:pPr>
      <w:r>
        <w:rPr>
          <w:rFonts w:ascii="Arial" w:cs="Arial" w:eastAsia="Arial" w:hAnsi="Arial"/>
          <w:sz w:val="18"/>
          <w:szCs w:val="18"/>
          <w:color w:val="auto"/>
        </w:rPr>
        <w:t>We believe that the PoNS Therapy introduces an innovative target and method of stimulation, because targeting the tongue for neurostimulation provides several advantages that competitively distinguish the PoNS Therapy, which are discussed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Advantages of the PoNS Therapy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PoNS Therapy offers the following benefits over existing neurostimulation technologies:</w:t>
      </w:r>
    </w:p>
    <w:p>
      <w:pPr>
        <w:spacing w:after="0" w:line="225" w:lineRule="exact"/>
        <w:rPr>
          <w:sz w:val="20"/>
          <w:szCs w:val="20"/>
          <w:color w:val="auto"/>
        </w:rPr>
      </w:pPr>
    </w:p>
    <w:p>
      <w:pPr>
        <w:jc w:val="both"/>
        <w:ind w:left="100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PoNS Therapy stimulates the trigeminal nerve which developing science has implicated to be beneficial in some neurological disorder models. The PoNS Therapy stimulates the lingual part of the nerve through the tongue, while other technologies stimulate other branches of the trigeminal nerve. It is the largest branch, having the highest amount of nerve fibers of the three branches. We believe this will be an advantage in our therapy.</w:t>
      </w:r>
    </w:p>
    <w:p>
      <w:pPr>
        <w:spacing w:after="0" w:line="186"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Stimulating the tongue also allows for the simultaneous stimulation of a second cranial nerve found in the tongue, the facial nerve. The ability to stimulate more than one nerve alone differentiates us from our competition. However, it has not been scientifically proven that stimulating additional nerves adds to the efficacy or safety of the PoNS Therapy.</w:t>
      </w:r>
    </w:p>
    <w:p>
      <w:pPr>
        <w:spacing w:after="0" w:line="183"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tongue has an anatomically unique surface with a high density of receptors, a consistently moist and conductive environment, constant pH, constant temperature and a direct connection to the brain through at least two cranial nerves.</w:t>
      </w:r>
    </w:p>
    <w:p>
      <w:pPr>
        <w:spacing w:after="0" w:line="170" w:lineRule="exact"/>
        <w:rPr>
          <w:rFonts w:ascii="Arial" w:cs="Arial" w:eastAsia="Arial" w:hAnsi="Arial"/>
          <w:sz w:val="18"/>
          <w:szCs w:val="18"/>
          <w:color w:val="auto"/>
        </w:rPr>
      </w:pPr>
    </w:p>
    <w:p>
      <w:pPr>
        <w:jc w:val="both"/>
        <w:ind w:left="100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Scientific studies suggest that the trigeminal cranial nerves offer a high-bandwidth pathway for impulses to directly affect the central nervous system. The trigeminal nerves project directly onto several areas of the brain, primarily the brainstem (trigeminal and solitary nuclei), cerebellum, cochlear nuclei and spinal cord. Secondary targets include the limbic system, basal ganglia and thalamus. We believe that this range of projections will allow impulses to be sent through sites regulating dozens of functions.</w:t>
      </w:r>
    </w:p>
    <w:p>
      <w:pPr>
        <w:spacing w:after="0" w:line="186"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Unlike deep brain stimulation devices, implantable vagal nerve devices and other invasive forms of electrical stimulation, the tongue allows for neurostimulation to be delivered via a portable, non-implanted device. This allows for the integration of neurostimulation with a wide range of therapies previously unexplored for neurological rehabilitation.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Licensed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Second Amended and Restated Patent Sub-License, or the Sublicense Agreement, dated June 6, 2014 entered into between Advanced NeuroRehabilitation LLC, or ANR, and HMI, ANR has granted HMI a worldwide, exclusive license to make, have made, use, lease and sell devices utilizing certain patent applications, which are collectively referred to as the “Patent Pending Rights.” The Patent Pending Rights relate to the PoNS device and include the following patents and patent applications, which cover a device that noninvasively delivers neurostimulation through the skin or intra-orally to the brain stem via various nerves including the trigeminal and facial nerves:</w:t>
      </w:r>
    </w:p>
    <w:tbl>
      <w:tblPr>
        <w:tblLayout w:type="fixed"/>
        <w:tblInd w:w="0" w:type="dxa"/>
        <w:tblCellMar>
          <w:top w:w="0" w:type="dxa"/>
          <w:left w:w="0" w:type="dxa"/>
          <w:bottom w:w="0" w:type="dxa"/>
          <w:right w:w="0" w:type="dxa"/>
        </w:tblCellMar>
      </w:tblPr>
      <w:tr>
        <w:trPr>
          <w:trHeight w:val="143"/>
        </w:trPr>
        <w:tc>
          <w:tcPr>
            <w:tcW w:w="18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5"/>
              </w:rPr>
              <w:t>U.S.</w:t>
            </w: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Patent No.</w:t>
            </w:r>
          </w:p>
        </w:tc>
        <w:tc>
          <w:tcPr>
            <w:tcW w:w="1180" w:type="dxa"/>
            <w:vAlign w:val="bottom"/>
            <w:gridSpan w:val="2"/>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12/348,301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1/4/2009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8,849,407</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9/30/2014</w:t>
            </w:r>
          </w:p>
        </w:tc>
        <w:tc>
          <w:tcPr>
            <w:tcW w:w="180" w:type="dxa"/>
            <w:vAlign w:val="bottom"/>
            <w:tcBorders>
              <w:top w:val="single" w:sz="8" w:color="CFF0FC"/>
            </w:tcBorders>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non-invasive neurostimulation of the skin combined with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simultaneous physical therapy to provide neurorehabilitation of</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6"/>
              </w:rPr>
              <w:t>a patient to treat various maladies including, e.g., TBI, stroke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14/340,144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7/24/2014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8,909,345</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12/9/2014</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combined with physical therapy to provide neurorehabilitation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2"/>
              </w:rPr>
              <w:t>of a patient to treat various maladies including, e.g., TBI, stroke,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and Alzheimer’s disease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14/341,141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7/25/2014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9,020,612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4/28/2015</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4"/>
              </w:rPr>
              <w:t>combined with cognitive therapy to provide neurorehabilitation</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of a patient resulting in improved reading comprehension and</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increased attention span as well as the treatment various</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maladies including, but not limited to, TBI, stroke, and</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14/615,766</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2/6/2015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9,656,078</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non-invasive neurostimulation within a patient’s mouth</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combined with stimulation of the patient’s vision, hearing,</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vestibular systems, or somatosensory systems for the treatment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of tinnitus</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14/689,462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4/17/2015</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9,597,501</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3/21/2017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non-invasive neurostimulation of a patient’s skin combined with</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cognitive therapy to provide neurorehabilitation of a patient</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8"/>
              </w:rPr>
              <w:t>resulting in improved reading comprehension and increased</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attention span as well as the treatment various maladies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including, e.g., TBI, stroke, and Alzheimer’s disease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14/815,171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7/31/2015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9,597,504</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3/21/2017</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non-invasive neurostimulation of a patient’s mouth combined</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6"/>
              </w:rPr>
              <w:t>with therapy to provide neurorehabilitation of a patient, with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focus on features of a neurostimulation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15/207,029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7/11/2016</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9,656,069</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7"/>
              </w:rPr>
              <w:t>non-invasive neurostimulation of a subject’s oral cavity while</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88"/>
              </w:rPr>
              <w:t>the subject engages in an exercise in order to enhance a subject’s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proficiency in the exercise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15/283,894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10/3/2016</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3"/>
              <w:spacing w:after="0"/>
              <w:rPr>
                <w:sz w:val="20"/>
                <w:szCs w:val="20"/>
                <w:color w:val="auto"/>
              </w:rPr>
            </w:pPr>
            <w:r>
              <w:rPr>
                <w:rFonts w:ascii="Arial" w:cs="Arial" w:eastAsia="Arial" w:hAnsi="Arial"/>
                <w:sz w:val="18"/>
                <w:szCs w:val="18"/>
                <w:color w:val="auto"/>
                <w:w w:val="90"/>
              </w:rPr>
              <w:t>10,293,163</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5/21/2019</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non-invasive neurostimulation of a subject’s oral cavity or skin</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3"/>
              </w:rPr>
              <w:t>while the subject engages in a physical or cognitive exercise in</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order to enhance a subject’s proficiency in the exercise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15/602,060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5/22/2017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0"/>
              </w:rPr>
              <w:t>10,328,263</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6/25/2019</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non-invasive neurostimulation within a patient’s mouth or on a</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patient’s skin combined with an exercise for treatment of a</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disorder affecting sleep patterns</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16/376,595</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11,185,696</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11/30/2021</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application covering non-invasive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neurostimulation of a subject's oral cavity or skin while the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5"/>
              </w:rPr>
              <w:t>subject engages in a physical or cognitive exercise in order to</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enhance a subject's proficiency in the exercise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16/450,915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6/24/2019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8"/>
              </w:rPr>
              <w:t>Allowed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9"/>
              </w:rPr>
              <w:t>N/A</w:t>
            </w:r>
          </w:p>
        </w:tc>
        <w:tc>
          <w:tcPr>
            <w:tcW w:w="118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N/A</w:t>
            </w: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4"/>
              </w:rPr>
              <w:t>Non-invasive neurostimulation of a subject's oral cavity or skin</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3"/>
              </w:rPr>
              <w:t>while the subject engages in a physical or cognitive exercise in</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order to enhance a subject's proficiency in the exercise</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0"/>
              </w:rPr>
              <w:t>61/019,061</w:t>
            </w:r>
          </w:p>
        </w:tc>
        <w:tc>
          <w:tcPr>
            <w:tcW w:w="1320" w:type="dxa"/>
            <w:vAlign w:val="bottom"/>
          </w:tcPr>
          <w:p>
            <w:pPr>
              <w:jc w:val="right"/>
              <w:ind w:right="210"/>
              <w:spacing w:after="0"/>
              <w:rPr>
                <w:sz w:val="20"/>
                <w:szCs w:val="20"/>
                <w:color w:val="auto"/>
              </w:rPr>
            </w:pPr>
            <w:r>
              <w:rPr>
                <w:rFonts w:ascii="Arial" w:cs="Arial" w:eastAsia="Arial" w:hAnsi="Arial"/>
                <w:sz w:val="18"/>
                <w:szCs w:val="18"/>
                <w:color w:val="auto"/>
              </w:rPr>
              <w:t>1/4/2008</w:t>
            </w:r>
          </w:p>
        </w:tc>
        <w:tc>
          <w:tcPr>
            <w:tcW w:w="1180" w:type="dxa"/>
            <w:vAlign w:val="bottom"/>
          </w:tcPr>
          <w:p>
            <w:pPr>
              <w:ind w:left="260"/>
              <w:spacing w:after="0"/>
              <w:rPr>
                <w:sz w:val="20"/>
                <w:szCs w:val="20"/>
                <w:color w:val="auto"/>
              </w:rPr>
            </w:pPr>
            <w:r>
              <w:rPr>
                <w:rFonts w:ascii="Arial" w:cs="Arial" w:eastAsia="Arial" w:hAnsi="Arial"/>
                <w:sz w:val="18"/>
                <w:szCs w:val="18"/>
                <w:color w:val="auto"/>
              </w:rPr>
              <w:t>Expired</w:t>
            </w:r>
          </w:p>
        </w:tc>
        <w:tc>
          <w:tcPr>
            <w:tcW w:w="1100" w:type="dxa"/>
            <w:vAlign w:val="bottom"/>
          </w:tcPr>
          <w:p>
            <w:pPr>
              <w:ind w:left="320"/>
              <w:spacing w:after="0"/>
              <w:rPr>
                <w:sz w:val="20"/>
                <w:szCs w:val="20"/>
                <w:color w:val="auto"/>
              </w:rPr>
            </w:pPr>
            <w:r>
              <w:rPr>
                <w:rFonts w:ascii="Arial" w:cs="Arial" w:eastAsia="Arial" w:hAnsi="Arial"/>
                <w:sz w:val="18"/>
                <w:szCs w:val="18"/>
                <w:color w:val="auto"/>
              </w:rPr>
              <w:t>N/A</w:t>
            </w:r>
          </w:p>
        </w:tc>
        <w:tc>
          <w:tcPr>
            <w:tcW w:w="1020" w:type="dxa"/>
            <w:vAlign w:val="bottom"/>
          </w:tcPr>
          <w:p>
            <w:pPr>
              <w:ind w:left="460"/>
              <w:spacing w:after="0"/>
              <w:rPr>
                <w:sz w:val="20"/>
                <w:szCs w:val="20"/>
                <w:color w:val="auto"/>
              </w:rPr>
            </w:pPr>
            <w:r>
              <w:rPr>
                <w:rFonts w:ascii="Arial" w:cs="Arial" w:eastAsia="Arial" w:hAnsi="Arial"/>
                <w:sz w:val="18"/>
                <w:szCs w:val="18"/>
                <w:color w:val="auto"/>
              </w:rPr>
              <w:t>N/A</w:t>
            </w:r>
          </w:p>
        </w:tc>
        <w:tc>
          <w:tcPr>
            <w:tcW w:w="502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230"/>
        </w:trPr>
        <w:tc>
          <w:tcPr>
            <w:tcW w:w="1600" w:type="dxa"/>
            <w:vAlign w:val="bottom"/>
          </w:tcPr>
          <w:p>
            <w:pPr>
              <w:jc w:val="center"/>
              <w:spacing w:after="0"/>
              <w:rPr>
                <w:sz w:val="20"/>
                <w:szCs w:val="20"/>
                <w:color w:val="auto"/>
              </w:rPr>
            </w:pPr>
            <w:r>
              <w:rPr>
                <w:rFonts w:ascii="Arial" w:cs="Arial" w:eastAsia="Arial" w:hAnsi="Arial"/>
                <w:sz w:val="18"/>
                <w:szCs w:val="18"/>
                <w:color w:val="auto"/>
                <w:w w:val="93"/>
              </w:rPr>
              <w:t>(Provisional)</w:t>
            </w:r>
          </w:p>
        </w:tc>
        <w:tc>
          <w:tcPr>
            <w:tcW w:w="1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20" w:type="dxa"/>
            <w:vAlign w:val="bottom"/>
          </w:tcPr>
          <w:p>
            <w:pPr>
              <w:spacing w:after="0"/>
              <w:rPr>
                <w:sz w:val="20"/>
                <w:szCs w:val="20"/>
                <w:color w:val="auto"/>
              </w:rPr>
            </w:pPr>
          </w:p>
        </w:tc>
      </w:tr>
      <w:tr>
        <w:trPr>
          <w:trHeight w:val="215"/>
        </w:trPr>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61/020,265</w:t>
            </w:r>
          </w:p>
        </w:tc>
        <w:tc>
          <w:tcPr>
            <w:tcW w:w="13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1/10/2008</w:t>
            </w:r>
          </w:p>
        </w:tc>
        <w:tc>
          <w:tcPr>
            <w:tcW w:w="1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Expired</w:t>
            </w:r>
          </w:p>
        </w:tc>
        <w:tc>
          <w:tcPr>
            <w:tcW w:w="11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N/A</w:t>
            </w:r>
          </w:p>
        </w:tc>
        <w:tc>
          <w:tcPr>
            <w:tcW w:w="1020" w:type="dxa"/>
            <w:vAlign w:val="bottom"/>
            <w:shd w:val="clear" w:color="auto" w:fill="CFF0FC"/>
          </w:tcPr>
          <w:p>
            <w:pPr>
              <w:ind w:left="460"/>
              <w:spacing w:after="0"/>
              <w:rPr>
                <w:sz w:val="20"/>
                <w:szCs w:val="20"/>
                <w:color w:val="auto"/>
              </w:rPr>
            </w:pPr>
            <w:r>
              <w:rPr>
                <w:rFonts w:ascii="Arial" w:cs="Arial" w:eastAsia="Arial" w:hAnsi="Arial"/>
                <w:sz w:val="18"/>
                <w:szCs w:val="18"/>
                <w:color w:val="auto"/>
              </w:rPr>
              <w:t>N/A</w:t>
            </w:r>
          </w:p>
        </w:tc>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N/A</w:t>
            </w:r>
          </w:p>
        </w:tc>
      </w:tr>
      <w:tr>
        <w:trPr>
          <w:trHeight w:val="230"/>
        </w:trPr>
        <w:tc>
          <w:tcPr>
            <w:tcW w:w="1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(Provisional)</w:t>
            </w:r>
          </w:p>
        </w:tc>
        <w:tc>
          <w:tcPr>
            <w:tcW w:w="132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02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U.S. Patent Nos. 8,909,345; 9,020,612; 9,656,078; 9,597,501; 9,597,504; 9,656,069; 10,293,163; 10,328,263; and 11,185,696 claim priority to U.S. Patent No. 8,849,407.</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 U.S. provisional patent application provides the means to establish an early effective filing date for a later filed nonprovisional patent application. Therefore, though the two provisional applications have expired, they establish a priority date for U.S. Patent Nos. 8,909,345; 9,020,612; 9,656,078; 9,597,501; 9,597,504; 9,656,069; 10,293,163; 10,328,263; and 11,185,696, and any future filings that claim priority. We intend to file additional continuation applications in the United States Patent and Trademark Office, or USPTO, claiming priority to U.S. Provisional Patent Application Nos. 61/019,061 and 61/020,265 to protect other aspects of the PoNS device and related non-invasive neurostimulation techniques.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ANR holds an interest in the Patent Pending Rights pursuant to an exclusive license from the inventors. U.S. Patent Nos. 8,909,345; 9,020,612; 9,656,078; 9,597,501; 9,597,504; 9,656,069; 10,293,163; 10,328,263; and 11,185,696 are included in the exclusive license as the exclusive license agreement covers (i) U.S. Patent Application No. 12/348,301 (now U.S. Patent No. 8,849,407) and Provisional Application No. 61/019,061, (ii) any patents issuing therefrom and (iii) any patents claiming priority to U.S. Patent Application No. 12/348,301 or Provisional Application No. 61/019,061, which U.S. Patent Nos. 8,909,345; 9,020,612; 9,656,078; 9,597,501; 9,597,504; 9,656,069; 10,293,163; 10,328,263; and 11,185,696 claim priority through such provisional application as well as through Provisional Application 61/020,265.</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ANR has agreed that ownership of any improvements, enhancements or derivative works of the Patent Pending Rights that are developed by HMI or ANR shall be owned by HMI, provided that if HMI decides not to patent such improvements, ANR may choose to pursue patent rights independently. Pursuant to the Sublicense Agreement, HMI has agreed to pay ANR royalties equal to 4% of HMI’s revenues collected from the sale of devices covered by the Patent Pending Rights and services related to the therapy or use of devices covered by the Patent Pending Rights in therapy services. The Sublicense Agreement provides that the sublicense granted by ANR to HMI, if in good standing, shall not be cancelled; limited or impaired in any way should there be a termination of the master license granted by the inventors to ANR, which was acknowledged by the inventors in the Sublicense Agreement. On June 6, 2014, HMI and ANR entered into a second amended and restated sublicense agreement, or the Second Sublicense Agreement, which acknowledges the Reverse Merger (see “Our Corporate History - Acquisition of Helius Medical, Inc and Concurrent Financing” below) and adds us as a party to the agreement.</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of the Patent Pending Rights is subject to the right of the government of the United States, which funded certain research relating to the development of the PoNS device, to a nonexclusive, non-transferable, irrevocable, paid up license to use the Patent Pending Rights for governmental purposes. In addition, HMI has granted a perpetual, royalty-free license to the Patent Pending Rights back to ANR for non-profit research and development activities, which do not compete with HMI’s business and to produce and derive revenues from devices and services in connection with investigational uses of the PoNS device and related technology.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license of the Patent Pending Rights is also subject to the terms of the CRADA. In the event that we are not willing or unable to commercialize the PoNS technology within four years from the expiration of the CRADA, the Company is required to transfer possession, ownership and sponsorship/holdership of the regulation application, regulatory correspondence and supporting regulatory information related technology to USAMRMC and grant the U.S. Government a non-exclusive, irrevocable license to any patent, copyright, data rights, proprietary information or regulatory information for the U.S. Government to commercialize the technology.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Owned 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7, 2022, we have filed 36 U.S. patent applications related to various technical and ornamental aspects of the PoNS device: 15 non-provisional patent applications that describe various technical features in the current version device and 21 design patent applications describing various ornamental designs. We are the sole assignee for these 36 U.S. patent filings. In addition to the first issued patent (U.S. Patent No. 9,072,889), the USPTO has issued 14 utility patents and 21 design patents as summarized in the table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70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vMerge w:val="continue"/>
          </w:tcPr>
          <w:p>
            <w:pPr>
              <w:spacing w:after="0"/>
              <w:rPr>
                <w:sz w:val="14"/>
                <w:szCs w:val="14"/>
                <w:color w:val="auto"/>
              </w:rPr>
            </w:pPr>
          </w:p>
        </w:tc>
        <w:tc>
          <w:tcPr>
            <w:tcW w:w="4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14/558,768</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9,072,889</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7/7/2015</w:t>
            </w:r>
          </w:p>
        </w:tc>
        <w:tc>
          <w:tcPr>
            <w:tcW w:w="180" w:type="dxa"/>
            <w:vAlign w:val="bottom"/>
            <w:tcBorders>
              <w:top w:val="single" w:sz="8" w:color="CFF0FC"/>
            </w:tcBorders>
            <w:shd w:val="clear" w:color="auto" w:fill="CFF0FC"/>
          </w:tcPr>
          <w:p>
            <w:pPr>
              <w:spacing w:after="0"/>
              <w:rPr>
                <w:sz w:val="18"/>
                <w:szCs w:val="18"/>
                <w:color w:val="auto"/>
              </w:rPr>
            </w:pPr>
          </w:p>
        </w:tc>
        <w:tc>
          <w:tcPr>
            <w:tcW w:w="4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controller and mouthpiece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14/559,123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9,272,133</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3/1/2016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strain relief mechanisms for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connection between the mouthpiece and the controller</w:t>
            </w: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14/558,787</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9,227,051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1/5/2016</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shape of the mouthpiece</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14/558,789</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9,283,377</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3/15/2016</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14/559,080</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9,415,209</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8/16/2016</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structural support of the mouthpiece</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14/559,105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9,415,210</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8/16/2016</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glue wells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14/727,100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6/1/2015</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9,616,222</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4/11/2017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14/558,775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9,981,127</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5/29/2018</w:t>
            </w:r>
          </w:p>
        </w:tc>
        <w:tc>
          <w:tcPr>
            <w:tcW w:w="18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aspects of the controller</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14/558,784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9,789,306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10/17/2017</w:t>
            </w:r>
          </w:p>
        </w:tc>
        <w:tc>
          <w:tcPr>
            <w:tcW w:w="180" w:type="dxa"/>
            <w:vAlign w:val="bottom"/>
            <w:shd w:val="clear" w:color="auto" w:fill="CFF0FC"/>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14/559,045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9,993,640</w:t>
            </w:r>
          </w:p>
        </w:tc>
        <w:tc>
          <w:tcPr>
            <w:tcW w:w="2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6/12/2018</w:t>
            </w:r>
          </w:p>
        </w:tc>
        <w:tc>
          <w:tcPr>
            <w:tcW w:w="1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14/559,118</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9,656,060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5/23/2017</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covering methods of manufacturing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mouthpiece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15/484,077</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4/10/2017</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10,258,790</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4/16/2019</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15/602,055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5/22/2017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90"/>
              </w:rPr>
              <w:t>10,463,850</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11/5/2019</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application covering methods of manufacturing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mouthpiece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16/005,624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6/11/2018</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tcPr>
          <w:p>
            <w:pPr>
              <w:jc w:val="center"/>
              <w:ind w:left="12"/>
              <w:spacing w:after="0"/>
              <w:rPr>
                <w:sz w:val="20"/>
                <w:szCs w:val="20"/>
                <w:color w:val="auto"/>
              </w:rPr>
            </w:pPr>
            <w:r>
              <w:rPr>
                <w:rFonts w:ascii="Arial" w:cs="Arial" w:eastAsia="Arial" w:hAnsi="Arial"/>
                <w:sz w:val="18"/>
                <w:szCs w:val="18"/>
                <w:color w:val="auto"/>
                <w:w w:val="90"/>
              </w:rPr>
              <w:t>10,709,887</w:t>
            </w:r>
          </w:p>
        </w:tc>
        <w:tc>
          <w:tcPr>
            <w:tcW w:w="2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7/14/2020</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Utility patent application covering methods of placing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mouthpiece in a patient’s mouth prior to engaging in NINM</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16/384,016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4/15/2019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9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11,197,994</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12/14/2021</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Utility patent application covering overall system design,</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5"/>
              </w:rPr>
              <w:t>including controller and mechanical details of the mouthpiece,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where controller and mouthpiece communicate wirelessly</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D750264</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9"/>
              </w:rPr>
              <w:t>Design patent covering an alternative version of the current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PoNS device (over-ear double boom design)</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0"/>
              </w:rPr>
              <w:t>D749746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2/16/2016</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9"/>
              </w:rPr>
              <w:t>Design patent covering an alternative version of the current</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PoNS device (overhead minimal interference design)</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29/510,743</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D752236</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3/22/2016</w:t>
            </w:r>
          </w:p>
        </w:tc>
        <w:tc>
          <w:tcPr>
            <w:tcW w:w="1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w w:val="91"/>
              </w:rPr>
              <w:t>Design patent covering system design used in the current PoNS</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29/510,745</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20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90"/>
              </w:rPr>
              <w:t>D750265</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2/23/2016</w:t>
            </w:r>
          </w:p>
        </w:tc>
        <w:tc>
          <w:tcPr>
            <w:tcW w:w="180" w:type="dxa"/>
            <w:vAlign w:val="bottom"/>
            <w:shd w:val="clear" w:color="auto" w:fill="CFF0FC"/>
          </w:tcPr>
          <w:p>
            <w:pPr>
              <w:spacing w:after="0"/>
              <w:rPr>
                <w:sz w:val="18"/>
                <w:szCs w:val="18"/>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w w:val="90"/>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ind w:left="18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U.S. Patent</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right"/>
              <w:ind w:right="712"/>
              <w:spacing w:after="0"/>
              <w:rPr>
                <w:sz w:val="20"/>
                <w:szCs w:val="20"/>
                <w:color w:val="auto"/>
              </w:rPr>
            </w:pPr>
            <w:r>
              <w:rPr>
                <w:rFonts w:ascii="Arial" w:cs="Arial" w:eastAsia="Arial" w:hAnsi="Arial"/>
                <w:sz w:val="18"/>
                <w:szCs w:val="18"/>
                <w:color w:val="auto"/>
                <w:w w:val="88"/>
              </w:rPr>
              <w:t>29/510,754</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D750794</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3/1/2016</w:t>
            </w:r>
          </w:p>
        </w:tc>
        <w:tc>
          <w:tcPr>
            <w:tcW w:w="18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Design patent covering the controller used in the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29/510,755</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D751214</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3/8/2016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D750266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2/23/2016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29/510,749</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D750268</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D751213</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29/510,748</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D750267</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2/23/2016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29/510,750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D753315</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4/5/2016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6"/>
              </w:rPr>
              <w:t>Design patent covering mouthpiece used in the current PoNS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29/510,751</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D751722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3/15/2016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29/510,752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D752766</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3/29/2016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29/510,753</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D753316</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4/5/2016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Design patent covering an alternative controller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29/510,744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D760397</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6/28/2016</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29/510,756</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12/3/2014</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D759830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6/21/2016</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29/681,984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D891084</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7/28/2020</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2"/>
              </w:rPr>
              <w:t>Design patent covering mouthpiece retainer case design used in</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the 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29/681,990</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D894601</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9/1/2020</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Design patent covering carry case design used in the current</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29/682,001</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D907221</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1/5/2021</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29/681,993</w:t>
            </w:r>
          </w:p>
        </w:tc>
        <w:tc>
          <w:tcPr>
            <w:tcW w:w="180" w:type="dxa"/>
            <w:vAlign w:val="bottom"/>
          </w:tcPr>
          <w:p>
            <w:pPr>
              <w:spacing w:after="0"/>
              <w:rPr>
                <w:sz w:val="18"/>
                <w:szCs w:val="18"/>
                <w:color w:val="auto"/>
              </w:rPr>
            </w:pPr>
          </w:p>
        </w:tc>
        <w:tc>
          <w:tcPr>
            <w:tcW w:w="1000" w:type="dxa"/>
            <w:vAlign w:val="bottom"/>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D927005</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8/3/2021</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29/681,997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2/28/2019</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0"/>
              </w:rPr>
              <w:t>D916300</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4/13/2021</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Design patent covering alternative system design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U.S. patents, we have been granted 20 foreign utility patents (nine in Australia, five in Russia, one in Canada, two in Israel, two in Europe (validated in France, Germany, Italy, UK and Spain) and one in Eurasia, or EA (validated in all eight Eurasian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color w:val="auto"/>
        </w:rPr>
        <w:t>member-states), and 33 foreign design patents (three in Australia, nine in Canada, six in Russia, and fifteen registered community designs in Europe), as detailed in the tables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Foreign Utility Patents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Australian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2015355211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2015355211</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11/16/2017</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2015355212</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2015355212</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12/21/2017</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center of gravity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2017218934</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8/21/2017</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2017218934</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1/3/2018</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mechanical details of the mouthpiece</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2017276270</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12/14/2017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2017276270</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6/28/2018</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authentication techniques</w:t>
            </w: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2018204184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6/12/2018</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2018204184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10/25/2018</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aspects of the controller</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2017228517</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9/11/2017</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2017228517</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1/24/2019</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application covering the shape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2018247259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10/11/2018</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2018247259</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11/28/2019</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Utility patent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 and authentication techniques</w:t>
            </w:r>
          </w:p>
        </w:tc>
        <w:tc>
          <w:tcPr>
            <w:tcW w:w="0" w:type="dxa"/>
            <w:vAlign w:val="bottom"/>
          </w:tcPr>
          <w:p>
            <w:pPr>
              <w:spacing w:after="0"/>
              <w:rPr>
                <w:sz w:val="1"/>
                <w:szCs w:val="1"/>
                <w:color w:val="auto"/>
              </w:rPr>
            </w:pPr>
          </w:p>
        </w:tc>
      </w:tr>
      <w:tr>
        <w:trPr>
          <w:trHeight w:val="229"/>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2019200175</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1/10/2019</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2019200175</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10/24/2019</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covering the locators of the mouthpiece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2019246836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10/10/2019</w:t>
            </w:r>
          </w:p>
        </w:tc>
        <w:tc>
          <w:tcPr>
            <w:tcW w:w="18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2019246836</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12/14/2021</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8"/>
              </w:rPr>
              <w:t>Utility patent covering methods for placing a mouthpiece in a</w:t>
            </w:r>
          </w:p>
        </w:tc>
        <w:tc>
          <w:tcPr>
            <w:tcW w:w="0" w:type="dxa"/>
            <w:vAlign w:val="bottom"/>
          </w:tcPr>
          <w:p>
            <w:pPr>
              <w:spacing w:after="0"/>
              <w:rPr>
                <w:sz w:val="1"/>
                <w:szCs w:val="1"/>
                <w:color w:val="auto"/>
              </w:rPr>
            </w:pPr>
          </w:p>
        </w:tc>
      </w:tr>
      <w:tr>
        <w:trPr>
          <w:trHeight w:val="122"/>
        </w:trPr>
        <w:tc>
          <w:tcPr>
            <w:tcW w:w="16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180" w:type="dxa"/>
            <w:vAlign w:val="bottom"/>
            <w:gridSpan w:val="2"/>
            <w:vMerge w:val="continue"/>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4920" w:type="dxa"/>
            <w:vAlign w:val="bottom"/>
            <w:gridSpan w:val="2"/>
            <w:vMerge w:val="restart"/>
            <w:shd w:val="clear" w:color="auto" w:fill="CFF0FC"/>
          </w:tcPr>
          <w:p>
            <w:pPr>
              <w:ind w:left="180"/>
              <w:spacing w:after="0"/>
              <w:rPr>
                <w:sz w:val="20"/>
                <w:szCs w:val="20"/>
                <w:color w:val="auto"/>
              </w:rPr>
            </w:pPr>
            <w:r>
              <w:rPr>
                <w:rFonts w:ascii="Arial" w:cs="Arial" w:eastAsia="Arial" w:hAnsi="Arial"/>
                <w:sz w:val="18"/>
                <w:szCs w:val="18"/>
                <w:color w:val="auto"/>
              </w:rPr>
              <w:t>patient's mouth</w:t>
            </w:r>
          </w:p>
        </w:tc>
        <w:tc>
          <w:tcPr>
            <w:tcW w:w="0" w:type="dxa"/>
            <w:vAlign w:val="bottom"/>
          </w:tcPr>
          <w:p>
            <w:pPr>
              <w:spacing w:after="0"/>
              <w:rPr>
                <w:sz w:val="1"/>
                <w:szCs w:val="1"/>
                <w:color w:val="auto"/>
              </w:rPr>
            </w:pPr>
          </w:p>
        </w:tc>
      </w:tr>
      <w:tr>
        <w:trPr>
          <w:trHeight w:val="108"/>
        </w:trPr>
        <w:tc>
          <w:tcPr>
            <w:tcW w:w="16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0" w:type="dxa"/>
            <w:vAlign w:val="bottom"/>
            <w:shd w:val="clear" w:color="auto" w:fill="CFF0FC"/>
          </w:tcPr>
          <w:p>
            <w:pPr>
              <w:spacing w:after="0"/>
              <w:rPr>
                <w:sz w:val="9"/>
                <w:szCs w:val="9"/>
                <w:color w:val="auto"/>
              </w:rPr>
            </w:pPr>
          </w:p>
        </w:tc>
        <w:tc>
          <w:tcPr>
            <w:tcW w:w="49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369"/>
        </w:trPr>
        <w:tc>
          <w:tcPr>
            <w:tcW w:w="1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Canadian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2969729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2969729</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10/26/2021</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 and authentication techniques</w:t>
            </w:r>
          </w:p>
        </w:tc>
        <w:tc>
          <w:tcPr>
            <w:tcW w:w="0" w:type="dxa"/>
            <w:vAlign w:val="bottom"/>
          </w:tcPr>
          <w:p>
            <w:pPr>
              <w:spacing w:after="0"/>
              <w:rPr>
                <w:sz w:val="1"/>
                <w:szCs w:val="1"/>
                <w:color w:val="auto"/>
              </w:rPr>
            </w:pPr>
          </w:p>
        </w:tc>
      </w:tr>
      <w:tr>
        <w:trPr>
          <w:trHeight w:val="369"/>
        </w:trPr>
        <w:tc>
          <w:tcPr>
            <w:tcW w:w="1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Eurasian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Eurasian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201790009</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28551</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11/30/2017</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covering methods for non-invasively aiding</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2"/>
              </w:rPr>
              <w:t>(validated in</w:t>
            </w:r>
          </w:p>
        </w:tc>
        <w:tc>
          <w:tcPr>
            <w:tcW w:w="1000" w:type="dxa"/>
            <w:vAlign w:val="bottom"/>
            <w:shd w:val="clear" w:color="auto" w:fill="CFF0FC"/>
          </w:tcPr>
          <w:p>
            <w:pPr>
              <w:spacing w:after="0"/>
              <w:rPr>
                <w:sz w:val="18"/>
                <w:szCs w:val="18"/>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8"/>
              </w:rPr>
              <w:t>neurorehabilitation using intraoral stimulation in combination</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9"/>
              </w:rPr>
              <w:t>8 EA states)</w:t>
            </w: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with an exercise regimen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66" w:right="339" w:bottom="1440" w:gutter="0" w:footer="0" w:header="0"/>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European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European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15813638.2</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3226962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7/3/2019</w:t>
            </w:r>
          </w:p>
        </w:tc>
        <w:tc>
          <w:tcPr>
            <w:tcW w:w="0" w:type="dxa"/>
            <w:vAlign w:val="bottom"/>
          </w:tcPr>
          <w:p>
            <w:pPr>
              <w:spacing w:after="0"/>
              <w:rPr>
                <w:sz w:val="1"/>
                <w:szCs w:val="1"/>
                <w:color w:val="auto"/>
              </w:rPr>
            </w:pPr>
          </w:p>
        </w:tc>
      </w:tr>
      <w:tr>
        <w:trPr>
          <w:trHeight w:val="44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15812899.1</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3226961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8/7/2019</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Russian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Russian</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2017123125</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2649512</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4/3/2018</w:t>
            </w:r>
          </w:p>
        </w:tc>
        <w:tc>
          <w:tcPr>
            <w:tcW w:w="0" w:type="dxa"/>
            <w:vAlign w:val="bottom"/>
          </w:tcPr>
          <w:p>
            <w:pPr>
              <w:spacing w:after="0"/>
              <w:rPr>
                <w:sz w:val="1"/>
                <w:szCs w:val="1"/>
                <w:color w:val="auto"/>
              </w:rPr>
            </w:pPr>
          </w:p>
        </w:tc>
      </w:tr>
      <w:tr>
        <w:trPr>
          <w:trHeight w:val="55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2017123041</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2652571</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4/26/2016</w:t>
            </w:r>
          </w:p>
        </w:tc>
        <w:tc>
          <w:tcPr>
            <w:tcW w:w="0" w:type="dxa"/>
            <w:vAlign w:val="bottom"/>
          </w:tcPr>
          <w:p>
            <w:pPr>
              <w:spacing w:after="0"/>
              <w:rPr>
                <w:sz w:val="1"/>
                <w:szCs w:val="1"/>
                <w:color w:val="auto"/>
              </w:rPr>
            </w:pPr>
          </w:p>
        </w:tc>
      </w:tr>
      <w:tr>
        <w:trPr>
          <w:trHeight w:val="33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2018108570</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2665385</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8/29/2018</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2018129619</w:t>
            </w:r>
          </w:p>
        </w:tc>
        <w:tc>
          <w:tcPr>
            <w:tcW w:w="1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8/14/2019</w:t>
            </w:r>
          </w:p>
        </w:tc>
        <w:tc>
          <w:tcPr>
            <w:tcW w:w="180" w:type="dxa"/>
            <w:vAlign w:val="bottom"/>
          </w:tcPr>
          <w:p>
            <w:pPr>
              <w:spacing w:after="0"/>
              <w:rPr>
                <w:sz w:val="19"/>
                <w:szCs w:val="19"/>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2686950</w:t>
            </w:r>
          </w:p>
        </w:tc>
        <w:tc>
          <w:tcPr>
            <w:tcW w:w="1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5/6/2019</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2018112065</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2686044</w:t>
            </w:r>
          </w:p>
        </w:tc>
        <w:tc>
          <w:tcPr>
            <w:tcW w:w="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4/23/2019</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Israeli</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Israeli</w:t>
            </w: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6/4/2017</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252649</w:t>
            </w:r>
          </w:p>
        </w:tc>
        <w:tc>
          <w:tcPr>
            <w:tcW w:w="16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12/21/2018</w:t>
            </w:r>
          </w:p>
        </w:tc>
        <w:tc>
          <w:tcPr>
            <w:tcW w:w="0" w:type="dxa"/>
            <w:vAlign w:val="bottom"/>
          </w:tcPr>
          <w:p>
            <w:pPr>
              <w:spacing w:after="0"/>
              <w:rPr>
                <w:sz w:val="1"/>
                <w:szCs w:val="1"/>
                <w:color w:val="auto"/>
              </w:rPr>
            </w:pPr>
          </w:p>
        </w:tc>
      </w:tr>
      <w:tr>
        <w:trPr>
          <w:trHeight w:val="337"/>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6/1/2017</w:t>
            </w: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252648</w:t>
            </w:r>
          </w:p>
        </w:tc>
        <w:tc>
          <w:tcPr>
            <w:tcW w:w="1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8/31/2019</w:t>
            </w:r>
          </w:p>
        </w:tc>
        <w:tc>
          <w:tcPr>
            <w:tcW w:w="0" w:type="dxa"/>
            <w:vAlign w:val="bottom"/>
          </w:tcPr>
          <w:p>
            <w:pPr>
              <w:spacing w:after="0"/>
              <w:rPr>
                <w:sz w:val="1"/>
                <w:szCs w:val="1"/>
                <w:color w:val="auto"/>
              </w:rPr>
            </w:pPr>
          </w:p>
        </w:tc>
      </w:tr>
      <w:tr>
        <w:trPr>
          <w:trHeight w:val="540"/>
        </w:trPr>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-2065020</wp:posOffset>
            </wp:positionV>
            <wp:extent cx="7132320" cy="291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-2845435</wp:posOffset>
            </wp:positionV>
            <wp:extent cx="7132320" cy="2914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Utility application covering overall system design, including controller and mouthpiece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Utility application covering shape of the mouthpiece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740"/>
        <w:spacing w:after="0" w:line="257" w:lineRule="auto"/>
        <w:rPr>
          <w:sz w:val="20"/>
          <w:szCs w:val="20"/>
          <w:color w:val="auto"/>
        </w:rPr>
      </w:pPr>
      <w:r>
        <w:rPr>
          <w:rFonts w:ascii="Arial" w:cs="Arial" w:eastAsia="Arial" w:hAnsi="Arial"/>
          <w:sz w:val="18"/>
          <w:szCs w:val="18"/>
          <w:color w:val="auto"/>
        </w:rPr>
        <w:t>Utility patent covering overall system design, including controller and mouthpiece</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Design patent covering the controller design currently used in the PoNS device</w:t>
      </w:r>
    </w:p>
    <w:p>
      <w:pPr>
        <w:spacing w:after="0"/>
        <w:rPr>
          <w:sz w:val="20"/>
          <w:szCs w:val="20"/>
          <w:color w:val="auto"/>
        </w:rPr>
      </w:pPr>
      <w:r>
        <w:rPr>
          <w:rFonts w:ascii="Arial" w:cs="Arial" w:eastAsia="Arial" w:hAnsi="Arial"/>
          <w:sz w:val="18"/>
          <w:szCs w:val="18"/>
          <w:color w:val="auto"/>
        </w:rPr>
        <w:t>Utility patent covering center of gravity of the mouthpiece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patent covering authentication techniques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Utility patent covering center of gravity of the mouthpiece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Subject Matter</w:t>
      </w:r>
    </w:p>
    <w:p>
      <w:pPr>
        <w:spacing w:after="0" w:line="25" w:lineRule="exact"/>
        <w:rPr>
          <w:sz w:val="20"/>
          <w:szCs w:val="20"/>
          <w:color w:val="auto"/>
        </w:rPr>
      </w:pPr>
    </w:p>
    <w:p>
      <w:pPr>
        <w:ind w:right="540"/>
        <w:spacing w:after="0" w:line="270" w:lineRule="auto"/>
        <w:rPr>
          <w:sz w:val="20"/>
          <w:szCs w:val="20"/>
          <w:color w:val="auto"/>
        </w:rPr>
      </w:pPr>
      <w:r>
        <w:rPr>
          <w:rFonts w:ascii="Arial" w:cs="Arial" w:eastAsia="Arial" w:hAnsi="Arial"/>
          <w:sz w:val="18"/>
          <w:szCs w:val="18"/>
          <w:color w:val="auto"/>
        </w:rPr>
        <w:t>Utility patent covering center of gravity of the mouthpiece Utility patent covering overall system design, including controller and mouthpiece</w:t>
      </w:r>
    </w:p>
    <w:p>
      <w:pPr>
        <w:sectPr>
          <w:pgSz w:w="11900" w:h="16838" w:orient="portrait"/>
          <w:cols w:equalWidth="0" w:num="2">
            <w:col w:w="6320" w:space="180"/>
            <w:col w:w="4740"/>
          </w:cols>
          <w:pgMar w:left="320" w:top="166"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color w:val="auto"/>
        </w:rPr>
        <w:t>Foreign Design Patents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Russian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14"/>
                <w:szCs w:val="1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Russian</w:t>
            </w:r>
          </w:p>
        </w:tc>
        <w:tc>
          <w:tcPr>
            <w:tcW w:w="40" w:type="dxa"/>
            <w:vAlign w:val="bottom"/>
          </w:tcPr>
          <w:p>
            <w:pPr>
              <w:spacing w:after="0"/>
              <w:rPr>
                <w:sz w:val="14"/>
                <w:szCs w:val="14"/>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Issue Date</w:t>
            </w:r>
          </w:p>
        </w:tc>
        <w:tc>
          <w:tcPr>
            <w:tcW w:w="40" w:type="dxa"/>
            <w:vAlign w:val="bottom"/>
          </w:tcPr>
          <w:p>
            <w:pPr>
              <w:spacing w:after="0"/>
              <w:rPr>
                <w:sz w:val="14"/>
                <w:szCs w:val="14"/>
                <w:color w:val="auto"/>
              </w:rPr>
            </w:pPr>
          </w:p>
        </w:tc>
        <w:tc>
          <w:tcPr>
            <w:tcW w:w="47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2015501883</w:t>
            </w:r>
          </w:p>
        </w:tc>
        <w:tc>
          <w:tcPr>
            <w:tcW w:w="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6"/>
              </w:rPr>
              <w:t>Issued</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7"/>
              </w:rPr>
              <w:t>98981</w:t>
            </w: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7/16/2016</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7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4"/>
              </w:rPr>
              <w:t>Design patent covering the system design currently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2015501882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7"/>
              </w:rPr>
              <w:t>99240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8/16/2016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3"/>
              </w:rPr>
              <w:t>Design patent covering the mouthpiece design currently used in</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the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2015501881</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6/3/2015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7"/>
              </w:rPr>
              <w:t>98947</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7/16/2016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Design patent covering the controller design currently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PoNS device</w:t>
            </w: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Canadian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40" w:type="dxa"/>
            <w:vAlign w:val="bottom"/>
          </w:tcPr>
          <w:p>
            <w:pPr>
              <w:spacing w:after="0"/>
              <w:rPr>
                <w:sz w:val="24"/>
                <w:szCs w:val="24"/>
                <w:color w:val="auto"/>
              </w:rPr>
            </w:pPr>
          </w:p>
        </w:tc>
        <w:tc>
          <w:tcPr>
            <w:tcW w:w="11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1"/>
              </w:rPr>
              <w:t>Issue Date</w:t>
            </w:r>
          </w:p>
        </w:tc>
        <w:tc>
          <w:tcPr>
            <w:tcW w:w="40" w:type="dxa"/>
            <w:vAlign w:val="bottom"/>
          </w:tcPr>
          <w:p>
            <w:pPr>
              <w:spacing w:after="0"/>
              <w:rPr>
                <w:sz w:val="24"/>
                <w:szCs w:val="24"/>
                <w:color w:val="auto"/>
              </w:rPr>
            </w:pPr>
          </w:p>
        </w:tc>
        <w:tc>
          <w:tcPr>
            <w:tcW w:w="47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162676</w:t>
            </w:r>
          </w:p>
        </w:tc>
        <w:tc>
          <w:tcPr>
            <w:tcW w:w="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89"/>
              </w:rPr>
              <w:t>162676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Design patent covering system design used in the current PoNS</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162672</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162672</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1"/>
              </w:rPr>
              <w:t>Design patent covering an alternative mouthpiece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162674</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162674</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7"/>
              </w:rPr>
              <w:t>Design patent covering mouthpiece used in the current PoNS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5"/>
              </w:rPr>
              <w:t>Design patent covering an alternative controller not used in the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current PoNS device</w:t>
            </w: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162670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162670</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Design patent covering the controller used in the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162673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162673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2"/>
              </w:rPr>
              <w:t>2/29/2016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3"/>
              </w:rPr>
              <w:t>Design patent covering system design used in the current PoNS</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EU Community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EU Community</w:t>
            </w:r>
          </w:p>
        </w:tc>
        <w:tc>
          <w:tcPr>
            <w:tcW w:w="4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Design Reg.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002712026</w:t>
            </w: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6/2/2015</w:t>
            </w:r>
          </w:p>
        </w:tc>
        <w:tc>
          <w:tcPr>
            <w:tcW w:w="1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Issued</w:t>
            </w: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002712026-</w:t>
            </w:r>
          </w:p>
        </w:tc>
        <w:tc>
          <w:tcPr>
            <w:tcW w:w="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9/4/2015</w:t>
            </w:r>
          </w:p>
        </w:tc>
        <w:tc>
          <w:tcPr>
            <w:tcW w:w="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Design patents covering several aspects of the system design</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0001 -</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currently used in the PoNS device</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002712026-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89"/>
              </w:rPr>
              <w:t>0007</w:t>
            </w: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7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006753877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8/23/2019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006753877-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8"/>
              </w:rPr>
              <w:t>11/21/2019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3"/>
              </w:rPr>
              <w:t>Design patents covering the controller design used in the PoNS</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0001 –</w:t>
            </w: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006753877-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89"/>
              </w:rPr>
              <w:t>0008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Australian Design</w:t>
            </w: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20" w:type="dxa"/>
            <w:vAlign w:val="bottom"/>
          </w:tcPr>
          <w:p>
            <w:pPr>
              <w:spacing w:after="0"/>
              <w:rPr>
                <w:sz w:val="24"/>
                <w:szCs w:val="24"/>
                <w:color w:val="auto"/>
              </w:rPr>
            </w:pPr>
          </w:p>
        </w:tc>
        <w:tc>
          <w:tcPr>
            <w:tcW w:w="11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88"/>
              </w:rPr>
              <w:t>Status</w:t>
            </w:r>
          </w:p>
        </w:tc>
        <w:tc>
          <w:tcPr>
            <w:tcW w:w="40" w:type="dxa"/>
            <w:vAlign w:val="bottom"/>
          </w:tcPr>
          <w:p>
            <w:pPr>
              <w:spacing w:after="0"/>
              <w:rPr>
                <w:sz w:val="24"/>
                <w:szCs w:val="24"/>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Australian</w:t>
            </w:r>
          </w:p>
        </w:tc>
        <w:tc>
          <w:tcPr>
            <w:tcW w:w="40" w:type="dxa"/>
            <w:vAlign w:val="bottom"/>
          </w:tcPr>
          <w:p>
            <w:pPr>
              <w:spacing w:after="0"/>
              <w:rPr>
                <w:sz w:val="24"/>
                <w:szCs w:val="24"/>
                <w:color w:val="auto"/>
              </w:rPr>
            </w:pPr>
          </w:p>
        </w:tc>
        <w:tc>
          <w:tcPr>
            <w:tcW w:w="11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Issue Date</w:t>
            </w:r>
          </w:p>
        </w:tc>
        <w:tc>
          <w:tcPr>
            <w:tcW w:w="4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Patent No.</w:t>
            </w:r>
          </w:p>
        </w:tc>
        <w:tc>
          <w:tcPr>
            <w:tcW w:w="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201914827</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8/26/2019</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Issued</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201914827</w:t>
            </w: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10/8/2019</w:t>
            </w: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3"/>
              </w:rPr>
              <w:t>Design patent covering system design used in the PoNS device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201914900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8/28/2019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0"/>
              </w:rPr>
              <w:t>201914900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0"/>
              </w:rPr>
              <w:t>10/24/2019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w w:val="95"/>
              </w:rPr>
              <w:t>Design patent covering the controller design used in the PoNS</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80" w:type="dxa"/>
            <w:vAlign w:val="bottom"/>
            <w:gridSpan w:val="2"/>
          </w:tcPr>
          <w:p>
            <w:pPr>
              <w:ind w:left="40"/>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201914906</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center"/>
              <w:ind w:right="160"/>
              <w:spacing w:after="0"/>
              <w:rPr>
                <w:sz w:val="20"/>
                <w:szCs w:val="20"/>
                <w:color w:val="auto"/>
              </w:rPr>
            </w:pPr>
            <w:r>
              <w:rPr>
                <w:rFonts w:ascii="Arial" w:cs="Arial" w:eastAsia="Arial" w:hAnsi="Arial"/>
                <w:sz w:val="18"/>
                <w:szCs w:val="18"/>
                <w:color w:val="auto"/>
                <w:w w:val="86"/>
              </w:rPr>
              <w:t>Issued</w:t>
            </w:r>
          </w:p>
        </w:tc>
        <w:tc>
          <w:tcPr>
            <w:tcW w:w="10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201914906</w:t>
            </w: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10/23/2019</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w w:val="91"/>
              </w:rPr>
              <w:t>Design patent covering the mouthpiece design used in the PoNS</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78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device</w:t>
            </w: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502"/>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Further, we have 13 foreign utility patent applications that are currently pending: three in Europe, two in each of Australia, Canada and Russia and one in each of China, Israel, and the U.K., and one design patent application that is currently pending in Canada: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Australian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14"/>
                <w:szCs w:val="1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2020228618</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2/26/2020</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Utility application covering computer systems and methods for</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enhancing neurorehabilitation</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2019246836</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10/10/2019</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Allowed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8"/>
              </w:rPr>
              <w:t>Utility patent covering methods for placing a mouthpiece in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patient's mouth</w:t>
            </w:r>
          </w:p>
        </w:tc>
        <w:tc>
          <w:tcPr>
            <w:tcW w:w="0" w:type="dxa"/>
            <w:vAlign w:val="bottom"/>
          </w:tcPr>
          <w:p>
            <w:pPr>
              <w:spacing w:after="0"/>
              <w:rPr>
                <w:sz w:val="1"/>
                <w:szCs w:val="1"/>
                <w:color w:val="auto"/>
              </w:rPr>
            </w:pPr>
          </w:p>
        </w:tc>
      </w:tr>
      <w:tr>
        <w:trPr>
          <w:trHeight w:val="301"/>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Canadian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Canadian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Application 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2969731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8"/>
              </w:rPr>
              <w:t>Allowed</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7"/>
              </w:rPr>
              <w:t>Utility application covering various aspects of the mouthpiece</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such as shape, center of gravity, and the locators</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88"/>
              </w:rPr>
              <w:t>3131684</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2/26/2022</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5"/>
              </w:rPr>
              <w:t>Utility application covering computer systems and methods for</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enhancing neurorehabilitation</w:t>
            </w:r>
          </w:p>
        </w:tc>
        <w:tc>
          <w:tcPr>
            <w:tcW w:w="0" w:type="dxa"/>
            <w:vAlign w:val="bottom"/>
          </w:tcPr>
          <w:p>
            <w:pPr>
              <w:spacing w:after="0"/>
              <w:rPr>
                <w:sz w:val="1"/>
                <w:szCs w:val="1"/>
                <w:color w:val="auto"/>
              </w:rPr>
            </w:pPr>
          </w:p>
        </w:tc>
      </w:tr>
      <w:tr>
        <w:trPr>
          <w:trHeight w:val="229"/>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189954</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8/28/2019</w:t>
            </w:r>
          </w:p>
        </w:tc>
        <w:tc>
          <w:tcPr>
            <w:tcW w:w="1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7"/>
              </w:rPr>
              <w:t>Design patent covering non-invasive neurostimulation device</w:t>
            </w:r>
          </w:p>
        </w:tc>
        <w:tc>
          <w:tcPr>
            <w:tcW w:w="0" w:type="dxa"/>
            <w:vAlign w:val="bottom"/>
          </w:tcPr>
          <w:p>
            <w:pPr>
              <w:spacing w:after="0"/>
              <w:rPr>
                <w:sz w:val="1"/>
                <w:szCs w:val="1"/>
                <w:color w:val="auto"/>
              </w:rPr>
            </w:pPr>
          </w:p>
        </w:tc>
      </w:tr>
      <w:tr>
        <w:trPr>
          <w:trHeight w:val="369"/>
        </w:trPr>
        <w:tc>
          <w:tcPr>
            <w:tcW w:w="1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Chinese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Chinese Patent</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202080031721.1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2/26/2020</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Utility application covering computer systems and methods for</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enhancing neurorehabilitation</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European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European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Patent 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19183730.1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application covering overall system design, including</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controller and mouthpiece</w:t>
            </w:r>
          </w:p>
        </w:tc>
        <w:tc>
          <w:tcPr>
            <w:tcW w:w="0" w:type="dxa"/>
            <w:vAlign w:val="bottom"/>
          </w:tcPr>
          <w:p>
            <w:pPr>
              <w:spacing w:after="0"/>
              <w:rPr>
                <w:sz w:val="1"/>
                <w:szCs w:val="1"/>
                <w:color w:val="auto"/>
              </w:rPr>
            </w:pPr>
          </w:p>
        </w:tc>
      </w:tr>
      <w:tr>
        <w:trPr>
          <w:trHeight w:val="215"/>
        </w:trPr>
        <w:tc>
          <w:tcPr>
            <w:tcW w:w="1620" w:type="dxa"/>
            <w:vAlign w:val="bottom"/>
          </w:tcPr>
          <w:p>
            <w:pPr>
              <w:jc w:val="center"/>
              <w:spacing w:after="0"/>
              <w:rPr>
                <w:sz w:val="20"/>
                <w:szCs w:val="20"/>
                <w:color w:val="auto"/>
              </w:rPr>
            </w:pPr>
            <w:r>
              <w:rPr>
                <w:rFonts w:ascii="Arial" w:cs="Arial" w:eastAsia="Arial" w:hAnsi="Arial"/>
                <w:sz w:val="18"/>
                <w:szCs w:val="18"/>
                <w:color w:val="auto"/>
                <w:w w:val="90"/>
              </w:rPr>
              <w:t>19190373.1</w:t>
            </w:r>
          </w:p>
        </w:tc>
        <w:tc>
          <w:tcPr>
            <w:tcW w:w="1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11/30/2015</w:t>
            </w:r>
          </w:p>
        </w:tc>
        <w:tc>
          <w:tcPr>
            <w:tcW w:w="18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Utility patent application covering methods of placing a</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rPr>
              <w:t>mouthpiece in a patient's mouth prior to engaging in NINM</w:t>
            </w:r>
          </w:p>
        </w:tc>
        <w:tc>
          <w:tcPr>
            <w:tcW w:w="0" w:type="dxa"/>
            <w:vAlign w:val="bottom"/>
          </w:tcPr>
          <w:p>
            <w:pPr>
              <w:spacing w:after="0"/>
              <w:rPr>
                <w:sz w:val="1"/>
                <w:szCs w:val="1"/>
                <w:color w:val="auto"/>
              </w:rPr>
            </w:pPr>
          </w:p>
        </w:tc>
      </w:tr>
      <w:tr>
        <w:trPr>
          <w:trHeight w:val="215"/>
        </w:trPr>
        <w:tc>
          <w:tcPr>
            <w:tcW w:w="1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20712806.7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2/26/2020</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w w:val="95"/>
              </w:rPr>
              <w:t>Utility application covering computer systems and methods for</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enhancing neurorehabilitation</w:t>
            </w:r>
          </w:p>
        </w:tc>
        <w:tc>
          <w:tcPr>
            <w:tcW w:w="0" w:type="dxa"/>
            <w:vAlign w:val="bottom"/>
          </w:tcPr>
          <w:p>
            <w:pPr>
              <w:spacing w:after="0"/>
              <w:rPr>
                <w:sz w:val="1"/>
                <w:szCs w:val="1"/>
                <w:color w:val="auto"/>
              </w:rPr>
            </w:pPr>
          </w:p>
        </w:tc>
      </w:tr>
      <w:tr>
        <w:trPr>
          <w:trHeight w:val="369"/>
        </w:trPr>
        <w:tc>
          <w:tcPr>
            <w:tcW w:w="1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Israel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Israel Patent</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285901</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2/26/2020</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Utility application covering computer systems and methods for</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enhancing neurorehabilitation</w:t>
            </w:r>
          </w:p>
        </w:tc>
        <w:tc>
          <w:tcPr>
            <w:tcW w:w="0" w:type="dxa"/>
            <w:vAlign w:val="bottom"/>
          </w:tcPr>
          <w:p>
            <w:pPr>
              <w:spacing w:after="0"/>
              <w:rPr>
                <w:sz w:val="1"/>
                <w:szCs w:val="1"/>
                <w:color w:val="auto"/>
              </w:rPr>
            </w:pPr>
          </w:p>
        </w:tc>
      </w:tr>
      <w:tr>
        <w:trPr>
          <w:trHeight w:val="369"/>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Russian   Application</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Russian Patent</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No.</w:t>
            </w: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2019112637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4/25/2019</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9"/>
                <w:szCs w:val="19"/>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Utility patent application covering aspects of the controller</w:t>
            </w:r>
          </w:p>
        </w:tc>
        <w:tc>
          <w:tcPr>
            <w:tcW w:w="0" w:type="dxa"/>
            <w:vAlign w:val="bottom"/>
          </w:tcPr>
          <w:p>
            <w:pPr>
              <w:spacing w:after="0"/>
              <w:rPr>
                <w:sz w:val="1"/>
                <w:szCs w:val="1"/>
                <w:color w:val="auto"/>
              </w:rPr>
            </w:pP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w w:val="89"/>
              </w:rPr>
              <w:t>2019109970</w:t>
            </w:r>
          </w:p>
        </w:tc>
        <w:tc>
          <w:tcPr>
            <w:tcW w:w="1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4/4/2019</w:t>
            </w:r>
          </w:p>
        </w:tc>
        <w:tc>
          <w:tcPr>
            <w:tcW w:w="18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Pending</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N/A</w:t>
            </w:r>
          </w:p>
        </w:tc>
        <w:tc>
          <w:tcPr>
            <w:tcW w:w="1000" w:type="dxa"/>
            <w:vAlign w:val="bottom"/>
          </w:tcPr>
          <w:p>
            <w:pPr>
              <w:jc w:val="center"/>
              <w:spacing w:after="0"/>
              <w:rPr>
                <w:sz w:val="20"/>
                <w:szCs w:val="20"/>
                <w:color w:val="auto"/>
              </w:rPr>
            </w:pPr>
            <w:r>
              <w:rPr>
                <w:rFonts w:ascii="Arial" w:cs="Arial" w:eastAsia="Arial" w:hAnsi="Arial"/>
                <w:sz w:val="18"/>
                <w:szCs w:val="18"/>
                <w:color w:val="auto"/>
              </w:rPr>
              <w:t>N/A</w:t>
            </w:r>
          </w:p>
        </w:tc>
        <w:tc>
          <w:tcPr>
            <w:tcW w:w="4920" w:type="dxa"/>
            <w:vAlign w:val="bottom"/>
            <w:gridSpan w:val="2"/>
          </w:tcPr>
          <w:p>
            <w:pPr>
              <w:ind w:left="180"/>
              <w:spacing w:after="0"/>
              <w:rPr>
                <w:sz w:val="20"/>
                <w:szCs w:val="20"/>
                <w:color w:val="auto"/>
              </w:rPr>
            </w:pPr>
            <w:r>
              <w:rPr>
                <w:rFonts w:ascii="Arial" w:cs="Arial" w:eastAsia="Arial" w:hAnsi="Arial"/>
                <w:sz w:val="18"/>
                <w:szCs w:val="18"/>
                <w:color w:val="auto"/>
                <w:w w:val="92"/>
              </w:rPr>
              <w:t>Utility patent application covering the locators of the mouthpiece</w:t>
            </w:r>
          </w:p>
        </w:tc>
        <w:tc>
          <w:tcPr>
            <w:tcW w:w="0" w:type="dxa"/>
            <w:vAlign w:val="bottom"/>
          </w:tcPr>
          <w:p>
            <w:pPr>
              <w:spacing w:after="0"/>
              <w:rPr>
                <w:sz w:val="1"/>
                <w:szCs w:val="1"/>
                <w:color w:val="auto"/>
              </w:rPr>
            </w:pPr>
          </w:p>
        </w:tc>
      </w:tr>
      <w:tr>
        <w:trPr>
          <w:trHeight w:val="368"/>
        </w:trPr>
        <w:tc>
          <w:tcPr>
            <w:tcW w:w="1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U.K. Application No.</w:t>
            </w: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Application</w:t>
            </w: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U.K. Patent No.</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80" w:type="dxa"/>
            <w:vAlign w:val="bottom"/>
          </w:tcPr>
          <w:p>
            <w:pPr>
              <w:spacing w:after="0"/>
              <w:rPr>
                <w:sz w:val="24"/>
                <w:szCs w:val="24"/>
                <w:color w:val="auto"/>
              </w:rPr>
            </w:pPr>
          </w:p>
        </w:tc>
        <w:tc>
          <w:tcPr>
            <w:tcW w:w="474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Subject Matter</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Filing Date</w:t>
            </w:r>
          </w:p>
        </w:tc>
        <w:tc>
          <w:tcPr>
            <w:tcW w:w="11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2113774.0</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2/26/2020</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Pending</w:t>
            </w:r>
          </w:p>
        </w:tc>
        <w:tc>
          <w:tcPr>
            <w:tcW w:w="1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rPr>
              <w:t>N/A</w:t>
            </w:r>
          </w:p>
        </w:tc>
        <w:tc>
          <w:tcPr>
            <w:tcW w:w="180" w:type="dxa"/>
            <w:vAlign w:val="bottom"/>
            <w:tcBorders>
              <w:top w:val="single" w:sz="8" w:color="CFF0FC"/>
            </w:tcBorders>
            <w:shd w:val="clear" w:color="auto" w:fill="CFF0FC"/>
          </w:tcPr>
          <w:p>
            <w:pPr>
              <w:spacing w:after="0"/>
              <w:rPr>
                <w:sz w:val="18"/>
                <w:szCs w:val="18"/>
                <w:color w:val="auto"/>
              </w:rPr>
            </w:pPr>
          </w:p>
        </w:tc>
        <w:tc>
          <w:tcPr>
            <w:tcW w:w="4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Utility application covering computer systems and methods for</w:t>
            </w:r>
          </w:p>
        </w:tc>
        <w:tc>
          <w:tcPr>
            <w:tcW w:w="0" w:type="dxa"/>
            <w:vAlign w:val="bottom"/>
          </w:tcPr>
          <w:p>
            <w:pPr>
              <w:spacing w:after="0"/>
              <w:rPr>
                <w:sz w:val="1"/>
                <w:szCs w:val="1"/>
                <w:color w:val="auto"/>
              </w:rPr>
            </w:pPr>
          </w:p>
        </w:tc>
      </w:tr>
      <w:tr>
        <w:trPr>
          <w:trHeight w:val="230"/>
        </w:trPr>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49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enhancing neurorehabilitation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Currently, we own rights in five trademarks: PoNS, PoNS Therapy, Helius, Helius Medical, and Helius Medical Technologies. We own the rights to the PoNS mark by virtue of an assignment agreement having an effective date of October 27, 2014 and entered into with ANR and the inventors of the PoNS technology. We are also the owner of the rights in the PoNS Therapy, Helius, Helius Medical, and Helius Medical Technologies marks.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the owner of the rights in PoNS, Helius and Helius Medical Technologies marks in Canada. We have also applied for the PoNS trademark in Europe, Russia, China, Australia, New Zealand and Israel. We have also applied for the Helius mark in the U.S., Australia and Canada, the Helius Medical mark in the U.S., and the PoNS Therapy mark in the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products under development and our operations are subject to significant government regulation. In the U.S., our products are regulated as medical devices by the FDA and other federal, state, and local regulatory authorities. The following is a general description of the review and marketing authorization process of the FDA for medical devices.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Medical Devices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U.S. and foreign governmental agencies regulate, among other things, the following activities with respect to medical devices:</w:t>
      </w:r>
    </w:p>
    <w:p>
      <w:pPr>
        <w:spacing w:after="0" w:line="237"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storage and safety;</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22"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U.S., numerous laws and regulations govern all the processes by which medical devices are brought to market and marketed. These include the Food, Drug, and Cosmetic, or FD&amp;C Act and the FDA’s implementation of regulations,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Review, Clearance and Approval Processes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an exemption applies, each medical device commercially distributed in the U.S. requires either FDA clearance of a 510(k) premarket notification, approval of a premarket approval, or PMA, or approval of a de novo application. Under the FDCA, medical devices are classified into one of three classes —Class I, Class II or Class III— depending on the degree of risk associated with each medical device and the extent of manufacturer and regulatory control needed to ensure its safety and effectiveness. Classification of a device is important because the class to which a device is assigned determines, among other things, the necessity and type of FDA review required prior to marketing the device.</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Class I devices are those for which safety and effectiveness can be assured by adherence to FDA's "general controls" for medical devices, which include compliance with the applicable portions of the FDA's Quality System Regulation, or QSR, facility registration and product listing, reporting of adverse medical events, and appropriate, truthful and non-misleading labeling, advertising, and promotional materials. Some Class I devices also require premarket clearance by the FDA through the 510(k) premarket notification process described below.</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premarket review process. When a 510(k) is required, the manufacturer must submit to the FDA a premarket notification submission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will place the device, or the particular use of the device, into Class III, and the device sponsor must then fulfill much more rigorous premarketing requirements.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premarket approval, or PMA, application is required before marketing of a Class III device can proceed. As with 510(k) submissions, unless subject to an exemption, PMA submissions are subject to user fees. The PMA process is much more demanding than the 510(k) premarket notification process.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t>A PMA application, which is intended to demonstrate that the device is safe and effective, must be supported by extensive data, typically including data from preclinical studies and human clinical trials.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PoNS device is currently regulated as a Class II medical device for use in MS. However, if the FDA requires us to go through a lengthier, more rigorous examination for the PoNS device for balance and gait deficit in stroke, introducing the product for stroke could be delayed or canceled. For example, if the FDA decides that the de novo classification procedures are not the appropriate path to obtain marketing authorizations for the PoNS device in stroke, the FDA may require us to submit a PMA application, which is generally more costly and uncertain and can take from one to three years, or longer, from the time the application is submitted to the FDA until an approval is obtained. Further, even with respect to those future products where a PMA may not be required, we cannot be certain that we will be able to obtain 510(k) clearance with respect to our PoNS device.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510(k) Clearance Process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Before the FDA will accept a 510(k) submission for substantive review, the FDA will first assess whether the submission satisfies a minimum threshold of acceptability. If the FDA determines that the 510(k) submission is incomplete, the FDA will issue a “Refuse to Accept” letter which generally outlines the information the FDA believes is necessary to permit a substantive review and to reach a determination regarding substantial equivalence. An applicant must submit the requested information before the FDA will proceed with additional review of the submission. Once the 510(k) submission is accepted for review, by regulation, the FDA has 90 days to review and issue a determination. As a practical matter, clearance often takes longer. The FDA may require additional information, including clinical data, to make a determination regarding substantial equivalence.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 is a route to market for novel medical devices that are low to moderate risk and are not substantially equivalent to a predicate device.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PMA approval. The determination as to whether or not a modification could significantly affect the device’s safety or effectiveness is initially left to the manufacturer using available FDA guidance. Many minor modifications today are accomplished by a “letter to file” in which the manufacture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or PMA approval is obtained. The manufacturer may also be subject to significant regulatory fines or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 novo Classification Process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If a previously unclassified new medical device does not qualify for the 510(k) pre-market notification process because no predicate device to which it is substantially equivalent can be 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 This procedure allows a manufacturer whose novel device is automatically classified into Class III to request classification of its medical device into Class I or Class II on the basis that the device presents low or moderate risk, rather than requiring the submission and approval of a PMA. Prior to the enactment of the Food and Drug Administration Safety and Innovation Act, or FDASIA, in July 2012, a medical device could only be eligible for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pathway by permitting manufacturers to request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directly without first submitting a 510(k) pre-market notification to the FDA and receiving a not substantially equivalent determination. Under FDASIA, the FDA was required to classify the device within 120 days following receipt of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application.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If the manufacturer sought reclassification into Class II, the manufacturer was to include a draft proposal for special controls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FDA granted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for the PoNS device for gait deficit in MS, which resulted in Class II classification. In order to be placed in Class II, the FDA required reasonable assurance of safety and effectiveness of the PoNS device. Under Class II, general controls (e.g., premarket notification) and special controls (e.g., specific performance testing) are applicable.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Obtaining FDA marketing authorization, de novo classification and clearance, or approval for medical devices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Clinical trials are typically required to support a PMA and are sometimes required to support a 510(k) or de novo submission. All clinical investigations of devices to determine safety and effectiveness must be conducted in accordance with the FDA’s investigational device exemption, or IDE, regulations which govern investigational device labeling, prohibit promotion of the investigational device, and specify an array of recordkeeping, reporting and monitoring responsibilities of study sponsors and study investigators. If the device presents a ‘‘significant risk,’’ as defined by the FDA, to human health,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 If the device is considered a "non-significant risk," IDE submission to FDA is not required. Instead, only approval from the Institutional Review Board, or IRB, overseeing the investigation at each clinical trial site is required.</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IRB is responsible for the initial and continuing review of the IDE,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FDA’s regulations and must obtain patient informed consent, rigorously follow the investigational plan and study protocol, control the disposition of the investigational device, and comply with all reporting and record keeping requirements.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a trial begins, the sponsor, the FDA or the IRB could suspend or terminate a clinical trial at any time for various reasons, including a belief that the risks to study subjects outweigh the anticipated benefits. Even if a clinical trial is completed, there can be no assurance that the data generated during a clinical study will meet the safety and effectiveness endpoints or otherwise produce results that will lead the FDA to grant marketing clearance or approval.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U.S. Food and Drug Administration Regulation</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231F20"/>
        </w:rPr>
        <w:t>After a device is cleared or approved for marketing, numerous and pervasive regulatory requirements continue to apply. These include: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7" w:name="page28"/>
    <w:bookmarkEnd w:id="27"/>
    <w:p>
      <w:pPr>
        <w:ind w:left="740" w:hanging="368"/>
        <w:spacing w:after="0"/>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establishment, registration and device listing with the FDA;</w:t>
      </w:r>
    </w:p>
    <w:p>
      <w:pPr>
        <w:spacing w:after="0" w:line="23" w:lineRule="exact"/>
        <w:rPr>
          <w:rFonts w:ascii="Arial" w:cs="Arial" w:eastAsia="Arial" w:hAnsi="Arial"/>
          <w:sz w:val="18"/>
          <w:szCs w:val="18"/>
          <w:color w:val="231F20"/>
        </w:rPr>
      </w:pPr>
    </w:p>
    <w:p>
      <w:pPr>
        <w:ind w:left="740" w:hanging="368"/>
        <w:spacing w:after="0" w:line="258" w:lineRule="auto"/>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QSR requirements, which require manufacturers, including third-party manufacturers, to follow stringent design, testing, control, documentation and other quality assurance procedures during all aspects of the design and manufacturing process;</w:t>
      </w:r>
    </w:p>
    <w:p>
      <w:pPr>
        <w:ind w:left="740" w:hanging="368"/>
        <w:spacing w:after="0"/>
        <w:tabs>
          <w:tab w:leader="none" w:pos="74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labeling regulations and FDA prohibitions against the promotion of investigational products, or ‘‘off-label’’ uses of cleared or approved products;</w:t>
      </w:r>
    </w:p>
    <w:p>
      <w:pPr>
        <w:spacing w:after="0" w:line="32" w:lineRule="exact"/>
        <w:rPr>
          <w:rFonts w:ascii="Arial" w:cs="Arial" w:eastAsia="Arial" w:hAnsi="Arial"/>
          <w:sz w:val="16"/>
          <w:szCs w:val="16"/>
          <w:color w:val="231F20"/>
        </w:rPr>
      </w:pPr>
    </w:p>
    <w:p>
      <w:pPr>
        <w:ind w:left="740" w:hanging="368"/>
        <w:spacing w:after="0"/>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requirements related to promotional activities;</w:t>
      </w:r>
    </w:p>
    <w:p>
      <w:pPr>
        <w:spacing w:after="0" w:line="22" w:lineRule="exact"/>
        <w:rPr>
          <w:rFonts w:ascii="Arial" w:cs="Arial" w:eastAsia="Arial" w:hAnsi="Arial"/>
          <w:sz w:val="18"/>
          <w:szCs w:val="18"/>
          <w:color w:val="231F20"/>
        </w:rPr>
      </w:pPr>
    </w:p>
    <w:p>
      <w:pPr>
        <w:ind w:left="740" w:hanging="368"/>
        <w:spacing w:after="0" w:line="258" w:lineRule="auto"/>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clearance or approval of product modifications to 510(k)-cleared devices that could significantly affect safety or effectiveness or that would constitute a major change in intended use of one of our cleared devices;</w:t>
      </w:r>
    </w:p>
    <w:p>
      <w:pPr>
        <w:jc w:val="both"/>
        <w:ind w:left="740" w:hanging="368"/>
        <w:spacing w:after="0" w:line="250" w:lineRule="auto"/>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 w:lineRule="exact"/>
        <w:rPr>
          <w:rFonts w:ascii="Arial" w:cs="Arial" w:eastAsia="Arial" w:hAnsi="Arial"/>
          <w:sz w:val="18"/>
          <w:szCs w:val="18"/>
          <w:color w:val="231F20"/>
        </w:rPr>
      </w:pPr>
    </w:p>
    <w:p>
      <w:pPr>
        <w:ind w:left="740" w:hanging="368"/>
        <w:spacing w:after="0" w:line="281" w:lineRule="auto"/>
        <w:tabs>
          <w:tab w:leader="none" w:pos="74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 w:lineRule="exact"/>
        <w:rPr>
          <w:rFonts w:ascii="Arial" w:cs="Arial" w:eastAsia="Arial" w:hAnsi="Arial"/>
          <w:sz w:val="16"/>
          <w:szCs w:val="16"/>
          <w:color w:val="231F20"/>
        </w:rPr>
      </w:pPr>
    </w:p>
    <w:p>
      <w:pPr>
        <w:ind w:left="740" w:hanging="368"/>
        <w:spacing w:after="0" w:line="250" w:lineRule="auto"/>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FDA’s recall authority, whereby the agency can order device manufacturers to recall from the market a product that is in violation of governing laws and regulations; and</w:t>
      </w:r>
    </w:p>
    <w:p>
      <w:pPr>
        <w:ind w:left="740" w:hanging="368"/>
        <w:spacing w:after="0" w:line="260" w:lineRule="auto"/>
        <w:tabs>
          <w:tab w:leader="none" w:pos="74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post-market surveillance activities and regulations, which apply when deemed by the FDA to be necessary to protect the public health or to provide additional safety and effectiveness data for the device.</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Advertising and promotion of medical devices, in addition to being regulated by the FDA, are also regulated by the FTC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 If the FDA determines that promotional materials or training constitutes promotion of an unapproved or uncleared use, it could request that modification of promotional materials or subject a company to regulatory or enforcement actions. It is also possible that other federal, state or foreign enforcement authorities might take action if they consider promotional or training materials to constitute promotion of an unapproved or uncleared use, which could result in significant fines or penalties under other statutory authorities, such as laws prohibiting false claims for reimbursement.</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31F20"/>
        </w:rPr>
        <w:t xml:space="preserve">Healthcare providers, physicians, and third party payers will play a primary role in the recommendation and use of any products for which we obtain marketing approval. Our future arrangements with third party payers, healthcare providers and physicians may expose us to broadly applicable fraud and abuse and other healthcare laws and regulations that may constrain the business or financial arrangements and relationships through which we market, sell and distribute any device for which we obtain marketing approval. In the </w:t>
      </w:r>
      <w:r>
        <w:rPr>
          <w:rFonts w:ascii="Arial" w:cs="Arial" w:eastAsia="Arial" w:hAnsi="Arial"/>
          <w:sz w:val="18"/>
          <w:szCs w:val="18"/>
          <w:color w:val="000000"/>
        </w:rPr>
        <w:t>U.S.</w:t>
      </w:r>
      <w:r>
        <w:rPr>
          <w:rFonts w:ascii="Arial" w:cs="Arial" w:eastAsia="Arial" w:hAnsi="Arial"/>
          <w:sz w:val="18"/>
          <w:szCs w:val="18"/>
          <w:color w:val="231F20"/>
        </w:rPr>
        <w:t>, our activities are potentially subject to regulation by various federal, state and local authorities in addition to the FDA, including the CMS, other divisions of the United States Department of Health and Human Services (e.g., the Office of Inspector General), the United States Department of Justice and individual United States Attorney offices within the Department of Justice, and state and local governments. The applicable laws and regulations include the federal health care programs Anti-Kickback Statute, or AKS, and the federal Civil False Claims Act.</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31F20"/>
        </w:rPr>
        <w:t>The AKS makes it illegal for any person, including a device manufacturer (or a party acting on its behalf), to knowingly and willfully solicit, receive, offer or pay any remuneration, directly or indirectly, in cash or in kind, that is intended to induce or reward referrals, including the purchase, recommendation, or order of a particular device, for which payment may be made under a federal healthcare program, such as Medicare or Medicaid. Violations of this law are punishable by up to ten years in prison, criminal fines, administrative civil money penalties and exclusion from participation in federal healthcare programs. In addition, a person or entity does not need to have actual knowledge of the statute or specific intent to violate it.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The Federal Civil False Claims Act imposes civil penalties, including through civil whistleblower or qui tam actions, against individuals or entities (including manufacturers) for, among other things, knowingly presenting, or causing to be presented, false or fraudulent claims for payment of government funds or making a false statement or record material to payment of a false claim or avoiding, decreasing or concealing an obligation to pay money to the federal government. Penalties for a False Claims Act violation include three times the actual damages sustained by the government, plus mandatory civil penalties of between $11,463 and $22,927 (adjusted annually for inflation) for each separate false claim and the potential for exclusion from participation in federal healthcare programs. Conduct that violates the False Claims Act also may implicate various federal criminal statutes. The government may deem manufacturers to have “caused” the submission of false or fraudulent claims by, for example, providing inaccurate billing or coding information to customers or promoting a product off-label. Claims which include items or services resulting from a violation of the federal AKS also are deemed false or fraudulent claims for purposes of the False Claims Act. Our future marketing and activities relating to the reporting of wholesaler or estimated retail prices for our products and other information affecting federal, state and third-party reimbursement for our products, and the sale and marketing of our product and any future product candidates, are subject to scrutiny under this law.</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7"/>
          <w:szCs w:val="17"/>
          <w:color w:val="231F20"/>
        </w:rPr>
        <w:t>The manufacturing processes associated with medical devices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design history file, device history records, and complaint files. As a manufacturer, we are subject to periodic scheduled or unscheduled inspections by the FDA. Any failure to maintain compliance with the QSR requirements could result in the shut-down of, or restrictions on manufacturing operations and the recall or seizure of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231F20"/>
        </w:rPr>
        <w:t>The FDA has broad regulatory compliance and enforcement powers. If the FDA determines that a company has failed to comply with applicable regulatory requirements, it can take a variety of compliance or enforcement actions, which may result in any of the following sanctions:</w:t>
      </w: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untitled letters, warning letters, fines, injunctions, consent decrees and civil penalties;</w:t>
      </w:r>
    </w:p>
    <w:p>
      <w:pPr>
        <w:spacing w:after="0" w:line="9"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unanticipated expenditures to address or defend such actions</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customer notifications for repair, replacement, refunds;</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recall, detention or seizure of our products;</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operating restrictions or partial suspension or total shutdown of production;</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refusing or delaying our requests for 510(k) clearance or PMA approval of new products or modified products;</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operating restrictions;</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withdrawing 510(k) clearances or PMA approvals that have already been granted;</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refusal to grant export approval for our products; or</w:t>
      </w:r>
    </w:p>
    <w:p>
      <w:pPr>
        <w:spacing w:after="0" w:line="22" w:lineRule="exact"/>
        <w:rPr>
          <w:rFonts w:ascii="Arial" w:cs="Arial" w:eastAsia="Arial" w:hAnsi="Arial"/>
          <w:sz w:val="18"/>
          <w:szCs w:val="18"/>
          <w:color w:val="231F20"/>
        </w:rPr>
      </w:pPr>
    </w:p>
    <w:p>
      <w:pPr>
        <w:ind w:left="1500" w:hanging="372"/>
        <w:spacing w:after="0"/>
        <w:tabs>
          <w:tab w:leader="none" w:pos="150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criminal prosecution.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Canada</w:t>
      </w:r>
    </w:p>
    <w:p>
      <w:pPr>
        <w:spacing w:after="0" w:line="22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After a medical device has been approved for commercial use in Canada, there are a number of Health Canada requirements that must be adhered to including but not limited to the following:</w:t>
      </w:r>
    </w:p>
    <w:p>
      <w:pPr>
        <w:spacing w:after="0" w:line="1"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annual license renewals;</w:t>
      </w:r>
    </w:p>
    <w:p>
      <w:pPr>
        <w:spacing w:after="0" w:line="9" w:lineRule="exact"/>
        <w:rPr>
          <w:rFonts w:ascii="Arial" w:cs="Arial" w:eastAsia="Arial" w:hAnsi="Arial"/>
          <w:sz w:val="18"/>
          <w:szCs w:val="18"/>
          <w:color w:val="auto"/>
        </w:rPr>
      </w:pPr>
    </w:p>
    <w:p>
      <w:pPr>
        <w:ind w:left="740" w:hanging="368"/>
        <w:spacing w:after="0" w:line="258"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labeling regulations, which prohibit “misbranded” devices from entering the market, as well as prohibit on the promotion of products for unapproved or “off-label” use and impose other restrictions on labeling including truthfulness and accuracy;</w:t>
      </w: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that would require license amendments;</w:t>
      </w:r>
    </w:p>
    <w:p>
      <w:pPr>
        <w:spacing w:after="0" w:line="9" w:lineRule="exact"/>
        <w:rPr>
          <w:rFonts w:ascii="Arial" w:cs="Arial" w:eastAsia="Arial" w:hAnsi="Arial"/>
          <w:sz w:val="18"/>
          <w:szCs w:val="18"/>
          <w:color w:val="auto"/>
        </w:rPr>
      </w:pPr>
    </w:p>
    <w:p>
      <w:pPr>
        <w:jc w:val="both"/>
        <w:ind w:left="740" w:hanging="368"/>
        <w:spacing w:after="0" w:line="255" w:lineRule="auto"/>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post-market surveillance including medical device reporting, which requires manufacturers report to Health Canada if their device may have caused or contributed to a death or serious injury, or malfunctioned in a way that would likely cause or contribute to a death or serious injury if it were to recur;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We submitted an application for a CE Mark of the PoNS device with our UK based notified body in December 2018. </w:t>
      </w:r>
      <w:r>
        <w:rPr>
          <w:rFonts w:ascii="Arial" w:cs="Arial" w:eastAsia="Arial" w:hAnsi="Arial"/>
          <w:sz w:val="17"/>
          <w:szCs w:val="17"/>
          <w:color w:val="231F20"/>
        </w:rPr>
        <w:t>In August 2019 we withdrew our</w:t>
      </w:r>
      <w:r>
        <w:rPr>
          <w:rFonts w:ascii="Arial" w:cs="Arial" w:eastAsia="Arial" w:hAnsi="Arial"/>
          <w:sz w:val="17"/>
          <w:szCs w:val="17"/>
          <w:color w:val="auto"/>
        </w:rPr>
        <w:t xml:space="preserve"> application from the EU marketing process due to notified body activities being delayed by Brexit and the upcoming medical devices regulation changes. We have engaged G-MED NA as our registrar and will reconsider submitting to the EU when conditions stabilize. The successful completion of this review would result in marketing authorization for the sale of the PoNS device in the EU which now excludes the UK. Some EU member states have additional notification requirements that we expect to satisfy before we launch our PoNS Therapy in those member states. Once the PoNS device is placed into the EU market, post market requirements apply including but not limited to:</w:t>
      </w:r>
    </w:p>
    <w:p>
      <w:pPr>
        <w:spacing w:after="0" w:line="1"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ensuring that the labeling promotes only approved use(s) of the device;</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assessment of product modifications for significant changes may require license amendments;</w:t>
      </w:r>
    </w:p>
    <w:p>
      <w:pPr>
        <w:spacing w:after="0" w:line="22" w:lineRule="exact"/>
        <w:rPr>
          <w:rFonts w:ascii="Arial" w:cs="Arial" w:eastAsia="Arial" w:hAnsi="Arial"/>
          <w:sz w:val="18"/>
          <w:szCs w:val="18"/>
          <w:color w:val="auto"/>
        </w:rPr>
      </w:pPr>
    </w:p>
    <w:p>
      <w:pPr>
        <w:jc w:val="both"/>
        <w:ind w:left="740" w:hanging="368"/>
        <w:spacing w:after="0" w:line="255" w:lineRule="auto"/>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post-market surveillance including vigilance reporting, which requires manufacturers report to authorities if our PoNS device caused or contributed to a death or serious injury, or malfunctioned in a way that would likely cause or contribute to a death or serious injury if it were to recur; and</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post-approval restrictions or conditions.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submitted our application for marketing authorization to the TGA during the third quarter of 2019.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jc w:val="both"/>
        <w:ind w:right="20"/>
        <w:spacing w:after="0" w:line="277" w:lineRule="auto"/>
        <w:rPr>
          <w:sz w:val="20"/>
          <w:szCs w:val="20"/>
          <w:color w:val="auto"/>
        </w:rPr>
      </w:pPr>
      <w:r>
        <w:rPr>
          <w:rFonts w:ascii="Arial" w:cs="Arial" w:eastAsia="Arial" w:hAnsi="Arial"/>
          <w:sz w:val="18"/>
          <w:szCs w:val="18"/>
          <w:color w:val="auto"/>
        </w:rPr>
        <w:t>PoNS is indicated for short term use by healthcare professionals as an adjunct to a therapeutic exercise program to improve balance and gait. PoNS is not intended to be used alone without an exercise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 Laws; Breaches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Medical device companies may be subject to U.S. federal and state health information privacy, security and data breach notification laws, which may govern the collection, use, disclosure and protection of health-related and other personal information. The Health Insurance Portability and Accountability Act of 1996, or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the U.S. Department of Health and Human Services, or HHS, affected individuals and if the breach is large enough, the media. Entities that are found to be in violation of HIPAA as the result of a breach of unsecured protected health information, or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Personally identifiable health information is considered sensitive data that merits stronger safeguards. The FTC’s guidance for appropriately securing consumers’ personal information is similar to what is required by the HIPAA Security Rule.</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certain state laws govern the privacy and security of health information in certain circumstances, some of which may be more stringent, broader in scope or offer greater individual rights with respect to PHI, than HIPAA, and many of which differ from each other, thus complicating compliance efforts. Failure to comply with these laws, where applicable, can result in the imposition of significant civil and/or criminal penalties and private litigation. For example, California enacted the California Consumer Privacy Act, or the CCPA, on June 28, 2018,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Additionally, many of the more ambiguous provisions of the CCPA have yet to be fully interpreted and applied, and numerous amendments have been proposed and are working their way through legislature. Consequently, the CCPA currently presents many compliance questions that remain unresolved. The CCPA may increase our compliance costs and potential liability. In addition to the CCPA, numerous other states’ legislatures are considering similar laws that will require ongoing compliance efforts and investment.</w:t>
      </w:r>
    </w:p>
    <w:p>
      <w:pPr>
        <w:spacing w:after="0" w:line="1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European Union, as of May 25, 2018, Regulation 2016/676, known as the General Data Protection Regulation, or GDPR, replaced the Data Protection Directive with respect to the processing of personal data in the European Union. The GDPR imposes many requirements for controllers and processors of personal data, including, for example, higher standards for obtaining consent from individuals to process their personal data, more robust disclosures to individuals and a strengthened individual data rights regime, shortened timelines for data breach notifications, limitations on retention and secondary use of information, increased requirements pertaining to health data and pseudonymized (i.e., key-coded) data and additional obligations when we contract third-party processors in connection with the processing of the personal data. The GDPR allows EU member states to make additional laws and regulations further limiting the processing of genetic, biometric or health data. Failure to comply with the requirements of GDPR and the applicable national data protection laws of the EU member states may result in fines of up to €20 million or up to 4% of the total worldwide annual turnover of the preceding financial year, whichever is higher, and other administrative penalties.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History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and Arrangement with Boomerang Oil, Inc.</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 B.C. Ltd. to reorganize the business structure of such three entities in such a manner which would allow Boomerang Oil, Inc. to spin us out to become an independent entity that is a reporting issuer in Canada and for us to complete a reverse take-over of 0995162 B.C. Ltd. As a result of the arrangement agreement, we became a reporting issuer in the provinces of British Columbia and Alberta. In addition, the arrangement resulted in 0995162 B.C. Ltd. becoming our wholly owned subsidiary. The assets of 0995162 B.C. Ltd. consisted of cash and 0995162 B.C. Ltd.’s interest in a letter agreement pursuant to which it had agreed to acquire all of the outstanding shares of HMI, a Delaware corporation, and to seek a listing on a recognized stock exchange.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Reincorporation in Wyoming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NeuroHabilitation Corporation and Concurrent Financing</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13, 2014, we completed the acquisition of NeuroHabilitation Corporation, or NHC, by way of an agreement and plan of merger. We refer to this transaction as the Reverse Merger. Pursuant to the agreement and plan of merger, HMT Mergersub, Inc., our wholly owned subsidiary, merged with and into NHC with NHC as the surviving corporation. In connection with the Reverse Merger, we issued an aggregate of 201,714 shares of our common stock to the former shareholders of HMI. The Reverse Merger was deemed to be a capital transaction in substance and recorded as a reverse recapitalization of NHC whereby NHC is deemed to be the continuing, surviving entity for accounting purposes, but through reorganization, has deemed to have adopted the capital structure of Helius. On December 21, 2018, NHC changed its name to Helius Medical, Inc.</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Reverse Merger, we completed a non-brokered private placement financing of $7.02 million (CAD$7.62 million) by issuing 87,085 subscription receipts. Pursuant to its terms, each subscription receipt automatically converted into one unit upon satisfaction of certain escrow release conditions, which had been satisfied. Each unit consisted of one share of our common stock and one-half of one share purchase warrant with each whole warrant being exercisable at CAD$175.00 per share for a period of two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Reincorporation in Delaware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28, 2018, at our 2018 Annual Meeting of Shareholders, our shareholders approved our reincorporation from the state of Wyoming to the state of Delaware. On July 20, 2018, we completed the reincorporation to the state of Delaware.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Helius NeuroRehab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2019, we formed Helius NeuroRehab, Inc., or HNR, a Delaware corporation, which is a wholly owned subsidiary of Helius Medical Technologies, Inc. with the intent to operate a clinic focusing on the delivery of PoNS Therapy to patients with balance and gait disorders. HNR remains dormant and there are currently no plans to utilize it as originally intended.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Formation of Helius Canada Acquisition Ltd. and Acquisition of Heuro Canada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10, 2019, we formed HCA, a company incorporated under the federal laws of Canada, which is a wholly owned subsidiary of HMC, a company incorporated under the federal laws of Canada. On October 30, 2019, we acquired Heuro, a company incorporated under the federal laws of Canada, as a wholly owned subsidiary of HCA, from HTC.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of our Common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our Reverse Merger, we obtained approval of the listing of our common stock on the Canadian Securities Exchange, or CSE, on June 23, 2014. On April 18, 2016, our common stock was listed on the TSX under the symbol “HSM.” At the same time, we delisted our common stock from the CSE. We voluntarily delisted from the TSX effective as of the close of trading on September 9, 2021. The Company’s common stock also began being quoted on the OTC Markets, or OTCQB, under the ticker symbol “HSDT” on February 10, 2015. On April 11, 2018, our common stock began trading on the Nasdaq Capital Market under the ticker symbol “HSDT” and ceased to be quoted on the OTCQB. As of the date of this Annual Report, our common stock continues to trade on the Nasdaq Capital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a special meeting of our stockholders on December 28, 2020, our stockholders approved a reverse split of our outstanding common stock at a ratio in the range of 1-for-5 to 1-for-35 to be determined at the discretion of our board of directors, whereby each outstanding 5 to 35 shares would be combined, converted and changed into 1 share of our common stock, to enable us to comply with Nasdaq’s continued listing requirements.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such meeting, our board of directors approved a final reverse stock split ratio of 1-for-35, and we filed with the Secretary of State of the State of Delaware a Certificate of Amendment to our Certificate of Incorporation to effect the reverse stock split. The reverse stock split was effective as of 5:00 pm Eastern Time on December 31, 2020, and our common stock began trading on a split-adjusted basis on The Nasdaq Capital Market and Toronto Stock Exchange on January 4, 2021. The reverse stock split did not change the par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value of our stock or the authorized number of common or preferred shares. All share and per share amounts for all periods presented in this Annual Report have been retroactively adjusted for the reverse stock split effected on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executive offices are located at 642 Newtown Yardley Road, Suite 100, Newtown, PA 18940 and our telephone number is 215-944-6100. We maintain a corporate website at www.heliusmedical.com.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Annual Report. Additionally, the SEC maintains a website that contains annual, quarterly, and current reports, proxy statements, and other information that issuers (including us) file electronically with the SEC. The SEC’s website address is http://www.sec.gov.</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a neurotechnology company focused on neurological wellness through the development, licensing or acquisition of non-implanted technologies targeted at reducing symptoms of neurological disease or trauma, our human capital is important to the long-term success of our company.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Our People. </w:t>
      </w:r>
      <w:r>
        <w:rPr>
          <w:rFonts w:ascii="Arial" w:cs="Arial" w:eastAsia="Arial" w:hAnsi="Arial"/>
          <w:sz w:val="18"/>
          <w:szCs w:val="18"/>
          <w:color w:val="auto"/>
        </w:rPr>
        <w:t>We believe our diverse workforce is comprised of engaged individuals with appropriate qualifications and competencies to support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Our senior management team has an average of over 25 years of experience in the health sciences industry with recognized leadership expertise in their functional areas.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2020, we had 19 full time employees, no part time employees, two full time consultants and five part time consultants. During 2021, we expanded our workforce to prepare for our commercial launch in the US following the receipt in March 2021 of marketing authorization from the FDA of the PoNS device for use as a short term treatment of gait deficit due to mild-to-moderate systems of MS, and as such, as of December 31, 2021, we had 26 full time employees, no part time employees, seven full time consultants and three part time consultants.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our employees were covered by collective bargaining agreements. We have not experienced any interruptions of operations due to disputes with our employees.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Talent Acquisition, Development and Retention. </w:t>
      </w:r>
      <w:r>
        <w:rPr>
          <w:rFonts w:ascii="Arial" w:cs="Arial" w:eastAsia="Arial" w:hAnsi="Arial"/>
          <w:sz w:val="18"/>
          <w:szCs w:val="18"/>
          <w:color w:val="auto"/>
        </w:rPr>
        <w:t>Hiring, developing, and retaining high-performing employees is important to our operations and 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focused on creating experiences that foster growth, performance and retention. Retaining and acquiring the right talent in this competitive environment, particularly at speed and scale, will continue to be a priority as we have obtained FDA de novo classification and clearance of the PoNS device. Our workforce reflects talent from diverse perspectives.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Compensation, Benefits, Safety and Wellness. </w:t>
      </w:r>
      <w:r>
        <w:rPr>
          <w:rFonts w:ascii="Arial" w:cs="Arial" w:eastAsia="Arial" w:hAnsi="Arial"/>
          <w:sz w:val="18"/>
          <w:szCs w:val="18"/>
          <w:color w:val="auto"/>
        </w:rPr>
        <w:t>In addition to offering market competitive salaries and wages, we offer comprehensive health benefits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eligible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An investment in our securities has a high degree of risk. Before you invest you should carefully consider the risks and uncertainties described below and the other information in this Annual Report. Any of the risks and uncertainties set forth herein could materially and adversely affect our business, results of operations and financial condition, which in turn could materially and adversely affect the trading price or value of our securities. Additional risks not currently known to us or which we consider immaterial based on information currently available to us may also materially adversely affect us. As a result, you could lose all or part of your investment.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incurred substantial net losses since our inception and anticipate that we will continue to incur substantial net losses for the foreseeable future. We may never achieve or sustain profitability.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incurred substantial net losses since our inception. For the years ended December 31, 2021 and 2020, we incurred a net loss of $18.1 million and $14.1 million, respectively, and used cash in operations of $13.4 million and $11.7 million, respectively. We have an accumulated deficit of $137.0 million as of December 31, 2021. Our losses have resulted primarily from costs incurred in connection with our design, manufacturing and development activities, research and development activities, building our commercial infrastructure, stock-based compensation, legal, advertising, marketing and investor relations, and general and administrative expenses associated with our operations. Although we have received a medical device license from Health Canada to market the PoNS device in Canada, marketing authorization from the FDA for the sale of our PoNS device in the U.S., market authorization from the TGA in Australia, and even if we are successful in obtaining marketing authorization from additional foreign regulatory authorities to launch outside of the U.S., we expect to continue to incur substantial losses for the foreseeable future as we continue to research and develop and seek regulatory marketing authorization for our product candidate.</w:t>
      </w:r>
    </w:p>
    <w:p>
      <w:pPr>
        <w:spacing w:after="0" w:line="1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subject to all of the business risks and uncertainties associated with any new business enterprise, including under-capitalization, cash shortages, limitations with respect to personnel, financial and other resources, lack of significant revenue and the risk that we will not achieve our growth objective. If sales revenue from any product candidate that receives marketing authorization from the FDA or other regulatory body is insufficient, if we are unable to develop and commercialize any of our potential product candidates, or if our product development is delayed, we may never achieve or sustain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require additional financing to carry out our plan of operations and if we are unable to obtain such financing, our business may fail.</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From our inception through December 31, 2021, we have generated approximately $2.6 million in revenue from the commercial sales of products or services. 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recruitment of patients for treatment, and demonstration of effectiveness sufficient to generate commercial orders by customers for our product. Moreover, because we expect that the revenue opportunity in the U.S. is significantly greater than in Canada, we believe our ability to generate significant revenue in the future will be dependent upon the speed and success of our commercial launch in the U.S. during 2022.</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factors raise substantial doubt about our ability to continue as a going concern through at least 12 months from the date of this Annual Report. While we had $11.0 million of cash as of December 31, 2021, we do not currently have sufficient resources to accomplish all of the above conditions necessary for us to generate sufficient revenues to achieve profitability, and we will require additional financing to fund our operations beyond the beginning of the third quarter of 2022. There is no guarantee that such funding will be available at all or in sufficient amounts to satisfy our required expenditures.</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we are unable to obtain additional financing as needed, we may be forced to reduce the scope of our operations and planned capital expenditures or sell certain assets, including intellectual property, and we may be forced to cease or wind down operations, seek protection under the provisions of the U.S. Bankruptcy Code, or liquidate and dissolve our company, which would have a material adverse effect on the value of our common stock.</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Raising additional capital by issuing securities or through debt financings or licensing arrangements may cause dilution to our existing stockholders, restrict our operations or require us to relinquish rights to our technologies or product on terms unfavorable to us.</w:t>
      </w:r>
    </w:p>
    <w:p>
      <w:pPr>
        <w:spacing w:after="0" w:line="1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operations to date have principally been financed by public and private offerings of our common stock and convertible debt and exercises of options and warrants and, since inception, we have raised $130.6 million in gross proceeds from equity financings. Until we can generate significant revenue from product sales, if ever, we expect to finance our operations through the sale of equity, debt financings, or other capital sources, including 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future revenue streams, research programs or product candidates, or otherwise grant licenses on terms that are not favorable to us. If we are unable to raise additional capital when needed, we may be required to delay, limit, reduce or terminate our product development or commercialization efforts for our product or our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continue to operate without the threat of liquidation for the foreseeable future.</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connection with our management’s assessment, our report from our independent registered public accounting firm for the fiscal year ended December 31, 2021 includes an explanatory paragraph stating that our recurring losses from operations and net capital deficiency raise substantial doubt about our ability to continue as a going concern.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We believe our existing capital resources will be sufficient to fund our operations into the third quarter of 2022. However, in light of the commercial launch of PoNS Therapy in the U.S. beginning in 2022, we expect our expenses to increase throughout 2022, particularly as we invest in marketing and distribution capabilities, make improvements to our manufacturing process and product design, and add additional personnel. We also expect our expenses to increase if and as we conduct trials of PoNS Therapy, such as the TEP, or if and as we decide to pursue further regulatory approvals, or maintain, expand and protect our intellectual property portfolio. Other than our right to cause Lincoln Park to purchase shares of our common stock under the LPC Purchase Agreement, which is subject to certain limitations and conditions, we do not have any committed external source of funds.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only have one product which is approved in the U.S. only for treatment of gait deficit and otherwise only in Canada and Australia.</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have no products authorized for commercial distribution in Europe, or in any other country outside of Canada, the U.S. and Australia. In the U.S. we have not received marketing authorization for use of the PoNS device other than for MS. In addition, the FDA has previously rejected our de novo application for marketing authorization of the PoNS device for mmTBI. In respect of Europe, we are developing the PoNS device for use in the neuromodulation market, but we cannot begin marketing and selling the device in Europe until we obtain applicable authorizations from the European Union (Notified Body). The process of obtaining regulatory authorization is expensive and time-consuming and 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of a product or rejection of a regulatory application altogether.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plan to develop the PoNS device for other indications, or symptoms caused by neurological disorders, and will be required to commit our own resources to fund development of any other indications and each would require separate regulatory clearance or other marketing authorization in other territories. The costs of such development efforts and regulatory clearance or other marketing authorization could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be substantial and would likely require additional funding, and each such indication would be subject to the same foregoing risks and uncertainties for FDA clearance/authorization.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have re-opened, as of December 31, 2021, they were all operating at reduced capacity, which limited operations to 50% capacity during the second half of 2021. Some patients have begun to return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Thus far during the first quarter of 2022, capacity has remained at the 50% threshold with the expectation that the capacity limit will increase as provinces continue to lift restrictions. We continue to monitor the impact of COVID-19 and adjust our operations as the circumstances change.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expanded our services to include remote training and treatment, but the long-term viability of these remote programs is still being assessed. Additionally, current and planned clinical experience programs and clinical trials have experienced and may 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COVID-19 pandemic has and may continue to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Two of our suppliers experienced significant labor shortages as a result of COVID-19 from the end of November 2021 through early January 2022 which reduced the available resources needed to build and test product resulting in production delays of the PoNS devices. Disruptions in business operations or governmental operations due to COVID-19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including:</w:t>
      </w:r>
    </w:p>
    <w:p>
      <w:pPr>
        <w:spacing w:after="0" w:line="225" w:lineRule="exact"/>
        <w:rPr>
          <w:sz w:val="20"/>
          <w:szCs w:val="20"/>
          <w:color w:val="auto"/>
        </w:rPr>
      </w:pPr>
    </w:p>
    <w:p>
      <w:pPr>
        <w:ind w:left="740" w:hanging="368"/>
        <w:spacing w:after="0" w:line="258"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may require us to change the way PoNS Authorized clinic locations operate or our clinical experience programs or clinical trials are conducted and may result in unexpected costs;</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Some patients may be unable, or continue to be unwilling, to visit or return to our PoNS Authorized clinic locations;</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Necessary interactions with local regulators, ethics committees and other important agencies and contractors may be delayed due to limitations in employee resources or forced furlough of government employees;</w:t>
      </w:r>
    </w:p>
    <w:p>
      <w:pPr>
        <w:ind w:left="740" w:right="2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interactions with the FDA may be delayed due to absenteeism by federal employees or the diversion of their efforts and attention to approval of other therapeutics or other activities related to COVID-19;</w:t>
      </w:r>
    </w:p>
    <w:p>
      <w:pPr>
        <w:ind w:left="740" w:hanging="368"/>
        <w:spacing w:after="0"/>
        <w:tabs>
          <w:tab w:leader="none" w:pos="7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complete necessary pre-commercialization activities may be impeded, which could delay our commercial launch in the U.S.;</w:t>
      </w:r>
    </w:p>
    <w:p>
      <w:pPr>
        <w:spacing w:after="0" w:line="20" w:lineRule="exact"/>
        <w:rPr>
          <w:rFonts w:ascii="Arial" w:cs="Arial" w:eastAsia="Arial" w:hAnsi="Arial"/>
          <w:sz w:val="17"/>
          <w:szCs w:val="17"/>
          <w:color w:val="auto"/>
        </w:rPr>
      </w:pPr>
    </w:p>
    <w:p>
      <w:pPr>
        <w:ind w:left="740" w:hanging="368"/>
        <w:spacing w:after="0" w:line="25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Healthcare resources may be diverted away from PoNS Authorized clinic locations, our clinical experience programs and the conduct of clinical trials;</w:t>
      </w:r>
    </w:p>
    <w:p>
      <w:pPr>
        <w:ind w:left="740" w:hanging="368"/>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experience delays in receiving approval from local regulatory authorities to initiate future clinical trials;</w:t>
      </w:r>
    </w:p>
    <w:p>
      <w:pPr>
        <w:spacing w:after="0" w:line="9" w:lineRule="exact"/>
        <w:rPr>
          <w:rFonts w:ascii="Arial" w:cs="Arial" w:eastAsia="Arial" w:hAnsi="Arial"/>
          <w:sz w:val="18"/>
          <w:szCs w:val="18"/>
          <w:color w:val="auto"/>
        </w:rPr>
      </w:pPr>
    </w:p>
    <w:p>
      <w:pPr>
        <w:ind w:left="740" w:hanging="368"/>
        <w:spacing w:after="0" w:line="260" w:lineRule="auto"/>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key clinical trial activities may be delayed, such as clinical trial site monitoring, due to limitation on travel imposed or recommended by federal or state governments, employers and others;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ind w:left="740" w:hanging="368"/>
        <w:spacing w:after="0"/>
        <w:tabs>
          <w:tab w:leader="none" w:pos="7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delays in timeline for product availability, including related to staffing shortages, both generally and due to employee illness.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risks specifically described above, the COVID-19 pandemic has exacerbated and precipitated the other risks described in this Annual Report, and may continue to do so. The extent to which the COVID-19 pandemic will continue to impact our business, results of operations and financial condition will depend on future developments, which are highly uncertain and cannot be predicted. We do not yet know the full extent of the impact of COVID-19 on our business, operations or the global economy as a whole.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Worldwide economic and social instability could adversely affect our revenue, financial condition, or results of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health of the global economy, and the credit markets and the financial services industry in particular, as well as the stability of the social fabric of our society, affects our business and operating results. For example, the credit and financial markets may be adversely affected by the current conflict between Russia and Ukraine and measures taken in response thereto. If the credit markets are not favorable, we may be unable to raise additional financing when needed or on favorable terms. Our customers may experience financial difficulties or be unable to borrow money to fund their operations, which may adversely impact their ability to purchase our products or to pay for our products on a timely basis, if at all. In addition, adverse economic conditions, such as recent supply chain disruptions and labor shortages and persistent inflation, have impacted, and may continue to adversely impact our suppliers’ ability to provide our manufacturer with materials and components, which may negatively impact our business. These economic conditions make it more difficult for us to accurately forecast and plan our future business activities.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PoNS technology is a novel form of neurostimulation therapy, and the medical community tends not to adopt new therapies very rapidly. If physicians elect not to prescribe the PoNS Therapy, or if we cannot train physical therapists in the supervision of the use of the PoNS Therapy, we will be unable to generate significant revenue, if any.</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deployment strategy in the U.S. depends on physicians prescribing the PoNS Therapy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149"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or perceived lack of evidence supporting the beneficial characteristics of our technology;</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limited long-term data on the use of PoNS technology for therapy;</w:t>
      </w:r>
    </w:p>
    <w:p>
      <w:pPr>
        <w:spacing w:after="0" w:line="22" w:lineRule="exact"/>
        <w:rPr>
          <w:rFonts w:ascii="Arial" w:cs="Arial" w:eastAsia="Arial" w:hAnsi="Arial"/>
          <w:sz w:val="18"/>
          <w:szCs w:val="18"/>
          <w:color w:val="auto"/>
        </w:rPr>
      </w:pPr>
    </w:p>
    <w:p>
      <w:pPr>
        <w:ind w:left="1000" w:hanging="493"/>
        <w:spacing w:after="0" w:line="258"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physicians’ perception that there are insufficient advantages of our product relative to currently available products or compared to supervised therapeutic exercise alone;</w:t>
      </w: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train physical therapists in the supervision of patients’ use of the therapy;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develop our commercial infrastructure to successfully launch;</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hospitals may choose not to purchase our product;</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group purchasing organizations may choose not to contract for our product, thus limiting availability of our products to hospital purchasers;</w:t>
      </w:r>
    </w:p>
    <w:p>
      <w:pPr>
        <w:spacing w:after="0" w:line="45"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lack of coverage or adequate payment from managed care plans and other third-party payers for our product;</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Medicare, Medicaid or other third-party payers may limit or not permit reimbursement for our product; and</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development or improvement of competitive products.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medical community is slow to adopt, or declines to adopt our PoNS device for neurostimulation therapy, we will not be able to generate significant revenues, if any, which would have a material adverse effect on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limited market awareness of our product, and the neuromodulation market is new and uncertain.</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is currently limited market awareness of our product. In order to succeed, we must, among other things, increase market awareness of our PoNS Therapy and implement a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381" w:lineRule="auto"/>
        <w:rPr>
          <w:sz w:val="20"/>
          <w:szCs w:val="20"/>
          <w:color w:val="auto"/>
        </w:rPr>
      </w:pPr>
      <w:r>
        <w:rPr>
          <w:rFonts w:ascii="Arial" w:cs="Arial" w:eastAsia="Arial" w:hAnsi="Arial"/>
          <w:sz w:val="15"/>
          <w:szCs w:val="15"/>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There can be no assurance that we will be able to establish ourselves in the neurostimulation market, or, if established, that we will be able to maintain our market position, if any. Our commercial opportunity may be reduced if our competitors develop new or improved products that are more convenient, more effective or less expensive than our product candidate is. Competitors also may obtain FDA or other regulatory marketing authorization for their products more rapidly or earlier than we may obtain marketing authorization for ours, which could result in our competitors establishing a strong market position before we are able to enter the market. Additionally, technologies developed by our competitors may render the PoNS device uneconomical or obsolete.</w:t>
      </w: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expand our sales and marketing infrastructure, and execute other steps necessary to penetrate market opportunities and produce our PoNS device, we may not be successful in commercializing our PoNS device in the U.S.</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an early stage development company with limited resources, and have not generated significant revenues to date. To achieve commercial success and generate sufficient revenue in the U.S. for our PoNS device, we will need to further expand our sales and marketing infrastructure to drive adoption of our PoNS device. There is significant competition for sales personnel experienced in relevant medical device sales. We expect that we will face significant challenges as we recruit and subsequently grow our sales and marketing infrastructure. If we are unable to attract and retain sufficient, and skilled, sales and marketing representatives, our sales could be adversely affected. If one of our sales or marketing representatives were to depart and be retained by one of our competitors, they could help competitors solicit business from customers, which could further harm our sales. In addition, if our sales and marketing representatives or educators fail to achieve their objectives or if we are not able to recruit and retain a network of educators, we may not be able to successfully train healthcare providers on the use of our PoNS device, which could delay new sales and harm our reputation.</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anticipate that we will derive nearly all of our U.S. revenue from the sales of our PoNS device. As a result, our financial condition and operating results will be highly dependent on the ability of our sales representatives to adequately promote, market and sell our PoNS device. If we are unable to expand our sales and marketing capabilities, we may not be able to effectively commercialize our existing or planned products, or enhance the strength of our brand, either of which could impair our projected sales growth and have an adverse impact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will continue to be, dependent in significant part on outside scientists and third-party research institutions for our research and development in order to be able to commercialize our product.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 limited number of employees and resources available to perform the research and development necessary to commercialize our PoNS Therapy and potential future product candidates. We therefore rely, and will continue to rely, on third-party research institutions, collaborators and consultants for this capability. Such third-party research institutions, collaborators and consultants may determine to cease providing services to us at any time, which would delay our product development and commercialization.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including, but not limited to, those caused by the COVID-19 pandemic, in securing long-lead time components, achieving volume production, quality control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quality assurance or suffer shortages of qualified personnel, or fail to follow and remain in compliance with the FDA-mandated Quality System Regulations, or QSR, compliance which is required for all medical devices, or fail to document their compliance to QSRs,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order to be successful, we must expand our product lines beyond our PoNS Therapy for gait deficit due to symptoms from MS or balance deficit due to mmTBI, but we may not be able to do so in a timely fashion and at expected costs, or at all.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order to be successful, we will need to expand our product lines beyond our PoNS Therapy for gait deficit due to symptoms from MS or balance deficit due to mmTBI. To succeed in our commercialization efforts, we must effectively continue product development and testing, obtain regulatory authorizations, and enhance our sales, marketing and market access and reimbursement capabilities. There is no assurance that we will succeed in developing a future product candidate or in bringing any of our current or potential future product candidates to market outside of Canada. If we fail in bringing our product candidates to market, or experience delays in doing so, we will not generate revenues as planned and will need to curtail operations or seek additional financing earlier than otherwise anticipated.</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development of additional products is subject to the risks of failure inherent in the development of new, state of the art products, and products based on new technologies. These risks include: (a) delays in product development or manufacturing; (b) unplanned expenditures for product development or manufacturing; (c) failure of new products to have the desired effect or an acceptable accuracy and/or safety profile; (d) emergence of superior or equivalent products; (e) failure by any potential collaborative partners to successfully develop products; and (f) the dependence on third parties for the manufacture, development and sale of our products. Because of these risks, our research and development efforts or those of potential collaborative partners may not result in any commercially viable products. If a significant portion of these development efforts is not successfully completed, or any products are not commercially successful, we are less likely to generate significant revenues, or become profitable. The failure to perform such activities could have a material adverse effect on our business,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intellectual property protection is inadequate, competitors may gain access to our technology and undermine our competitive position.</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U.S. Our means of protecting any proprietary rights we may receive in the U.S.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 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to our intellectual property based on our international business operations.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may face risks to our technology and intellectual property as a result of our conducting business outside of the U.S.,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Before we can market and sell our products, we will be required to obtain marketing authorization from the FDA and foreign regulatory authorities. These authorizations will take significant time and require significant research, development, and clinical study expenditures, and ultimately may not succeed.</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Before we begin to label and market the PoNS Therapy for use in the U.S., we are required to obtain marketing authorization via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and clearance request for our product or approval of pre-market approval application from the FDA, unless an exemption from pre-market review applies. We will also be required to comply with costly and more often time-consuming regulatory requirements by foreign regulatory authorities, including Europe, if we want to sell our products in such regions and countries. While we have marketing authorization for the PoNS Therapy in the U.S. for use as a short term treatment of gait deficit due to mild-to-moderate symptoms of MS and in Canada for sale as a class II, non-implanted, medical device for treatment of gait deficit due to symptoms from MS and balance deficit due to mmTBI in conjunction with supervised therapeutic exercise, and marketing authorization in Australia, we have not received regulatory authorization or approval in any other region or country for any indication. The process of obtaining regulatory authorizations or approvals, including completion of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process, to market a medical device can be costly and time consuming, and we may not be able to successfully obtain pre-market reviews on a timely basis, if at all.</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31F20"/>
        </w:rPr>
        <w:t xml:space="preserve">In April 2019, the FDA declined our request for de novo classification of the PoNS device for use to improve balance in patients with mmTBI. In reaching its conclusion, the FDA noted that it did not have sufficient information to discern the relative independent contributions of the PoNS device and physical therapy to establish sufficient evidence of effectiveness based on our clinical trials. 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 Based on the receipt of the FDA’s final minutes from the pre-submission meeting, </w:t>
      </w:r>
      <w:r>
        <w:rPr>
          <w:rFonts w:ascii="Arial" w:cs="Arial" w:eastAsia="Arial" w:hAnsi="Arial"/>
          <w:sz w:val="17"/>
          <w:szCs w:val="17"/>
          <w:color w:val="000000"/>
        </w:rPr>
        <w:t>we are assessing</w:t>
      </w:r>
      <w:r>
        <w:rPr>
          <w:rFonts w:ascii="Arial" w:cs="Arial" w:eastAsia="Arial" w:hAnsi="Arial"/>
          <w:sz w:val="17"/>
          <w:szCs w:val="17"/>
          <w:color w:val="231F20"/>
        </w:rPr>
        <w:t xml:space="preserve"> </w:t>
      </w:r>
      <w:r>
        <w:rPr>
          <w:rFonts w:ascii="Arial" w:cs="Arial" w:eastAsia="Arial" w:hAnsi="Arial"/>
          <w:sz w:val="17"/>
          <w:szCs w:val="17"/>
          <w:color w:val="000000"/>
        </w:rPr>
        <w:t>the feasibility of a clinical program to advance the development of a study aimed to obtain clearance for gait and balance deficits in mmTBI if nondilutive financing to fund the program becomes available.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FDA has substantial discretion in the de novo review process and may refuse to accept any future application(s) or may decide that our data are insufficient to grant the de novo request and require additional pre-clinical, clinical, or other studies. In addition, varying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interpretations of the data obtained from pre-clinical and clinical testing could delay, limit, or prevent marketing authorization from the FDA or other regulatory authorities.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Moreover, in addition to continuing our pursuit of an indication for stroke and mmTBI with the FDA, we are currently considering the development of the PoNS device for other potential indications, including cerebral palsy, Parkinson’s disease, baby boomers balance, and neurological wellness, as well as expanding the label of our current indications.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If the FDA requires us to go through a lengthier, more rigorous examination for the PoNS device for any of these indications or any other indications we may pursue, as it has for the PoNS device in the indication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procedures 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FDA marketing authorization will be costly, may result in time-consuming delays and will subject us to ongoing compliance costs and regulatory risk for non-compliance.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Even though we have obtained FDA market clearance for our product as a treatment for MS, obtaining FDA marketing authorization,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classification and clearance, or PMA approval for medical devices for additional indications can be expensive and uncertain, generally takes from several months to several years, and generally requires detailed and comprehensive scientific and clinical data. Notwithstanding the expense, these efforts may never result in FDA authorization.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FDA can delay, limit or deny authorization of a device for many reasons, including:</w:t>
      </w:r>
    </w:p>
    <w:p>
      <w:pPr>
        <w:spacing w:after="0" w:line="225"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may not be able to demonstrate to the FDA’s satisfaction that our product candidate is safe and effective for its intended users;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authorization, where required; and</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3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Market authorization for our product as a treatment for MS and even if granted, a 510(k) clearance,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classification and clearance, or pre-market approval for additional indications will likely place substantial restrictions on how our device is marketed or sold, and the FDA will continue to place considerable restrictions on our products and operations. For example, the manufacture of medical devices must comply with the FDA’s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17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customer notifications of repair, replacement, refunds, detention or seizure of our products;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refusing or delaying requests for marketing authorization of new products or modified products;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withdrawing marketing authorizations that have already been granted;</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refusing to provide Certificates for Foreign Government;</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refusing to grant export approval for our products; or</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pursuing criminal prosecution.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the FDA and other regulatory authorities have broad enforcement powers. Regulatory enforcement or inquiries, or other increased scrutiny on us, could affect the perceived safety and efficacy of our product candidate and dissuade our customers from using our product candidate, if and when it is authorized for marketing.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63" w:lineRule="auto"/>
        <w:rPr>
          <w:sz w:val="20"/>
          <w:szCs w:val="20"/>
          <w:color w:val="auto"/>
        </w:rPr>
      </w:pPr>
      <w:r>
        <w:rPr>
          <w:rFonts w:ascii="Arial" w:cs="Arial" w:eastAsia="Arial" w:hAnsi="Arial"/>
          <w:sz w:val="18"/>
          <w:szCs w:val="18"/>
          <w:b w:val="1"/>
          <w:bCs w:val="1"/>
          <w:i w:val="1"/>
          <w:iCs w:val="1"/>
          <w:color w:val="auto"/>
        </w:rPr>
        <w:t>We have in the past and may be required to conduct clinical trials to support a de novo submission or PMA application for the PoNS device with respect to one or more indications and we expect to be required to conduct clinical trials to support regulatory marketing authorization for future product candidates.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order to commercialize our product candidate in the U.S. with respect to specified indications, we may be required by the FDA to submit an application for premarket approval, or PMA, for review and approval by the FDA. A PMA application must be submitted to the FDA if our device cannot be cleared through the 510(k) clearance process, down classified via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or is not exempt from premarket review by the FDA. In April 2019, the FDA declined our </w:t>
      </w:r>
      <w:r>
        <w:rPr>
          <w:rFonts w:ascii="Arial" w:cs="Arial" w:eastAsia="Arial" w:hAnsi="Arial"/>
          <w:sz w:val="16"/>
          <w:szCs w:val="16"/>
          <w:color w:val="231F20"/>
        </w:rPr>
        <w:t>request for</w:t>
      </w:r>
      <w:r>
        <w:rPr>
          <w:rFonts w:ascii="Arial" w:cs="Arial" w:eastAsia="Arial" w:hAnsi="Arial"/>
          <w:sz w:val="16"/>
          <w:szCs w:val="16"/>
          <w:color w:val="auto"/>
        </w:rPr>
        <w:t xml:space="preserve"> </w:t>
      </w:r>
      <w:r>
        <w:rPr>
          <w:rFonts w:ascii="Arial" w:cs="Arial" w:eastAsia="Arial" w:hAnsi="Arial"/>
          <w:sz w:val="16"/>
          <w:szCs w:val="16"/>
          <w:i w:val="1"/>
          <w:iCs w:val="1"/>
          <w:color w:val="231F20"/>
        </w:rPr>
        <w:t>de novo</w:t>
      </w:r>
      <w:r>
        <w:rPr>
          <w:rFonts w:ascii="Arial" w:cs="Arial" w:eastAsia="Arial" w:hAnsi="Arial"/>
          <w:sz w:val="16"/>
          <w:szCs w:val="16"/>
          <w:color w:val="auto"/>
        </w:rPr>
        <w:t xml:space="preserve"> </w:t>
      </w:r>
      <w:r>
        <w:rPr>
          <w:rFonts w:ascii="Arial" w:cs="Arial" w:eastAsia="Arial" w:hAnsi="Arial"/>
          <w:sz w:val="16"/>
          <w:szCs w:val="16"/>
          <w:color w:val="231F20"/>
        </w:rPr>
        <w:t>classification and clearance for mmTBI, in part due to insufficient clinical evidence regarding effectiveness of our</w:t>
      </w:r>
      <w:r>
        <w:rPr>
          <w:rFonts w:ascii="Arial" w:cs="Arial" w:eastAsia="Arial" w:hAnsi="Arial"/>
          <w:sz w:val="16"/>
          <w:szCs w:val="16"/>
          <w:color w:val="auto"/>
        </w:rPr>
        <w:t xml:space="preserve"> </w:t>
      </w:r>
      <w:r>
        <w:rPr>
          <w:rFonts w:ascii="Arial" w:cs="Arial" w:eastAsia="Arial" w:hAnsi="Arial"/>
          <w:sz w:val="16"/>
          <w:szCs w:val="16"/>
          <w:color w:val="231F20"/>
        </w:rPr>
        <w:t xml:space="preserve">product from mmTBI. Following a pre-submission meeting with the FDA, </w:t>
      </w:r>
      <w:r>
        <w:rPr>
          <w:rFonts w:ascii="Arial" w:cs="Arial" w:eastAsia="Arial" w:hAnsi="Arial"/>
          <w:sz w:val="16"/>
          <w:szCs w:val="16"/>
          <w:color w:val="000000"/>
        </w:rPr>
        <w:t>we are assessing the feasibility of a clinical program to advance the</w:t>
      </w:r>
      <w:r>
        <w:rPr>
          <w:rFonts w:ascii="Arial" w:cs="Arial" w:eastAsia="Arial" w:hAnsi="Arial"/>
          <w:sz w:val="16"/>
          <w:szCs w:val="16"/>
          <w:color w:val="231F20"/>
        </w:rPr>
        <w:t xml:space="preserve"> </w:t>
      </w:r>
      <w:r>
        <w:rPr>
          <w:rFonts w:ascii="Arial" w:cs="Arial" w:eastAsia="Arial" w:hAnsi="Arial"/>
          <w:sz w:val="16"/>
          <w:szCs w:val="16"/>
          <w:color w:val="000000"/>
        </w:rPr>
        <w:t>development of a study aimed to obtain clearance for gait and balance deficits in mmTBI if nondilutive financing to fund the program becomes available.</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currently in the process of preparing to commence multiple clinical trials, and may continue to pursue additional clinical trials in the future.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18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cannot guarantee that clinical trials will be conducted as planned or completed on schedule, if at all. A failure of one or more clinical trials can occur at any stage of testing. Delays, including, but not limited to those caused by the COVID-19 pandemic,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 commercialization, which would harm our business,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substantially dependent on third parties to conduct our clinical trials.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we may conduct clinical trials to obtain FDA marketing authorization, we will need to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jc w:val="both"/>
        <w:spacing w:after="0" w:line="270" w:lineRule="auto"/>
        <w:rPr>
          <w:sz w:val="20"/>
          <w:szCs w:val="20"/>
          <w:color w:val="auto"/>
        </w:rPr>
      </w:pPr>
      <w:r>
        <w:rPr>
          <w:rFonts w:ascii="Arial" w:cs="Arial" w:eastAsia="Arial" w:hAnsi="Arial"/>
          <w:sz w:val="17"/>
          <w:szCs w:val="17"/>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suspend or discontinue clinical trials due to side effects or other safety risks that could preclude approval of our products.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If we are unable to secure contracts with WC and third-party administrators or rehabilitation clinics who treat patients with gait deficit due to symptoms from MS or balance issues associated with mmTBI, this could have a negative impact on our intended sales and would have a material adverse effect on our business, financial condition and operating results.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our commercialization strategies includes leveraging WC payers to drive early reimbursements and entice Medicaid and commercial payers through third party administrators and rehabilitation clinics. Should we fail in securing such contracts it could have a material adverse effect on our intended sales projections, which would affect our financial conditions and operating results. In addition, until we are successful in engaging WC payers, Medicaid and other third party commercial payers to cover the cost of the PoNS device for their insured customers, we expect our initial sales of the PoNS device will be via cash paid by patients. As a result, we may not be able to sell our PoNS device in commercially reasonable quantities depending on the cost of the device to cash payers.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obtain a reimbursement code from the U.S. Department of Health and Human Services so that the PoNS device is covered under Medicare and Medicaid, this could have a negative impact on our intended sales and would have a material adverse effect on our business, financial condition and operating results.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plan to submit an application to the U.S. Department of Health and Human Services for a reimbursement code so that the PoNS device is covered under Medicare and Medicaid. However, there can be no assurance that our application will be successful, or that we will be able to obtain a reimbursement code in a timely manner. In the event that we do not obtain a reimbursement code for the PoNS device, our customers may be unable to obtain reimbursement for their purchases under private or government-sponsored insurance plans, which could have a negative impact on our sales and have a material adverse effect on our business, financial condition and operating results. In addition, Medicare and its administrative contractors as well as other insurers must find that the PoNS device meets their medical necessity requirements for the treatment of patients with mmTBI or they will not pay for the treatment. In addition, there is a risk that the payment amount for the PoNS device is either too low or too high to incentivize customer adoption.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hospitals and other healthcare providers are unable to obtain coverage or adequate reimbursement for procedures performed with our products, our product will not likely be widely used.</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procedures utilizing our products. On January 12, 2021, the CMS stated that it was finalizing a new Medicare coverage pathway, MCIT for FDA-designated breakthrough medical devices. The purpose of the MCIT rule was to provide national Medicare coverage as early as the same day as FDA market authorization for breakthrough devices and coverage would last for four years. Under its terms, manufacturers were to have been able to opt-in to MCIT and choose a start date for coverage anytime within two years from the date of FDA market authorization. In November 2021, the MCIT was rescinded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2" w:name="page43"/>
    <w:bookmarkEnd w:id="42"/>
    <w:p>
      <w:pPr>
        <w:jc w:val="both"/>
        <w:spacing w:after="0" w:line="255" w:lineRule="auto"/>
        <w:rPr>
          <w:sz w:val="20"/>
          <w:szCs w:val="20"/>
          <w:color w:val="auto"/>
        </w:rPr>
      </w:pPr>
      <w:r>
        <w:rPr>
          <w:rFonts w:ascii="Arial" w:cs="Arial" w:eastAsia="Arial" w:hAnsi="Arial"/>
          <w:sz w:val="18"/>
          <w:szCs w:val="18"/>
          <w:color w:val="auto"/>
        </w:rPr>
        <w:t>and therefore we could not rely on MCIT for purposes of obtaining Medicare coverage for our product. Hospitals and other healthcare providers that purchase our product for treatment of their patients generally rely on third-party payers to pay for all or part of the costs and fees associated with our products as part of a “bundled” rate for the associated procedures. The existence of coverage and adequate reimbursement for our products and the procedures performed with them by government and private payers is critical to market acceptance of our existing and future products. Neither hospitals nor physicians are likely to use our product and any future products if they do not receive adequate reimbursement for the procedures utilizing our products.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Many private payers currently base their reimbursement policies on the coverage decisions and payment amounts determined by the CMS, which administers the Medicare program. Others may adopt different coverage or reimbursement policies for procedures performed with our products, while some governmental programs, such as Medicaid, have reimbursement policies that vary from state to state, some of which may not pay for the procedures performed with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used in a procedure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products face in the market and could have a material adverse effect on our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hospitals and clinics in the U.S. belong to group purchasing organizations, which typically incentivize their hospital members to make a relatively large proportion of purchases from a limited number of vendors of similar products that have contracted to offer discounted prices. Accordingly, the commercial success of our products may also depend to some extent on our ability to either negotiate favorable purchase contracts with key group purchasing organizations and/or persuade hospitals and clinics to purchase our product “off contract.”</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healthcare industry in the U.S. has experienced a trend toward cost containment as government and private payers seek to control healthcare costs by paying service providers lower rates. While we believe that hospitals will be able to obtain coverage for procedures using our products, the level of payment available to them for such procedures may change over time. State and federal healthcare programs, such as Medicare and Medicaid, closely regulate provider payment levels and have 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healthcare providers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hospitals and other providers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hospitals could adversely affect our ability to market, sell our products, and negatively affect our financial performance.</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availability of payments from Medicare, Medicaid or other third-party payers for our products which now or in the future have marketing authorization in the U.S. would mean that many healthcare laws would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 (i) the federal healthcare programs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payers that are false or fraudulent, and which may apply to entities like us if we provide coding and billing advice to customers, or under theories of “implied certification” where the government and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relators may allege that device companies are liable where a</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57" w:lineRule="auto"/>
        <w:rPr>
          <w:sz w:val="20"/>
          <w:szCs w:val="20"/>
          <w:color w:val="auto"/>
        </w:rPr>
      </w:pPr>
      <w:r>
        <w:rPr>
          <w:rFonts w:ascii="Arial" w:cs="Arial" w:eastAsia="Arial" w:hAnsi="Arial"/>
          <w:sz w:val="18"/>
          <w:szCs w:val="18"/>
          <w:color w:val="auto"/>
        </w:rPr>
        <w:t>product that was paid for by the government in whole or in part was promoted “off-label,” lacked necessary marketing authorization, or failed to comply with good manufacturing practices or other laws; (iii) transparency laws and related reporting and/or disclosures such as the Sunshine Act; and/or (iv) state law equivalents of each of the above federal laws, such as anti-kickback and false claims laws which may apply to items or services reimbursed by any third-party payer, including commercial insurers, many of which differ from their federal counterparts in significant ways, thus complicating compliance efforts.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Any action against us for violation of these laws, even if we successfully defend against it, could cause us to incur significant legal expenses and divert our management’s attention from the operation of our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communications regarding products and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164"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Even after marketing authorization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10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U.S.</w:t>
      </w:r>
    </w:p>
    <w:p>
      <w:pPr>
        <w:spacing w:after="0" w:line="14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After commercialization, a recall of our products, either voluntarily or at the direction of a governmental authority, or a foreign competent authority, or the discovery of serious safety issues with our products, could have a significant adverse impact on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jc w:val="both"/>
        <w:spacing w:after="0" w:line="257" w:lineRule="auto"/>
        <w:rPr>
          <w:sz w:val="20"/>
          <w:szCs w:val="20"/>
          <w:color w:val="auto"/>
        </w:rPr>
      </w:pPr>
      <w:r>
        <w:rPr>
          <w:rFonts w:ascii="Arial" w:cs="Arial" w:eastAsia="Arial" w:hAnsi="Arial"/>
          <w:sz w:val="18"/>
          <w:szCs w:val="18"/>
          <w:color w:val="auto"/>
        </w:rPr>
        <w:t>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FDA requires that certain classifications of voluntary recalls of devices be reported to the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 actions as recalls. Any recalls of any of our products would divert managerial and financial resources and could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9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decrees and civil penalties;</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 recall, detention or seizure of our products;</w:t>
      </w:r>
    </w:p>
    <w:p>
      <w:pPr>
        <w:spacing w:after="0" w:line="2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refusing or delaying our requests for 510(k) clearance,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clearance, PMA approval, NDA, or BLA of new products or modified products;</w:t>
      </w:r>
    </w:p>
    <w:p>
      <w:pPr>
        <w:spacing w:after="0" w:line="45" w:lineRule="exact"/>
        <w:rPr>
          <w:rFonts w:ascii="Arial" w:cs="Arial" w:eastAsia="Arial" w:hAnsi="Arial"/>
          <w:sz w:val="16"/>
          <w:szCs w:val="16"/>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withdrawing clearances or approvals that have already been granted;</w:t>
      </w:r>
    </w:p>
    <w:p>
      <w:pPr>
        <w:spacing w:after="0" w:line="2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2" w:lineRule="exact"/>
        <w:rPr>
          <w:rFonts w:ascii="Arial" w:cs="Arial" w:eastAsia="Arial" w:hAnsi="Arial"/>
          <w:sz w:val="18"/>
          <w:szCs w:val="18"/>
          <w:color w:val="auto"/>
        </w:rPr>
      </w:pPr>
    </w:p>
    <w:p>
      <w:pPr>
        <w:ind w:left="740" w:hanging="36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Any changes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may find that the costs of carrying out our plan of operations are greater than we anticipate. We expect our expenses to increase over time in connection with our ongoing activities, particularly if and as we: expand our commercialization efforts of our PoNS device in the U.S. for MS; make improvements to our manufacturing process and product design; launch clinical trials for stroke and other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indications;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common stock or warrants.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build an effective distribution network for our product.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currently have very few employees and we may either build internal capabilities or rely on distributors to sell our product. We cannot assure you that we will succeed in building an internal team or entering into and maintaining productive arrangements with an adequate number of distributors that are sufficiently committed to selling our products. The establishment of a distribution network is expensive and time consuming. As we launch new products and increase our marketing effort with respect to existing products, we will need to continue to hire, train, retain and motivate skilled resources with significant technical knowledge. In addition, the commissions we pay for product sales could increase over time, which would result in higher sales and marketing expenses. Furthermore, if we were to rely on distributors, the current and potential distributors may market and sell the products of our competitors. Even if the distributors market and sell our product, our competitors may be able, by offering higher commission payments or other incentives, to persuade these distributors to reduce or terminate their sales and marketing efforts related to our product. The distributors may also help competitors solicit business from our existing customers. Some of our independent distributors may likely account for a significant portion of our sales volume, and, if we were to lose them, our sales could be adversely affected. Even if we engage and maintain suitable relationships with an adequate number of distributors, they may not generate revenue as quickly as we expect them to, commit the necessary resources to effectively market and sell our products, or ultimately succeed in selling our product.</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Exposure to United Kingdom political developments, including the outcome of the referendum on membership in the European Union, could be costly and difficult to comply with and could seriously harm our business.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June 2016, a referendum was passed in the United Kingdom to leave the European Union, commonly referred to as “Brexit.” This decision created an uncertain political and economic environment in the United Kingdom and other European Union countries. The United Kingdom formally left the European Union on January 31, 2020 and the transition period provided for in the withdrawal agreement entered by the United Kingdom and the European Union ended on December 31, 2020. In December 2020, the United Kingdom and the European Union agreed on a trade and cooperation agreement that will apply provisionally after the end of the transition period until it is ratified by the parties to the agreement. On December 31, 2020, the United Kingdom passed legislation giving effect to the trade and cooperation agreement, with the European Union formally adopting the agreement in April 2021. The trade and cooperation agreement covers the general objectives and framework of the relationship between the United Kingdom and the European Union. Depending on the application of the terms of the trade and cooperation agreement, we could face new regulatory costs and challenges.</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Brexit may have a significant negative impact on medical device manufacturers such as us. A Notified Body, or NB, that we contracted with as our EU regulatory service provider is located in the UK. CE Mark issued by a UK NB is at risk due to Brexit. Medical device manufacturers with products CE Marked by a UK NB may not be able to place those products on the market until Brexit issues are resolved by the European Commission and local governments. In addition, the acceptance of medical device market authorization from UK NBs by countries outside of the EU, which have traditionally accepted UK NB CE marked products, is at risk of interruption due to Brexit. The complexity of Brexit places a significant burden on UK NBs which may negatively impact their ability to provide market clearance (i.e., CE Marking) reviews and certifications in a timely manner. Delays in CE Marking and delays in the issuance of certificates could delay us from placing our PoNS device on the market outside of the UK including outside of the EU (for those countries that require quality management system certificates and CE approval prior to marketing).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55" w:lineRule="auto"/>
        <w:rPr>
          <w:sz w:val="20"/>
          <w:szCs w:val="20"/>
          <w:color w:val="auto"/>
        </w:rPr>
      </w:pPr>
      <w:r>
        <w:rPr>
          <w:rFonts w:ascii="Arial" w:cs="Arial" w:eastAsia="Arial" w:hAnsi="Arial"/>
          <w:sz w:val="18"/>
          <w:szCs w:val="18"/>
          <w:color w:val="auto"/>
        </w:rPr>
        <w:t>In December 2018, we submitted an application for a CE Mark, which, if approved, would allow us to market the PoNS device in the European Union. During the second quarter of 2019, we engaged with regulators in Europe to answer questions that we received from them as part of their review of our PoNS device for CE marking. In August 2019, we withdrew our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the use of our product in clinical trials, and through the sale of our products, we may be liable for product liability claims and we may not carry sufficient product liability insurance.</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 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under federal securities laws and we cannot be certain whether the reduced reporting requirements applicable to such companies will make our common stock less attractive to investors.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will remain a smaller reporting company so long as our public float remains less than $250 million as of the last business day of our most recently-completed second fiscal quarter. We cannot predict if investors will find our common stock less attractive because we may rely on these exemptions. If some investors find our common stock less attractive as a result, there may be a less active trading market for our common stock and our stock price may decline or be more volatile.</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Investors could lose confidence in our financial reports, and the value of our common stock may be adversely affected, if our internal controls over financial reporting are found not to be effective by management or by our independent registered public accounting firm.</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such as the material weakness we identified in October 2019, could affect the accuracy and timing of our financial reporting.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Investors could lose confidence in our financial reports, and the value of our common stock may be harmed, if our internal controls over financial reporting are found not to be effective by management or by our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Several people who work for us on a part-time consulting basis may be subject to conflicts of interest.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people who provide services to us are part-time consultants. Each may devote part of his working time to other business endeavors, including consulting relationships with other corporate entities, and may have responsibilities to these other entities. Because of these relationships, some of the persons who provide services to us may be subject to conflicts of interest. Such conflicts may include deciding how much time to devote to our affairs, as well as what business opportunities should be presented to us.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operations would suffer in the event of computer system failures, cyber-attacks or a deficiency in our cyber-security.</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Despite the implementation of security measures, our internal computer systems, and those of third parties on which we rely, are vulnerable to damage from computer viruses, malware, natural disasters, terrorism, war, telecommunication and electrical failures, cyber-attacks or cyber-intrusions (including ransomware attacks) over the Internet, attachments to emails, persons inside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6"/>
          <w:szCs w:val="16"/>
          <w:color w:val="auto"/>
        </w:rPr>
        <w:t>organization, or persons with access to systems inside our organization. No network or system can ever be completely secure, and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For example, in October 2019, we were the victim of a business email compromise fraud which resulted in our incurring a loss of approximately $0.1 million. If any such attack, intrusion or other event were to occur and cause interruptions in our operations,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security breach was to result in a loss of or damage to our data or applications, or inappropriate disclosure of confidential or proprietary information, we could incur material legal claims and liability, damage to our reputation, and the further development of the PoNS device or any future product candidate could be delayed. If a security breach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breaches or attacks.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31F20"/>
        </w:rPr>
        <w:t xml:space="preserve">We operate, or intend to operate, in a number of tax jurisdictions globally, including in the </w:t>
      </w:r>
      <w:r>
        <w:rPr>
          <w:rFonts w:ascii="Arial" w:cs="Arial" w:eastAsia="Arial" w:hAnsi="Arial"/>
          <w:sz w:val="16"/>
          <w:szCs w:val="16"/>
          <w:color w:val="000000"/>
        </w:rPr>
        <w:t>U.S.</w:t>
      </w:r>
      <w:r>
        <w:rPr>
          <w:rFonts w:ascii="Arial" w:cs="Arial" w:eastAsia="Arial" w:hAnsi="Arial"/>
          <w:sz w:val="16"/>
          <w:szCs w:val="16"/>
          <w:color w:val="231F20"/>
        </w:rPr>
        <w:t xml:space="preserve">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6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231F20"/>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31F20"/>
        </w:rPr>
        <w:t>In particular, on December 22, 2017, the Tax Cuts &amp; Jobs Act, or TCJA, was signed into law. That legislation, as modified by the Coronavirus Aid, Relief, and Economic Security Act, or CARES Act, significantly changed U.S. tax law by, among other things, lowering the U.S. federal corporate income tax rate from 35% to 21%, implementing a modified territorial tax system and imposing a transition tax on deemed repatriated earnings of foreign subsidiaries, or the Section 965 Transition Tax. Certain changes established by the TCJA increased our effective tax rate in prior years, including a new income inclusion item for global intangible low-taxed income, or GILTI, and the Section 965 Transition Tax on our accumulated offshore earnings held in cash and illiquid assets. Additional changes have impacted the timing of our recognition of certain items of loss and deduction, including a new limitation on the Company’s deduction for business interest expense, a new limitation of the deduction for NOLs to 80% of current year taxable income (other than as temporarily modified by the CARES Act), elimination of NOL carrybacks for NOLs arising after December 31, 2017 (other than as permitted under the CARES Act with respect to NOLs arising in 2018, 2019, and 2020) and the allowance of the indefinite carryforward of such NOLs, and increased bonus depreciation from 50% to 100% for certain qualified property.</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On July 23, 2020, final regulations were published that exempt certain income subject to a high rate of foreign tax from inclusion under GILTI for tax years beginning after December 31, 2017.</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The cumulative impact of these and other changes in tax law is uncertain and our business and financial condition could be adversely affected. The impact of these changes on holders of our securities is also uncertain and could be adverse.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could be delisted from The Nasdaq Capital Market, which could seriously harm the liquidity of our stock and our ability to raise capital.</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common stock is listed on the Nasdaq Capital Market under the symbol “HSDT”. In order to maintain that listing, we must satisfy minimum financial and other requirements including, without limitation, the minimum stockholders equity requirement and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jc w:val="both"/>
        <w:spacing w:after="0" w:line="296" w:lineRule="auto"/>
        <w:rPr>
          <w:sz w:val="20"/>
          <w:szCs w:val="20"/>
          <w:color w:val="auto"/>
        </w:rPr>
      </w:pPr>
      <w:r>
        <w:rPr>
          <w:rFonts w:ascii="Arial" w:cs="Arial" w:eastAsia="Arial" w:hAnsi="Arial"/>
          <w:sz w:val="16"/>
          <w:szCs w:val="16"/>
          <w:color w:val="auto"/>
        </w:rPr>
        <w:t>minimum bid price requirement. There can be no assurances that we will be successful in maintaining, or if we fall out of compliance, in regaining compliance with the continued listing requirements and maintaining the listing of our common stock on the Nasdaq Capital Market. Delisting from Nasdaq could adversely affect our ability to raise additional financing through the public or private sale of equity securities and we would incur additional costs under requirements of state “blue sky” laws in connection with any sales of our securities. Delisting could also have other negative results, including the potential loss of confidence by employees, the loss of institutional investor interest and fewer business development opportunities.</w:t>
      </w:r>
    </w:p>
    <w:p>
      <w:pPr>
        <w:spacing w:after="0" w:line="16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If our common stock is delisted by Nasdaq, the price of our common stock may decline and our common stock may be eligible to be quoted on the OTC Bulletin Board, another over-the-counter quotation system, or on the pink sheets, which would negatively affect the liquidity of our common stock and an investor may find it more difficult to dispose of their common stock or obtain accurate quotations as to the market value of our common stock.</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if our common stock is delisted from the Nasdaq Capital Market and the trading price remains below $5.00 per share, trading in our common stock might also become subject to the requirements of certain rules promulgated under the Exchange Act, which require additional disclosure by broker-dealers in connection with any trade involving a stock defined as a “penny stock” (generally, any equity security not listed on a national securities exchange or quoted on NASDAQ that has a market price of less than $5.00 per share, subject to certain exceptions).</w:t>
      </w:r>
    </w:p>
    <w:p>
      <w:pPr>
        <w:spacing w:after="0" w:line="171"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On December 31, 2020, we effected a 1-for-35 reverse stock split of our outstanding common stock. If we seek to implement a reverse stock split in the future to remain listed on the Nasdaq Capital Market, the announcement or implementation of a reverse stock split could significantly negatively affect the price of our common stock. Additionally, in 2020, the SEC approved a Nasdaq rule change to expedite delisting of securities of companies that have had one or more reverse stock splits with a cumulative ratio of one for 250 or more shares over the prior two-year period. Under the new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the Nasdaq Capital Market may be negatively impacted by this new Nasdaq rule.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on The Nasdaq Capital Market may not continue to develop or be sustained.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our common stock is listed on The Nasdaq Capital Market, we cannot assure you that an active trading market for our common stock will continue to develop or be sustained. If an active market for our common stock does not continue to develop or is not sustained, it may be difficult for investors in our common stock to sell their shares of our common stock without depressing the market price for the shares or to sell the shares at all.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Trading of our common stock could be sporadic, and the price of our common stock may be volatile; we caution you as to the highly illiquid nature of an investment in our shares.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common stock was listed on the TSX between April 18, 2016 and September 9, 2021 and has been listed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common stock include the following: the extent of analytical coverage available to investors concerning our business may be limited if investment banks with research capabilities do not follow us, a reduction in trading volume and general market interest in our common stock may affect an investor’s ability to trade significant numbers of shares of our common stock; the size of our public float may limit the ability of some institutions to invest in our common stock. As a result of any of these factors, the market price of our common stock at any given point in time may not accurately reflect our long-term value. The price of our common stock may increase or decrease in response to a number of events and factors, including: changes in financial estimates; our acquisitions and financings; quarterly variations in our operating results; the operating and share price performance of other companies that investors may deem comparable; and purchase or sale of blocks of our common stock. These factors, or any of them, may materially adversely affect the prices of our common shares regardless of our operating performance.</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is affected by many other variables which are not directly related to our success and are, therefore, not within our control. These include other developments that affect the breadth of the public market for shares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both"/>
        <w:ind w:right="20"/>
        <w:spacing w:after="0" w:line="277" w:lineRule="auto"/>
        <w:rPr>
          <w:sz w:val="20"/>
          <w:szCs w:val="20"/>
          <w:color w:val="auto"/>
        </w:rPr>
      </w:pPr>
      <w:r>
        <w:rPr>
          <w:rFonts w:ascii="Arial" w:cs="Arial" w:eastAsia="Arial" w:hAnsi="Arial"/>
          <w:sz w:val="18"/>
          <w:szCs w:val="18"/>
          <w:color w:val="auto"/>
        </w:rPr>
        <w:t>and the attractiveness of alternative investments. The effect of these and other factors on the market price of our common stock is expected to make our common stock price volatile in the future, which may result in losses to investors.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stockholders are not entitled to remove directors other than by a 66 </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38"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are not be permitted to take actions by written consent;</w:t>
      </w:r>
    </w:p>
    <w:p>
      <w:pPr>
        <w:spacing w:after="0" w:line="7"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22" w:lineRule="exact"/>
        <w:rPr>
          <w:rFonts w:ascii="Arial" w:cs="Arial" w:eastAsia="Arial" w:hAnsi="Arial"/>
          <w:sz w:val="18"/>
          <w:szCs w:val="18"/>
          <w:color w:val="auto"/>
        </w:rPr>
      </w:pPr>
    </w:p>
    <w:p>
      <w:pPr>
        <w:ind w:left="740" w:hanging="368"/>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exclusive forum for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paid any dividends and do not foresee paying dividends in the future.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intend to retain earnings, if any, to finance the growth and development of our business and do not intend to pay cash dividends on shares of our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decline in the price of our common stock could affect our ability to raise any required working capital and adversely affect our operations.</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decline in the price of our common stock could result in a reduction in the liquidity of our common stock and a reduction in our ability to raise any required capital for our operations. Because our operations to date have been principally financed through public and private offerings of our common stock and warrants and exercises of options and warrants, a decline in the price of our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head office is located at 642 Newtown-Yardley Road, Suite 100, Newtown, PA 18940, with 1,780 square feet of lease office space. In May 2020, we terminated our lease and entered into a new lease (the “Lease Amendment”) for a smaller footprint of the current office space in Newtown, Pennsylvania. Lease payments under the original contract were made through December 31, 2020. In January 2021, we signed a Lease Amendment extending the lease term from July 1, 2021 through September 30, 2021, which could then be extended on a month-to-month basis thereafter. In November 2021, we entered into a new lease with a lease term commencing January 1, 2022 and terminating March 31, 2025. Monthly rent plus utilities is approximately $4 thousand per month, with a 3% annual increase. We believe our current facilities are adequate for our needs.</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 w:name="page52"/>
    <w:bookmarkEnd w:id="51"/>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2" w:name="page53"/>
    <w:bookmarkEnd w:id="52"/>
    <w:p>
      <w:pPr>
        <w:ind w:left="7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April 11, 2018, our shares of common stock began trading on the Nasdaq under the symbol “HSDT”.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March 4, 2022, there were approximately 45 holders of record of our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have not paid any cash dividends on our common stock since our inception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plan to retain our earnings, if any, to provide funds for the expansion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appearing elsewhere in this Annual Report. Further, you should read the following discussion and analysis of our financial condition and results of operations together with the “Item 1A. Risk Factors” included elsewhere in this Annual Report for a discussion of important factors that could cause actual results to differ materially from the results described in or implied by the forward-looking statements contained in the following discussion and analysis. See also “Forward-Looking Statements”. All information is stated in U.S. dollars unless otherwise specified.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non-implanted technologies targeted at reducing symptoms of neurological disease or trauma.</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 known as the PoNS, is an innovative non-implanted medical device, inclusive of a controller and mouthpiece, which delivers mild electrical stimulation to the surface of the tongue to provide treatment of gait deficit and is indicated for use in the U.S. as a short term treatment of gait deficit due to mild-to-moderate symptoms from MS and is to be used as an adjunct to a supervised therapeutic exercise program in patients 22 years of age and over by prescription only. We are currently accepting prescriptions for PoNS in the U.S. and we anticipate our first commercial sales to occur in the near term. PoNS is authorized for sale in Canada for two indications: (i) for use as a short term treatment (14 weeks) of chronic balance deficit due to mmTBI and is to be used in conjunction with physical therapy (PoNS Therapy); and (ii) for use as a short term treatment (14 weeks) of gait deficit due to mild and moderate symptoms from MS and it is to be used in conjunction with physical therapy. It has been commercially available in Canada since March 2019. PoNS is authorized for sale as a Class IIa medical device in Australia and we are currently seeking a business partner to commercialize and distribute PoNS in Australia.</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our inception, we have incurred significant operating losses. Our net loss was $18.1 million and $14.1 million for the years ended December 31, 2021 and 2020, respectively. As of December 31, 2021, we had an accumulated deficit of $137.0 million. We expect to incur significant expenses and operating losses for the foreseeable future as we continue to advance the PoNS Therapy and seek regulatory clearance and pursue its commercialization. There are a number of conditions that we must satisfy before we will be able to generate sufficient revenue to fund our operations, including but not limited to the successful commercialization of PoNS Therapy in the U.S., as we expect that the revenue opportunity in the U.S. is significantly greater than in Canada. Further, we may incur expenses in connection with the in-license or acquisition of other potential products. See “—Liquidity and Capital Resources” below for additional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FDA’s mission to protect and promote public health.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26, 2021, we received marketing authorization from the FDA of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2021, we initiated activities to setup and implement a new study as part of a Therapeutic Experience Program, or TEP, with NYU Langone Health as our first Center of Excellence clinical site.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Stroke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a clinical trial of PoNS therapy in stroke patients in collaboration with Medical University of South Carolina is planned to commence in the second quarter of 2022 with initial patient enrollments beginning in the second half of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In April 2019, we announced that the FDA had completed its review and had denied our request for de novo classification and clearance of the PoNS device for the treatment of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Therapy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Based on the receipt of the FDA’s final minutes from the pre-submission meeting, we are assessing the feasibility of a clinical program to advance the development of a study aimed to obtain clearance for gait and balance deficits in mmTBI if nondilutive financing to fund the program becomes available.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In the third quarter of 2019, we initiated the submission of our application to the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In Australia, the PoNS device is indicated for short term use by healthcare professionals as an adjunct to a therapeutic exercise program to improve balance and gait. PoNS is not intended to be used alone without an exercise program. We are working to establish a distribution partner for Australia but currently do not expect to have commercial sales of PoNS in Australia in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Commercialization Efforts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in-depth market analysis and field intelligence, our Canadian commercial team began an expansion plan to increase the number of authorized PoNS clinics. During the year ended December 31, 2021, we authorized 6 new clinical locations to have 37 clinic locations across Canada as of December 31, 2021. In addition to continuing to increase the number of clinic locations, we have shifted our focus to driving patient throughput to these clinics. Sales performance in Canada continues to be impacted by the COVID-19 pandemic due to space restrictions that the provincial governments have imposed as well as the risk tolerance of patients and therapists.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Toronto Rehabilitation Institute (part of University Health Network) we are continuing our clinical experience program, the results of which we will look to publish in 2022.</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refine our go-to-market pricing model. In 2020, we implemented a modified pricing approach which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Therapy and drive market awareness which we believe resulted in an increase in the volume of units sold, beginning in the second half of 2020. We extended the promotional pricing through the end of 2021 including any order placed but not fulfilled before December 31, 2021. The promotional pricing was discontinued in 2022 with new pricing established.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Therapy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collision insurance and workers’ compensation, or WC, market as well as long-term disability cases. Our reimbursement strategy for MS is focused on commercial insurers/extended health benefits.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Therapy strategy, we are also gathering comprehensive health economic assessments of treatment outcomes. These data will, in-turn, be used to support our applications for WC, auto insurance and commercial insurance reimbursement initiatives in Canada, the U.S. and other markets around the world. We believe the Canadian commercial experience will be extremely valuable to prepare us for our launches in the U.S. and internationally.</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real-world results from the collective experience of our patients that have completed the 14-week PoNS Therapy in Canada thus far, have been encouraging. Consistent with what we observed in our two clinical trials, one for 5 weeks and the other for 14 weeks, commercial MS and mmTBI patients demonstrated improvements in balance and gait within the first two weeks followed by continued improvement over the following twelve weeks. The majority of patients had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PoNS Therapy in Canada.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Commercialization Efforts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previously stated, 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Throughout the pre-commercial phase during 2021, we developed and refined our commercial strategy including a focus on payer strategy, both government and commercial, securing distribution licenses in various states and beginning to build relationships with key large neurorehabilitation centers, which focus on treatment of MS patients. We continue to generate data on outcomes of the PoNS Therapy generated from treatment of patients in Canada and ensuring that our scientific data is presented at many of the key national and international neurology and neuromodulation meetings. We believe this scientific dissemination may begin to pave the way to establishing the PoNS Therapy as the standard of care for the treatment of MS-related gait deficit.</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currently accepting prescriptions for PoNS in the United States, and we anticipate our first commercial sales in the near term. We have targeted specific Key Opinion Leaders (i.e., neurologists and physiatrists) and their associated neurorehabilitation centers, where selected physical therapists will be trained to deliver the PoNS Therapy. Importantly, this focused strategy will also allow us to measure patient outcomes to determine if they are similar to those observed in our clinical trials. To further develop and implement the PoNS commercialization strategy, we have hired a Vice President of Sales and Marketing, North America, have identified the initial launch areas within the U.S., and we have continued to build out our commercial team, including field sales, reimbursement specialists, and marketing and operational support commensurate with PoNS sales activity.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Trends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were able to continue working independently in the at-home portion of the treatment, with remote check-ins with their certified therapists. While all clinics have re-opened, as of December 31, 2021, they were all operating at reduced capacity, which limited operations to 50% capacity during the second half of 2021. Some patients have begun to return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increased throughout all provinces throughout 2021, facilitating the lifting of some of the previously imposed restrictions. Thus far during the first quarter of 2022, capacity has remained at the 50% threshold with the expectation that the capacity limit will increase as provinces continue to lift restrictions. We continue to monitor the impact of COVID-19 and adjust our operations as the circumstances change.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We have expanded our services to include remote training and treatment, but the long-term viability of these remote programs is still being assessed. Additionally, current and planned clinical experience programs and clinical trials have experienced and may continue to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COVID-19 pandemic has and may continue to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Two of our suppliers experienced significant labor shortages as a result of COVID-19 from the end of November 2021 through early January 2022 which reduced the available resources needed to build and test product resulting in production delays of the PoNS devices. Disruptions in business operations or governmental operations due to COVID-19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extent to which the COVID-19 pandemic will continue to impact our business, including our U.S. commercial launch and sales in Canada, as well as our results of operations and our financial condition will depend on future developments, which are highly uncertain and cannot be predicted. We do not yet know the full extent of the impact of COVID-19 on our business, operations or the global economy as a whole.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late 2021, production delays began to negatively impact the ability of our contract manufacturer to successfully ramp up production during 2022 to fulfill orders for both commercial sales and clinical trials, which has been exacerbated by both labor and supply chain shortages currently being experienced by many industries in the U.S.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successfully commercialize, we need to continue to build infrastructure necessary to grow our business including adding headcount and implementing or upgrading business systems. Competition for talent in today’s labor market may impact our ability to add headcount and to recruit talent with the expertise we need to develop our commercial infrastructure.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response to the aforementioned challenges and trends, we have supplemented our personnel including quality resources at our contract manufacturer. Additionally, we continue to actively recruit and source candidates to fill positions as we build out our team to support our anticipated growth.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“—Liquidity and Capital Resources” below for information regarding our financing activities in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three categories of revenue: Product Sales, Fee Revenue and License Revenue. Product Sales is derived from the sale of the PoNS device. Fee Revenue was derived from franchise fees from new neuroplasticity clinics engaged in providing the PoNS Therapy. This practice ended during the first quarter of 2020. License Revenue is recognized ratably over the ten-year term as the performance obligation is met in connection with the Co-Promotion Agreement as a result of the Heuro acquisition. We expect our revenue will increase substantially over historical levels throughout 2022 as a result of the commercialization of PoNS Therapy in the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 sales includes the cost to manufacture the PoNS device, royalty expense, freight charges, customs duties as well as wages and salaries of employees involved in the management of the supply chain and logistics of fulfilling sales orders. We expect cost of sales to increase as a result of increased sales of PoNS devices in the 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or R&amp;D, expenses consist of expenses incurred in connection with the discovery and development of our product. We expense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R&amp;D costs as incurred. These expenses include:</w:t>
      </w:r>
    </w:p>
    <w:p>
      <w:pPr>
        <w:spacing w:after="0" w:line="211"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that conduct our clinical trials;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relating to product development and manufacturing of clinical trial devices;</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 and</w:t>
      </w:r>
    </w:p>
    <w:p>
      <w:pPr>
        <w:spacing w:after="0" w:line="2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laboratory materials and supplies used to support our research activities.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R&amp;D activities are central to our business model. Products in later stages of clinical development generally have higher development costs than those in earlier stages of clinical development, primarily due to the increased size and duration of later-stage registrational clinical trials. We expect our R&amp;D expenses to continue to increase over the next several years as we increase personnel costs, conduct feasibility and pilot studies and registrational clinical trials for our existing and additional indications, invest in our product development and manufacturing-related expenses and prepare regulatory filings for our products in additional indications. Our expenditures are subject to certain uncertainties, including those described in Item 1A. “Risk Factors” in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or SG&amp;A, expenses consist principally of salaries and related costs for personnel in executive, commercial operations, finance and legal functions, including stock-based compensation, and travel expenses. Other G&amp;A expenses include facility related costs, professional fees for legal, auditing and tax services, consulting, professional services and insurance costs.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anticipate that our SG&amp;A expenses will increase as a result of increased personnel costs, including stock-based compensation, expanded infrastructure and higher consulting services related to our commercial operations, legal and tax-related services associated with maintaining compliance with Nasdaq listing and SEC requirements, accounting and investor relations costs, and director and officer insurance premiums associated with being a public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Amortization expense consists of the periodic amortization of intangible assets, including customer relationships and proprietary software recognized in connection with the acquisition of Heuro on October 30, 2019 and internally developed software. The customer relationships, proprietary software and reacquired rights recognized in connection with the acquisition of Heuro had remaining useful lives at acquisition of 1.25 years, 5 years and 3.87 years, respectively. They are amortized using the straight-line method. The customer relationships intangible asset became fully amortized and was written off during the first quarter of 2021. The internally developed software has a useful life of 3 years and is amortized using the straight-line method.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accounting for warrants and goodwill and other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we recognize revenue when our customer obtains control of promised goods or services, in an amount that reflects the consideration which we expect to be entitled in exchange for those goods or services, in an amount that reflects the consideration which we expect to be entitled in exchange for those goods or services. To determine revenue recognition for arrangements that we determine are within the scope of ASC 606, we perform the following five steps: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1120" w:hanging="74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120" w:hanging="74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 w:lineRule="exact"/>
        <w:rPr>
          <w:rFonts w:ascii="Arial" w:cs="Arial" w:eastAsia="Arial" w:hAnsi="Arial"/>
          <w:sz w:val="18"/>
          <w:szCs w:val="18"/>
          <w:color w:val="auto"/>
        </w:rPr>
      </w:pPr>
    </w:p>
    <w:p>
      <w:pPr>
        <w:ind w:left="1120" w:hanging="74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 w:lineRule="exact"/>
        <w:rPr>
          <w:rFonts w:ascii="Arial" w:cs="Arial" w:eastAsia="Arial" w:hAnsi="Arial"/>
          <w:sz w:val="18"/>
          <w:szCs w:val="18"/>
          <w:color w:val="auto"/>
        </w:rPr>
      </w:pPr>
    </w:p>
    <w:p>
      <w:pPr>
        <w:ind w:left="1120" w:hanging="74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2" w:lineRule="exact"/>
        <w:rPr>
          <w:rFonts w:ascii="Arial" w:cs="Arial" w:eastAsia="Arial" w:hAnsi="Arial"/>
          <w:sz w:val="18"/>
          <w:szCs w:val="18"/>
          <w:color w:val="auto"/>
        </w:rPr>
      </w:pPr>
    </w:p>
    <w:p>
      <w:pPr>
        <w:ind w:left="1120" w:hanging="748"/>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apply the five-step model to contracts when we determine that it is probable we will collect substantially all of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after consideration of variability and constraints, if any, that is allocated to the respective performance obligation when the performance obligation is satisfied.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Product sales were derived from the sale of the PoNS device to clinics in Canada. According to the supply agreement with each of these clinics, our performance obligation was met when we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Our payment terms are defined within each customer’s supply agreement and are all 30 days or less. For the year ended December 31, 2020, we recorded $0.6 million in product sales. As of December 31, 2020, the control of 21 of the 55 PoNS devices included as consideration in the Heuro acquisition had been transferred resulting in revenue of $0.1 million being recognized which is included in the aforementioned $0.6 million in product sales for the year ended December 31, 2020. For the year ended December 31, 2021, we recorded $0.5 million in product sales. During the year ended December 31, 2021, the control of an additional 18 of the 55 PoNS devices included as consideration in the Heuro acquisition had been transferred resulting in revenue of $0.1 million being recognized which is included in the aforementioned $0.5 million in product sales for the year ended December 31, 2021. The fair value of the remaining 16 devices is recorded as deferred revenue of $0.1 million on the consolidated balance sheet. Revenue will be recognized for these devices as control is transferred. The only returns during 2021 were the result of warranty returns for defective products. These returns were insignificant during the year and any future replacements are expected to be insignificant.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half of 2020, we earned fee revenue for engaging new neuroplasticity clinics to provide the PoNS Therapy. These agreements were terminated in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described above, in connection with the Heuro acquisition, we entered into a Clinical Research and Co-Promotion Agreement with HTC (the “Co-Promotion Agreement”). The Co-Promotion Agreement had a fair value of CAD$360 thousand at the time of acquisition and a ten-year term. License revenue has been recognized ratably over the ten-year term of the Co-Promotion Agreement as the performance obligation is met.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account for all stock-based payments and awards under the fair value-based method. We recognize our stock-based compensation expense using the straight-line method. Compensation cost is not adjusted for estimated forfeitures, but instead is adjusted upon an actual forfeiture of a stock option.</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account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payments to non-employees are measured based on the fair value of the equity instrument issued. Compensation expense for non-employee stock awards is recognized over the requisite service period following the measurement of the fair value on the grant 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We use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evaluate our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result of this accounting treatment is that the fair value of the derivative is re-measured at each balance sheet date and recorded as a liability or asset and the change in fair value is recorded in the consolidated statements of operations and comprehensive loss. Upon settlement of a derivative financial instrument, the instrument is re-measured at the settlement date and then that fair value of the underlying instrument is reclassified to equity.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if the right to exercise or settle the derivative financial instrument lies with the holder.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We use the Black-Scholes option-pricing model to value derivative financial instrument liabilities. This model uses Level 3 inputs in the fair value hierarchy established by ASC 820 - </w:t>
      </w:r>
      <w:r>
        <w:rPr>
          <w:rFonts w:ascii="Arial" w:cs="Arial" w:eastAsia="Arial" w:hAnsi="Arial"/>
          <w:sz w:val="18"/>
          <w:szCs w:val="18"/>
          <w:i w:val="1"/>
          <w:iCs w:val="1"/>
          <w:color w:val="auto"/>
        </w:rPr>
        <w:t>Fair Value Measurement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our derivative financial instruments accounted for in accordance with ASC 815 were comprised of warrants issued in connection with public securities offerings. The last of the warrants accounted for in accordance with ASC 815 expired in April 2021, and as such, as of December 31, 2021, we do not hold any derivative financial instruments accounted for in accordance with ASC 815.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Warrants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issued and may continue to issue warrants to purchase shares of common stock through our public and private offerings. We account for such warrants in accordance with </w:t>
      </w:r>
      <w:r>
        <w:rPr>
          <w:rFonts w:ascii="Arial" w:cs="Arial" w:eastAsia="Arial" w:hAnsi="Arial"/>
          <w:sz w:val="18"/>
          <w:szCs w:val="18"/>
          <w:i w:val="1"/>
          <w:iCs w:val="1"/>
          <w:color w:val="auto"/>
        </w:rPr>
        <w:t>ASC 480 Distinguishing Liabilities from Equity</w:t>
      </w:r>
      <w:r>
        <w:rPr>
          <w:rFonts w:ascii="Arial" w:cs="Arial" w:eastAsia="Arial" w:hAnsi="Arial"/>
          <w:sz w:val="18"/>
          <w:szCs w:val="18"/>
          <w:color w:val="auto"/>
        </w:rPr>
        <w:t>, which identifies three categories of freestanding financial instruments that are required to be accounted for as a liability. If determined to be classified as a liability, we will remeasure the fair value of the warrants at each balance sheet date. If determined to be classified as equity, the fair value of the warrants will be measured as of the date of issuance and will not be subject to remeasurement at each balance sheet date.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warrants is estimated using the Black-Scholes option pricing model, based on the market value of the underlying common stock at the measurement dates, the contractual terms of the warrants, risk-free interest rates and expected volatility of the price of the underlying common stock. There are no expected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fair values underlying net assets acquired in an acquisition. All of our goodwill as of December 31, 2020 and December 31, 2021 is the result of the Heuro acquisition. Goodwill is not amortized, but rather will be tested annually for impairment or more frequently if events or changes in circumstances indicate that the carrying amount of the asset may not be recoverable. We will test goodwill for impairment annually in the fourth quarter of each year using data as of October 1 of that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our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We may elect not to perform the qualitative assessment for our reporting unit and perform the quantitative impairment test. The quantitative goodwill impairment test requires us to compare the carrying value of the reporting unit’s net assets to the estimated fair value of the reporting unit.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estimated fair value is recorded as an impairment loss, the amount of which is not to exceed the total amount of goodwill allocated to the reporting unit.</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methodology for estimating the fair value of our reporting unit, if required, utilizes the income approach. The income approach is based on the Discounted Cash Flow, or DCF, method, which is based on the present value of future cash flows. The principal assumptions utilized in the DCF methodology include long-term growth rates, operating margins, discount rates and future economic and market conditions. There can be no assurance that our estimates and assumptions regarding forecasted cash flow, long-term growth rates and operating margins made for purposes of the annual goodwill impairment test will prove to be accurate predictions of the future. We believe the current assumptions and estimates utilized are both reasonable and appropriate.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Definite-lived intangibles consist principally of acquired customer relationships, reacquired rights and proprietary software as well as internally developed software. All are amortized straight-line over their estimated useful lives.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account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We record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have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We initially recognize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We consider many factors when evaluating and estimating its tax positions and tax benefits. These periodic adjustments may have a material impact on the consolidated statements of operations and comprehensive loss. When applicable, we classify penalties and interest associated with uncertain tax positions as a component of income tax expense in its consolidated statements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our inception through December 31, 2021, we have generated approximately $2.6 million in revenue from the commercial sale of products or services. 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successful commercialization of the PoNS device in the U.S.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factors raise substantial doubt about our ability to continue as a going concern through at least 12 months from the date of this Annual Report. While we had $11.0 million of cash as of December 31, 2021, we do not currently have sufficient resources to accomplish all of the above conditions necessary for us to generate sufficient revenues to achieve profitability, and we expect that we will require additional financing to continue to fund our operations. There is no guarantee that such funding will be available at all or in sufficient amounts to satisfy our required expenditures. In reviewing this filing, you should carefully consider this uncertainty, the risks described in the section entitled “Item 1A. Risk Factors” and other risks described throughout this Annual Report.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3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Product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Pr>
          <w:p>
            <w:pPr>
              <w:spacing w:after="0"/>
              <w:rPr>
                <w:sz w:val="19"/>
                <w:szCs w:val="19"/>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Fee 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License revenue</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522</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sales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224</w:t>
            </w: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4,582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12,176</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18,366</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14,659</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3,707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(18,142)</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(14,386)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financial instruments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Foreign exchange gain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other income</w:t>
            </w: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(18,132)</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(14,130)</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the year ended December 31, 2021, we recognized revenue of $0.5 million, of which $0.5 million was generated through product sales of our PoNS device in Canada pursuant to our executed supply agreements with neuroplasticity clinics in Canada and $29 thousand was generated from license fee revenue related to our co-promotion agreement with HTC. For the year ended December 31, 2020, we recognized revenue of $0.7 million, of which $0.6 million was generated through product sales of our PoNS device in Canada pursuant to our executed supply agreements with neuroplasticity clinics in Canada and $27 thousand was generated from license fee revenue related to our co-promotion agreement with HTC. The decrease year-over-year in revenue generated through product sales of our PoNS device in Canada is the result of the adverse impact of the COVID-19 pandemic on our product sales beginning in March 2020 as well as the impact of price changes focused on reducing the need for clinics and patients to pay large, upfront costs at the start of treatment.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2021, we incurred $0.3 million in cost of sales, compared to $0.4 million for the year ended December 31, 2020, a decrease of approximately $0.1 million. The decrease is attributable to a decrease in sales during 2021 compared to 2020 combined with an inventory reserve of $0.2 million recorded in 2020, partially offset by an increase in overhead costs including wages and salaries of employees involved in the management of the supply chain.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Research and development, or R&amp;D, expenses were $6.0 million for the year ended December 31, 2021, compared to $4.6 million for the year ended December 31, 2020, an increase of approximately $1.4 million. The increase was primarily driven by a $0.8 million increase in product development expenses, a $0.5 million increase in professional expenses and a $0.5 million increase in clinical trial expenses. These increases were partially offset by a $0.2 million decrease in stock-based compensation expense and a $0.2 million decrease in legal expenses compared to those incurred during 2020 as a result of the submission of our request to the FDA for de novo classification and clearance of the PoNS device for the treatment of gait deficit due to symptoms from MS.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ectPr>
          <w:pgSz w:w="11900" w:h="16838" w:orient="portrait"/>
          <w:cols w:equalWidth="0" w:num="1">
            <w:col w:w="11240"/>
          </w:cols>
          <w:pgMar w:left="320" w:top="44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62" w:name="page63"/>
    <w:bookmarkEnd w:id="62"/>
    <w:p>
      <w:pPr>
        <w:jc w:val="both"/>
        <w:spacing w:after="0" w:line="289" w:lineRule="auto"/>
        <w:rPr>
          <w:sz w:val="20"/>
          <w:szCs w:val="20"/>
          <w:color w:val="auto"/>
        </w:rPr>
      </w:pPr>
      <w:r>
        <w:rPr>
          <w:rFonts w:ascii="Arial" w:cs="Arial" w:eastAsia="Arial" w:hAnsi="Arial"/>
          <w:sz w:val="16"/>
          <w:szCs w:val="16"/>
          <w:color w:val="auto"/>
        </w:rPr>
        <w:t>Selling, general and administrative, or SG&amp;A, expenses were $12.2 million for the year ended December 31, 2021, compared to $9.7 million for the year ended December 31, 2020, an increase of $2.5 million. The increase was primarily due to a $1.9 million increase in our stock-based compensation expense and a $0.8 million increase in wages and salaries, both resulting primarily from the addition of key management and sales executives in the second and third quarters of 2021 preparing for the commercial launch of PoNS in the U.S. Approximately $1.0 million of the stock-based compensation expense during the year ended December 31, 2021 related to the June 2021 one-time fully vested stock option grant to our then Interim President and Chief Executive Office in recognition of his service since August 2020 and election to take no additional compensation and continue to be compensated as a non-employee director of the Company while serving in that capacity. These increases were partially offset by a $0.3 million decrease in other operating expenses primarily as the result of the $0.2 million impairment of customer relationship intangible assets in the first quarter of 2020 and a $0.1 million loss as the result of the disposal of furniture and fixtures and leasehold improvements in the second quarter of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Expense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Amortization expense was $0.2 million for the year ended December 31, 2021, compared to $0.4 million for the year ended December 31, 2020, a decrease of $0.2 million. The decrease is primarily the result of the customer relationships intangible asset becoming fully amortized during the first quarter of 2021.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Financial Instruments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no change in fair value of derivative financial instruments for the year ended December 31, 2021 because the warrants that qualified as derivatives required to be accounted for in accordance with ASC 815 (requiring the re-measurement of fair value at each balance sheet date) expired in April 2021 and had been valueless during the period. This compared to a gain of $4 thousand for the year ended December 31, 2020.</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change in fair value of our derivative financial instruments for the year ended December 31, 2020 was primarily attributable the change in our stock price, volatility and the number of derivative financial instruments being measured during the period (see Note 3 to our consolidated financial statements elsewhere in this Annual Report on Form 10-K). The change in the fair value of derivative financial instruments is a non-cash item.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was $10 thousand for the year ended December 31, 2021, compared to a gain of $189 thousand for the year ended December 31, 2020. This was primarily due to fluctuations in the foreign exchange rate as it relates to the amount of Canadian dollars held at the end of each reporting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have limited working capital and liquid assets. The following table summarizes our cash and working capital (which we define as current assets less current liabilities excluding derivative financial instruments) as of December 31, 2021 and 2020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vMerge w:val="restart"/>
          </w:tcPr>
          <w:p>
            <w:pPr>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11,005</w:t>
            </w:r>
          </w:p>
        </w:tc>
        <w:tc>
          <w:tcPr>
            <w:tcW w:w="28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28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From our inception through December 31, 2021, we have generated approximately $2.6 million in revenue from the commercial sale of products or services. Because we have generated limited revenues from commercialization, our operations to date have been principally financed through public and private offerings of our common stock and convertible debt and exercises of options and warrants. There are a number of conditions that we must satisfy before we will be able to generate sufficient revenue to fund our operations, including but not limited to the successful commercialization of PoNS Therapy in the U.S.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date, our major sources of cash have been proceeds from various public and private offerings of our common stock and exercises of options and warrants. From June 2014 through December 31, 2021, we raised approximately $130.6 million in gross proceeds from various public and private offerings of our securities as well as the exercise of options and warrants, including during 2021, $21.3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in aggregate net proceeds from two public offerings, the exercise of options and warrants and the use of the Lincoln Park Purchase Agreement.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2021, 81,633 warrants issued in conjunction with the March 2020 registered direct offering were exercised at an exercise price of $16.10 for proceeds of $1.3 million.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1, 2021, in an underwritten public offering (the “February 2021 Offering”), we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five years from the date of issuance. We also issued warrants to the underwriter to purchase 25,910 shares of common stock, with an exercise price of $18.525 per share. Net proceeds from the February 2021 Offering after underwriter’s discounts and commissions and offering expenses paid by us were approximately $9.6 million. Affiliates of one of our officers and directors participated in the February 2021 Offering on the same terms and conditions as all other purchasers. During the second quarter of 2021, 262 warrants had been exercised for proceeds of $4 thousand.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2021, employees exercised 214 stock options for proceeds of $2 thousand.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 2021, we entered into a purchase agreement (the “LPC Purchase Agreement”) and a registration rights agreement with Lincoln Park, pursuant to which, under the terms and subject to the conditions of the LPC Purchase Agreement, we have the right, but not the obligation, to sell to Lincoln Park, and Lincoln Park is obligated to purchase, up to $15.0 million of our common stock. Such sales of common stock by us, if any, will be subject to certain limitations, and may occur from time to time, at our sole discretion, over the 36-month period commencing September 15, 2021, subject to satisfaction of certain conditions.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Actual sales of shares of common stock to Lincoln Park will depend on a variety of factors to be determined by us from time to time, including, among others, market conditions, the trading price of the common stock and determinations by us as to the appropriate sources of funding for us and our operations. The net proceeds under the LPC Purchase Agreement will depend on the frequency and prices at which we sell shares of our common stock to Lincoln Park. We expect that any proceeds received from such sales to Lincoln Park will be used for working capital and general corporate purposes.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LPC Purchase Agreement, on any business day on which the closing sale price of the common stock is not below the “floor price” stated in the LPC Purchase Agreement, we may, by written notice delivered by us to Lincoln Park, direct Lincoln Park to purchase up to 20,000 shares of common stock on such business day, at a purchase price per share that will be determined and fixed in accordance with the Purchase Agreement at the time we deliver such written notice to Lincoln Park (each, a “Regular Purchase”), provided that the maximum number of shares we may sell to Lincoln Park in a Regular Purchase may be increased to (i) up to 25,000 shares, provided that the closing sale price of the common stock on the applicable purchase date is not below $20.00 and (ii) up to 30,000 shares, provided that the closing sale price of the common stock on the applicable purchase date is not below $25.00, in each case, subject to adjustment for any reorganization, recapitalization, non-cash dividend, stock split, reverse stock split or other similar transaction as provided in the LPC Purchase Agreement and provided that Lincoln Park’s maximum purchase commitment in any single Regular Purchase may not exceed $2.0 million. The purchase price per share of common stock sold in each such Regular Purchase, if any, will be based on prevailing market prices of the common stock immediately preceding the time of sale as computed under the LPC Purchase Agreement. In addition to Regular Purchases, we may also direct Lincoln Park to purchase other amounts as accelerated purchases or as additional accelerated purchases on the terms and subject to the conditions set forth in the LPC Purchase Agreement.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with Lincoln Park that we will not enter into an additional “equity line” or a substantially similar transaction whereby a specific investor is irrevocably bound pursuant to an agreement with us to purchase securities over a period of time from us at a price based on the market price of the common stock at the time of such purchase for a period defined in the LPC Purchase Agreement. Lincoln Park has covenanted not to cause or engage in any manner whatsoever, any direct or indirect short selling or hedging of our shares.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part of the LPC Purchase Agreement, we issued 31,958 shares of our common stock to Lincoln Park as consideration for its commitment to purchase shares of our common stock under the LPC Purchase Agreement. During the year ended December 31, 2021, we issued 40,000 shares, excluding the 31,958 shares issued as the commitment fee, under the LPC Purchase Agreement for net proceeds of approximately $0.6 million.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2021, in an underwritten public offering (the “November 2021 Offering”), we issued 1,385,031 shares of common stock at a purchase price of $8.00 per share. Net proceeds from the November 2021 Offering after underwriter’s discounts and commissions and offering expenses paid by us were approximately $9.9 million. Affiliates of one of our officers and directors participated in the November 2021 Offering on the same terms and conditions as all other purchasers.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ended December 31, 2021 and 2020 (amounts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center"/>
              <w:ind w:right="156"/>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74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tcBorders>
              <w:top w:val="single" w:sz="8" w:color="auto"/>
            </w:tcBorders>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(13,388)</w:t>
            </w:r>
          </w:p>
        </w:tc>
        <w:tc>
          <w:tcPr>
            <w:tcW w:w="30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center"/>
              <w:ind w:right="101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(11,738)</w:t>
            </w: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21,126</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9,638</w:t>
            </w: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92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920" w:type="dxa"/>
            <w:vAlign w:val="bottom"/>
            <w:shd w:val="clear" w:color="auto" w:fill="CFF0FC"/>
          </w:tcPr>
          <w:p>
            <w:pPr>
              <w:jc w:val="right"/>
              <w:ind w:right="7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w:t>
            </w: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jc w:val="center"/>
              <w:ind w:right="1016"/>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(2,128)</w:t>
            </w:r>
          </w:p>
        </w:tc>
        <w:tc>
          <w:tcPr>
            <w:tcW w:w="4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the Year Ended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used in operating activities for the year ended December 31, 2021 was $13.4 million. This was comprised primarily of a net loss of $18.1 million, partially offset by $127 thousand net cash provided by operating activities resulting from changes in operating assets and liabilities, certain adjustments for non-cash items comprised primarily of stock-based compensation expense of $4.3 million and depreciation and amortization of $0.3 million.</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operating activities for the year ended December 31, 2020 was $11.7 million. This was comprised primarily of a net loss of $14.1 million, unrealized foreign exchange gains of $0.2 million, gain on lease modification of $0.1 million and $1.2 million net cash used resulting from changes in operating assets and liabilities, partially offset by certain adjustments for non-cash items comprised of stock-based compensation expense of $2.5 million, depreciation and amortization of $0.5 million, non-cash lease expense of $0.2 million, provision for inventory reserve of $0.2 million, impairment loss on intangible assets of $0.2 million (related to the customer relationships from the Heuro acquisition), provision for doubtful accounts of $0.1 million, and loss on disposal of office furniture and leasehold improvements of $0.1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year ended December 31, 2021 was nominal and primarily related to the purchase of equipment and computer software and hardware.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nominal, with $63 thousand for the purchase of equipment and $7 thousand for internally developed software, offset by $61 thousand in proceeds received from the sale of office furniture.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provided by financing activities for the year ended December 31, 2021 was $21.1 million, which was primarily comprised of $11.1 million in gross proceeds received from the November 2021 Offering, $11.0 million in gross proceeds received from the February 2021 Offering, $1.3 million in proceeds from the exercise of warrants and $0.6 million in gross proceeds from the sale of common stock pursuant to the LPC Purchase Agreement. These proceeds were partially offset by $2.9 million in issuance costs primarily related to the aforementioned offerings.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2020 was $9.6 million, which was primarily comprised of $2.2 million in gross proceeds received from the March 2020 registered direct offering, $5.0 million in gross proceeds from the sale of common stock under our former At-the-Market program and $3.4 million in gross proceeds received from the October 2020 private placement. These proceeds were partially offset by $1.0 million in issuance costs primarily related to the aforementioned offerings.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ability to generate product revenues sufficient to achieve profitability will depend heavily on the successful commercialization of PoNS Therapy in the U.S. Our net loss was $18.1 million and $14.1 million for the years ended December 31, 2021 and 2020, respectively. As of December 31, 2021, we had an accumulated deficit of $137.0 million. We expect to continue to incur significant expenses and operating losses for the foreseeable future. We intend to use our available capital resources primarily to expand our U.S.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commercialization efforts; fund manufacturing activities for the PoNS device; conduct clinical trials; and for working capital and general corporate purposes.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existing capital resources will be sufficient to fund our operations into the third quarter of 2022,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arrangements that contractually obligate us to make payments that will affect our liquidity and cash flows in future periods. Such arrangements include those related to our lease commitments.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cash requirements greater than twelve months from various contractual obligations and commitments include operating lease liabilities. Our lease commitments reflect payments due for our lease arrangement for office space at our head office located in Newtown, Pennsylvania. As of December 31, 2021, our contractual commitment for our lease was $0.1 million. The amount of lease commitments reflects payments due for the new lease in Newtown, Pennsylvania that had not commenced under ASC Topic 842, </w:t>
      </w:r>
      <w:r>
        <w:rPr>
          <w:rFonts w:ascii="Arial" w:cs="Arial" w:eastAsia="Arial" w:hAnsi="Arial"/>
          <w:sz w:val="18"/>
          <w:szCs w:val="18"/>
          <w:i w:val="1"/>
          <w:iCs w:val="1"/>
          <w:color w:val="auto"/>
        </w:rPr>
        <w:t>Leases</w:t>
      </w:r>
      <w:r>
        <w:rPr>
          <w:rFonts w:ascii="Arial" w:cs="Arial" w:eastAsia="Arial" w:hAnsi="Arial"/>
          <w:sz w:val="18"/>
          <w:szCs w:val="18"/>
          <w:color w:val="auto"/>
        </w:rPr>
        <w:t>, as of December 31, 2021, and as a result, these leases are not reflected within our consolidated balance sheets. The new lease commenced on January 1, 2022 and is contracted to terminate on March 31, 2025. Refer to Note 7 in the Notes to Consolidated Financial Statements, included in Item 8 of Part II of this Annual Report on Form 10-K for further detail of our lease obligations and the timing of expected future payments.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 into contracts in the normal course of business with various third parties for clinical trials, testing and manufacturing, and other services and products for operating purposes. These contracts provide for termination upon notice. Payments due upon cancellation generally consist only of payments for services provided or expenses incurred, including non-cancellable obligations of our service providers, up to the date of cancellation. These payments have not been separately included within these contractual and other obligations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meeting the definition of an SEC filer, excluding entities eligible to be a Small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We meet the definition of an SRC and therefore the standard will not be effective until the beginning of 2023. We are evaluating the effect that ASU 2016-13 will have on its consolidated financial statements.</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which adds disclosure requirements to Topic 820 for the range and weighted average of significant unobservable inputs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Level 3 fair value measurements. This ASU is effective for interim and annual reporting periods beginning after December 15, 2019. We adopted this standard as of January 1, 2020 and the adoption did not have a material impact on our consolidated financial statements.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within those fiscal years, beginning after December 15, 2019, with early adoption permitted. We adopted this standard on January 1, 2020 and the adoption did not have a material impact on our consolidated financial statements.</w:t>
      </w:r>
    </w:p>
    <w:p>
      <w:pPr>
        <w:spacing w:after="0" w:line="2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FASB issued ASU 2020-06, </w:t>
      </w:r>
      <w:r>
        <w:rPr>
          <w:rFonts w:ascii="Arial" w:cs="Arial" w:eastAsia="Arial" w:hAnsi="Arial"/>
          <w:sz w:val="17"/>
          <w:szCs w:val="17"/>
          <w:i w:val="1"/>
          <w:iCs w:val="1"/>
          <w:color w:val="auto"/>
        </w:rPr>
        <w:t>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815-40)</w:t>
      </w:r>
      <w:r>
        <w:rPr>
          <w:rFonts w:ascii="Arial" w:cs="Arial" w:eastAsia="Arial" w:hAnsi="Arial"/>
          <w:sz w:val="17"/>
          <w:szCs w:val="17"/>
          <w:color w:val="auto"/>
        </w:rPr>
        <w:t>, which simplifies accounting for convertible instruments by removing major separation models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 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 earnings at the date of adoption. We early adopted ASU 2020-06 effective January 1, 2021 under the modified retrospective approach. The adoption of this guidance did not have a material impact on our consolidated financial statements.</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included in this Annual Report beginning on page F-1 and is incorporated herein by reference.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 13a-15(b) under the Securities Exchange Act of 1934, as amended, or the Exchange Act, under the direction of the Chief Executive Officer and the Chief Financial Officer, we have evaluated our disclosure controls and procedures as of the end of the period covered by this Annual Report. Based on this evaluation, our Chief Executive Officer and Chief Financial Officer have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responsible for establishing and maintaining adequate internal controls over financial reporting. Our management assessed the effectiveness of our internal controls over financial reporting as of December 31, 2021.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2021, our internal control over financial reporting was effective.</w:t>
      </w:r>
    </w:p>
    <w:p>
      <w:pPr>
        <w:spacing w:after="0" w:line="16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Annual Report does not include an attestation report of our independent registered public accounting firm regarding internal control over financial reporting as required by Section 404(b) of the Sarbanes Oxley Act of 2002. As a non-accelerated filer, our management’s report was not subject to attestation by our registered public accounting firm pursuant to rules of the SEC that permit us to provide only management’s report in this Annual Report.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monitor our internal control over financial reporting on a continuous basis. There has not been any change in our internal control over financial reporting identified in connection with the evaluation required by Rule 13a-15(d) and 15d-15(d) under the Exchange Act that occurred during the quarter ended December 31, 2021 which have materially affected, or are reasonably likely to materially affect, our internal control over financial reporting.</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will file a definitive Proxy Statement for our 2022 Annual Meeting of Stockholders (the “2022 Proxy Statement”) with the SEC, pursuant to Regulation 14A, not later than 120 days after the end of our fiscal year. Accordingly, certain information required by Part III has been omitted under General Instruction G(3) to Form 10-K. Only those sections of the 2022 Proxy Statement that specifically address the items set forth herein are incorporated by reference.</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10 is hereby incorporated by reference to the sections of the 2022 Proxy Statement under the captions "Information Regarding the Board of Directors and Corporate Governance," "Proposal 1 - Election of Directors," "Executive Officers", and “Delinquent Section 16(a) Reports”.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Item 11 is hereby incorporated by reference to the sections of the 2022 Proxy Statement under the captions "Executive Compensation" and "Non-Employee Director Compensation."</w:t>
      </w:r>
    </w:p>
    <w:p>
      <w:pPr>
        <w:spacing w:after="0" w:line="166" w:lineRule="exact"/>
        <w:rPr>
          <w:sz w:val="20"/>
          <w:szCs w:val="20"/>
          <w:color w:val="auto"/>
        </w:rPr>
      </w:pPr>
    </w:p>
    <w:p>
      <w:pPr>
        <w:jc w:val="both"/>
        <w:ind w:left="1160" w:hanging="1146"/>
        <w:spacing w:after="0" w:line="282" w:lineRule="auto"/>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information required by Item 12 is hereby incorporated by reference to the sections of the 2022 Proxy Statement under the captions "Security Ownership of Certain Beneficial Owners and Management" and "Securities Authorized for Issuance under Equity Compensation Plans."</w:t>
      </w:r>
    </w:p>
    <w:p>
      <w:pPr>
        <w:spacing w:after="0" w:line="14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by Item 13 is hereby incorporated by reference to the sections of the 2022 Proxy Statement under the captions "Certain Relationships and Related Transactions" and "Information Regarding the Board of Directors and Corporate Governance - Independence of the Board of Directors."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information required by Item 14 is hereby incorporated by reference to the sections of the 2022 Proxy Statement under the caption "Proposal 2 - Ratification of Independent Registered Public Accounting Firm."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w:t>
      </w:r>
    </w:p>
    <w:p>
      <w:pPr>
        <w:spacing w:after="0" w:line="117"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Financial Statements—See the Index to Consolidated Financial Statements on Page F-1.</w:t>
      </w:r>
    </w:p>
    <w:p>
      <w:pPr>
        <w:spacing w:after="0" w:line="117"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38" w:lineRule="exact"/>
        <w:rPr>
          <w:rFonts w:ascii="Arial" w:cs="Arial" w:eastAsia="Arial" w:hAnsi="Arial"/>
          <w:sz w:val="17"/>
          <w:szCs w:val="17"/>
          <w:color w:val="auto"/>
        </w:rPr>
      </w:pPr>
    </w:p>
    <w:p>
      <w:pPr>
        <w:ind w:left="500" w:hanging="492"/>
        <w:spacing w:after="0"/>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10180" w:type="dxa"/>
            <w:vAlign w:val="bottom"/>
            <w:gridSpan w:val="20"/>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4"/>
                <w:szCs w:val="14"/>
                <w:color w:val="auto"/>
              </w:rPr>
            </w:pPr>
          </w:p>
        </w:tc>
        <w:tc>
          <w:tcPr>
            <w:tcW w:w="10180" w:type="dxa"/>
            <w:vAlign w:val="bottom"/>
            <w:tcBorders>
              <w:bottom w:val="single" w:sz="8" w:color="auto"/>
            </w:tcBorders>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3"/>
              </w:rPr>
            </w:pPr>
            <w:hyperlink r:id="rId93">
              <w:r>
                <w:rPr>
                  <w:rFonts w:ascii="Arial" w:cs="Arial" w:eastAsia="Arial" w:hAnsi="Arial"/>
                  <w:sz w:val="18"/>
                  <w:szCs w:val="18"/>
                  <w:color w:val="0000EE"/>
                  <w:w w:val="93"/>
                </w:rPr>
                <w:t>Certificate of Conversion filed with the Delaware Secretary of State on July 18, 2018 (incorporated by reference to Exhibit 3.1 to the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10-Q filed August 9,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rPr>
            </w:pPr>
            <w:hyperlink r:id="rId94">
              <w:r>
                <w:rPr>
                  <w:rFonts w:ascii="Arial" w:cs="Arial" w:eastAsia="Arial" w:hAnsi="Arial"/>
                  <w:sz w:val="18"/>
                  <w:szCs w:val="18"/>
                  <w:color w:val="0000EE"/>
                </w:rPr>
                <w:t>Certificate of Incorporation, as corrected (incorporated by reference to Exhibit 3.1 to the Form 8-K filed October 30, 2018)</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4"/>
              </w:rPr>
            </w:pPr>
            <w:hyperlink r:id="rId95">
              <w:r>
                <w:rPr>
                  <w:rFonts w:ascii="Arial" w:cs="Arial" w:eastAsia="Arial" w:hAnsi="Arial"/>
                  <w:sz w:val="18"/>
                  <w:szCs w:val="18"/>
                  <w:color w:val="0000EE"/>
                  <w:w w:val="94"/>
                </w:rPr>
                <w:t>Certificate of Amendment to Certificate of Incorporation (incorporated by reference to Exhibit 3.1 to the Form 8-K filed on December 31,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95">
              <w:r>
                <w:rPr>
                  <w:rFonts w:ascii="Arial" w:cs="Arial" w:eastAsia="Arial" w:hAnsi="Arial"/>
                  <w:sz w:val="18"/>
                  <w:szCs w:val="18"/>
                  <w:color w:val="0000EE"/>
                  <w:w w:val="82"/>
                </w:rPr>
                <w:t>2020)</w:t>
              </w:r>
            </w:hyperlink>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8200" w:type="dxa"/>
            <w:vAlign w:val="bottom"/>
            <w:tcBorders>
              <w:bottom w:val="single" w:sz="8" w:color="0000EE"/>
            </w:tcBorders>
            <w:gridSpan w:val="12"/>
          </w:tcPr>
          <w:p>
            <w:pPr>
              <w:spacing w:after="0"/>
              <w:rPr>
                <w:rFonts w:ascii="Arial" w:cs="Arial" w:eastAsia="Arial" w:hAnsi="Arial"/>
                <w:sz w:val="18"/>
                <w:szCs w:val="18"/>
                <w:color w:val="0000EE"/>
                <w:w w:val="90"/>
              </w:rPr>
            </w:pPr>
            <w:hyperlink r:id="rId96">
              <w:r>
                <w:rPr>
                  <w:rFonts w:ascii="Arial" w:cs="Arial" w:eastAsia="Arial" w:hAnsi="Arial"/>
                  <w:sz w:val="18"/>
                  <w:szCs w:val="18"/>
                  <w:color w:val="0000EE"/>
                  <w:w w:val="90"/>
                </w:rPr>
                <w:t>Bylaws as amended and restated (incorporated by reference to Exhibit 3.3 to the Form 10-Q filed August 9, 2018)</w:t>
              </w:r>
            </w:hyperlink>
          </w:p>
        </w:tc>
        <w:tc>
          <w:tcPr>
            <w:tcW w:w="19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rPr>
            </w:pPr>
            <w:hyperlink r:id="rId97">
              <w:r>
                <w:rPr>
                  <w:rFonts w:ascii="Arial" w:cs="Arial" w:eastAsia="Arial" w:hAnsi="Arial"/>
                  <w:sz w:val="18"/>
                  <w:szCs w:val="18"/>
                  <w:color w:val="0000EE"/>
                </w:rPr>
                <w:t>Form of Warrant (incorporated by reference to Exhibit 4.1 to the Form 8-K filed October 26, 2020</w:t>
              </w:r>
            </w:hyperlink>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rPr>
            </w:pPr>
            <w:hyperlink r:id="rId98">
              <w:r>
                <w:rPr>
                  <w:rFonts w:ascii="Arial" w:cs="Arial" w:eastAsia="Arial" w:hAnsi="Arial"/>
                  <w:sz w:val="18"/>
                  <w:szCs w:val="18"/>
                  <w:color w:val="0000EE"/>
                </w:rPr>
                <w:t>Form of Warrant (incorporated by reference to Exhibit 4.1 to the Form S-1/A filed January 20,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Warrant Agency Agreement (incorporated by reference to Exhibit 4.2 to the Form S-1/A filed January 20,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rPr>
            </w:pPr>
            <w:hyperlink r:id="rId100">
              <w:r>
                <w:rPr>
                  <w:rFonts w:ascii="Arial" w:cs="Arial" w:eastAsia="Arial" w:hAnsi="Arial"/>
                  <w:sz w:val="18"/>
                  <w:szCs w:val="18"/>
                  <w:color w:val="0000EE"/>
                </w:rPr>
                <w:t>Description of Registrant’s Securities (incorporated by reference to Exhibit 4.7 to the Form 10-K filed March 10,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Warrant Agency Agreement dated as of February 1, 2021 by and between Helius Medical Technologies, Inc. and American Stock Transfer &amp;</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Trust Company, LLC (incorporated by reference to Exhibit 4.2 to the Form 8-K filed February 1,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9980" w:type="dxa"/>
            <w:vAlign w:val="bottom"/>
            <w:tcBorders>
              <w:bottom w:val="single" w:sz="8" w:color="0000EE"/>
            </w:tcBorders>
            <w:gridSpan w:val="18"/>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License Agreement between Advanced NeuroRehabilitation, LLC and Yuri Danilov, Mitchell Tyler, Kurt Kaczmarek and John Klus, dated</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June 29, 2011 (incorporated by reference to Exhibit 10.8 to the Amendment to Form S-1 filed with the SEC on September 23, 2014)</w:t>
              </w:r>
            </w:hyperlink>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w w:val="93"/>
              </w:rPr>
            </w:pPr>
            <w:hyperlink r:id="rId103">
              <w:r>
                <w:rPr>
                  <w:rFonts w:ascii="Arial" w:cs="Arial" w:eastAsia="Arial" w:hAnsi="Arial"/>
                  <w:sz w:val="18"/>
                  <w:szCs w:val="18"/>
                  <w:color w:val="0000EE"/>
                  <w:w w:val="93"/>
                </w:rPr>
                <w:t>Amended and Restated Patent Sub-License Agreement between Advanced NeuroRehabilitation, LLC and Helius Medical, Inc, having an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tcBorders>
              <w:top w:val="single" w:sz="8" w:color="0000EE"/>
            </w:tcBorders>
            <w:gridSpan w:val="19"/>
          </w:tcPr>
          <w:p>
            <w:pPr>
              <w:spacing w:after="0" w:line="196"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effective date of January 22, 2013 (incorporated by reference to Exhibit 10.1 to the Form S-1 filed with the SEC on July 14, 2014)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Second Amended and Restated Patent Sub-License Agreement between Advanced NeuroRehabilitation, LLC and Helius Medical, Inc, dated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June 6, 2014, but having an effective date of January 22, 2013 (incorporated by reference to Exhibit 10.7 to the Form S-1 filed with the SEC</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on July 14, 2014)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w w:val="92"/>
              </w:rPr>
            </w:pPr>
            <w:hyperlink r:id="rId105">
              <w:r>
                <w:rPr>
                  <w:rFonts w:ascii="Arial" w:cs="Arial" w:eastAsia="Arial" w:hAnsi="Arial"/>
                  <w:sz w:val="18"/>
                  <w:szCs w:val="18"/>
                  <w:color w:val="0000EE"/>
                  <w:w w:val="92"/>
                </w:rPr>
                <w:t>Design and Manufacturing Consultant Agreement between Helius Medical, Inc and Clinvue, LLC, dated January 30, 2013 (incorporated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reference to Exhibit 10.3 to the Form S-1 filed with the SEC on July 14, 2014)</w:t>
              </w:r>
            </w:hyperlink>
          </w:p>
        </w:tc>
        <w:tc>
          <w:tcPr>
            <w:tcW w:w="452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w w:val="97"/>
              </w:rPr>
            </w:pPr>
            <w:hyperlink r:id="rId106">
              <w:r>
                <w:rPr>
                  <w:rFonts w:ascii="Arial" w:cs="Arial" w:eastAsia="Arial" w:hAnsi="Arial"/>
                  <w:sz w:val="18"/>
                  <w:szCs w:val="18"/>
                  <w:color w:val="0000EE"/>
                  <w:w w:val="97"/>
                </w:rPr>
                <w:t>Commercial Development-to-Supply Program between Helius Medical, Inc and Ximedica, dated October 25, 2013 (incorporated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reference to Exhibit 10.4 to the Form S-1 filed with the SEC on July 14, 2014)</w:t>
              </w:r>
            </w:hyperlink>
          </w:p>
        </w:tc>
        <w:tc>
          <w:tcPr>
            <w:tcW w:w="452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Asset Purchase Agreement between the Company and A&amp;B (HK) Company Limited, dated as of October 9, 2015 (incorporated by reference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80" w:type="dxa"/>
            <w:vAlign w:val="bottom"/>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to Exhibit 2.1 to the Form 8-K filed with the SEC on October 16, 2015)</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740" w:type="dxa"/>
            <w:vAlign w:val="bottom"/>
            <w:gridSpan w:val="2"/>
            <w:shd w:val="clear" w:color="auto" w:fill="0000EE"/>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8"/>
              </w:rPr>
            </w:pPr>
            <w:hyperlink r:id="rId108">
              <w:r>
                <w:rPr>
                  <w:rFonts w:ascii="Arial" w:cs="Arial" w:eastAsia="Arial" w:hAnsi="Arial"/>
                  <w:sz w:val="18"/>
                  <w:szCs w:val="18"/>
                  <w:color w:val="0000EE"/>
                  <w:w w:val="98"/>
                </w:rPr>
                <w:t>Amendment to Asset Purchase Agreement between the Company and A&amp;B (HK) Company Limited, dated as of October 30, 2017</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(incorporated by reference to Exhibit 10.1 to the Form 8-K filed with the SEC on November 2, 2017)</w:t>
              </w:r>
            </w:hyperlink>
          </w:p>
        </w:tc>
        <w:tc>
          <w:tcPr>
            <w:tcW w:w="29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10.6.2</w:t>
            </w:r>
          </w:p>
        </w:tc>
        <w:tc>
          <w:tcPr>
            <w:tcW w:w="140" w:type="dxa"/>
            <w:vAlign w:val="bottom"/>
          </w:tcPr>
          <w:p>
            <w:pPr>
              <w:spacing w:after="0"/>
              <w:rPr>
                <w:sz w:val="24"/>
                <w:szCs w:val="24"/>
                <w:color w:val="auto"/>
              </w:rPr>
            </w:pPr>
          </w:p>
        </w:tc>
        <w:tc>
          <w:tcPr>
            <w:tcW w:w="10180" w:type="dxa"/>
            <w:vAlign w:val="bottom"/>
            <w:tcBorders>
              <w:bottom w:val="single" w:sz="8" w:color="0000EE"/>
            </w:tcBorders>
            <w:gridSpan w:val="20"/>
          </w:tcPr>
          <w:p>
            <w:pPr>
              <w:spacing w:after="0"/>
              <w:rPr>
                <w:rFonts w:ascii="Arial" w:cs="Arial" w:eastAsia="Arial" w:hAnsi="Arial"/>
                <w:sz w:val="18"/>
                <w:szCs w:val="18"/>
                <w:color w:val="0000EE"/>
                <w:w w:val="94"/>
              </w:rPr>
            </w:pPr>
            <w:hyperlink r:id="rId109">
              <w:r>
                <w:rPr>
                  <w:rFonts w:ascii="Arial" w:cs="Arial" w:eastAsia="Arial" w:hAnsi="Arial"/>
                  <w:sz w:val="18"/>
                  <w:szCs w:val="18"/>
                  <w:color w:val="0000EE"/>
                  <w:w w:val="94"/>
                </w:rPr>
                <w:t>Supplemental Agreement to Asset Purchase Agreement dated October 9, 2015, between Helius Medical, Inc. and A&amp;B (HK) Company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09">
              <w:r>
                <w:rPr>
                  <w:rFonts w:ascii="Arial" w:cs="Arial" w:eastAsia="Arial" w:hAnsi="Arial"/>
                  <w:sz w:val="18"/>
                  <w:szCs w:val="18"/>
                  <w:color w:val="0000EE"/>
                  <w:w w:val="91"/>
                </w:rPr>
                <w:t>Limited, dated as of August 15, 2018 (incorporated by reference to Exhibit 10.27 to the Form 10-K filed March 14, 2019)</w:t>
              </w:r>
            </w:hyperlink>
          </w:p>
        </w:tc>
        <w:tc>
          <w:tcPr>
            <w:tcW w:w="1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10180" w:type="dxa"/>
            <w:vAlign w:val="bottom"/>
            <w:gridSpan w:val="20"/>
          </w:tcPr>
          <w:p>
            <w:pPr>
              <w:spacing w:after="0"/>
              <w:rPr>
                <w:rFonts w:ascii="Arial" w:cs="Arial" w:eastAsia="Arial" w:hAnsi="Arial"/>
                <w:sz w:val="18"/>
                <w:szCs w:val="18"/>
                <w:color w:val="0000EE"/>
                <w:w w:val="93"/>
              </w:rPr>
            </w:pPr>
            <w:hyperlink r:id="rId110">
              <w:r>
                <w:rPr>
                  <w:rFonts w:ascii="Arial" w:cs="Arial" w:eastAsia="Arial" w:hAnsi="Arial"/>
                  <w:sz w:val="18"/>
                  <w:szCs w:val="18"/>
                  <w:color w:val="0000EE"/>
                  <w:w w:val="93"/>
                </w:rPr>
                <w:t>Amended and Restated June 2014 Equity Incentive Plan (incorporated by reference to Exhibit 4.3 to the Form 10-Q filed with the SEC 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November 9, 2017)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Borders>
              <w:top w:val="single" w:sz="8" w:color="0000EE"/>
            </w:tcBorders>
            <w:gridSpan w:val="3"/>
          </w:tcPr>
          <w:p>
            <w:pPr>
              <w:spacing w:after="0"/>
              <w:rPr>
                <w:sz w:val="24"/>
                <w:szCs w:val="24"/>
                <w:color w:val="auto"/>
              </w:rPr>
            </w:pPr>
          </w:p>
        </w:tc>
        <w:tc>
          <w:tcPr>
            <w:tcW w:w="3740" w:type="dxa"/>
            <w:vAlign w:val="bottom"/>
            <w:gridSpan w:val="2"/>
          </w:tcPr>
          <w:p>
            <w:pPr>
              <w:jc w:val="right"/>
              <w:ind w:right="480"/>
              <w:spacing w:after="0"/>
              <w:rPr>
                <w:sz w:val="20"/>
                <w:szCs w:val="20"/>
                <w:color w:val="auto"/>
              </w:rPr>
            </w:pPr>
            <w:r>
              <w:rPr>
                <w:rFonts w:ascii="Arial" w:cs="Arial" w:eastAsia="Arial" w:hAnsi="Arial"/>
                <w:sz w:val="18"/>
                <w:szCs w:val="18"/>
                <w:color w:val="auto"/>
              </w:rPr>
              <w:t>69</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22"/>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10.7.1†</w:t>
            </w:r>
          </w:p>
        </w:tc>
        <w:tc>
          <w:tcPr>
            <w:tcW w:w="120" w:type="dxa"/>
            <w:vAlign w:val="bottom"/>
          </w:tcPr>
          <w:p>
            <w:pPr>
              <w:spacing w:after="0"/>
              <w:rPr>
                <w:sz w:val="14"/>
                <w:szCs w:val="14"/>
                <w:color w:val="auto"/>
              </w:rPr>
            </w:pPr>
          </w:p>
        </w:tc>
        <w:tc>
          <w:tcPr>
            <w:tcW w:w="10200" w:type="dxa"/>
            <w:vAlign w:val="bottom"/>
            <w:tcBorders>
              <w:top w:val="single" w:sz="8" w:color="auto"/>
              <w:bottom w:val="single" w:sz="8" w:color="0000EE"/>
            </w:tcBorders>
            <w:gridSpan w:val="22"/>
          </w:tcPr>
          <w:p>
            <w:pPr>
              <w:spacing w:after="0" w:line="169"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2014 Stock Incentive Plan Form of Option Grant Agreement (incorporated by reference to Exhibit 10.23.1 to the Transition Report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113">
              <w:r>
                <w:rPr>
                  <w:rFonts w:ascii="Arial" w:cs="Arial" w:eastAsia="Arial" w:hAnsi="Arial"/>
                  <w:sz w:val="18"/>
                  <w:szCs w:val="18"/>
                  <w:color w:val="0000EE"/>
                  <w:w w:val="94"/>
                </w:rPr>
                <w:t>10-K filed with the SEC on April 3, 2017)</w:t>
              </w:r>
            </w:hyperlink>
          </w:p>
        </w:tc>
        <w:tc>
          <w:tcPr>
            <w:tcW w:w="71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040" w:type="dxa"/>
            <w:vAlign w:val="bottom"/>
            <w:gridSpan w:val="2"/>
          </w:tcPr>
          <w:p>
            <w:pPr>
              <w:spacing w:after="0"/>
              <w:rPr>
                <w:sz w:val="20"/>
                <w:szCs w:val="20"/>
                <w:color w:val="auto"/>
              </w:rPr>
            </w:pPr>
            <w:r>
              <w:rPr>
                <w:rFonts w:ascii="Arial" w:cs="Arial" w:eastAsia="Arial" w:hAnsi="Arial"/>
                <w:sz w:val="18"/>
                <w:szCs w:val="18"/>
                <w:color w:val="auto"/>
              </w:rPr>
              <w:t>10.8†</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2"/>
              </w:rPr>
            </w:pPr>
            <w:hyperlink r:id="rId114">
              <w:r>
                <w:rPr>
                  <w:rFonts w:ascii="Arial" w:cs="Arial" w:eastAsia="Arial" w:hAnsi="Arial"/>
                  <w:sz w:val="18"/>
                  <w:szCs w:val="18"/>
                  <w:color w:val="0000EE"/>
                  <w:w w:val="92"/>
                </w:rPr>
                <w:t>2016 Omnibus Incentive Plan (incorporated by reference to Exhibit 10.25 to the Transition Report on Form 10-K filed with the SEC on April</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14">
              <w:r>
                <w:rPr>
                  <w:rFonts w:ascii="Arial" w:cs="Arial" w:eastAsia="Arial" w:hAnsi="Arial"/>
                  <w:sz w:val="18"/>
                  <w:szCs w:val="18"/>
                  <w:color w:val="0000EE"/>
                  <w:w w:val="87"/>
                </w:rPr>
                <w:t>3, 2017)</w:t>
              </w:r>
            </w:hyperlink>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10.8.1†</w:t>
            </w:r>
          </w:p>
        </w:tc>
        <w:tc>
          <w:tcPr>
            <w:tcW w:w="10200" w:type="dxa"/>
            <w:vAlign w:val="bottom"/>
            <w:gridSpan w:val="22"/>
          </w:tcPr>
          <w:p>
            <w:pPr>
              <w:spacing w:after="0"/>
              <w:rPr>
                <w:rFonts w:ascii="Arial" w:cs="Arial" w:eastAsia="Arial" w:hAnsi="Arial"/>
                <w:sz w:val="18"/>
                <w:szCs w:val="18"/>
                <w:color w:val="0000EE"/>
                <w:w w:val="92"/>
              </w:rPr>
            </w:pPr>
            <w:hyperlink r:id="rId115">
              <w:r>
                <w:rPr>
                  <w:rFonts w:ascii="Arial" w:cs="Arial" w:eastAsia="Arial" w:hAnsi="Arial"/>
                  <w:sz w:val="18"/>
                  <w:szCs w:val="18"/>
                  <w:color w:val="0000EE"/>
                  <w:w w:val="92"/>
                </w:rPr>
                <w:t>Amendment Number 1 to the 2016 Omnibus Incentive Plan (incorporated by reference to Exhibit 10.25.1 to the Transition Report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r:id="rId115">
              <w:r>
                <w:rPr>
                  <w:rFonts w:ascii="Arial" w:cs="Arial" w:eastAsia="Arial" w:hAnsi="Arial"/>
                  <w:sz w:val="18"/>
                  <w:szCs w:val="18"/>
                  <w:color w:val="0000EE"/>
                  <w:w w:val="94"/>
                </w:rPr>
                <w:t>10-K filed with the SEC on April 3, 2017)</w:t>
              </w:r>
            </w:hyperlink>
          </w:p>
        </w:tc>
        <w:tc>
          <w:tcPr>
            <w:tcW w:w="7120" w:type="dxa"/>
            <w:vAlign w:val="bottom"/>
            <w:tcBorders>
              <w:top w:val="single" w:sz="8" w:color="0000EE"/>
            </w:tcBorders>
            <w:gridSpan w:val="14"/>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10.8.2†</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Amendment Number 2 to the 2016 Omnibus Incentive Plan (incorporated by reference to Exhibit 4.7 to the Registration Statement on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S-8 filed with the SEC on May 18, 2017)</w:t>
              </w:r>
            </w:hyperlink>
          </w:p>
        </w:tc>
        <w:tc>
          <w:tcPr>
            <w:tcW w:w="72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10.8.3†</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17">
              <w:r>
                <w:rPr>
                  <w:rFonts w:ascii="Arial" w:cs="Arial" w:eastAsia="Arial" w:hAnsi="Arial"/>
                  <w:sz w:val="18"/>
                  <w:szCs w:val="18"/>
                  <w:color w:val="0000EE"/>
                  <w:w w:val="91"/>
                </w:rPr>
                <w:t>2016 Omnibus Incentive Plan Form of U.S. Option Grant Agreement (incorporated by reference to Exhibit 4.8 to the Registration Statement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on Form S-8 filed with the SEC on May 18, 2017)</w:t>
              </w:r>
            </w:hyperlink>
          </w:p>
        </w:tc>
        <w:tc>
          <w:tcPr>
            <w:tcW w:w="65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10.8.4†</w:t>
            </w:r>
          </w:p>
        </w:tc>
        <w:tc>
          <w:tcPr>
            <w:tcW w:w="10200" w:type="dxa"/>
            <w:vAlign w:val="bottom"/>
            <w:gridSpan w:val="22"/>
          </w:tcPr>
          <w:p>
            <w:pPr>
              <w:spacing w:after="0"/>
              <w:rPr>
                <w:rFonts w:ascii="Arial" w:cs="Arial" w:eastAsia="Arial" w:hAnsi="Arial"/>
                <w:sz w:val="18"/>
                <w:szCs w:val="18"/>
                <w:color w:val="0000EE"/>
                <w:w w:val="97"/>
              </w:rPr>
            </w:pPr>
            <w:hyperlink r:id="rId118">
              <w:r>
                <w:rPr>
                  <w:rFonts w:ascii="Arial" w:cs="Arial" w:eastAsia="Arial" w:hAnsi="Arial"/>
                  <w:sz w:val="18"/>
                  <w:szCs w:val="18"/>
                  <w:color w:val="0000EE"/>
                  <w:w w:val="97"/>
                </w:rPr>
                <w:t>2016 Omnibus Incentive Plan Form of Canada Option Grant Agreement (incorporated by reference to Exhibit 4.9 to the Registration</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Statement on Form S-8 filed with the SEC on May 18, 2017)</w:t>
              </w:r>
            </w:hyperlink>
          </w:p>
        </w:tc>
        <w:tc>
          <w:tcPr>
            <w:tcW w:w="578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w:t>
            </w:r>
          </w:p>
        </w:tc>
        <w:tc>
          <w:tcPr>
            <w:tcW w:w="10200" w:type="dxa"/>
            <w:vAlign w:val="bottom"/>
            <w:gridSpan w:val="22"/>
          </w:tcPr>
          <w:p>
            <w:pPr>
              <w:spacing w:after="0"/>
              <w:rPr>
                <w:rFonts w:ascii="Arial" w:cs="Arial" w:eastAsia="Arial" w:hAnsi="Arial"/>
                <w:sz w:val="18"/>
                <w:szCs w:val="18"/>
                <w:color w:val="0000EE"/>
                <w:w w:val="99"/>
              </w:rPr>
            </w:pPr>
            <w:hyperlink r:id="rId119">
              <w:r>
                <w:rPr>
                  <w:rFonts w:ascii="Arial" w:cs="Arial" w:eastAsia="Arial" w:hAnsi="Arial"/>
                  <w:sz w:val="18"/>
                  <w:szCs w:val="18"/>
                  <w:color w:val="0000EE"/>
                  <w:w w:val="99"/>
                </w:rPr>
                <w:t>2018 Omnibus Incentive Plan, as amended (incorporated by reference to Exhibit 10.2 to the Form 10-Q filed November 8, 2018)</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10.9.1†</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2018 Omnibus Incentive Plan Form of Option Grant Agreement (incorporated by reference to Exhibit 10.3 to the Form 10-Q filed November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20">
              <w:r>
                <w:rPr>
                  <w:rFonts w:ascii="Arial" w:cs="Arial" w:eastAsia="Arial" w:hAnsi="Arial"/>
                  <w:sz w:val="18"/>
                  <w:szCs w:val="18"/>
                  <w:color w:val="0000EE"/>
                  <w:w w:val="87"/>
                </w:rPr>
                <w:t>8, 2018)</w:t>
              </w:r>
            </w:hyperlink>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10.9.2†</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2018 Omnibus Incentive Plan Form of Restricted Stock Unit Grant Agreement (incorporated by reference to Exhibit 10.4 to the Form 10-Q</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filed November 8, 2018)</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10.9.3†</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4"/>
              </w:rPr>
            </w:pPr>
            <w:hyperlink r:id="rId122">
              <w:r>
                <w:rPr>
                  <w:rFonts w:ascii="Arial" w:cs="Arial" w:eastAsia="Arial" w:hAnsi="Arial"/>
                  <w:sz w:val="18"/>
                  <w:szCs w:val="18"/>
                  <w:color w:val="0000EE"/>
                  <w:w w:val="94"/>
                </w:rPr>
                <w:t>2018 Omnibus Incentive Plan Form of Option Grant Agreement – 2020 Retention Grant (incorporated by reference to Exhibit 10.1 to the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22">
              <w:r>
                <w:rPr>
                  <w:rFonts w:ascii="Arial" w:cs="Arial" w:eastAsia="Arial" w:hAnsi="Arial"/>
                  <w:sz w:val="18"/>
                  <w:szCs w:val="18"/>
                  <w:color w:val="0000EE"/>
                  <w:w w:val="92"/>
                </w:rPr>
                <w:t>Form 8-K filed on October 7, 2020)</w:t>
              </w:r>
            </w:hyperlink>
          </w:p>
        </w:tc>
        <w:tc>
          <w:tcPr>
            <w:tcW w:w="76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10.9.4†</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2018 Omnibus Incentive Plan Form of Stock Grant Notice and Award Agreement (incorporated by reference to Exhibit 10.1 to the Form 8-K</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r:id="rId123">
              <w:r>
                <w:rPr>
                  <w:rFonts w:ascii="Arial" w:cs="Arial" w:eastAsia="Arial" w:hAnsi="Arial"/>
                  <w:sz w:val="18"/>
                  <w:szCs w:val="18"/>
                  <w:color w:val="0000EE"/>
                  <w:w w:val="95"/>
                </w:rPr>
                <w:t>filed on April 7, 2021)</w:t>
              </w:r>
            </w:hyperlink>
          </w:p>
        </w:tc>
        <w:tc>
          <w:tcPr>
            <w:tcW w:w="856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10.9.5†</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3"/>
              </w:rPr>
            </w:pPr>
            <w:hyperlink r:id="rId124">
              <w:r>
                <w:rPr>
                  <w:rFonts w:ascii="Arial" w:cs="Arial" w:eastAsia="Arial" w:hAnsi="Arial"/>
                  <w:sz w:val="18"/>
                  <w:szCs w:val="18"/>
                  <w:color w:val="0000EE"/>
                  <w:w w:val="93"/>
                </w:rPr>
                <w:t>Amendment to the Helius Medical Technologies, Inc. 2018 Omnibus Incentive Plan (incorporated by reference to Exhibit 10.1 to the Form</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8-K filed on May 27, 2021)</w:t>
              </w:r>
            </w:hyperlink>
          </w:p>
        </w:tc>
        <w:tc>
          <w:tcPr>
            <w:tcW w:w="82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10.9.6†</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2018 Omnibus Incentive Plan Form of Option Grant Agreement – Initial Grants to Dane C. Andreeff and Jeffrey S. Mathiesen (incorporated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by reference to Exhibit 10.3 to the Form 8-K filed on June 15, 2021)</w:t>
              </w:r>
            </w:hyperlink>
          </w:p>
        </w:tc>
        <w:tc>
          <w:tcPr>
            <w:tcW w:w="52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10.10†</w:t>
            </w:r>
          </w:p>
        </w:tc>
        <w:tc>
          <w:tcPr>
            <w:tcW w:w="8720" w:type="dxa"/>
            <w:vAlign w:val="bottom"/>
            <w:tcBorders>
              <w:bottom w:val="single" w:sz="8" w:color="0000EE"/>
            </w:tcBorders>
            <w:gridSpan w:val="17"/>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Form of Indemnification Agreement (incorporated by reference to Exhibit 10.24 to the Form 10-K filed March 10, 2021)</w:t>
              </w:r>
            </w:hyperlink>
          </w:p>
        </w:tc>
        <w:tc>
          <w:tcPr>
            <w:tcW w:w="1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9400" w:type="dxa"/>
            <w:vAlign w:val="bottom"/>
            <w:tcBorders>
              <w:bottom w:val="single" w:sz="8" w:color="0000EE"/>
            </w:tcBorders>
            <w:gridSpan w:val="19"/>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Non-employee Director Compensation Policy (incorporated by reference to Exhibit 10.7 to the Form 10-Q filed on May 17, 2021)</w:t>
              </w:r>
            </w:hyperlink>
          </w:p>
        </w:tc>
        <w:tc>
          <w:tcPr>
            <w:tcW w:w="8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10.12†</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Employment Agreement between Helius Medical Technologies, Inc. and Dane C. Andreeff, dated June 14, 2021 (incorporated by reference</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to Exhibit 10.1 to the Form 8-K filed on June 15, 2021)</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10.13†</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6"/>
              </w:rPr>
            </w:pPr>
            <w:hyperlink r:id="rId129">
              <w:r>
                <w:rPr>
                  <w:rFonts w:ascii="Arial" w:cs="Arial" w:eastAsia="Arial" w:hAnsi="Arial"/>
                  <w:sz w:val="18"/>
                  <w:szCs w:val="18"/>
                  <w:color w:val="0000EE"/>
                  <w:w w:val="96"/>
                </w:rPr>
                <w:t>Employment Agreement between Helius Medical Technologies, Inc. and Jeffrey S. Mathiesen, dated June 14, 2021 (incorporated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7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reference to Exhibit 10.2 to the Form 8-K filed on June 15, 2021)</w:t>
              </w:r>
            </w:hyperlink>
          </w:p>
        </w:tc>
        <w:tc>
          <w:tcPr>
            <w:tcW w:w="54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10.14†</w:t>
            </w:r>
          </w:p>
        </w:tc>
        <w:tc>
          <w:tcPr>
            <w:tcW w:w="10200" w:type="dxa"/>
            <w:vAlign w:val="bottom"/>
            <w:gridSpan w:val="22"/>
          </w:tcPr>
          <w:p>
            <w:pPr>
              <w:spacing w:after="0"/>
              <w:rPr>
                <w:rFonts w:ascii="Arial" w:cs="Arial" w:eastAsia="Arial" w:hAnsi="Arial"/>
                <w:sz w:val="18"/>
                <w:szCs w:val="18"/>
                <w:color w:val="0000EE"/>
                <w:w w:val="96"/>
              </w:rPr>
            </w:pPr>
            <w:hyperlink r:id="rId130">
              <w:r>
                <w:rPr>
                  <w:rFonts w:ascii="Arial" w:cs="Arial" w:eastAsia="Arial" w:hAnsi="Arial"/>
                  <w:sz w:val="18"/>
                  <w:szCs w:val="18"/>
                  <w:color w:val="0000EE"/>
                  <w:w w:val="96"/>
                </w:rPr>
                <w:t>Helius Medical Technologies, Inc. 2021 Inducement Plan (incorporated by reference to Exhibit 4.6 to the Form S-8 filed July 7, 2021)</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5120" w:type="dxa"/>
            <w:vAlign w:val="bottom"/>
            <w:gridSpan w:val="1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10.14.1†</w:t>
            </w:r>
          </w:p>
        </w:tc>
        <w:tc>
          <w:tcPr>
            <w:tcW w:w="10200" w:type="dxa"/>
            <w:vAlign w:val="bottom"/>
            <w:tcBorders>
              <w:bottom w:val="single" w:sz="8" w:color="0000EE"/>
            </w:tcBorders>
            <w:gridSpan w:val="22"/>
          </w:tcPr>
          <w:p>
            <w:pPr>
              <w:spacing w:after="0"/>
              <w:rPr>
                <w:rFonts w:ascii="Arial" w:cs="Arial" w:eastAsia="Arial" w:hAnsi="Arial"/>
                <w:sz w:val="18"/>
                <w:szCs w:val="18"/>
                <w:color w:val="0000EE"/>
              </w:rPr>
            </w:pPr>
            <w:hyperlink r:id="rId131">
              <w:r>
                <w:rPr>
                  <w:rFonts w:ascii="Arial" w:cs="Arial" w:eastAsia="Arial" w:hAnsi="Arial"/>
                  <w:sz w:val="18"/>
                  <w:szCs w:val="18"/>
                  <w:color w:val="0000EE"/>
                </w:rPr>
                <w:t>Form of Stock Option Grant Notice, Option Agreement and Notice of Exercise under the Helius Medical Technologies, Inc. 2021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Inducement Plan (incorporated by reference to Exhibit 4.5 to the Form S-8 filed July 7, 2021)</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5120" w:type="dxa"/>
            <w:vAlign w:val="bottom"/>
            <w:gridSpan w:val="1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10.15†</w:t>
            </w:r>
          </w:p>
        </w:tc>
        <w:tc>
          <w:tcPr>
            <w:tcW w:w="10200" w:type="dxa"/>
            <w:vAlign w:val="bottom"/>
            <w:tcBorders>
              <w:bottom w:val="single" w:sz="8" w:color="0000EE"/>
            </w:tcBorders>
            <w:gridSpan w:val="22"/>
          </w:tcPr>
          <w:p>
            <w:pPr>
              <w:spacing w:after="0"/>
              <w:rPr>
                <w:rFonts w:ascii="Arial" w:cs="Arial" w:eastAsia="Arial" w:hAnsi="Arial"/>
                <w:sz w:val="18"/>
                <w:szCs w:val="18"/>
                <w:color w:val="0000EE"/>
                <w:w w:val="91"/>
              </w:rPr>
            </w:pPr>
            <w:hyperlink r:id="rId132">
              <w:r>
                <w:rPr>
                  <w:rFonts w:ascii="Arial" w:cs="Arial" w:eastAsia="Arial" w:hAnsi="Arial"/>
                  <w:sz w:val="18"/>
                  <w:szCs w:val="18"/>
                  <w:color w:val="0000EE"/>
                  <w:w w:val="91"/>
                </w:rPr>
                <w:t>Separation and Release Agreement between Helius Medical Technologies, Inc. and Joyce LaViscount, dated August 17, 2021 (incorporated</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32">
              <w:r>
                <w:rPr>
                  <w:rFonts w:ascii="Arial" w:cs="Arial" w:eastAsia="Arial" w:hAnsi="Arial"/>
                  <w:sz w:val="18"/>
                  <w:szCs w:val="18"/>
                  <w:color w:val="0000EE"/>
                </w:rPr>
                <w:t>by reference to Exhibit 10.1 to the Form 8-K filed on August 19,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20" w:type="dxa"/>
            <w:vAlign w:val="bottom"/>
            <w:gridSpan w:val="13"/>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120" w:type="dxa"/>
            <w:vAlign w:val="bottom"/>
          </w:tcPr>
          <w:p>
            <w:pPr>
              <w:spacing w:after="0"/>
              <w:rPr>
                <w:sz w:val="24"/>
                <w:szCs w:val="24"/>
                <w:color w:val="auto"/>
              </w:rPr>
            </w:pPr>
          </w:p>
        </w:tc>
        <w:tc>
          <w:tcPr>
            <w:tcW w:w="10200" w:type="dxa"/>
            <w:vAlign w:val="bottom"/>
            <w:tcBorders>
              <w:bottom w:val="single" w:sz="8" w:color="0000EE"/>
            </w:tcBorders>
            <w:gridSpan w:val="22"/>
          </w:tcPr>
          <w:p>
            <w:pPr>
              <w:spacing w:after="0"/>
              <w:rPr>
                <w:rFonts w:ascii="Arial" w:cs="Arial" w:eastAsia="Arial" w:hAnsi="Arial"/>
                <w:sz w:val="18"/>
                <w:szCs w:val="18"/>
                <w:color w:val="0000EE"/>
              </w:rPr>
            </w:pPr>
            <w:hyperlink r:id="rId133">
              <w:r>
                <w:rPr>
                  <w:rFonts w:ascii="Arial" w:cs="Arial" w:eastAsia="Arial" w:hAnsi="Arial"/>
                  <w:sz w:val="18"/>
                  <w:szCs w:val="18"/>
                  <w:color w:val="0000EE"/>
                </w:rPr>
                <w:t>Purchase Agreement between Helius Medical Technologies, Inc. and Lincoln Park Capital Fund, LLC dated September 1, 2021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2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(incorporated by reference to Exhibit 10.1 to the Form 8-K filed on September 2, 2021)</w:t>
              </w:r>
            </w:hyperlink>
          </w:p>
        </w:tc>
        <w:tc>
          <w:tcPr>
            <w:tcW w:w="38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4"/>
                <w:szCs w:val="24"/>
                <w:color w:val="auto"/>
              </w:rPr>
            </w:pPr>
          </w:p>
        </w:tc>
        <w:tc>
          <w:tcPr>
            <w:tcW w:w="10200" w:type="dxa"/>
            <w:vAlign w:val="bottom"/>
            <w:tcBorders>
              <w:bottom w:val="single" w:sz="8" w:color="0000EE"/>
            </w:tcBorders>
            <w:gridSpan w:val="22"/>
          </w:tcPr>
          <w:p>
            <w:pPr>
              <w:spacing w:after="0"/>
              <w:rPr>
                <w:rFonts w:ascii="Arial" w:cs="Arial" w:eastAsia="Arial" w:hAnsi="Arial"/>
                <w:sz w:val="18"/>
                <w:szCs w:val="18"/>
                <w:color w:val="0000EE"/>
                <w:w w:val="93"/>
              </w:rPr>
            </w:pPr>
            <w:hyperlink r:id="rId134">
              <w:r>
                <w:rPr>
                  <w:rFonts w:ascii="Arial" w:cs="Arial" w:eastAsia="Arial" w:hAnsi="Arial"/>
                  <w:sz w:val="18"/>
                  <w:szCs w:val="18"/>
                  <w:color w:val="0000EE"/>
                  <w:w w:val="93"/>
                </w:rPr>
                <w:t>Registration Rights Agreement between Helius Medical Technologies, Inc. and Lincoln Park Capital Fund, LLC, dated September 1, 2021</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2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(incorporated by reference to Exhibit 10.2 to the Form 8-K filed on September 2, 2021)</w:t>
              </w:r>
            </w:hyperlink>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5120" w:type="dxa"/>
            <w:vAlign w:val="bottom"/>
            <w:gridSpan w:val="1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8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10.18†</w:t>
            </w:r>
          </w:p>
        </w:tc>
        <w:tc>
          <w:tcPr>
            <w:tcW w:w="10200" w:type="dxa"/>
            <w:vAlign w:val="bottom"/>
            <w:gridSpan w:val="22"/>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Employment Agreement between Helius Medical Technologies, Inc. and Antonella Favit-Van Pelt, dated July 7, 2021 (incorporated by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reference to Exhibit 10.31 to the Form S-1 filed on September 3,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20" w:type="dxa"/>
            <w:vAlign w:val="bottom"/>
            <w:tcBorders>
              <w:top w:val="single" w:sz="8" w:color="0000EE"/>
            </w:tcBorders>
            <w:gridSpan w:val="11"/>
          </w:tcPr>
          <w:p>
            <w:pPr>
              <w:ind w:left="4500"/>
              <w:spacing w:after="0"/>
              <w:rPr>
                <w:sz w:val="20"/>
                <w:szCs w:val="20"/>
                <w:color w:val="auto"/>
              </w:rPr>
            </w:pPr>
            <w:r>
              <w:rPr>
                <w:rFonts w:ascii="Arial" w:cs="Arial" w:eastAsia="Arial" w:hAnsi="Arial"/>
                <w:sz w:val="18"/>
                <w:szCs w:val="18"/>
                <w:color w:val="auto"/>
                <w:w w:val="99"/>
              </w:rPr>
              <w:t>70</w:t>
            </w:r>
          </w:p>
        </w:tc>
        <w:tc>
          <w:tcPr>
            <w:tcW w:w="2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1020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040" w:type="dxa"/>
            <w:vAlign w:val="bottom"/>
            <w:gridSpan w:val="2"/>
          </w:tcPr>
          <w:p>
            <w:pPr>
              <w:spacing w:after="0"/>
              <w:rPr>
                <w:sz w:val="20"/>
                <w:szCs w:val="20"/>
                <w:color w:val="auto"/>
              </w:rPr>
            </w:pPr>
            <w:r>
              <w:rPr>
                <w:rFonts w:ascii="Arial" w:cs="Arial" w:eastAsia="Arial" w:hAnsi="Arial"/>
                <w:sz w:val="18"/>
                <w:szCs w:val="18"/>
                <w:color w:val="auto"/>
              </w:rPr>
              <w:t>10.19†</w:t>
            </w:r>
          </w:p>
        </w:tc>
        <w:tc>
          <w:tcPr>
            <w:tcW w:w="10200" w:type="dxa"/>
            <w:vAlign w:val="bottom"/>
            <w:tcBorders>
              <w:bottom w:val="single" w:sz="8" w:color="0000EE"/>
            </w:tcBorders>
            <w:gridSpan w:val="7"/>
          </w:tcPr>
          <w:p>
            <w:pPr>
              <w:spacing w:after="0"/>
              <w:rPr>
                <w:rFonts w:ascii="Arial" w:cs="Arial" w:eastAsia="Arial" w:hAnsi="Arial"/>
                <w:sz w:val="18"/>
                <w:szCs w:val="18"/>
                <w:color w:val="0000EE"/>
                <w:w w:val="93"/>
              </w:rPr>
            </w:pPr>
            <w:hyperlink r:id="rId138">
              <w:r>
                <w:rPr>
                  <w:rFonts w:ascii="Arial" w:cs="Arial" w:eastAsia="Arial" w:hAnsi="Arial"/>
                  <w:sz w:val="18"/>
                  <w:szCs w:val="18"/>
                  <w:color w:val="0000EE"/>
                  <w:w w:val="93"/>
                </w:rPr>
                <w:t>Helius Medical Technologies, Inc. 2022 Equity Incentive Plan (incorporated by reference to Exhibit 10.1 to the Form 8-K filed on February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18, 2022)</w:t>
              </w:r>
            </w:hyperlink>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40" w:type="dxa"/>
            <w:vAlign w:val="bottom"/>
            <w:gridSpan w:val="2"/>
          </w:tcPr>
          <w:p>
            <w:pPr>
              <w:spacing w:after="0"/>
              <w:rPr>
                <w:sz w:val="20"/>
                <w:szCs w:val="20"/>
                <w:color w:val="auto"/>
              </w:rPr>
            </w:pPr>
            <w:r>
              <w:rPr>
                <w:rFonts w:ascii="Arial" w:cs="Arial" w:eastAsia="Arial" w:hAnsi="Arial"/>
                <w:sz w:val="18"/>
                <w:szCs w:val="18"/>
                <w:color w:val="auto"/>
              </w:rPr>
              <w:t>10.19.1†</w:t>
            </w:r>
          </w:p>
        </w:tc>
        <w:tc>
          <w:tcPr>
            <w:tcW w:w="10200" w:type="dxa"/>
            <w:vAlign w:val="bottom"/>
            <w:tcBorders>
              <w:bottom w:val="single" w:sz="8" w:color="0000EE"/>
            </w:tcBorders>
            <w:gridSpan w:val="7"/>
          </w:tcPr>
          <w:p>
            <w:pPr>
              <w:spacing w:after="0"/>
              <w:rPr>
                <w:rFonts w:ascii="Arial" w:cs="Arial" w:eastAsia="Arial" w:hAnsi="Arial"/>
                <w:sz w:val="18"/>
                <w:szCs w:val="18"/>
                <w:color w:val="0000EE"/>
                <w:w w:val="93"/>
              </w:rPr>
            </w:pPr>
            <w:hyperlink r:id="rId139">
              <w:r>
                <w:rPr>
                  <w:rFonts w:ascii="Arial" w:cs="Arial" w:eastAsia="Arial" w:hAnsi="Arial"/>
                  <w:sz w:val="18"/>
                  <w:szCs w:val="18"/>
                  <w:color w:val="0000EE"/>
                  <w:w w:val="93"/>
                </w:rPr>
                <w:t>Helius Medical Technologies, Inc. 2022 Equity Incentive Plan Form of Stock Option Agreement (incorporated by reference to Exhibit 10.3</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to the Form 8-K filed on February 18,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4"/>
                <w:szCs w:val="24"/>
                <w:color w:val="auto"/>
              </w:rPr>
            </w:pPr>
          </w:p>
        </w:tc>
        <w:tc>
          <w:tcPr>
            <w:tcW w:w="36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Subsidiaries of Helius Medical Technologies, Inc.</w:t>
            </w:r>
          </w:p>
        </w:tc>
        <w:tc>
          <w:tcPr>
            <w:tcW w:w="6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204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3"/>
              </w:rPr>
              <w:t>Consent of BDO USA, LLP</w:t>
            </w:r>
          </w:p>
        </w:tc>
        <w:tc>
          <w:tcPr>
            <w:tcW w:w="8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0"/>
              </w:rPr>
              <w:t>Certification of Chief Executive Officer pursuant to Rule 13a-14(a) and Rule 15d-14(a) as adopted pursuant to Section 302 of the Sarbanes –</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Oxley Act of 2002</w:t>
            </w:r>
          </w:p>
        </w:tc>
        <w:tc>
          <w:tcPr>
            <w:tcW w:w="8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02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Certification of Chief Financial Officer pursuant to Rule 13a-14(a) and Rule 15d-14(a) as adopted pursuant to Section 302 of the Sarbanes –</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4"/>
              </w:rPr>
              <w:t>Oxley Act of 2002</w:t>
            </w:r>
          </w:p>
        </w:tc>
        <w:tc>
          <w:tcPr>
            <w:tcW w:w="8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20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2"/>
              </w:rPr>
              <w:t>Certification of Chief Executive Officer and Chief Financial Officer pursuant to 18 U.S.C. Section 1350, as adopted pursuant to Section 906</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Arial" w:cs="Arial" w:eastAsia="Arial" w:hAnsi="Arial"/>
                <w:sz w:val="18"/>
                <w:szCs w:val="18"/>
                <w:color w:val="0000EE"/>
              </w:rPr>
              <w:t>of the Sarbanes – Oxley Act of 2002</w:t>
            </w:r>
          </w:p>
        </w:tc>
        <w:tc>
          <w:tcPr>
            <w:tcW w:w="0" w:type="dxa"/>
            <w:vAlign w:val="bottom"/>
          </w:tcPr>
          <w:p>
            <w:pPr>
              <w:spacing w:after="0"/>
              <w:rPr>
                <w:sz w:val="1"/>
                <w:szCs w:val="1"/>
                <w:color w:val="auto"/>
              </w:rPr>
            </w:pPr>
          </w:p>
        </w:tc>
      </w:tr>
      <w:tr>
        <w:trPr>
          <w:trHeight w:val="358"/>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2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75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2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ind w:left="500" w:hanging="492"/>
        <w:spacing w:after="0" w:line="260"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Confidential information has been omitted and filed separately with the Securities and Exchange Commission. Confidential treatment has been granted with respect to this omitted information.</w:t>
      </w:r>
    </w:p>
    <w:p>
      <w:pPr>
        <w:spacing w:after="0" w:line="33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580" w:type="dxa"/>
            <w:vAlign w:val="bottom"/>
            <w:gridSpan w:val="5"/>
          </w:tcPr>
          <w:p>
            <w:pPr>
              <w:spacing w:after="0"/>
              <w:rPr>
                <w:sz w:val="20"/>
                <w:szCs w:val="20"/>
                <w:color w:val="auto"/>
              </w:rPr>
            </w:pPr>
            <w:r>
              <w:rPr>
                <w:rFonts w:ascii="Arial" w:cs="Arial" w:eastAsia="Arial" w:hAnsi="Arial"/>
                <w:sz w:val="18"/>
                <w:szCs w:val="18"/>
                <w:b w:val="1"/>
                <w:bCs w:val="1"/>
                <w:color w:val="auto"/>
              </w:rPr>
              <w:t>INDEX TO FINANCIAL STATEMENTS</w:t>
            </w:r>
          </w:p>
        </w:tc>
        <w:tc>
          <w:tcPr>
            <w:tcW w:w="640" w:type="dxa"/>
            <w:vAlign w:val="bottom"/>
          </w:tcPr>
          <w:p>
            <w:pPr>
              <w:spacing w:after="0"/>
              <w:rPr>
                <w:sz w:val="20"/>
                <w:szCs w:val="20"/>
                <w:color w:val="auto"/>
              </w:rPr>
            </w:pPr>
          </w:p>
        </w:tc>
      </w:tr>
      <w:tr>
        <w:trPr>
          <w:trHeight w:val="391"/>
        </w:trPr>
        <w:tc>
          <w:tcPr>
            <w:tcW w:w="102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6"/>
              </w:rPr>
              <w:t>REPORT OF INDEPENDENT REGISTERED PUBLIC ACCOUNTING FIRM (BDO USA, LLP; PHILADELPHIA, PA; PCAOB ID #243)</w:t>
            </w:r>
          </w:p>
        </w:tc>
        <w:tc>
          <w:tcPr>
            <w:tcW w:w="400" w:type="dxa"/>
            <w:vAlign w:val="bottom"/>
          </w:tcPr>
          <w:p>
            <w:pPr>
              <w:spacing w:after="0"/>
              <w:rPr>
                <w:sz w:val="24"/>
                <w:szCs w:val="24"/>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81"/>
              </w:rPr>
              <w:t>F-1</w:t>
            </w:r>
          </w:p>
        </w:tc>
      </w:tr>
      <w:tr>
        <w:trPr>
          <w:trHeight w:val="196"/>
        </w:trPr>
        <w:tc>
          <w:tcPr>
            <w:tcW w:w="2980" w:type="dxa"/>
            <w:vAlign w:val="bottom"/>
            <w:tcBorders>
              <w:bottom w:val="single" w:sz="8" w:color="0000EE"/>
            </w:tcBorders>
          </w:tcPr>
          <w:p>
            <w:pPr>
              <w:spacing w:after="0" w:line="196"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CONSOLIDATED BALANCE SHEETS</w:t>
              </w:r>
            </w:hyperlink>
          </w:p>
        </w:tc>
        <w:tc>
          <w:tcPr>
            <w:tcW w:w="7620" w:type="dxa"/>
            <w:vAlign w:val="bottom"/>
            <w:gridSpan w:val="6"/>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646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77">
              <w:r>
                <w:rPr>
                  <w:rFonts w:ascii="Arial" w:cs="Arial" w:eastAsia="Arial" w:hAnsi="Arial"/>
                  <w:sz w:val="18"/>
                  <w:szCs w:val="18"/>
                  <w:color w:val="0000EE"/>
                  <w:w w:val="94"/>
                </w:rPr>
                <w:t>CONSOLIDATED STATEMENTS OF OPERATIONS AND COMPREHENSIVE LOSS</w:t>
              </w:r>
            </w:hyperlink>
          </w:p>
        </w:tc>
        <w:tc>
          <w:tcPr>
            <w:tcW w:w="4140" w:type="dxa"/>
            <w:vAlign w:val="bottom"/>
            <w:gridSpan w:val="2"/>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10600" w:type="dxa"/>
            <w:vAlign w:val="bottom"/>
            <w:gridSpan w:val="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STOCKHOLDERS’ EQUITY</w:t>
              </w:r>
            </w:hyperlink>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40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CONSOLIDATED STATEMENTS OF CASH FLOWS</w:t>
              </w:r>
            </w:hyperlink>
          </w:p>
        </w:tc>
        <w:tc>
          <w:tcPr>
            <w:tcW w:w="1040" w:type="dxa"/>
            <w:vAlign w:val="bottom"/>
            <w:tcBorders>
              <w:top w:val="single" w:sz="8" w:color="0000EE"/>
            </w:tcBorders>
            <w:gridSpan w:val="2"/>
          </w:tcPr>
          <w:p>
            <w:pPr>
              <w:spacing w:after="0"/>
              <w:rPr>
                <w:sz w:val="17"/>
                <w:szCs w:val="17"/>
                <w:color w:val="auto"/>
              </w:rPr>
            </w:pPr>
          </w:p>
        </w:tc>
        <w:tc>
          <w:tcPr>
            <w:tcW w:w="5540" w:type="dxa"/>
            <w:vAlign w:val="bottom"/>
            <w:gridSpan w:val="3"/>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48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NOTES TO THE CONSOLIDATED FINANCIAL STATEMENTS</w:t>
              </w:r>
            </w:hyperlink>
          </w:p>
        </w:tc>
        <w:tc>
          <w:tcPr>
            <w:tcW w:w="5720" w:type="dxa"/>
            <w:vAlign w:val="bottom"/>
            <w:gridSpan w:val="4"/>
          </w:tcPr>
          <w:p>
            <w:pPr>
              <w:spacing w:after="0"/>
              <w:rPr>
                <w:sz w:val="17"/>
                <w:szCs w:val="17"/>
                <w:color w:val="auto"/>
              </w:rPr>
            </w:pPr>
          </w:p>
        </w:tc>
        <w:tc>
          <w:tcPr>
            <w:tcW w:w="640" w:type="dxa"/>
            <w:vAlign w:val="bottom"/>
          </w:tcPr>
          <w:p>
            <w:pPr>
              <w:ind w:left="400"/>
              <w:spacing w:after="0" w:line="196" w:lineRule="exact"/>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consolidated balance sheets of Helius Medical Technologies, Inc. (the “Company”) as of December 31, 2021 and 2020, the related consolidated statements of operations and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the years then ended</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7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substantial net losses since its inception, has an accumulated deficit of $137.0 million as of December 31, 2021 and the Company expects to incur further net losses in the development of its business. These conditions raise substantial doubt about its ability to continue as a going concern. Management’s plans concerning these matters are also described in Note 1. The consolidated financial statements do not include any adjustments that might result from the outcome of this uncertainty.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Warrants Issued as part of Equity Offering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4" w:name="page75"/>
    <w:bookmarkEnd w:id="74"/>
    <w:p>
      <w:pPr>
        <w:jc w:val="both"/>
        <w:spacing w:after="0" w:line="263" w:lineRule="auto"/>
        <w:rPr>
          <w:sz w:val="20"/>
          <w:szCs w:val="20"/>
          <w:color w:val="auto"/>
        </w:rPr>
      </w:pPr>
      <w:r>
        <w:rPr>
          <w:rFonts w:ascii="Arial" w:cs="Arial" w:eastAsia="Arial" w:hAnsi="Arial"/>
          <w:sz w:val="18"/>
          <w:szCs w:val="18"/>
          <w:color w:val="auto"/>
        </w:rPr>
        <w:t>As described in Note 3 to the consolidated financial statements, the Company closed on a public offering in February 2021 that included the issuance of common stock and warrants to purchase common stock. The warrants were evaluated for proper classification on the balance sheet and it was determined that the warrants issued in this equity offering should be classified within stockholders’ equity.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identified the accounting for warrants issued as part of this equity offering as a critical audit matter. Our principal considerations included the existence of subjective judgments related to certain provisions of the warrant agreement in connection with the determination of the classification of the warrants, including provisions related to market volatility, charges of transfer taxes and fees and partial cash settlement under certain circumstances. Auditing these elements required especially challenging auditor judgment and significant audit effort, including the need for specialized knowledge and skill in assessing these elements of the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225" w:lineRule="exact"/>
        <w:rPr>
          <w:sz w:val="20"/>
          <w:szCs w:val="20"/>
          <w:color w:val="auto"/>
        </w:rPr>
      </w:pPr>
    </w:p>
    <w:p>
      <w:pPr>
        <w:ind w:left="740" w:hanging="368"/>
        <w:spacing w:after="0" w:line="277" w:lineRule="auto"/>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Reading the agreement related to the warrants issued along with management’s technical accounting memo to understand the facts and circumstances within the warrant agreement.</w:t>
      </w:r>
    </w:p>
    <w:p>
      <w:pPr>
        <w:spacing w:after="0" w:line="170" w:lineRule="exact"/>
        <w:rPr>
          <w:rFonts w:ascii="Arial" w:cs="Arial" w:eastAsia="Arial" w:hAnsi="Arial"/>
          <w:sz w:val="18"/>
          <w:szCs w:val="18"/>
          <w:color w:val="auto"/>
        </w:rPr>
      </w:pPr>
    </w:p>
    <w:p>
      <w:pPr>
        <w:jc w:val="both"/>
        <w:ind w:left="740" w:hanging="368"/>
        <w:spacing w:after="0" w:line="286" w:lineRule="auto"/>
        <w:tabs>
          <w:tab w:leader="none" w:pos="7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Utilizing personnel with specialized knowledge and skill in debt and equity accounting to evaluate the appropriateness of management’s interpretation on how to apply relevant accounting guidance for the classification of the warrants issued, including evaluating the terms associated with market volatility, charges of transfer taxes and fees and partial cash settlement under certain circumstances.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9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ind w:left="52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11,005</w:t>
            </w:r>
          </w:p>
        </w:tc>
        <w:tc>
          <w:tcPr>
            <w:tcW w:w="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14,102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9"/>
                <w:szCs w:val="19"/>
                <w:color w:val="auto"/>
              </w:rPr>
            </w:pPr>
          </w:p>
        </w:tc>
        <w:tc>
          <w:tcPr>
            <w:tcW w:w="64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32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7)</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Preferred stock, $0.001 par value; 10,000,000 shares authorized, no shares issued and outstanding as of</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2021 and December 31, 2020</w:t>
            </w:r>
          </w:p>
        </w:tc>
        <w:tc>
          <w:tcPr>
            <w:tcW w:w="32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900" w:type="dxa"/>
            <w:vAlign w:val="bottom"/>
          </w:tcPr>
          <w:p>
            <w:pPr>
              <w:ind w:left="260"/>
              <w:spacing w:after="0"/>
              <w:rPr>
                <w:sz w:val="20"/>
                <w:szCs w:val="20"/>
                <w:color w:val="auto"/>
              </w:rPr>
            </w:pPr>
            <w:r>
              <w:rPr>
                <w:rFonts w:ascii="Arial" w:cs="Arial" w:eastAsia="Arial" w:hAnsi="Arial"/>
                <w:sz w:val="18"/>
                <w:szCs w:val="18"/>
                <w:color w:val="auto"/>
                <w:w w:val="95"/>
              </w:rPr>
              <w:t>Class A Common stock, $0.001 par value; 150,000,000 shares authorized; 3,780,674 and 1,484,362</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260"/>
              <w:spacing w:after="0"/>
              <w:rPr>
                <w:sz w:val="20"/>
                <w:szCs w:val="20"/>
                <w:color w:val="auto"/>
              </w:rPr>
            </w:pPr>
            <w:r>
              <w:rPr>
                <w:rFonts w:ascii="Arial" w:cs="Arial" w:eastAsia="Arial" w:hAnsi="Arial"/>
                <w:sz w:val="18"/>
                <w:szCs w:val="18"/>
                <w:color w:val="auto"/>
              </w:rPr>
              <w:t>shares issued and outstanding as of December 31, 2021 and December 31, 2020, respectively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(137,035)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(118,903)</w:t>
            </w:r>
          </w:p>
        </w:tc>
        <w:tc>
          <w:tcPr>
            <w:tcW w:w="0" w:type="dxa"/>
            <w:vAlign w:val="bottom"/>
          </w:tcPr>
          <w:p>
            <w:pPr>
              <w:spacing w:after="0"/>
              <w:rPr>
                <w:sz w:val="1"/>
                <w:szCs w:val="1"/>
                <w:color w:val="auto"/>
              </w:rPr>
            </w:pPr>
          </w:p>
        </w:tc>
      </w:tr>
      <w:tr>
        <w:trPr>
          <w:trHeight w:val="230"/>
        </w:trPr>
        <w:tc>
          <w:tcPr>
            <w:tcW w:w="7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14,102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9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Product sales</w:t>
            </w:r>
          </w:p>
        </w:tc>
        <w:tc>
          <w:tcPr>
            <w:tcW w:w="210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493</w:t>
            </w:r>
          </w:p>
        </w:tc>
        <w:tc>
          <w:tcPr>
            <w:tcW w:w="180" w:type="dxa"/>
            <w:vAlign w:val="bottom"/>
          </w:tcPr>
          <w:p>
            <w:pPr>
              <w:spacing w:after="0"/>
              <w:rPr>
                <w:sz w:val="19"/>
                <w:szCs w:val="19"/>
                <w:color w:val="auto"/>
              </w:rPr>
            </w:pP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Fee 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License revenue</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operating revenue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product sales</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expense</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ind w:left="820"/>
              <w:spacing w:after="0"/>
              <w:rPr>
                <w:sz w:val="20"/>
                <w:szCs w:val="20"/>
                <w:color w:val="auto"/>
              </w:rPr>
            </w:pPr>
            <w:r>
              <w:rPr>
                <w:rFonts w:ascii="Arial" w:cs="Arial" w:eastAsia="Arial" w:hAnsi="Arial"/>
                <w:sz w:val="18"/>
                <w:szCs w:val="18"/>
                <w:b w:val="1"/>
                <w:bCs w:val="1"/>
                <w:color w:val="auto"/>
              </w:rPr>
              <w:t>Total operating expenses</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18,366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14,659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(18,142)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Foreign exchange gain</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w:t>
            </w:r>
          </w:p>
        </w:tc>
        <w:tc>
          <w:tcPr>
            <w:tcW w:w="17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w:t>
            </w:r>
          </w:p>
        </w:tc>
        <w:tc>
          <w:tcPr>
            <w:tcW w:w="17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(18,132)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loss:</w:t>
            </w:r>
          </w:p>
        </w:tc>
        <w:tc>
          <w:tcPr>
            <w:tcW w:w="17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59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7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(18,158)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(14,327)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w:t>
            </w: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10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(7.38)</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(11.80)</w:t>
            </w:r>
          </w:p>
        </w:tc>
        <w:tc>
          <w:tcPr>
            <w:tcW w:w="0" w:type="dxa"/>
            <w:vAlign w:val="bottom"/>
          </w:tcPr>
          <w:p>
            <w:pPr>
              <w:spacing w:after="0"/>
              <w:rPr>
                <w:sz w:val="1"/>
                <w:szCs w:val="1"/>
                <w:color w:val="auto"/>
              </w:rPr>
            </w:pPr>
          </w:p>
        </w:tc>
      </w:tr>
      <w:tr>
        <w:trPr>
          <w:trHeight w:val="20"/>
        </w:trPr>
        <w:tc>
          <w:tcPr>
            <w:tcW w:w="59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FF0FC"/>
            </w:tcBorders>
            <w:vMerge w:val="continue"/>
          </w:tcPr>
          <w:p>
            <w:pPr>
              <w:spacing w:after="0"/>
              <w:rPr>
                <w:sz w:val="21"/>
                <w:szCs w:val="21"/>
                <w:color w:val="auto"/>
              </w:rPr>
            </w:pPr>
          </w:p>
        </w:tc>
        <w:tc>
          <w:tcPr>
            <w:tcW w:w="17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7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7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2,456,782</w:t>
            </w:r>
          </w:p>
        </w:tc>
        <w:tc>
          <w:tcPr>
            <w:tcW w:w="180" w:type="dxa"/>
            <w:vAlign w:val="bottom"/>
            <w:tcBorders>
              <w:bottom w:val="single" w:sz="8" w:color="CFF0FC"/>
            </w:tcBorders>
          </w:tcPr>
          <w:p>
            <w:pPr>
              <w:spacing w:after="0"/>
              <w:rPr>
                <w:sz w:val="23"/>
                <w:szCs w:val="23"/>
                <w:color w:val="auto"/>
              </w:rPr>
            </w:pPr>
          </w:p>
        </w:tc>
        <w:tc>
          <w:tcPr>
            <w:tcW w:w="12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1,197,774</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9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7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2,456,782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1,197,774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gridSpan w:val="4"/>
          </w:tcPr>
          <w:p>
            <w:pPr>
              <w:jc w:val="center"/>
              <w:ind w:right="61"/>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190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95"/>
              </w:rPr>
              <w:t>Common Stock, $0.001 par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w w:val="94"/>
              </w:rPr>
              <w:t>Additional</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center"/>
              <w:ind w:right="221"/>
              <w:spacing w:after="0"/>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20" w:type="dxa"/>
            <w:vAlign w:val="bottom"/>
          </w:tcPr>
          <w:p>
            <w:pPr>
              <w:spacing w:after="0"/>
              <w:rPr>
                <w:sz w:val="11"/>
                <w:szCs w:val="11"/>
                <w:color w:val="auto"/>
              </w:rPr>
            </w:pPr>
          </w:p>
        </w:tc>
        <w:tc>
          <w:tcPr>
            <w:tcW w:w="190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614"/>
              <w:spacing w:after="0"/>
              <w:rPr>
                <w:sz w:val="20"/>
                <w:szCs w:val="20"/>
                <w:color w:val="auto"/>
              </w:rPr>
            </w:pPr>
            <w:r>
              <w:rPr>
                <w:rFonts w:ascii="Arial" w:cs="Arial" w:eastAsia="Arial" w:hAnsi="Arial"/>
                <w:sz w:val="13"/>
                <w:szCs w:val="13"/>
                <w:b w:val="1"/>
                <w:bCs w:val="1"/>
                <w:color w:val="auto"/>
                <w:w w:val="90"/>
              </w:rPr>
              <w:t>value</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Paid-In</w:t>
            </w:r>
          </w:p>
        </w:tc>
        <w:tc>
          <w:tcPr>
            <w:tcW w:w="40" w:type="dxa"/>
            <w:vAlign w:val="bottom"/>
          </w:tcPr>
          <w:p>
            <w:pPr>
              <w:spacing w:after="0"/>
              <w:rPr>
                <w:sz w:val="14"/>
                <w:szCs w:val="14"/>
                <w:color w:val="auto"/>
              </w:rPr>
            </w:pPr>
          </w:p>
        </w:tc>
        <w:tc>
          <w:tcPr>
            <w:tcW w:w="980" w:type="dxa"/>
            <w:vAlign w:val="bottom"/>
            <w:gridSpan w:val="3"/>
          </w:tcPr>
          <w:p>
            <w:pPr>
              <w:jc w:val="right"/>
              <w:ind w:right="121"/>
              <w:spacing w:after="0"/>
              <w:rPr>
                <w:sz w:val="20"/>
                <w:szCs w:val="20"/>
                <w:color w:val="auto"/>
              </w:rPr>
            </w:pPr>
            <w:r>
              <w:rPr>
                <w:rFonts w:ascii="Arial" w:cs="Arial" w:eastAsia="Arial" w:hAnsi="Arial"/>
                <w:sz w:val="13"/>
                <w:szCs w:val="13"/>
                <w:b w:val="1"/>
                <w:bCs w:val="1"/>
                <w:color w:val="auto"/>
                <w:w w:val="93"/>
              </w:rPr>
              <w:t>Accumulated</w:t>
            </w:r>
          </w:p>
        </w:tc>
        <w:tc>
          <w:tcPr>
            <w:tcW w:w="6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3"/>
                <w:szCs w:val="13"/>
                <w:color w:val="auto"/>
              </w:rPr>
            </w:pPr>
          </w:p>
        </w:tc>
        <w:tc>
          <w:tcPr>
            <w:tcW w:w="980" w:type="dxa"/>
            <w:vAlign w:val="bottom"/>
            <w:gridSpan w:val="3"/>
          </w:tcPr>
          <w:p>
            <w:pPr>
              <w:jc w:val="right"/>
              <w:ind w:right="301"/>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center"/>
              <w:ind w:right="221"/>
              <w:spacing w:after="0"/>
              <w:rPr>
                <w:sz w:val="20"/>
                <w:szCs w:val="20"/>
                <w:color w:val="auto"/>
              </w:rPr>
            </w:pPr>
            <w:r>
              <w:rPr>
                <w:rFonts w:ascii="Arial" w:cs="Arial" w:eastAsia="Arial" w:hAnsi="Arial"/>
                <w:sz w:val="13"/>
                <w:szCs w:val="13"/>
                <w:b w:val="1"/>
                <w:bCs w:val="1"/>
                <w:color w:val="auto"/>
                <w:w w:val="92"/>
              </w:rPr>
              <w:t>Loss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877,672</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111,509</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6"/>
              </w:rPr>
              <w:t>$ (104,773)</w:t>
            </w: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5,835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w w:val="96"/>
              </w:rPr>
              <w:t>Proceeds from the issuance of common stock from At-the-Market</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program</w:t>
            </w:r>
          </w:p>
        </w:tc>
        <w:tc>
          <w:tcPr>
            <w:tcW w:w="860" w:type="dxa"/>
            <w:vAlign w:val="bottom"/>
          </w:tcPr>
          <w:p>
            <w:pPr>
              <w:jc w:val="right"/>
              <w:spacing w:after="0"/>
              <w:rPr>
                <w:sz w:val="20"/>
                <w:szCs w:val="20"/>
                <w:color w:val="auto"/>
              </w:rPr>
            </w:pPr>
            <w:r>
              <w:rPr>
                <w:rFonts w:ascii="Arial" w:cs="Arial" w:eastAsia="Arial" w:hAnsi="Arial"/>
                <w:sz w:val="18"/>
                <w:szCs w:val="18"/>
                <w:color w:val="auto"/>
              </w:rPr>
              <w:t>232,526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5,043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w w:val="98"/>
              </w:rPr>
              <w:t>Proceeds from issuance of common stock from the March 2020</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Offering</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1,348</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1,348</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Warrant issuance from the March 2020 Offering</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w w:val="96"/>
              </w:rPr>
              <w:t>Proceeds from issuance of common stock from the October 2020</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Private Placement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187,646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2,791</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Warrant issuance from the October 2020 Private Placement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(819)</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7,792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Reverse stock split round down</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(50)</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2,529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21"/>
              <w:spacing w:after="0"/>
              <w:rPr>
                <w:sz w:val="20"/>
                <w:szCs w:val="20"/>
                <w:color w:val="auto"/>
              </w:rPr>
            </w:pPr>
            <w:r>
              <w:rPr>
                <w:rFonts w:ascii="Arial" w:cs="Arial" w:eastAsia="Arial" w:hAnsi="Arial"/>
                <w:sz w:val="18"/>
                <w:szCs w:val="18"/>
                <w:color w:val="auto"/>
              </w:rPr>
              <w:t>(14,130)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6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(14,130)</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1,484,362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123,872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(118,903</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b w:val="1"/>
                <w:bCs w:val="1"/>
                <w:color w:val="auto"/>
                <w:w w:val="74"/>
              </w:rPr>
              <w:t>)</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(1,099</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3,871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3"/>
                <w:szCs w:val="13"/>
                <w:b w:val="1"/>
                <w:bCs w:val="1"/>
                <w:color w:val="auto"/>
              </w:rPr>
              <w:t>Accumulated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020" w:type="dxa"/>
            <w:vAlign w:val="bottom"/>
          </w:tcPr>
          <w:p>
            <w:pPr>
              <w:spacing w:after="0"/>
              <w:rPr>
                <w:sz w:val="15"/>
                <w:szCs w:val="15"/>
                <w:color w:val="auto"/>
              </w:rPr>
            </w:pPr>
          </w:p>
        </w:tc>
        <w:tc>
          <w:tcPr>
            <w:tcW w:w="1900" w:type="dxa"/>
            <w:vAlign w:val="bottom"/>
            <w:gridSpan w:val="6"/>
            <w:vMerge w:val="restart"/>
          </w:tcPr>
          <w:p>
            <w:pPr>
              <w:jc w:val="center"/>
              <w:ind w:right="20"/>
              <w:spacing w:after="0"/>
              <w:rPr>
                <w:sz w:val="20"/>
                <w:szCs w:val="20"/>
                <w:color w:val="auto"/>
              </w:rPr>
            </w:pPr>
            <w:r>
              <w:rPr>
                <w:rFonts w:ascii="Arial" w:cs="Arial" w:eastAsia="Arial" w:hAnsi="Arial"/>
                <w:sz w:val="13"/>
                <w:szCs w:val="13"/>
                <w:b w:val="1"/>
                <w:bCs w:val="1"/>
                <w:color w:val="auto"/>
                <w:w w:val="93"/>
              </w:rPr>
              <w:t>Common Stock, $0.001 par</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4"/>
          </w:tcPr>
          <w:p>
            <w:pPr>
              <w:jc w:val="right"/>
              <w:ind w:right="320"/>
              <w:spacing w:after="0"/>
              <w:rPr>
                <w:sz w:val="20"/>
                <w:szCs w:val="20"/>
                <w:color w:val="auto"/>
              </w:rPr>
            </w:pPr>
            <w:r>
              <w:rPr>
                <w:rFonts w:ascii="Arial" w:cs="Arial" w:eastAsia="Arial" w:hAnsi="Arial"/>
                <w:sz w:val="13"/>
                <w:szCs w:val="13"/>
                <w:b w:val="1"/>
                <w:bCs w:val="1"/>
                <w:color w:val="auto"/>
              </w:rPr>
              <w:t>Additional</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3"/>
          </w:tcPr>
          <w:p>
            <w:pPr>
              <w:jc w:val="right"/>
              <w:ind w:right="381"/>
              <w:spacing w:after="0"/>
              <w:rPr>
                <w:sz w:val="20"/>
                <w:szCs w:val="20"/>
                <w:color w:val="auto"/>
              </w:rPr>
            </w:pPr>
            <w:r>
              <w:rPr>
                <w:rFonts w:ascii="Arial" w:cs="Arial" w:eastAsia="Arial" w:hAnsi="Arial"/>
                <w:sz w:val="13"/>
                <w:szCs w:val="13"/>
                <w:b w:val="1"/>
                <w:bCs w:val="1"/>
                <w:color w:val="auto"/>
              </w:rPr>
              <w:t>Other</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5020" w:type="dxa"/>
            <w:vAlign w:val="bottom"/>
          </w:tcPr>
          <w:p>
            <w:pPr>
              <w:spacing w:after="0"/>
              <w:rPr>
                <w:sz w:val="11"/>
                <w:szCs w:val="11"/>
                <w:color w:val="auto"/>
              </w:rPr>
            </w:pPr>
          </w:p>
        </w:tc>
        <w:tc>
          <w:tcPr>
            <w:tcW w:w="1900" w:type="dxa"/>
            <w:vAlign w:val="bottom"/>
            <w:gridSpan w:val="6"/>
            <w:vMerge w:val="continue"/>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2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594"/>
              <w:spacing w:after="0"/>
              <w:rPr>
                <w:sz w:val="20"/>
                <w:szCs w:val="20"/>
                <w:color w:val="auto"/>
              </w:rPr>
            </w:pPr>
            <w:r>
              <w:rPr>
                <w:rFonts w:ascii="Arial" w:cs="Arial" w:eastAsia="Arial" w:hAnsi="Arial"/>
                <w:sz w:val="13"/>
                <w:szCs w:val="13"/>
                <w:b w:val="1"/>
                <w:bCs w:val="1"/>
                <w:color w:val="auto"/>
                <w:w w:val="96"/>
              </w:rPr>
              <w:t>value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020" w:type="dxa"/>
            <w:vAlign w:val="bottom"/>
            <w:gridSpan w:val="4"/>
          </w:tcPr>
          <w:p>
            <w:pPr>
              <w:jc w:val="right"/>
              <w:ind w:right="161"/>
              <w:spacing w:after="0"/>
              <w:rPr>
                <w:sz w:val="20"/>
                <w:szCs w:val="20"/>
                <w:color w:val="auto"/>
              </w:rPr>
            </w:pPr>
            <w:r>
              <w:rPr>
                <w:rFonts w:ascii="Arial" w:cs="Arial" w:eastAsia="Arial" w:hAnsi="Arial"/>
                <w:sz w:val="13"/>
                <w:szCs w:val="13"/>
                <w:b w:val="1"/>
                <w:bCs w:val="1"/>
                <w:color w:val="auto"/>
                <w:w w:val="93"/>
              </w:rPr>
              <w:t>Accumulated</w:t>
            </w:r>
          </w:p>
        </w:tc>
        <w:tc>
          <w:tcPr>
            <w:tcW w:w="1080" w:type="dxa"/>
            <w:vAlign w:val="bottom"/>
            <w:gridSpan w:val="5"/>
          </w:tcPr>
          <w:p>
            <w:pPr>
              <w:spacing w:after="0"/>
              <w:rPr>
                <w:sz w:val="20"/>
                <w:szCs w:val="20"/>
                <w:color w:val="auto"/>
              </w:rPr>
            </w:pPr>
            <w:r>
              <w:rPr>
                <w:rFonts w:ascii="Arial" w:cs="Arial" w:eastAsia="Arial" w:hAnsi="Arial"/>
                <w:sz w:val="13"/>
                <w:szCs w:val="13"/>
                <w:b w:val="1"/>
                <w:bCs w:val="1"/>
                <w:color w:val="auto"/>
              </w:rPr>
              <w:t>Comprehensive</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9"/>
                <w:szCs w:val="19"/>
                <w:color w:val="auto"/>
              </w:rPr>
            </w:pPr>
          </w:p>
        </w:tc>
        <w:tc>
          <w:tcPr>
            <w:tcW w:w="980" w:type="dxa"/>
            <w:vAlign w:val="bottom"/>
            <w:gridSpan w:val="3"/>
          </w:tcPr>
          <w:p>
            <w:pPr>
              <w:jc w:val="right"/>
              <w:ind w:right="341"/>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421"/>
              <w:spacing w:after="0"/>
              <w:rPr>
                <w:sz w:val="20"/>
                <w:szCs w:val="20"/>
                <w:color w:val="auto"/>
              </w:rPr>
            </w:pPr>
            <w:r>
              <w:rPr>
                <w:rFonts w:ascii="Arial" w:cs="Arial" w:eastAsia="Arial" w:hAnsi="Arial"/>
                <w:sz w:val="13"/>
                <w:szCs w:val="13"/>
                <w:b w:val="1"/>
                <w:bCs w:val="1"/>
                <w:color w:val="auto"/>
              </w:rPr>
              <w:t>Loss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3"/>
        </w:trPr>
        <w:tc>
          <w:tcPr>
            <w:tcW w:w="5020" w:type="dxa"/>
            <w:vAlign w:val="bottom"/>
            <w:vMerge w:val="continue"/>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1,484,362</w:t>
            </w:r>
          </w:p>
        </w:tc>
        <w:tc>
          <w:tcPr>
            <w:tcW w:w="200" w:type="dxa"/>
            <w:vAlign w:val="bottom"/>
          </w:tcPr>
          <w:p>
            <w:pPr>
              <w:spacing w:after="0"/>
              <w:rPr>
                <w:sz w:val="19"/>
                <w:szCs w:val="19"/>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123,872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6"/>
              </w:rPr>
              <w:t>$ (118,903)</w:t>
            </w:r>
          </w:p>
        </w:tc>
        <w:tc>
          <w:tcPr>
            <w:tcW w:w="200" w:type="dxa"/>
            <w:vAlign w:val="bottom"/>
            <w:gridSpan w:val="2"/>
          </w:tcPr>
          <w:p>
            <w:pPr>
              <w:spacing w:after="0"/>
              <w:rPr>
                <w:sz w:val="19"/>
                <w:szCs w:val="19"/>
                <w:color w:val="auto"/>
              </w:rPr>
            </w:pPr>
          </w:p>
        </w:tc>
        <w:tc>
          <w:tcPr>
            <w:tcW w:w="2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(1,099)</w:t>
            </w:r>
          </w:p>
        </w:tc>
        <w:tc>
          <w:tcPr>
            <w:tcW w:w="1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w w:val="97"/>
              </w:rPr>
              <w:t>Proceeds from the issuance of common stock from the February</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2021 Offering</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744,936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8,399</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Warrant issuance from the February 2021 Offering</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issuance of common stock pursuant to the LPC</w:t>
            </w: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Purchase Agreement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w w:val="92"/>
              </w:rPr>
              <w:t>Proceeds from issuance of common stock from the November 2021</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1,385,031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11,079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11,081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(2,744)</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860" w:type="dxa"/>
            <w:vAlign w:val="bottom"/>
          </w:tcPr>
          <w:p>
            <w:pPr>
              <w:jc w:val="right"/>
              <w:spacing w:after="0"/>
              <w:rPr>
                <w:sz w:val="20"/>
                <w:szCs w:val="20"/>
                <w:color w:val="auto"/>
              </w:rPr>
            </w:pPr>
            <w:r>
              <w:rPr>
                <w:rFonts w:ascii="Arial" w:cs="Arial" w:eastAsia="Arial" w:hAnsi="Arial"/>
                <w:sz w:val="18"/>
                <w:szCs w:val="18"/>
                <w:color w:val="auto"/>
              </w:rPr>
              <w:t>81,895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860" w:type="dxa"/>
            <w:vAlign w:val="bottom"/>
          </w:tcPr>
          <w:p>
            <w:pPr>
              <w:jc w:val="right"/>
              <w:spacing w:after="0"/>
              <w:rPr>
                <w:sz w:val="20"/>
                <w:szCs w:val="20"/>
                <w:color w:val="auto"/>
              </w:rPr>
            </w:pPr>
            <w:r>
              <w:rPr>
                <w:rFonts w:ascii="Arial" w:cs="Arial" w:eastAsia="Arial" w:hAnsi="Arial"/>
                <w:sz w:val="18"/>
                <w:szCs w:val="18"/>
                <w:color w:val="auto"/>
              </w:rPr>
              <w:t>5,012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Issuance of shares to a consultant for services</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5,337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4,252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4,252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 adjustments</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21"/>
              <w:spacing w:after="0"/>
              <w:rPr>
                <w:sz w:val="20"/>
                <w:szCs w:val="20"/>
                <w:color w:val="auto"/>
              </w:rPr>
            </w:pPr>
            <w:r>
              <w:rPr>
                <w:rFonts w:ascii="Arial" w:cs="Arial" w:eastAsia="Arial" w:hAnsi="Arial"/>
                <w:sz w:val="18"/>
                <w:szCs w:val="18"/>
                <w:color w:val="auto"/>
              </w:rPr>
              <w:t>(26)</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61"/>
              <w:spacing w:after="0"/>
              <w:rPr>
                <w:sz w:val="20"/>
                <w:szCs w:val="20"/>
                <w:color w:val="auto"/>
              </w:rPr>
            </w:pPr>
            <w:r>
              <w:rPr>
                <w:rFonts w:ascii="Arial" w:cs="Arial" w:eastAsia="Arial" w:hAnsi="Arial"/>
                <w:sz w:val="18"/>
                <w:szCs w:val="18"/>
                <w:color w:val="auto"/>
              </w:rPr>
              <w:t>(18,132)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(18,132)</w:t>
            </w:r>
          </w:p>
        </w:tc>
        <w:tc>
          <w:tcPr>
            <w:tcW w:w="0" w:type="dxa"/>
            <w:vAlign w:val="bottom"/>
          </w:tcPr>
          <w:p>
            <w:pPr>
              <w:spacing w:after="0"/>
              <w:rPr>
                <w:sz w:val="1"/>
                <w:szCs w:val="1"/>
                <w:color w:val="auto"/>
              </w:rPr>
            </w:pPr>
          </w:p>
        </w:tc>
      </w:tr>
      <w:tr>
        <w:trPr>
          <w:trHeight w:val="223"/>
        </w:trPr>
        <w:tc>
          <w:tcPr>
            <w:tcW w:w="5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2021</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3,780,674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149,412</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90"/>
              </w:rPr>
              <w:t>$ (137,035</w:t>
            </w:r>
          </w:p>
        </w:tc>
        <w:tc>
          <w:tcPr>
            <w:tcW w:w="200" w:type="dxa"/>
            <w:vAlign w:val="bottom"/>
            <w:tcBorders>
              <w:top w:val="single" w:sz="8" w:color="CFF0FC"/>
              <w:bottom w:val="single" w:sz="8" w:color="CFF0FC"/>
            </w:tcBorders>
            <w:gridSpan w:val="2"/>
            <w:shd w:val="clear" w:color="auto" w:fill="CFF0FC"/>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(1,125)</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11,256</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1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0"/>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26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(18,132)</w:t>
            </w:r>
          </w:p>
        </w:tc>
        <w:tc>
          <w:tcPr>
            <w:tcW w:w="7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(14,130)</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w w:val="92"/>
              </w:rPr>
              <w:t>Adjustments to reconcile net loss to net cash used in operating activities:</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Common shares issued to a consultant for services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foreign exchange gain</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(Recovery of) provision for doubtful accounts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inventory reserve</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lease modification</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5380" w:type="dxa"/>
            <w:vAlign w:val="bottom"/>
          </w:tcPr>
          <w:p>
            <w:pPr>
              <w:ind w:left="260"/>
              <w:spacing w:after="0"/>
              <w:rPr>
                <w:sz w:val="20"/>
                <w:szCs w:val="20"/>
                <w:color w:val="auto"/>
              </w:rPr>
            </w:pPr>
            <w:r>
              <w:rPr>
                <w:rFonts w:ascii="Arial" w:cs="Arial" w:eastAsia="Arial" w:hAnsi="Arial"/>
                <w:sz w:val="18"/>
                <w:szCs w:val="18"/>
                <w:color w:val="auto"/>
              </w:rPr>
              <w:t>Account payable</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(13,388)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(11,738)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(2,889)</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Proceeds from the exercise of stock options and warrants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Paycheck Protection Program Loan</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26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21,126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9,638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year</w:t>
            </w:r>
          </w:p>
        </w:tc>
        <w:tc>
          <w:tcPr>
            <w:tcW w:w="22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year</w:t>
            </w:r>
          </w:p>
        </w:tc>
        <w:tc>
          <w:tcPr>
            <w:tcW w:w="22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11,005</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cash activities</w:t>
            </w:r>
          </w:p>
        </w:tc>
        <w:tc>
          <w:tcPr>
            <w:tcW w:w="2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2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264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89"/>
              </w:rPr>
              <w:t>Supplemental schedule of non-cash investing and financing activities</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Non-cash share issuance costs</w:t>
            </w:r>
          </w:p>
        </w:tc>
        <w:tc>
          <w:tcPr>
            <w:tcW w:w="264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9"/>
                <w:szCs w:val="19"/>
                <w:color w:val="auto"/>
              </w:rPr>
            </w:pPr>
          </w:p>
        </w:tc>
        <w:tc>
          <w:tcPr>
            <w:tcW w:w="720" w:type="dxa"/>
            <w:vAlign w:val="bottom"/>
            <w:gridSpan w:val="2"/>
          </w:tcPr>
          <w:p>
            <w:pPr>
              <w:jc w:val="right"/>
              <w:ind w:right="44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w w:val="91"/>
              </w:rPr>
              <w:t>Share issuance costs included in accounts payable and accrued liabilities</w:t>
            </w:r>
          </w:p>
        </w:tc>
        <w:tc>
          <w:tcPr>
            <w:tcW w:w="2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460" w:type="dxa"/>
            <w:vAlign w:val="bottom"/>
            <w:gridSpan w:val="5"/>
          </w:tcPr>
          <w:p>
            <w:pPr>
              <w:ind w:left="2420"/>
              <w:spacing w:after="0"/>
              <w:rPr>
                <w:sz w:val="20"/>
                <w:szCs w:val="20"/>
                <w:color w:val="auto"/>
              </w:rPr>
            </w:pPr>
            <w:r>
              <w:rPr>
                <w:rFonts w:ascii="Arial" w:cs="Arial" w:eastAsia="Arial" w:hAnsi="Arial"/>
                <w:sz w:val="18"/>
                <w:szCs w:val="18"/>
                <w:color w:val="auto"/>
                <w:w w:val="98"/>
              </w:rPr>
              <w:t>(The accompanying notes are an integral part of these consolidated financial statements.)</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5380" w:type="dxa"/>
            <w:vAlign w:val="bottom"/>
          </w:tcPr>
          <w:p>
            <w:pPr>
              <w:spacing w:after="0"/>
              <w:rPr>
                <w:sz w:val="24"/>
                <w:szCs w:val="24"/>
                <w:color w:val="auto"/>
              </w:rPr>
            </w:pPr>
          </w:p>
        </w:tc>
        <w:tc>
          <w:tcPr>
            <w:tcW w:w="2640" w:type="dxa"/>
            <w:vAlign w:val="bottom"/>
            <w:gridSpan w:val="2"/>
          </w:tcPr>
          <w:p>
            <w:pPr>
              <w:jc w:val="right"/>
              <w:ind w:right="2207"/>
              <w:spacing w:after="0"/>
              <w:rPr>
                <w:sz w:val="20"/>
                <w:szCs w:val="20"/>
                <w:color w:val="auto"/>
              </w:rPr>
            </w:pPr>
            <w:r>
              <w:rPr>
                <w:rFonts w:ascii="Arial" w:cs="Arial" w:eastAsia="Arial" w:hAnsi="Arial"/>
                <w:sz w:val="18"/>
                <w:szCs w:val="18"/>
                <w:color w:val="auto"/>
              </w:rPr>
              <w:t>F-6</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a neurotech company focused on neurological wellness. The Company’s purpose is to develop, license or acquire unique and non-implanted technologies targeted at reducing symptoms of neurological disease or trauma.</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product, known as the Portable Neuromodulation Stimulator (“PoNS®”), is an innovative non-surgical medical device, inclusive of a controller and mouthpiece, which delivers mild electrical stimulation to the surface of the tongue to provide treatment of gait deficit and is indicated for use in the U.S. as a short term treatment of gait deficit due to mild-to-moderate symptoms from multiple sclerosis (“MS”), and is to be used as an adjunct to a supervised therapeutic exercise program in patients 22 years of age and over by prescription only. The Company is currently accepting prescriptions for PoNS in the U.S., and expects the first commercial sales to occur in the near term. PoNS is authorized for sale in Canada for two indications: (i) PoNS is authorized as a short term treatment (14 weeks) of chronic balance deficit due to mild-to-moderate traumatic brain injury (“mmTBI”) and is to be used in conjunction with physical therapy (“PoNS Therapy</w:t>
      </w:r>
      <w:r>
        <w:rPr>
          <w:rFonts w:ascii="Arial" w:cs="Arial" w:eastAsia="Arial" w:hAnsi="Arial"/>
          <w:sz w:val="14"/>
          <w:szCs w:val="14"/>
          <w:color w:val="auto"/>
        </w:rPr>
        <w:t>TM</w:t>
      </w:r>
      <w:r>
        <w:rPr>
          <w:rFonts w:ascii="Arial" w:cs="Arial" w:eastAsia="Arial" w:hAnsi="Arial"/>
          <w:sz w:val="17"/>
          <w:szCs w:val="17"/>
          <w:color w:val="auto"/>
        </w:rPr>
        <w:t>”); and (ii) PoNS is authorized for use as a short term treatment (14 weeks) of gait deficit due to mild and moderate symptoms from MS and is to be used in conjunction with physical therapy. It has been commercially available in Canada since March 2019. PoNS is authorized for sale as a Class IIa medical device in Australia. The Company is working to establish a distribution partner for Australia but currently does not expect to have commercial sales of PoNS in Australia in 2022.</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was incorporated in British Columbia, Canada, on March 13, 2014. On May 28, 2014, the Company completed a continuation via a plan of arrangement whereby the Company moved from being a corporation governed by the British Columbia Corporations Act to a corporation governed by the Wyoming Business Corporations Act. On July 20, 2018, the Company completed its reincorporation from Wyoming to the state of Delaware. The Company is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Company’s wholly owned subsidiaries are comprised of HMI, HMC, HCA and HNR.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Class A common stock, par value $0.001 per share (“common stock”) is listed on the Nasdaq Capital Market (“Nasdaq”). The common stock began trading on the Canadian Securities Exchange on June 23, 2014, under the ticker symbol “HSM” and the trading was subsequently transferred to the Toronto Stock Exchange (the “TSX”) on April 18, 2016. The Company voluntarily delisted from the TSX effective as of the close of trading on September 9, 2021. On April 11, 2018, the common stock began trading on Nasdaq under the ticker symbol “HSDT” after having traded on the OTCQB in the United States under the ticker symbol “HSDT” since February 10,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December 31, 2020, the Company completed a 1-for-35 reverse stock split of its common stock. </w:t>
      </w:r>
      <w:r>
        <w:rPr>
          <w:rFonts w:ascii="Arial" w:cs="Arial" w:eastAsia="Arial" w:hAnsi="Arial"/>
          <w:sz w:val="18"/>
          <w:szCs w:val="18"/>
          <w:color w:val="000000"/>
        </w:rPr>
        <w:t>All share and per</w:t>
      </w:r>
      <w:r>
        <w:rPr>
          <w:rFonts w:ascii="Arial" w:cs="Arial" w:eastAsia="Arial" w:hAnsi="Arial"/>
          <w:sz w:val="18"/>
          <w:szCs w:val="18"/>
          <w:color w:val="231F20"/>
        </w:rPr>
        <w:t xml:space="preserve"> </w:t>
      </w:r>
      <w:r>
        <w:rPr>
          <w:rFonts w:ascii="Arial" w:cs="Arial" w:eastAsia="Arial" w:hAnsi="Arial"/>
          <w:sz w:val="18"/>
          <w:szCs w:val="18"/>
          <w:color w:val="000000"/>
        </w:rPr>
        <w:t>share amounts in this Annual Report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2021, the Company had cash of $11.0 million. For the year ended December 31, 2021, the Company incurred a net loss of $18.1 million and, as of December 31, 2021, its accumulated deficit was $137.0 million. For the year ended December 31, 2021, the Company had $0.5 million of revenue from the commercial sale of products or services. The Company expects to continue to incur operating losses and net cash outflows until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fund ongoing activities by utilizing its current cash on hand, cash received from the sale of its PoNS device in Canada and the U.S. and by raising additional capital through equity or debt financings as well as by using its equity line facility entered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into on September 1, 2021 with Lincoln Park Capital Fund, LLC (“Lincoln Park”), which is subject to certain limitations and conditions.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has spread throughout the U.S.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While all clinics have re-opened, as of December 31, 2021, they were all operating at reduced capacity, and patients have been and may continue to be less willing to return to these clinics, impacting our commercial activities and our customer engagement efforts. In addition, the resurgence of COVID-19 cases across Canada in the fourth quarter of 2020 and first half of 2021 led to further restrictions on clinic activities. However, the rate of vaccination increased throughout all provinces throughout 2021 facilitating the lifting of some of the previously imposed restrictions. Moreover, the Company’s ability to conduct its ongoing clinical experience programs and clinical trials has been and may be impaired due to trial participants’ attendance being adversely affected by COVID-19. In addition, the COVID-19 pandemic has and may continue to cause delays in the Company’s suppliers’ ability to ship materials that the Company relies upon as well as manufacturing delays as the result of labor shortages. Two of the Company’s suppliers experienced significant labor shortages as a result of COVID-19 from the end of November 2021 through early January 2022 which reduced the available resources needed to build and test product resulting in production delays of the PoNS devices.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extent to which the COVID-19 pandemic will continue to impact the Company’s business, including its U.S. commercial launch and sales in Canada, as well as the Company’s results of operations and its financial condition will depend on future developments, which are highly uncertain and cannot be predicted. The Company does not yet know the full extent of the impact of COVID-19 on its future business, operations or the global economy as a whole.</w:t>
      </w:r>
    </w:p>
    <w:p>
      <w:pPr>
        <w:spacing w:after="0" w:line="145" w:lineRule="exact"/>
        <w:rPr>
          <w:sz w:val="20"/>
          <w:szCs w:val="20"/>
          <w:color w:val="auto"/>
        </w:rPr>
      </w:pPr>
    </w:p>
    <w:p>
      <w:pPr>
        <w:ind w:right="7340" w:firstLine="8"/>
        <w:spacing w:after="0" w:line="503" w:lineRule="auto"/>
        <w:tabs>
          <w:tab w:leader="none" w:pos="48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(“GAAP”). The Company’s reporting currency is the U.S. Dollar (“USD$”).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derivative financial instruments and deferred income tax asset valuation allowance. Financial statements include estimates, which, by their nature, are uncertain. Actual results could differ from those estimates.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maintains cash in excess of federally insured limits in certain banks. However, the Company has not experienced any losses in such accounts and believes it is not exposed to any significant credit risk related to cash. The Company seeks to maintain safety and preservation of principal and diversification of risk, liquidity of investments sufficient to meet cash flow requirements and a competitive after-tax rate of return.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requires judgment by Company management. As of December 31, 2021, the Company’s accounts receivable of $0.1 million, is net of an allowance for doubtful accounts of $0.4 million and is the result of revenue from product sales. As of December 31, 2020, the Company’s accounts receivable of $0.1 million, is net of an allowance for doubtful accounts of $0.4 million and is the result of revenue from product sales.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receivables included Goods and Services Tax (“GST”), Quebec Sales Tax (“QST”) refunds related to the Company’s Canadian expenditures of $0.2 million, and refunds from research and development (“R&amp;D”) tax credits of $1 thousand as of December 31, 2021. Other receivables included and GST and QST refunds related to the Company’s Canadian expenditures of $0.1 million refunds, from rent deposits of $18 thousand and receivable from R&amp;D tax credits of $1 thousand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No inventory markdowns to net realizable value were recorded during the year ended December 31, 2021. Inventory markdowns to net realizable value of $205 thousand were recorded during the year ended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and 2020, inventory consisted of the following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140" w:type="dxa"/>
            <w:vAlign w:val="bottom"/>
          </w:tcPr>
          <w:p>
            <w:pPr>
              <w:spacing w:after="0"/>
              <w:rPr>
                <w:sz w:val="14"/>
                <w:szCs w:val="14"/>
                <w:color w:val="auto"/>
              </w:rPr>
            </w:pPr>
          </w:p>
        </w:tc>
        <w:tc>
          <w:tcPr>
            <w:tcW w:w="17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731</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14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Borders>
              <w:bottom w:val="single" w:sz="8" w:color="CFF0FC"/>
            </w:tcBorders>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30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476</w:t>
            </w:r>
          </w:p>
        </w:tc>
        <w:tc>
          <w:tcPr>
            <w:tcW w:w="3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its leasehold improvements is over the shorter of its lease term or useful life of 5 years, the estimated useful life of furniture and fixtures is 7 years; equipment has an estimated useful life of 15 years and computer software and hardware has an estimated useful life of 3 to 5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summarizes the Company’s property and equipment as of December 31, 2021 and 2020 (amounts in thousands):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8"/>
              </w:rPr>
              <w:t>As of December 31,</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940" w:type="dxa"/>
            <w:vAlign w:val="bottom"/>
            <w:tcBorders>
              <w:bottom w:val="single" w:sz="8" w:color="CFF0FC"/>
            </w:tcBorders>
          </w:tcPr>
          <w:p>
            <w:pPr>
              <w:spacing w:after="0"/>
              <w:rPr>
                <w:sz w:val="13"/>
                <w:szCs w:val="13"/>
                <w:color w:val="auto"/>
              </w:rPr>
            </w:pPr>
          </w:p>
        </w:tc>
        <w:tc>
          <w:tcPr>
            <w:tcW w:w="25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47"/>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r>
      <w:tr>
        <w:trPr>
          <w:trHeight w:val="229"/>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Computer hardware and software</w:t>
            </w:r>
          </w:p>
        </w:tc>
        <w:tc>
          <w:tcPr>
            <w:tcW w:w="25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25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120" w:type="dxa"/>
            <w:vAlign w:val="bottom"/>
            <w:shd w:val="clear" w:color="auto" w:fill="CFF0FC"/>
          </w:tcPr>
          <w:p>
            <w:pPr>
              <w:spacing w:after="0"/>
              <w:rPr>
                <w:sz w:val="19"/>
                <w:szCs w:val="19"/>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5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r>
      <w:tr>
        <w:trPr>
          <w:trHeight w:val="223"/>
        </w:trPr>
        <w:tc>
          <w:tcPr>
            <w:tcW w:w="4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ind w:right="94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$112 thousand and $119 thousand for the years ended December 31, 2021 and 2020, respectively.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of 2020, the Company sold furniture and fixtures with a net book value of $118 thousand for $61 thousand. Additionally, the Company abandoned leasehold improvements with a net book value of $53 thousand. The loss on the disposal of the furniture and fixtures and leasehold improvements of $110 thousand was recorded as selling, general and administrative expense in the consolidated statements of operations and comprehensive loss.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fourth quarter of 2021, the Company abandoned leasehold improvements with a net book value of $7 thousand and wrote down furniture and fixtures with a net book value of $17 thousand to $6 thousand. The loss on the disposal of the leasehold improvements and furniture and fixtures of $18 thousand was recorded as selling, general and administrative expense in the consolidated statements of operations and comprehensive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represents the excess of purchase price over the fair values underlying net assets acquired in an acquisition. All of the Company’s goodwill as of December 31, 2021 is the result of the acquisition of Heuro in October 2019. Goodwill is not amortized, but rather is tested annually for impairment or more frequently if events or changes in circumstances indicate that the carrying amount of the asset may not be recoverable. The Company tests goodwill for impairment annually in the fourth quarter of each year using data as of October 1 of that year.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methodology for estimating the fair value of our reporting unit, if required, utilizes the income approach. The income approach is based on the Discounted Cash Flow (“DCF”) method, which is based on the present value of future cash flows. The principal assumptions utilized in the DCF methodology include long-term growth rates, operating margins, discount rates and future economic and market conditions. There can be no assurance that the Company’s estimates and assumptions regarding forecasted cash flow, long-term growth rates and operating margins made for purposes of the annual goodwill impairment test will prove to be accurate predictions of the future.</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COVID-19 pandemic and its continuing impact was considered a triggering event for testing whether goodwill is impaired throughout 2020 and the first half of 2021. The Company performed quantitative assessments at each quarter end in 2020 and at March 31, 2021 and June 30, 2021. As a result of these assessments, the Company determined that the estimated fair value of the reporting unit exceeded the carrying value of the reporting unit. Therefore, the Company concluded that goodwill was not impaired as of any of the aforementioned periods. The Company will continue to monitor the impacts of the COVID-19 pandemic in future periods.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performed a qualitative assessment for its annual impairment analysis as of October 1, 2021. Qualitative factors included in the assessment included, but were not limited to, economic conditions, industry and market conditions, cost factors, overall financial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3" w:name="page84"/>
    <w:bookmarkEnd w:id="83"/>
    <w:p>
      <w:pPr>
        <w:jc w:val="both"/>
        <w:ind w:right="20"/>
        <w:spacing w:after="0" w:line="277" w:lineRule="auto"/>
        <w:rPr>
          <w:sz w:val="20"/>
          <w:szCs w:val="20"/>
          <w:color w:val="auto"/>
        </w:rPr>
      </w:pPr>
      <w:r>
        <w:rPr>
          <w:rFonts w:ascii="Arial" w:cs="Arial" w:eastAsia="Arial" w:hAnsi="Arial"/>
          <w:sz w:val="18"/>
          <w:szCs w:val="18"/>
          <w:color w:val="auto"/>
        </w:rPr>
        <w:t>performance of the reporting unit and reporting unit specific events. Based on that assessment, the Company determined that it was not “more likely than not” that the fair value of its reporting unit was less than its carrying amount and therefore goodwill was not impaired.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activity for the years ended December 31, 2021 and December 31, 2020 for goodwill:</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Carrying amount at December 31, 2019</w:t>
            </w:r>
          </w:p>
        </w:tc>
        <w:tc>
          <w:tcPr>
            <w:tcW w:w="1040" w:type="dxa"/>
            <w:vAlign w:val="bottom"/>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FF0FC"/>
          </w:tcPr>
          <w:p>
            <w:pPr>
              <w:spacing w:after="0"/>
              <w:rPr>
                <w:sz w:val="19"/>
                <w:szCs w:val="19"/>
                <w:color w:val="auto"/>
              </w:rPr>
            </w:pPr>
          </w:p>
        </w:tc>
      </w:tr>
      <w:tr>
        <w:trPr>
          <w:trHeight w:val="229"/>
        </w:trPr>
        <w:tc>
          <w:tcPr>
            <w:tcW w:w="8720" w:type="dxa"/>
            <w:vAlign w:val="bottom"/>
          </w:tcPr>
          <w:p>
            <w:pPr>
              <w:spacing w:after="0"/>
              <w:rPr>
                <w:sz w:val="20"/>
                <w:szCs w:val="20"/>
                <w:color w:val="auto"/>
              </w:rPr>
            </w:pPr>
            <w:r>
              <w:rPr>
                <w:rFonts w:ascii="Arial" w:cs="Arial" w:eastAsia="Arial" w:hAnsi="Arial"/>
                <w:sz w:val="18"/>
                <w:szCs w:val="18"/>
                <w:color w:val="auto"/>
              </w:rPr>
              <w:t>Business acquisition fair value allocation adjustment</w:t>
            </w:r>
          </w:p>
        </w:tc>
        <w:tc>
          <w:tcPr>
            <w:tcW w:w="10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r>
      <w:tr>
        <w:trPr>
          <w:trHeight w:val="229"/>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r>
      <w:tr>
        <w:trPr>
          <w:trHeight w:val="263"/>
        </w:trPr>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Carrying amount at December 31, 2020</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FF0FC"/>
            </w:tcBorders>
          </w:tcPr>
          <w:p>
            <w:pPr>
              <w:spacing w:after="0"/>
              <w:rPr>
                <w:sz w:val="22"/>
                <w:szCs w:val="22"/>
                <w:color w:val="auto"/>
              </w:rPr>
            </w:pPr>
          </w:p>
        </w:tc>
      </w:tr>
      <w:tr>
        <w:trPr>
          <w:trHeight w:val="210"/>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translation</w:t>
            </w:r>
          </w:p>
        </w:tc>
        <w:tc>
          <w:tcPr>
            <w:tcW w:w="10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Carrying amount at December 31, 2021</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$0.2 million and $0.4 million during the year ended December 31, 2021 and the year ended December 31, 2020, respectively. During the year ended December 31, 2020, the Company incurred an intangible asset impairment loss of $0.2 million related to the customer relationships, all of which was incurred during the first quarter of 2020, which is included in selling, general and administrative expenses in the accompanying consolidated statement of operations and comprehensive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2021 and December 31, 2020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8"/>
          </w:tcPr>
          <w:p>
            <w:pPr>
              <w:jc w:val="right"/>
              <w:ind w:right="617"/>
              <w:spacing w:after="0"/>
              <w:rPr>
                <w:sz w:val="20"/>
                <w:szCs w:val="20"/>
                <w:color w:val="auto"/>
              </w:rPr>
            </w:pPr>
            <w:r>
              <w:rPr>
                <w:rFonts w:ascii="Arial" w:cs="Arial" w:eastAsia="Arial" w:hAnsi="Arial"/>
                <w:sz w:val="14"/>
                <w:szCs w:val="14"/>
                <w:b w:val="1"/>
                <w:bCs w:val="1"/>
                <w:color w:val="auto"/>
              </w:rPr>
              <w:t>As of December 31, 2021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b w:val="1"/>
                <w:bCs w:val="1"/>
                <w:color w:val="auto"/>
                <w:w w:val="93"/>
              </w:rPr>
              <w:t>As of December 31, 2020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80" w:type="dxa"/>
            <w:vAlign w:val="bottom"/>
          </w:tcPr>
          <w:p>
            <w:pPr>
              <w:spacing w:after="0"/>
              <w:rPr>
                <w:sz w:val="11"/>
                <w:szCs w:val="11"/>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Useful</w:t>
            </w:r>
          </w:p>
        </w:tc>
        <w:tc>
          <w:tcPr>
            <w:tcW w:w="100" w:type="dxa"/>
            <w:vAlign w:val="bottom"/>
          </w:tcPr>
          <w:p>
            <w:pPr>
              <w:spacing w:after="0"/>
              <w:rPr>
                <w:sz w:val="11"/>
                <w:szCs w:val="11"/>
                <w:color w:val="auto"/>
              </w:rPr>
            </w:pPr>
          </w:p>
        </w:tc>
        <w:tc>
          <w:tcPr>
            <w:tcW w:w="9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88"/>
              </w:rPr>
              <w:t>Gross</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9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7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7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(1)</w:t>
            </w:r>
          </w:p>
        </w:tc>
        <w:tc>
          <w:tcPr>
            <w:tcW w:w="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1.25</w:t>
            </w:r>
          </w:p>
        </w:tc>
        <w:tc>
          <w:tcPr>
            <w:tcW w:w="1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5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w:t>
            </w: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Acquired proprietary software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5 years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5"/>
              </w:rPr>
              <w:t>3.87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6"/>
              </w:rPr>
              <w:t>years</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color w:val="auto"/>
                <w:w w:val="84"/>
              </w:rPr>
              <w:t>3 years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firstLine="8"/>
        <w:spacing w:after="0" w:line="258" w:lineRule="auto"/>
        <w:tabs>
          <w:tab w:leader="none" w:pos="85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the year ended December 31, 2021, the Company wrote off $0.2 million of fully amortized customer relationships, all of which occurred during the first quarter of 2021.</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Amortization expense is anticipated to be as follows in future years: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8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For the Year Ending December 31,</w:t>
            </w: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2022</w:t>
            </w:r>
          </w:p>
        </w:tc>
        <w:tc>
          <w:tcPr>
            <w:tcW w:w="7200" w:type="dxa"/>
            <w:vAlign w:val="bottom"/>
            <w:tcBorders>
              <w:top w:val="single" w:sz="8" w:color="CFF0FC"/>
            </w:tcBorders>
          </w:tcPr>
          <w:p>
            <w:pPr>
              <w:spacing w:after="0"/>
              <w:rPr>
                <w:sz w:val="19"/>
                <w:szCs w:val="19"/>
                <w:color w:val="auto"/>
              </w:rPr>
            </w:pPr>
          </w:p>
        </w:tc>
        <w:tc>
          <w:tcPr>
            <w:tcW w:w="540" w:type="dxa"/>
            <w:vAlign w:val="bottom"/>
            <w:tcBorders>
              <w:top w:val="single" w:sz="8" w:color="CFF0FC"/>
            </w:tcBorders>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top w:val="single" w:sz="8" w:color="CFF0FC"/>
            </w:tcBorders>
          </w:tcPr>
          <w:p>
            <w:pPr>
              <w:spacing w:after="0"/>
              <w:rPr>
                <w:sz w:val="19"/>
                <w:szCs w:val="19"/>
                <w:color w:val="auto"/>
              </w:rPr>
            </w:pPr>
          </w:p>
        </w:tc>
      </w:tr>
      <w:tr>
        <w:trPr>
          <w:trHeight w:val="23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72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FF0FC"/>
          </w:tcPr>
          <w:p>
            <w:pPr>
              <w:spacing w:after="0"/>
              <w:rPr>
                <w:sz w:val="19"/>
                <w:szCs w:val="19"/>
                <w:color w:val="auto"/>
              </w:rPr>
            </w:pPr>
          </w:p>
        </w:tc>
      </w:tr>
      <w:tr>
        <w:trPr>
          <w:trHeight w:val="230"/>
        </w:trPr>
        <w:tc>
          <w:tcPr>
            <w:tcW w:w="2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2024</w:t>
            </w:r>
          </w:p>
        </w:tc>
        <w:tc>
          <w:tcPr>
            <w:tcW w:w="72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r>
      <w:tr>
        <w:trPr>
          <w:trHeight w:val="223"/>
        </w:trPr>
        <w:tc>
          <w:tcPr>
            <w:tcW w:w="2680" w:type="dxa"/>
            <w:vAlign w:val="bottom"/>
            <w:tcBorders>
              <w:bottom w:val="single" w:sz="8" w:color="CFF0FC"/>
            </w:tcBorders>
            <w:shd w:val="clear" w:color="auto" w:fill="CFF0FC"/>
          </w:tcPr>
          <w:p>
            <w:pPr>
              <w:spacing w:after="0"/>
              <w:rPr>
                <w:sz w:val="19"/>
                <w:szCs w:val="19"/>
                <w:color w:val="auto"/>
              </w:rPr>
            </w:pPr>
          </w:p>
        </w:tc>
        <w:tc>
          <w:tcPr>
            <w:tcW w:w="7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26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Internally Developed Software Costs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follows ASC 350-40, Accounting for the Costs of Computer Software Developed or Obtained for Internal Use, in accounting for its internally developed software costs. Costs incurred during the preliminary project work stage or conceptual stage, such as determining the performance requirements, system requirements and data conversion, are expensed as incurred. Costs incurred in the application development phase, such as coding, testing for new software and upgrades that result in additional functionality, are capitalized and are amortized using the straight-line method over the useful life of the software, which was determined to be three years. Amortization of these capitalized costs commences when the software becomes ready for its intended use. Costs incurred during the post-implementation stage, such as maintenance and application training, are expensed as incurred.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jc w:val="both"/>
        <w:spacing w:after="0" w:line="269" w:lineRule="auto"/>
        <w:rPr>
          <w:sz w:val="20"/>
          <w:szCs w:val="20"/>
          <w:color w:val="auto"/>
        </w:rPr>
      </w:pPr>
      <w:r>
        <w:rPr>
          <w:rFonts w:ascii="Arial" w:cs="Arial" w:eastAsia="Arial" w:hAnsi="Arial"/>
          <w:sz w:val="17"/>
          <w:szCs w:val="17"/>
          <w:color w:val="auto"/>
        </w:rPr>
        <w:t xml:space="preserve">The Company accounts for its leases under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Company does not record an operating lease ROU asset and corresponding lease liability for leases with an expected term of twelve months or less and recognizes lease expense for these leases as incurred over the lease term. As of December 31, 2021 and 2020, the Company had only one operating lease, which was for its headquarters office in Newtown, Pennsylvania. As of December 31, 2021, the Company modified the existing lease arrangement and in November 2021 entered into a new lease with an initial term commencing January 1, 2022. As the new Lease Agreement is not effective until January 1, 2022, there is no impact to the Company’s financial statements as of December 31, 2021. Operating lease ROU assets and operating lease liabilities are recognized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after April 1, 2018 are translated at the approximate exchange rate prevailing at the date of the transaction. Revenue and expense transactions are translated at the approximate exchange rate in effect at the time of the transaction. Foreign exchange gains and losses are included in the consolidated statement of operations and comprehensive loss as foreign exchange gain (loss).</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consolidated statements of operations and comprehensive loss for the reporting period, but rather are accumulated and gains and losses are recorded in foreign exchange gain (loss), as a component of comprehensive loss, within the consolidated statements of operations and comprehensive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the granting of stock options to employees and non-employees using the fair value method whereby all awards are measured at fair value on the date of the grant. The fair value of all employee stock options is expensed over the requisite service period with a corresponding increase to additional paid-in capital. Upon exercise of stock options, the consideration paid by the option holder is recorded in additional paid-in capital, while the par value of the shares received is reclassified from additional paid in capital to common stock. Stock options granted to employees are accounted for as liabilities when they contain conditions or other features that are indexed to other than a market, performance or service condition.</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accordance with ASU 2018-07, </w:t>
      </w:r>
      <w:r>
        <w:rPr>
          <w:rFonts w:ascii="Arial" w:cs="Arial" w:eastAsia="Arial" w:hAnsi="Arial"/>
          <w:sz w:val="18"/>
          <w:szCs w:val="18"/>
          <w:i w:val="1"/>
          <w:iCs w:val="1"/>
          <w:color w:val="auto"/>
        </w:rPr>
        <w:t>Improvements to Nonemployee Share-Based Payment Accounting</w:t>
      </w:r>
      <w:r>
        <w:rPr>
          <w:rFonts w:ascii="Arial" w:cs="Arial" w:eastAsia="Arial" w:hAnsi="Arial"/>
          <w:sz w:val="18"/>
          <w:szCs w:val="18"/>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option-pricing model to calculate the fair value of stock options. The use of the Black-Scholes option-pricing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in, (b) the currency in which the employee's pay is denominated, or (c) the Company's functional currency, are required to be classified as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accordance with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(“ASC 606”), the Company recognizes revenue when its customer obtains control of promised goods or services, in an amount that reflects the consideration which the Company expects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both"/>
        <w:spacing w:after="0" w:line="255" w:lineRule="auto"/>
        <w:rPr>
          <w:sz w:val="20"/>
          <w:szCs w:val="20"/>
          <w:color w:val="auto"/>
        </w:rPr>
      </w:pPr>
      <w:r>
        <w:rPr>
          <w:rFonts w:ascii="Arial" w:cs="Arial" w:eastAsia="Arial" w:hAnsi="Arial"/>
          <w:sz w:val="18"/>
          <w:szCs w:val="18"/>
          <w:color w:val="auto"/>
        </w:rPr>
        <w:t>be entitled in exchange for those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3" w:lineRule="exact"/>
        <w:rPr>
          <w:sz w:val="20"/>
          <w:szCs w:val="20"/>
          <w:color w:val="auto"/>
        </w:rPr>
      </w:pPr>
    </w:p>
    <w:p>
      <w:pPr>
        <w:ind w:left="1080" w:hanging="70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9" w:lineRule="exact"/>
        <w:rPr>
          <w:rFonts w:ascii="Arial" w:cs="Arial" w:eastAsia="Arial" w:hAnsi="Arial"/>
          <w:sz w:val="18"/>
          <w:szCs w:val="18"/>
          <w:color w:val="auto"/>
        </w:rPr>
      </w:pPr>
    </w:p>
    <w:p>
      <w:pPr>
        <w:ind w:left="1080" w:hanging="70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22" w:lineRule="exact"/>
        <w:rPr>
          <w:rFonts w:ascii="Arial" w:cs="Arial" w:eastAsia="Arial" w:hAnsi="Arial"/>
          <w:sz w:val="18"/>
          <w:szCs w:val="18"/>
          <w:color w:val="auto"/>
        </w:rPr>
      </w:pPr>
    </w:p>
    <w:p>
      <w:pPr>
        <w:ind w:left="1080" w:hanging="70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22" w:lineRule="exact"/>
        <w:rPr>
          <w:rFonts w:ascii="Arial" w:cs="Arial" w:eastAsia="Arial" w:hAnsi="Arial"/>
          <w:sz w:val="18"/>
          <w:szCs w:val="18"/>
          <w:color w:val="auto"/>
        </w:rPr>
      </w:pPr>
    </w:p>
    <w:p>
      <w:pPr>
        <w:ind w:left="1080" w:hanging="70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22" w:lineRule="exact"/>
        <w:rPr>
          <w:rFonts w:ascii="Arial" w:cs="Arial" w:eastAsia="Arial" w:hAnsi="Arial"/>
          <w:sz w:val="18"/>
          <w:szCs w:val="18"/>
          <w:color w:val="auto"/>
        </w:rPr>
      </w:pPr>
    </w:p>
    <w:p>
      <w:pPr>
        <w:ind w:left="1080" w:hanging="708"/>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Product sales were derived from the sale of the PoNS to clinics in Canada.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are accounted for as a fulfillment cost and are included in cost of sales. The Company’s payment terms are defined within each customer’s supply agreement and are all 30 days or less. For the year ended December 31, 2020, the Company recorded $0.6 million in product sales. As of December 31, 2020, the control of 21 of the 55 PoNS devices included as consideration in the Heuro acquisition had been transferred resulting in revenue of $0.1 million being recognized which is included in the aforementioned $0.6 million in product sales for the year ended December 31, 2020. For the year ended December 31, 2021, the Company recorded $0.5 million in product sales. During the year ended December 31, 2021, control of 18 of the 55 PoNS devices included as consideration in the Heuro acquisition had been transferred resulting in revenue of $0.1 million being recognized which is included in the aforementioned $0.5 million in product sales for the year ended December 31, 2021. The fair value of the remaining 16 devices is recorded as deferred revenue of $0.1 million on the consolidated balance sheet. The returns during 2021 were the result of warranty returns for defective products. These returns were insignificant during the year and any future replacements are expected to be insignificant.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half of 2020, the Company earned fee revenue of $9 thousand for engaging new neuroplasticity clinics to provide the PoNS Therapy, before terminating these agreements in the second quarter of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Heuro acquisition, the Company entered into a Clinical Research and Co-Promotion Agreement with HTC (the “Co-Promotion Agreement”). Under the Co-Promotion Agreement, subject to certain terms and conditions, the Company granted to HTC the exclusive right to provide the PoNS Therapy in the Fraser Valley and Vancouver metro regions of British Columbia, where HTC has operated a PoNS authorized clinic since February 2019. HTC will purchase the PoNS devices for use in these regions exclusively from the Company and on terms no less favorable than the then-current standard terms and conditions. The Co-Promotion Agreement had a fair value of CAD$360 thousand at the time of acquisition and a ten-year term. License revenue has been recognized ratably over the ten-year term as the performance obligation is met. During the year ended December 31, 2020, the Company recognized revenues of $27 thousand in license fees associated with the Co-Promotion Agreement. For the year ended December 31, 2021, the Company recognized revenues of $29 thousand in license fees associated with the Co-Promotion Agreement. Revenue not yet recognized of $0.2 million is recorded as deferred revenue on the consolidated balance sheet as of December 31, 2021.</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2021, the Company had recorded $0.1 million in current receivables, net and had no contract assets or liabilities on its consolidated balance sheets related to the supply agreements with each clinic. As of December 31, 2020, the Company has recorded $0.1 million in current receivables, net and had no contract assets or liabilities on its consolidated balance sheets related to the supply agreements with each clinic.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product sales includes the cost to manufacture the PoNS device, royalty expenses, freight charges, customs duties, wages and salaries of employees involved in the management of the supply chain and logistics of fulfilling the Company’s sales orders.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Company has adopted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regarding accounting for uncertainty in income taxes. The Company initially recognizes tax positions in the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consolidated statements of operations and comprehensive loss. When applicable, the Company classifies penalties and interest associated with uncertain tax positions as a component of income tax expense in its consolidated statements of operations and comprehensive loss.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27, 2020, President Trump signed into law the Coronavirus Aid, Relief, and Economic Security Act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CARES Act has not had a material impact on the Company’s accounting for income taxes.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consolidated financial statements in the aggregate in one reportable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result of this accounting treatment is that the fair value of the derivative is re-measured at each balance sheet date and recorded as a liability or asset and the change in fair value is recorded in the consolidated statements of operations and comprehensive loss. As of December 31, 2020, the Company’s derivative financial instruments accounted for in accordance with ASC 815 were comprised of warrants issued in connection with public securities offerings. Upon settlement of a derivative financial instrument, the instrument is re-measured at the settlement date and the fair value of the underlying instrument is reclassified to equity (see Note 3).</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consolidated balance sheet as current if the right to exercise or settle the derivative financial instrument lies with the holder.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last of the warrants accounted for in accordance with ASC 815 expired in April 2021, and as such, as of December 31, 2021, the Company does not hold any derivative financial instruments accounted for in accordance with ASC 815.</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and operating lease ROU asset, approximate their fair values due to the immediate or short-term nature of these instruments.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derivative financial instruments are classified as Level 3 within the fair value hierarchy and are required to be recorded at fair value on a recurring basis. Unobservable inputs used in the valuation of these financial instruments include volatility of the underlying share price and the expected term. See Note 3 for the inputs used in the Black-Scholes option-pricing model as of December 31, 2020 and the roll forward of the derivative financial instruments. The Company’s derivative financial instruments are comprised of warrants which are classified as liabilities. The fair value of the derivative financial instruments as of December 31, 2020 was zero. The warrants classified as liabilities expired in April 2021 and as such, as of December 31, 2021, the Company does not hold any derivative financial instruments accounted for in accordance with ASC 815.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any of the levels during the years ended December 31, 2021 and 2020.</w:t>
      </w:r>
    </w:p>
    <w:p>
      <w:pPr>
        <w:spacing w:after="0" w:line="3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year ended December 31, 2020 of $0.2 million, all of which was recorded during the first quarter of 2020, and had a remaining net book value of $9 thousand as of December 31,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 As of December 31, 2021, the Company’s customer relationship intangible asset had been fully amortized and written off.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(Loss) per Share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shares of common stock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The basic and diluted loss per share for the periods noted below is as follows (amounts in thousands, except for share and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56"/>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(18,132)</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(14,130)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shares of common stock outstanding - basic and diluted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2,456,782</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1,197,774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(7.38)</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45"/>
        <w:spacing w:after="0" w:line="259" w:lineRule="auto"/>
        <w:rPr>
          <w:sz w:val="20"/>
          <w:szCs w:val="20"/>
          <w:color w:val="auto"/>
        </w:rPr>
      </w:pPr>
      <w:r>
        <w:rPr>
          <w:rFonts w:ascii="Arial" w:cs="Arial" w:eastAsia="Arial" w:hAnsi="Arial"/>
          <w:sz w:val="18"/>
          <w:szCs w:val="18"/>
          <w:color w:val="auto"/>
        </w:rPr>
        <w:t>No incremental common stock equivalents, consisting of outstanding stock options, warrants and restricted stock units, were included in calculating diluted loss per share because such inclusion would be anti-dilutive given the net loss reported for the years ended December 31, 2021 and 2020. Dilutive common stock equivalents excluded from the computation of diluted weighted average shares outstanding were 1,265,400 and 455,631 for the years ended December 31,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consolidated financial statements.</w:t>
      </w:r>
    </w:p>
    <w:p>
      <w:pPr>
        <w:spacing w:after="0" w:line="7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w:t>
      </w:r>
      <w:r>
        <w:rPr>
          <w:rFonts w:ascii="Arial" w:cs="Arial" w:eastAsia="Arial" w:hAnsi="Arial"/>
          <w:sz w:val="16"/>
          <w:szCs w:val="16"/>
          <w:color w:val="auto"/>
        </w:rPr>
        <w:t>, which adds disclosure requirements to Topic 820 for the range and weighted average of significant unobservable inputs used to</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Level 3 fair value measurements. This ASU is effective for interim and annual reporting periods beginning after December 15, 2019. The Company adopted this standard as of January 1, 2020 and the adoption did not have a material impact on the Company’s consolidated financial statements.</w:t>
      </w:r>
    </w:p>
    <w:p>
      <w:pPr>
        <w:spacing w:after="0" w:line="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2018, FASB issued ASU 2018-18, C</w:t>
      </w:r>
      <w:r>
        <w:rPr>
          <w:rFonts w:ascii="Arial" w:cs="Arial" w:eastAsia="Arial" w:hAnsi="Arial"/>
          <w:sz w:val="18"/>
          <w:szCs w:val="18"/>
          <w:i w:val="1"/>
          <w:iCs w:val="1"/>
          <w:color w:val="auto"/>
        </w:rPr>
        <w:t>ollaborative Arrangements (Topic 808): Clarifying the Interaction Between Topic 808 and Topic 606,</w:t>
      </w:r>
      <w:r>
        <w:rPr>
          <w:rFonts w:ascii="Arial" w:cs="Arial" w:eastAsia="Arial" w:hAnsi="Arial"/>
          <w:sz w:val="18"/>
          <w:szCs w:val="18"/>
          <w:color w:val="auto"/>
        </w:rPr>
        <w:t xml:space="preserve"> which, among other things, provides guidance on how to assess whether certain collaborative arrangement transactions should be accounted for under Topic 606. The amendments in this ASU are effective for fiscal years, and interim periods within those fiscal years, beginning after December 15, 2019, with early adoption permitted. The Company adopted this standard on January 1, 2020 and the adoption did not have a material impact on the Company’s consolidated financial statements.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FASB issued ASU 2020-06, </w:t>
      </w:r>
      <w:r>
        <w:rPr>
          <w:rFonts w:ascii="Arial" w:cs="Arial" w:eastAsia="Arial" w:hAnsi="Arial"/>
          <w:sz w:val="17"/>
          <w:szCs w:val="17"/>
          <w:i w:val="1"/>
          <w:iCs w:val="1"/>
          <w:color w:val="auto"/>
        </w:rPr>
        <w:t>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815-40)</w:t>
      </w:r>
      <w:r>
        <w:rPr>
          <w:rFonts w:ascii="Arial" w:cs="Arial" w:eastAsia="Arial" w:hAnsi="Arial"/>
          <w:sz w:val="17"/>
          <w:szCs w:val="17"/>
          <w:color w:val="auto"/>
        </w:rPr>
        <w:t>, which simplifies accounting for convertible instruments by removing major separation models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 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 earnings at the date of adoption. The Company early adopted ASU 2020-06 effective January 1, 2021 under the modified retrospective approach. The adoption of this guidance did not have a material impact on the Company’s consolidated financial statements.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dividends have been declared since inception of the Company through December 31, 2021.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2018 Offering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13, 2018, the Company issued 61,197 shares of its common stock and warrants to purchase 61,197 shares of the Company’s common stock in an underwritten public offering at a price of $261.45 per share and accompanying warrant. On April 24, 2018, the Company closed on the sale of an additional 9,179 shares of its common stock and warrants pursuant to the exercise of the over-allotment option (collectively the “April 2018 Offering”) granted to the underwriters in connection with the offering at a price of $261.45 per share and accompanying warrants. The Company received net proceeds of $16.3 million from the April 2018 Offering. The fair value of these warrants at issuance was approximately $7.4 million.</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Each warrant issued in connection with the April 2018 Offering entitles the holder to acquire one additional share of common stock at an exercise price of CAD$428.75 per share on or before April 10, 2021. Pursuant to the guidance of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the Company has determined that warrants issued in connection with the April 2018 Offering should be accounted for as liabilities as the ability to maintain an effective registration is outside of the Company’s control and that it may be required to settle the exercise of the warrants in cash and because the exercise prices of these warrants are in a currency other than the Company’s functional currency. Consequently, the Company determined the fair value of each warrant issuance using the Black-Scholes option-pricing model, with the remainder of the proceeds allocated to the shares of common stock. As of December 31, 2021, 2,025 warrants had been exercised, all during 2018, for gross proceeds of CAD$0.9 million. The remaining 68,351 warrants expired in April 2021.</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following table summarizes the weighted average assumptions used in estimating the fair value of the warrants granted in the April 2018 Offering using the Black-Scholes option pricing model as of the date of the initial closing of the offering and the date of the closing of the over-allotment option.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9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April 24, 2018</w:t>
            </w: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April 13, 2018</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$376.60</w:t>
            </w:r>
          </w:p>
        </w:tc>
        <w:tc>
          <w:tcPr>
            <w:tcW w:w="360" w:type="dxa"/>
            <w:vAlign w:val="bottom"/>
            <w:tcBorders>
              <w:top w:val="single" w:sz="8" w:color="CFF0FC"/>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CAD $344.75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Exercise price</w:t>
            </w:r>
          </w:p>
        </w:tc>
        <w:tc>
          <w:tcPr>
            <w:tcW w:w="1920" w:type="dxa"/>
            <w:vAlign w:val="bottom"/>
            <w:gridSpan w:val="2"/>
          </w:tcPr>
          <w:p>
            <w:pPr>
              <w:jc w:val="right"/>
              <w:ind w:right="380"/>
              <w:spacing w:after="0"/>
              <w:rPr>
                <w:sz w:val="20"/>
                <w:szCs w:val="20"/>
                <w:color w:val="auto"/>
              </w:rPr>
            </w:pPr>
            <w:r>
              <w:rPr>
                <w:rFonts w:ascii="Arial" w:cs="Arial" w:eastAsia="Arial" w:hAnsi="Arial"/>
                <w:sz w:val="18"/>
                <w:szCs w:val="18"/>
                <w:color w:val="auto"/>
              </w:rPr>
              <w:t>CAD $428.75</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CAD $428.75</w:t>
            </w: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19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3.00 years</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 years</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Expected volatility</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64.49%</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64.20%</w:t>
            </w: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2.02%</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1.99%</w:t>
            </w: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Dividend rate</w:t>
            </w: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At The Market Offering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The Company terminated the 2020 ATM effective November 25, 2020. For the year ended December 31, 2020, under the 2020 ATM, the Company sold and issued 232,526 shares of its common stock with an aggregated market value of $5.0 million at an average price of $21.68 per share and paid Wainwright a sales commission of approximately $181 thousand related to those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Offering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both"/>
        <w:spacing w:after="0" w:line="279" w:lineRule="auto"/>
        <w:rPr>
          <w:sz w:val="20"/>
          <w:szCs w:val="20"/>
          <w:color w:val="auto"/>
        </w:rPr>
      </w:pPr>
      <w:r>
        <w:rPr>
          <w:rFonts w:ascii="Arial" w:cs="Arial" w:eastAsia="Arial" w:hAnsi="Arial"/>
          <w:sz w:val="17"/>
          <w:szCs w:val="17"/>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Arial" w:cs="Arial" w:eastAsia="Arial" w:hAnsi="Arial"/>
          <w:sz w:val="18"/>
          <w:szCs w:val="18"/>
          <w:i w:val="1"/>
          <w:iCs w:val="1"/>
          <w:color w:val="auto"/>
        </w:rPr>
        <w:t xml:space="preserve">Distinguishing Liabilities from Equity </w:t>
      </w:r>
      <w:r>
        <w:rPr>
          <w:rFonts w:ascii="Arial" w:cs="Arial" w:eastAsia="Arial" w:hAnsi="Arial"/>
          <w:sz w:val="18"/>
          <w:szCs w:val="18"/>
          <w:color w:val="auto"/>
        </w:rPr>
        <w:t>and ASC 815</w:t>
      </w:r>
      <w:r>
        <w:rPr>
          <w:rFonts w:ascii="Arial" w:cs="Arial" w:eastAsia="Arial" w:hAnsi="Arial"/>
          <w:sz w:val="18"/>
          <w:szCs w:val="18"/>
          <w:i w:val="1"/>
          <w:iCs w:val="1"/>
          <w:color w:val="auto"/>
        </w:rPr>
        <w:t xml:space="preserve"> Derivatives and Hedging</w:t>
      </w:r>
      <w:r>
        <w:rPr>
          <w:rFonts w:ascii="Arial" w:cs="Arial" w:eastAsia="Arial" w:hAnsi="Arial"/>
          <w:sz w:val="18"/>
          <w:szCs w:val="18"/>
          <w:color w:val="auto"/>
        </w:rPr>
        <w:t>, the Company has determined that warrants issued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2020 Offering should be classified as equity as partial cash settlement under certain circumstances, charges of transfer taxes and fees and provisions related to market volatility did not preclude equity classification. The relative fair value of these warrants at issuance was approximately $0.8 million and was included in additional paid-in capital. As of December 31, 2021, 81,633 warrants had been exercised, all during the first quarter of 2021, for gross proceeds of $1.3 million.</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20, 2020</w:t>
            </w:r>
          </w:p>
        </w:tc>
      </w:tr>
      <w:tr>
        <w:trPr>
          <w:trHeight w:val="223"/>
        </w:trPr>
        <w:tc>
          <w:tcPr>
            <w:tcW w:w="9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9180" w:type="dxa"/>
            <w:vAlign w:val="bottom"/>
          </w:tcPr>
          <w:p>
            <w:pPr>
              <w:spacing w:after="0"/>
              <w:rPr>
                <w:sz w:val="20"/>
                <w:szCs w:val="20"/>
                <w:color w:val="auto"/>
              </w:rPr>
            </w:pPr>
            <w:r>
              <w:rPr>
                <w:rFonts w:ascii="Arial" w:cs="Arial" w:eastAsia="Arial" w:hAnsi="Arial"/>
                <w:sz w:val="18"/>
                <w:szCs w:val="18"/>
                <w:color w:val="auto"/>
              </w:rPr>
              <w:t>Exercise price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5.50 years</w:t>
            </w:r>
          </w:p>
        </w:tc>
      </w:tr>
      <w:tr>
        <w:trPr>
          <w:trHeight w:val="229"/>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9"/>
                <w:szCs w:val="19"/>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82.41%</w:t>
            </w: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0.52%</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Dividend rate</w:t>
            </w:r>
          </w:p>
        </w:tc>
        <w:tc>
          <w:tcPr>
            <w:tcW w:w="28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2020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26, 2020, the Company issued units consisting of one share and a warrant to purchase 0.50 shares of common stock, with an aggregate issuance of 187,646 shares of common stock and warrants to purchase an aggregate of 93,817 shares of common stock at a purchase price of $18.20 per unit, resulting in gross proceeds of approximately $3.4 million, excluding the proceeds, if any, that the Company may receive in the future from the exercise of the warrants (the “October 2020 Offering”). The Company incurred $0.3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October 2020 Offering on the same terms and conditions as all other purchasers, except that they paid $18.354 per unit and their warrants have an exercise price of $16.1665 per share.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securities purchase agreement for the October 2020 Offering, if the Company issues any shares of common stock or common stock equivalents for cash consideration, indebtedness or a combination thereof, with certain exceptions, within twelve months of the closing of the October 2020 Offering, each purchaser who subscribed for at least $250,000 had the right to participate in up to such purchaser’s pro rata portion of 30% of the such subsequent financing on the same terms, conditions and price provided for in the subsequent financing. These participation rights expired on October 26, 2021.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October 2020 Offering should be classified as equity as charges of transfer taxes and fees and partial cash settlement under certain circumstances did not preclude equity classification. The relative fair value of these warrants at issuance was approximately $0.6 million and was included in additional paid-in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October 2020 Offering using the Black-Scholes option pricing model as of the date of the closing of the offering on October 26,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October 26, 2020</w:t>
            </w: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56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Exercise price</w:t>
            </w:r>
          </w:p>
        </w:tc>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9"/>
                <w:szCs w:val="19"/>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5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3.00 years</w:t>
            </w:r>
          </w:p>
        </w:tc>
      </w:tr>
      <w:tr>
        <w:trPr>
          <w:trHeight w:val="229"/>
        </w:trPr>
        <w:tc>
          <w:tcPr>
            <w:tcW w:w="3520" w:type="dxa"/>
            <w:vAlign w:val="bottom"/>
          </w:tcPr>
          <w:p>
            <w:pPr>
              <w:spacing w:after="0"/>
              <w:rPr>
                <w:sz w:val="20"/>
                <w:szCs w:val="20"/>
                <w:color w:val="auto"/>
              </w:rPr>
            </w:pPr>
            <w:r>
              <w:rPr>
                <w:rFonts w:ascii="Arial" w:cs="Arial" w:eastAsia="Arial" w:hAnsi="Arial"/>
                <w:sz w:val="18"/>
                <w:szCs w:val="18"/>
                <w:color w:val="auto"/>
              </w:rPr>
              <w:t>Expected volatility</w:t>
            </w:r>
          </w:p>
        </w:tc>
        <w:tc>
          <w:tcPr>
            <w:tcW w:w="5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80.91%</w:t>
            </w: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0.18%</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Dividend rate</w:t>
            </w:r>
          </w:p>
        </w:tc>
        <w:tc>
          <w:tcPr>
            <w:tcW w:w="5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431"/>
        </w:trPr>
        <w:tc>
          <w:tcPr>
            <w:tcW w:w="3520" w:type="dxa"/>
            <w:vAlign w:val="bottom"/>
          </w:tcPr>
          <w:p>
            <w:pPr>
              <w:spacing w:after="0"/>
              <w:rPr>
                <w:sz w:val="24"/>
                <w:szCs w:val="24"/>
                <w:color w:val="auto"/>
              </w:rPr>
            </w:pPr>
          </w:p>
        </w:tc>
        <w:tc>
          <w:tcPr>
            <w:tcW w:w="5920" w:type="dxa"/>
            <w:vAlign w:val="bottom"/>
            <w:gridSpan w:val="2"/>
          </w:tcPr>
          <w:p>
            <w:pPr>
              <w:jc w:val="right"/>
              <w:ind w:right="3550"/>
              <w:spacing w:after="0"/>
              <w:rPr>
                <w:sz w:val="20"/>
                <w:szCs w:val="20"/>
                <w:color w:val="auto"/>
              </w:rPr>
            </w:pPr>
            <w:r>
              <w:rPr>
                <w:rFonts w:ascii="Arial" w:cs="Arial" w:eastAsia="Arial" w:hAnsi="Arial"/>
                <w:sz w:val="18"/>
                <w:szCs w:val="18"/>
                <w:color w:val="auto"/>
              </w:rPr>
              <w:t>F-18</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5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i w:val="1"/>
          <w:iCs w:val="1"/>
          <w:color w:val="auto"/>
        </w:rPr>
        <w:t>February 2021 Offering</w:t>
      </w:r>
    </w:p>
    <w:p>
      <w:pPr>
        <w:spacing w:after="0" w:line="2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 2021, in an underwritten public offering (the “February 2021 Offering”), the Company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February 2021 Offering after underwriter’s discounts and commission and offering expenses paid by us were approximately $9.6 million. Affiliates of an officer and director participated in the February 2021 Offering on the same terms and conditions as all other purchasers.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Pursuant to the guidance of ASC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and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Company has determined that warrants issued in connection with the February 2021 Offering should be classified as equity as partial cash settlement under certain circumstances, charges of transfer taxes and fees and provisions related to market volatility did not preclude equity classification. The relative fair value of these warrants at issuance was approximately $2.6 million and was included in additional paid-in capital. As of December 31, 2021, 262 warrants had been exercised, all during the second quarter of 2021, for gross proceeds of $4 thousand.</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February 2021 Offering using the Black-Scholes option pricing model as of the date of the closing of the offering on February 1, 2021.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February 1, 2021</w:t>
            </w:r>
          </w:p>
        </w:tc>
      </w:tr>
      <w:tr>
        <w:trPr>
          <w:trHeight w:val="223"/>
        </w:trPr>
        <w:tc>
          <w:tcPr>
            <w:tcW w:w="9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Exercise price</w:t>
            </w: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9"/>
                <w:szCs w:val="19"/>
                <w:color w:val="auto"/>
              </w:rPr>
            </w:pP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5.00 years</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Expected volatility</w:t>
            </w:r>
          </w:p>
        </w:tc>
        <w:tc>
          <w:tcPr>
            <w:tcW w:w="2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75.02%</w:t>
            </w: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0.42%</w:t>
            </w:r>
          </w:p>
        </w:tc>
      </w:tr>
      <w:tr>
        <w:trPr>
          <w:trHeight w:val="230"/>
        </w:trPr>
        <w:tc>
          <w:tcPr>
            <w:tcW w:w="9180" w:type="dxa"/>
            <w:vAlign w:val="bottom"/>
          </w:tcPr>
          <w:p>
            <w:pPr>
              <w:spacing w:after="0"/>
              <w:rPr>
                <w:sz w:val="20"/>
                <w:szCs w:val="20"/>
                <w:color w:val="auto"/>
              </w:rPr>
            </w:pPr>
            <w:r>
              <w:rPr>
                <w:rFonts w:ascii="Arial" w:cs="Arial" w:eastAsia="Arial" w:hAnsi="Arial"/>
                <w:sz w:val="18"/>
                <w:szCs w:val="18"/>
                <w:color w:val="auto"/>
              </w:rPr>
              <w:t>Dividend rate</w:t>
            </w:r>
          </w:p>
        </w:tc>
        <w:tc>
          <w:tcPr>
            <w:tcW w:w="26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 2021, the Company entered into a purchase agreement (the “LPC Purchase Agreement”) and a registration rights agreement with Lincoln Park. The LPC Purchase Agreement provides that, subject to the terms and conditions therein, the Company has the right, but not the obligation, to sell from time to time, at its sole discretion, to Lincoln Park up to $15.0 million of shares of its common stock over a 36-month period commencing on September 15, 2021. In addition, under the LPC Purchase Agreement, during the third quarter of 2021, the Company issued 31,958 shares of common stock to Lincoln Park as consideration for Lincoln Park’s commitment to purchase shares of the Company’s common stock. The $0.5 million fair value of the commitment fee shares was recorded as share issuance costs as of September 30, 2021 upon execution of the agreement.</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Lincoln Park has no right to require the Company to sell any shares of common stock to Lincoln Park, but Lincoln Park is obligated to make purchases as the Company directs, subject to certain conditions.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number of shares the Company may sell to Lincoln Park on any single business day (provided that the closing sale price of the common stock is not below the “floor price” stated in the LPC Purchase Agreement) in a regular purchase is 20,000, but that amount may be increased to (i) up to 25,000 shares, provided that the closing sale price of the common stock on the applicable purchase date is not below $20.00 and (ii) up to 30,000 shares, provided that the closing sale price of the common stock on the applicable purchase date is not below $25.00, in each case, subject to a maximum limit of $2.0 million per regular purchase. The purchase price per share for each such regular purchase will be based on prevailing market prices of the Company’s common stock immediately preceding the time of sale as computed under the LPC Purchase Agreement. In addition to regular purchases, the Company may also direct Lincoln Park to purchase other amounts as accelerated purchases or as additional accelerated purchases as set forth in the LPC Purchase Agreement.</w:t>
      </w:r>
    </w:p>
    <w:p>
      <w:pPr>
        <w:spacing w:after="0" w:line="2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applicable rules of the Nasdaq Capital Market, the Company may not issue or sell to Lincoln Park under the LPC Purchase Agreement more than 19.99% of the shares of the common stock outstanding immediately prior to the execution of the LPC Purchase Agreement unless (i) the Company obtains stockholder approval to issue shares of Common Stock in excess of such amount to Lincoln Park under the LPC Purchase Agreement in accordance with applicable Nasdaq rules or (ii) the average price of all applicable sales of common stock to Lincoln Park under the LPC Purchase Agreement equals or exceeds $15.1661 per share, such that issuances of common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92" w:name="page93"/>
    <w:bookmarkEnd w:id="92"/>
    <w:p>
      <w:pPr>
        <w:jc w:val="both"/>
        <w:ind w:right="20"/>
        <w:spacing w:after="0" w:line="263" w:lineRule="auto"/>
        <w:rPr>
          <w:sz w:val="20"/>
          <w:szCs w:val="20"/>
          <w:color w:val="auto"/>
        </w:rPr>
      </w:pPr>
      <w:r>
        <w:rPr>
          <w:rFonts w:ascii="Arial" w:cs="Arial" w:eastAsia="Arial" w:hAnsi="Arial"/>
          <w:sz w:val="18"/>
          <w:szCs w:val="18"/>
          <w:color w:val="auto"/>
        </w:rPr>
        <w:t>stock to Lincoln Park under the LPC Purchase Agreement will not be subject to such limitation under applicable Nasdaq rules. In any event, the LPC Purchase Agreement specifically provides that the Company may not issue or sell any shares of its common stock under the LPC Purchase Agreement if such issuance or sale would breach any applicable Nasdaq rules.</w:t>
      </w:r>
    </w:p>
    <w:p>
      <w:pPr>
        <w:spacing w:after="0" w:line="2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all instances, the LPC Purchase Agreement prohibits the Company from directing Lincoln Park to purchase any shares of its common stock if those shares, when aggregated with all other shares of common stock then beneficially owned by Lincoln Park, would result in Lincoln Park beneficially owning more than 9.99% of the outstanding shares of the Company’s common stock.</w:t>
      </w:r>
    </w:p>
    <w:p>
      <w:pPr>
        <w:spacing w:after="0" w:line="2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agreed with Lincoln Park that it will not enter into an additional “equity line” or a substantially similar transaction whereby a specific investor is irrevocably bound pursuant to an agreement with the Company to purchase securities over a period of time from the Company at a price based on the market price of the common stock at the time of such purchase for a period defined in the LPC Purchase Agreement. Lincoln Park has covenanted not to cause or engage in any manner whatsoever, any direct or indirect short selling or hedging of the Company’s shares.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sales of common stock to Lincoln Park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LPC Purchase Agreement to the Company will depend on the frequency and prices at which the Company sells shares of its common stock to Lincoln Park.</w:t>
      </w: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2021, all of which occurred during the third quarter of 2021, the Company sold and issued 40,000 shares under the LPC Purchase Agreement, excluding the 31,958 shares issued for the commitment fee, for net proceeds of $0.6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2021 Offering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12, 2021, in an underwritten public offering (the “November 2021 Offering”), the Company issued 1,385,031 shares of common stock at a purchase price of $8.00 per share. Net proceeds from the November 2021 Offering after underwriter’s discounts and commission and offering expenses paid by us were approximately $9.9 million. Affiliates of an officer and director participated in the November 2021 Offering on the same terms and conditions as all other purchasers.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activities of warrants that the Company accounts for as liabilities and records as derivative financial instruments for the years ended December 31, 2021 and 2020 (amounts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900" w:type="dxa"/>
            <w:vAlign w:val="bottom"/>
            <w:tcBorders>
              <w:bottom w:val="single" w:sz="8" w:color="auto"/>
            </w:tcBorders>
            <w:gridSpan w:val="4"/>
          </w:tcPr>
          <w:p>
            <w:pPr>
              <w:jc w:val="right"/>
              <w:ind w:right="387"/>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vMerge w:val="restart"/>
          </w:tcPr>
          <w:p>
            <w:pPr>
              <w:spacing w:after="0"/>
              <w:rPr>
                <w:sz w:val="20"/>
                <w:szCs w:val="20"/>
                <w:color w:val="auto"/>
              </w:rPr>
            </w:pPr>
            <w:r>
              <w:rPr>
                <w:rFonts w:ascii="Arial" w:cs="Arial" w:eastAsia="Arial" w:hAnsi="Arial"/>
                <w:sz w:val="18"/>
                <w:szCs w:val="18"/>
                <w:color w:val="auto"/>
              </w:rPr>
              <w:t>Fair value of warrants at beginning of year</w:t>
            </w:r>
          </w:p>
        </w:tc>
        <w:tc>
          <w:tcPr>
            <w:tcW w:w="2180" w:type="dxa"/>
            <w:vAlign w:val="bottom"/>
          </w:tcPr>
          <w:p>
            <w:pPr>
              <w:spacing w:after="0"/>
              <w:rPr>
                <w:sz w:val="13"/>
                <w:szCs w:val="13"/>
                <w:color w:val="auto"/>
              </w:rPr>
            </w:pPr>
          </w:p>
        </w:tc>
        <w:tc>
          <w:tcPr>
            <w:tcW w:w="116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Borders>
              <w:bottom w:val="single" w:sz="8" w:color="auto"/>
            </w:tcBorders>
          </w:tcPr>
          <w:p>
            <w:pPr>
              <w:jc w:val="right"/>
              <w:ind w:right="107"/>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4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160" w:type="dxa"/>
            <w:vAlign w:val="bottom"/>
          </w:tcPr>
          <w:p>
            <w:pPr>
              <w:jc w:val="right"/>
              <w:ind w:right="97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Pr>
          <w:p>
            <w:pPr>
              <w:ind w:left="22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19"/>
                <w:szCs w:val="19"/>
                <w:color w:val="auto"/>
              </w:rPr>
            </w:pP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w:t>
            </w: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2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warrants during the year</w:t>
            </w:r>
          </w:p>
        </w:tc>
        <w:tc>
          <w:tcPr>
            <w:tcW w:w="2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Fair value of warrants at end of year</w:t>
            </w:r>
          </w:p>
        </w:tc>
        <w:tc>
          <w:tcPr>
            <w:tcW w:w="21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97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These warrants, which expired in April 2021, were classified as derivative financial instruments in the Company’s consolidated balance sheets and were required to be re-measured at each reporting period, with the change in fair value recorded as a gain or loss in the change of fair value of derivative financial instruments, included in other income in the Company’s consolidated statements of operations and comprehensive loss.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classified as liabilities expired in April 2021 and as such, as of December 31, 2021, the Company does not hold any derivative financial instruments accounted for in accordance with ASC 815. The fair value of all warrants classified as derivative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financial instruments outstanding as of December 31, 2020 were estimated using the Black-Scholes option-pricing model with the following weighted average assumptions: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180" w:type="dxa"/>
            <w:vAlign w:val="bottom"/>
          </w:tcPr>
          <w:p>
            <w:pPr>
              <w:spacing w:after="0"/>
              <w:rPr>
                <w:sz w:val="14"/>
                <w:szCs w:val="14"/>
                <w:color w:val="auto"/>
              </w:rPr>
            </w:pPr>
          </w:p>
        </w:tc>
        <w:tc>
          <w:tcPr>
            <w:tcW w:w="20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918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1880" w:type="dxa"/>
            <w:vAlign w:val="bottom"/>
            <w:tcBorders>
              <w:top w:val="single" w:sz="8" w:color="auto"/>
              <w:bottom w:val="single" w:sz="8" w:color="auto"/>
            </w:tcBorders>
          </w:tcPr>
          <w:p>
            <w:pPr>
              <w:jc w:val="right"/>
              <w:ind w:right="7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9180" w:type="dxa"/>
            <w:vAlign w:val="bottom"/>
            <w:vMerge w:val="continue"/>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CAD $17.15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2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CAD $428.75</w:t>
            </w:r>
          </w:p>
        </w:tc>
        <w:tc>
          <w:tcPr>
            <w:tcW w:w="0" w:type="dxa"/>
            <w:vAlign w:val="bottom"/>
          </w:tcPr>
          <w:p>
            <w:pPr>
              <w:spacing w:after="0"/>
              <w:rPr>
                <w:sz w:val="1"/>
                <w:szCs w:val="1"/>
                <w:color w:val="auto"/>
              </w:rPr>
            </w:pPr>
          </w:p>
        </w:tc>
      </w:tr>
      <w:tr>
        <w:trPr>
          <w:trHeight w:val="229"/>
        </w:trPr>
        <w:tc>
          <w:tcPr>
            <w:tcW w:w="9180" w:type="dxa"/>
            <w:vAlign w:val="bottom"/>
          </w:tcPr>
          <w:p>
            <w:pPr>
              <w:spacing w:after="0"/>
              <w:rPr>
                <w:sz w:val="20"/>
                <w:szCs w:val="20"/>
                <w:color w:val="auto"/>
              </w:rPr>
            </w:pPr>
            <w:r>
              <w:rPr>
                <w:rFonts w:ascii="Arial" w:cs="Arial" w:eastAsia="Arial" w:hAnsi="Arial"/>
                <w:sz w:val="18"/>
                <w:szCs w:val="18"/>
                <w:color w:val="auto"/>
              </w:rPr>
              <w:t>Warrant term</w:t>
            </w:r>
          </w:p>
        </w:tc>
        <w:tc>
          <w:tcPr>
            <w:tcW w:w="2060" w:type="dxa"/>
            <w:vAlign w:val="bottom"/>
            <w:gridSpan w:val="2"/>
          </w:tcPr>
          <w:p>
            <w:pPr>
              <w:jc w:val="right"/>
              <w:ind w:right="180"/>
              <w:spacing w:after="0"/>
              <w:rPr>
                <w:sz w:val="20"/>
                <w:szCs w:val="20"/>
                <w:color w:val="auto"/>
              </w:rPr>
            </w:pPr>
            <w:r>
              <w:rPr>
                <w:rFonts w:ascii="Arial" w:cs="Arial" w:eastAsia="Arial" w:hAnsi="Arial"/>
                <w:sz w:val="18"/>
                <w:szCs w:val="18"/>
                <w:color w:val="auto"/>
              </w:rPr>
              <w:t>0.27 years</w:t>
            </w:r>
          </w:p>
        </w:tc>
        <w:tc>
          <w:tcPr>
            <w:tcW w:w="0" w:type="dxa"/>
            <w:vAlign w:val="bottom"/>
          </w:tcPr>
          <w:p>
            <w:pPr>
              <w:spacing w:after="0"/>
              <w:rPr>
                <w:sz w:val="1"/>
                <w:szCs w:val="1"/>
                <w:color w:val="auto"/>
              </w:rPr>
            </w:pPr>
          </w:p>
        </w:tc>
      </w:tr>
      <w:tr>
        <w:trPr>
          <w:trHeight w:val="230"/>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64.48%</w:t>
            </w:r>
          </w:p>
        </w:tc>
        <w:tc>
          <w:tcPr>
            <w:tcW w:w="0" w:type="dxa"/>
            <w:vAlign w:val="bottom"/>
          </w:tcPr>
          <w:p>
            <w:pPr>
              <w:spacing w:after="0"/>
              <w:rPr>
                <w:sz w:val="1"/>
                <w:szCs w:val="1"/>
                <w:color w:val="auto"/>
              </w:rPr>
            </w:pPr>
          </w:p>
        </w:tc>
      </w:tr>
      <w:tr>
        <w:trPr>
          <w:trHeight w:val="229"/>
        </w:trPr>
        <w:tc>
          <w:tcPr>
            <w:tcW w:w="9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29"/>
        </w:trPr>
        <w:tc>
          <w:tcPr>
            <w:tcW w:w="918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2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warrant activity during the years ended December 31,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Number of Warrants (by currency</w:t>
            </w:r>
          </w:p>
        </w:tc>
        <w:tc>
          <w:tcPr>
            <w:tcW w:w="220" w:type="dxa"/>
            <w:vAlign w:val="bottom"/>
          </w:tcPr>
          <w:p>
            <w:pPr>
              <w:spacing w:after="0"/>
              <w:rPr>
                <w:sz w:val="14"/>
                <w:szCs w:val="14"/>
                <w:color w:val="auto"/>
              </w:rPr>
            </w:pPr>
          </w:p>
        </w:tc>
        <w:tc>
          <w:tcPr>
            <w:tcW w:w="2420" w:type="dxa"/>
            <w:vAlign w:val="bottom"/>
            <w:gridSpan w:val="5"/>
          </w:tcPr>
          <w:p>
            <w:pPr>
              <w:ind w:left="48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7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denomination of exercise price)</w:t>
            </w:r>
          </w:p>
        </w:tc>
        <w:tc>
          <w:tcPr>
            <w:tcW w:w="220" w:type="dxa"/>
            <w:vAlign w:val="bottom"/>
          </w:tcPr>
          <w:p>
            <w:pPr>
              <w:spacing w:after="0"/>
              <w:rPr>
                <w:sz w:val="14"/>
                <w:szCs w:val="14"/>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rPr>
                <w:sz w:val="13"/>
                <w:szCs w:val="13"/>
                <w:color w:val="auto"/>
              </w:rPr>
            </w:pPr>
          </w:p>
        </w:tc>
        <w:tc>
          <w:tcPr>
            <w:tcW w:w="1380" w:type="dxa"/>
            <w:vAlign w:val="bottom"/>
            <w:tcBorders>
              <w:top w:val="single" w:sz="8" w:color="auto"/>
            </w:tcBorders>
            <w:gridSpan w:val="2"/>
          </w:tcPr>
          <w:p>
            <w:pPr>
              <w:jc w:val="right"/>
              <w:ind w:right="620"/>
              <w:spacing w:after="0" w:line="155" w:lineRule="exact"/>
              <w:rPr>
                <w:sz w:val="20"/>
                <w:szCs w:val="20"/>
                <w:color w:val="auto"/>
              </w:rPr>
            </w:pPr>
            <w:r>
              <w:rPr>
                <w:rFonts w:ascii="Arial" w:cs="Arial" w:eastAsia="Arial" w:hAnsi="Arial"/>
                <w:sz w:val="14"/>
                <w:szCs w:val="14"/>
                <w:b w:val="1"/>
                <w:bCs w:val="1"/>
                <w:color w:val="auto"/>
              </w:rPr>
              <w:t>CAD$</w:t>
            </w:r>
          </w:p>
        </w:tc>
        <w:tc>
          <w:tcPr>
            <w:tcW w:w="114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USD$</w:t>
            </w:r>
          </w:p>
        </w:tc>
        <w:tc>
          <w:tcPr>
            <w:tcW w:w="2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CAD$</w:t>
            </w: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2019</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18,607</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273,554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(18,607)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68,351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273,554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402,265</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(68,351)</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(81,895)</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and exercisable as of December 31, 2021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593,924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warrants outstanding and exercisable as of December 31, 2021:</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060" w:type="dxa"/>
            <w:vAlign w:val="bottom"/>
          </w:tcPr>
          <w:p>
            <w:pPr>
              <w:jc w:val="right"/>
              <w:ind w:right="412"/>
              <w:spacing w:after="0"/>
              <w:rPr>
                <w:sz w:val="20"/>
                <w:szCs w:val="20"/>
                <w:color w:val="auto"/>
              </w:rPr>
            </w:pPr>
            <w:r>
              <w:rPr>
                <w:rFonts w:ascii="Arial" w:cs="Arial" w:eastAsia="Arial" w:hAnsi="Arial"/>
                <w:sz w:val="14"/>
                <w:szCs w:val="14"/>
                <w:b w:val="1"/>
                <w:bCs w:val="1"/>
                <w:color w:val="auto"/>
              </w:rPr>
              <w:t>Number of Warrants Outstanding</w:t>
            </w:r>
          </w:p>
        </w:tc>
        <w:tc>
          <w:tcPr>
            <w:tcW w:w="380" w:type="dxa"/>
            <w:vAlign w:val="bottom"/>
          </w:tcPr>
          <w:p>
            <w:pPr>
              <w:spacing w:after="0"/>
              <w:rPr>
                <w:sz w:val="14"/>
                <w:szCs w:val="14"/>
                <w:color w:val="auto"/>
              </w:rPr>
            </w:pPr>
          </w:p>
        </w:tc>
        <w:tc>
          <w:tcPr>
            <w:tcW w:w="3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r>
      <w:tr>
        <w:trPr>
          <w:trHeight w:val="223"/>
        </w:trPr>
        <w:tc>
          <w:tcPr>
            <w:tcW w:w="3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97,143</w:t>
            </w:r>
          </w:p>
        </w:tc>
        <w:tc>
          <w:tcPr>
            <w:tcW w:w="380" w:type="dxa"/>
            <w:vAlign w:val="bottom"/>
            <w:tcBorders>
              <w:top w:val="single" w:sz="8" w:color="CFF0FC"/>
            </w:tcBorders>
            <w:shd w:val="clear" w:color="auto" w:fill="CFF0FC"/>
          </w:tcPr>
          <w:p>
            <w:pPr>
              <w:spacing w:after="0"/>
              <w:rPr>
                <w:sz w:val="19"/>
                <w:szCs w:val="19"/>
                <w:color w:val="auto"/>
              </w:rPr>
            </w:pPr>
          </w:p>
        </w:tc>
        <w:tc>
          <w:tcPr>
            <w:tcW w:w="31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US$16.10</w:t>
            </w:r>
          </w:p>
        </w:tc>
        <w:tc>
          <w:tcPr>
            <w:tcW w:w="300" w:type="dxa"/>
            <w:vAlign w:val="bottom"/>
            <w:tcBorders>
              <w:top w:val="single" w:sz="8" w:color="CFF0FC"/>
            </w:tcBorders>
            <w:shd w:val="clear" w:color="auto" w:fill="CFF0FC"/>
          </w:tcPr>
          <w:p>
            <w:pPr>
              <w:spacing w:after="0"/>
              <w:rPr>
                <w:sz w:val="19"/>
                <w:szCs w:val="19"/>
                <w:color w:val="auto"/>
              </w:rPr>
            </w:pPr>
          </w:p>
        </w:tc>
        <w:tc>
          <w:tcPr>
            <w:tcW w:w="32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March 20, 2025</w:t>
            </w:r>
          </w:p>
        </w:tc>
      </w:tr>
      <w:tr>
        <w:trPr>
          <w:trHeight w:val="230"/>
        </w:trPr>
        <w:tc>
          <w:tcPr>
            <w:tcW w:w="3060" w:type="dxa"/>
            <w:vAlign w:val="bottom"/>
          </w:tcPr>
          <w:p>
            <w:pPr>
              <w:jc w:val="right"/>
              <w:spacing w:after="0"/>
              <w:rPr>
                <w:sz w:val="20"/>
                <w:szCs w:val="20"/>
                <w:color w:val="auto"/>
              </w:rPr>
            </w:pPr>
            <w:r>
              <w:rPr>
                <w:rFonts w:ascii="Arial" w:cs="Arial" w:eastAsia="Arial" w:hAnsi="Arial"/>
                <w:sz w:val="18"/>
                <w:szCs w:val="18"/>
                <w:color w:val="auto"/>
              </w:rPr>
              <w:t>17,431</w:t>
            </w:r>
          </w:p>
        </w:tc>
        <w:tc>
          <w:tcPr>
            <w:tcW w:w="380" w:type="dxa"/>
            <w:vAlign w:val="bottom"/>
          </w:tcPr>
          <w:p>
            <w:pPr>
              <w:spacing w:after="0"/>
              <w:rPr>
                <w:sz w:val="19"/>
                <w:szCs w:val="19"/>
                <w:color w:val="auto"/>
              </w:rPr>
            </w:pPr>
          </w:p>
        </w:tc>
        <w:tc>
          <w:tcPr>
            <w:tcW w:w="34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US$16.1665</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29"/>
        </w:trPr>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76,386</w:t>
            </w:r>
          </w:p>
        </w:tc>
        <w:tc>
          <w:tcPr>
            <w:tcW w:w="3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center"/>
              <w:ind w:right="300"/>
              <w:spacing w:after="0"/>
              <w:rPr>
                <w:sz w:val="20"/>
                <w:szCs w:val="20"/>
                <w:color w:val="auto"/>
              </w:rPr>
            </w:pPr>
            <w:r>
              <w:rPr>
                <w:rFonts w:ascii="Arial" w:cs="Arial" w:eastAsia="Arial" w:hAnsi="Arial"/>
                <w:sz w:val="18"/>
                <w:szCs w:val="18"/>
                <w:color w:val="auto"/>
                <w:w w:val="89"/>
              </w:rPr>
              <w:t>US$15.82</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30"/>
        </w:trPr>
        <w:tc>
          <w:tcPr>
            <w:tcW w:w="3060" w:type="dxa"/>
            <w:vAlign w:val="bottom"/>
          </w:tcPr>
          <w:p>
            <w:pPr>
              <w:jc w:val="right"/>
              <w:spacing w:after="0"/>
              <w:rPr>
                <w:sz w:val="20"/>
                <w:szCs w:val="20"/>
                <w:color w:val="auto"/>
              </w:rPr>
            </w:pPr>
            <w:r>
              <w:rPr>
                <w:rFonts w:ascii="Arial" w:cs="Arial" w:eastAsia="Arial" w:hAnsi="Arial"/>
                <w:sz w:val="18"/>
                <w:szCs w:val="18"/>
                <w:color w:val="auto"/>
              </w:rPr>
              <w:t>961</w:t>
            </w:r>
          </w:p>
        </w:tc>
        <w:tc>
          <w:tcPr>
            <w:tcW w:w="380" w:type="dxa"/>
            <w:vAlign w:val="bottom"/>
          </w:tcPr>
          <w:p>
            <w:pPr>
              <w:spacing w:after="0"/>
              <w:rPr>
                <w:sz w:val="19"/>
                <w:szCs w:val="19"/>
                <w:color w:val="auto"/>
              </w:rPr>
            </w:pPr>
          </w:p>
        </w:tc>
        <w:tc>
          <w:tcPr>
            <w:tcW w:w="34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US$19.775</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r>
      <w:tr>
        <w:trPr>
          <w:trHeight w:val="230"/>
        </w:trPr>
        <w:tc>
          <w:tcPr>
            <w:tcW w:w="3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372,206</w:t>
            </w:r>
          </w:p>
        </w:tc>
        <w:tc>
          <w:tcPr>
            <w:tcW w:w="380" w:type="dxa"/>
            <w:vAlign w:val="bottom"/>
            <w:shd w:val="clear" w:color="auto" w:fill="CFF0FC"/>
          </w:tcPr>
          <w:p>
            <w:pPr>
              <w:spacing w:after="0"/>
              <w:rPr>
                <w:sz w:val="19"/>
                <w:szCs w:val="19"/>
                <w:color w:val="auto"/>
              </w:rPr>
            </w:pPr>
          </w:p>
        </w:tc>
        <w:tc>
          <w:tcPr>
            <w:tcW w:w="3460" w:type="dxa"/>
            <w:vAlign w:val="bottom"/>
            <w:gridSpan w:val="2"/>
            <w:shd w:val="clear" w:color="auto" w:fill="CFF0FC"/>
          </w:tcPr>
          <w:p>
            <w:pPr>
              <w:jc w:val="center"/>
              <w:ind w:right="320"/>
              <w:spacing w:after="0"/>
              <w:rPr>
                <w:sz w:val="20"/>
                <w:szCs w:val="20"/>
                <w:color w:val="auto"/>
              </w:rPr>
            </w:pPr>
            <w:r>
              <w:rPr>
                <w:rFonts w:ascii="Arial" w:cs="Arial" w:eastAsia="Arial" w:hAnsi="Arial"/>
                <w:sz w:val="18"/>
                <w:szCs w:val="18"/>
                <w:color w:val="auto"/>
                <w:w w:val="91"/>
              </w:rPr>
              <w:t>US$16.302</w:t>
            </w:r>
          </w:p>
        </w:tc>
        <w:tc>
          <w:tcPr>
            <w:tcW w:w="3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February 1, 2026</w:t>
            </w:r>
          </w:p>
        </w:tc>
      </w:tr>
      <w:tr>
        <w:trPr>
          <w:trHeight w:val="230"/>
        </w:trPr>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29,797</w:t>
            </w:r>
          </w:p>
        </w:tc>
        <w:tc>
          <w:tcPr>
            <w:tcW w:w="380" w:type="dxa"/>
            <w:vAlign w:val="bottom"/>
          </w:tcPr>
          <w:p>
            <w:pPr>
              <w:spacing w:after="0"/>
              <w:rPr>
                <w:sz w:val="19"/>
                <w:szCs w:val="19"/>
                <w:color w:val="auto"/>
              </w:rPr>
            </w:pPr>
          </w:p>
        </w:tc>
        <w:tc>
          <w:tcPr>
            <w:tcW w:w="34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US$18.525</w:t>
            </w:r>
          </w:p>
        </w:tc>
        <w:tc>
          <w:tcPr>
            <w:tcW w:w="3200" w:type="dxa"/>
            <w:vAlign w:val="bottom"/>
          </w:tcPr>
          <w:p>
            <w:pPr>
              <w:jc w:val="center"/>
              <w:spacing w:after="0"/>
              <w:rPr>
                <w:sz w:val="20"/>
                <w:szCs w:val="20"/>
                <w:color w:val="auto"/>
              </w:rPr>
            </w:pPr>
            <w:r>
              <w:rPr>
                <w:rFonts w:ascii="Arial" w:cs="Arial" w:eastAsia="Arial" w:hAnsi="Arial"/>
                <w:sz w:val="18"/>
                <w:szCs w:val="18"/>
                <w:color w:val="auto"/>
                <w:w w:val="90"/>
              </w:rPr>
              <w:t>February 1, 2026</w:t>
            </w:r>
          </w:p>
        </w:tc>
      </w:tr>
      <w:tr>
        <w:trPr>
          <w:trHeight w:val="236"/>
        </w:trPr>
        <w:tc>
          <w:tcPr>
            <w:tcW w:w="3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593,924</w:t>
            </w:r>
          </w:p>
        </w:tc>
        <w:tc>
          <w:tcPr>
            <w:tcW w:w="38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SHARE 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Omnibus Incentive Plan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could be issued. This share reserve is the sum of 85,714 new shares, plus the 67,317 shares that remained available for issuance under the Company’s 2016 Omnibus Incentive Plan, the predecessor incentive plan (the “2016 Plan”) at the time of the adoption of the 2018 Plan. On April 20, 2021, the Company’s Board of Directors authorized and approved an amendment, which was effective upon approval by the stockholders of the Company on May 25, 2021, authorizing an additional 565,000 shares of common stock to be issued under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color w:val="auto"/>
        </w:rPr>
        <w:t>As of December 31, 2021, there were an aggregate of 138,745 shares of common stock remaining available for issuance under the 2018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Inducement Plan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2, 2021, the Company adopted the Helius Medical Technologies, Inc. 2021 Inducement Plan (the “Inducement Plan”), pursuant to which the Company reserved 100,000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Inducement Plan was approved by the Company’s Board of Directors without stockholder approval pursuant to Rule 5635(c)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 of the Nasdaq Listing Rules.</w:t>
      </w:r>
    </w:p>
    <w:p>
      <w:pPr>
        <w:spacing w:after="0" w:line="10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Inducement Plan permits the grant of non-statutory stock options, stock appreciation rights, restricted stock, restricted stock units, performance stock and cash awards,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there was an aggregate of 50,500 shares of common stock remaining available for grant under the Company’s Inducement Plan.</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For the year ended December 31, 2021, the Company issued 584,115</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to employees and directors of which 14,200 were forfeited. The Company issued 1,000 stock options to consultants during the same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stock option activity for the year ended December 31, 2021 and 2020:</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Remaining</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4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71"/>
        </w:trPr>
        <w:tc>
          <w:tcPr>
            <w:tcW w:w="4260" w:type="dxa"/>
            <w:vAlign w:val="bottom"/>
            <w:vMerge w:val="restart"/>
          </w:tcPr>
          <w:p>
            <w:pPr>
              <w:spacing w:after="0"/>
              <w:rPr>
                <w:sz w:val="20"/>
                <w:szCs w:val="20"/>
                <w:color w:val="auto"/>
              </w:rPr>
            </w:pPr>
            <w:r>
              <w:rPr>
                <w:rFonts w:ascii="Arial" w:cs="Arial" w:eastAsia="Arial" w:hAnsi="Arial"/>
                <w:sz w:val="18"/>
                <w:szCs w:val="18"/>
                <w:color w:val="auto"/>
              </w:rPr>
              <w:t>Outstanding as of December 31, 2019</w:t>
            </w:r>
          </w:p>
        </w:tc>
        <w:tc>
          <w:tcPr>
            <w:tcW w:w="29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Number of Options</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Life (in years)</w:t>
            </w:r>
          </w:p>
        </w:tc>
        <w:tc>
          <w:tcPr>
            <w:tcW w:w="1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in USD$</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USD$</w:t>
            </w: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99,018</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236.63</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42,988</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Forfeited</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(28,448)</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210.57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54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113,558</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159.33</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585,115</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Forfeited/Cancelled</w:t>
            </w:r>
          </w:p>
        </w:tc>
        <w:tc>
          <w:tcPr>
            <w:tcW w:w="2980" w:type="dxa"/>
            <w:vAlign w:val="bottom"/>
            <w:gridSpan w:val="3"/>
          </w:tcPr>
          <w:p>
            <w:pPr>
              <w:jc w:val="right"/>
              <w:ind w:right="180"/>
              <w:spacing w:after="0"/>
              <w:rPr>
                <w:sz w:val="20"/>
                <w:szCs w:val="20"/>
                <w:color w:val="auto"/>
              </w:rPr>
            </w:pPr>
            <w:r>
              <w:rPr>
                <w:rFonts w:ascii="Arial" w:cs="Arial" w:eastAsia="Arial" w:hAnsi="Arial"/>
                <w:sz w:val="18"/>
                <w:szCs w:val="18"/>
                <w:color w:val="auto"/>
              </w:rPr>
              <w:t>(29,342)</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(214)</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as of December 31, 2021</w:t>
            </w:r>
          </w:p>
        </w:tc>
        <w:tc>
          <w:tcPr>
            <w:tcW w:w="1540" w:type="dxa"/>
            <w:vAlign w:val="bottom"/>
            <w:tcBorders>
              <w:bottom w:val="single" w:sz="8" w:color="CFF0FC"/>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669,117</w:t>
            </w:r>
          </w:p>
        </w:tc>
        <w:tc>
          <w:tcPr>
            <w:tcW w:w="240" w:type="dxa"/>
            <w:vAlign w:val="bottom"/>
            <w:tcBorders>
              <w:bottom w:val="single" w:sz="8" w:color="CFF0FC"/>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24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December 31, 2021</w:t>
            </w:r>
          </w:p>
        </w:tc>
        <w:tc>
          <w:tcPr>
            <w:tcW w:w="15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281,435</w:t>
            </w:r>
          </w:p>
        </w:tc>
        <w:tc>
          <w:tcPr>
            <w:tcW w:w="24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and Director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2021, the unrecognized compensation cost related to non-vested stock options outstanding for employees and directors was $2.9 million which will be recognized over a weighted-average remaining vesting period of approximately 3.3 years.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years ended December 31, 2021 and 2020, the Company granted 584,115 and 42,417 stock options, respectively, to employees and directors at a weighted average exercise price of $14.89 and $15.23, respectively. The expected term represents the period of time the stock options are expected to be outstanding and is based on the “simplified method.” Under the “simplified method,” the expected term of an option is presumed to be the mid-point between the vesting date and the end of the contractual term. For the years ended December 31, 2021 and 2020, the Company used the “simplified method” for the expected term of employee and director stock options due to lack of sufficient historical exercise data to provide a reasonable basis upon which to otherwise estimate the expected term of the stock options. The employee and director stock options granted for the years ended December 31, 2021 and 2020 had a weighted average grant date fair value of $10.53 and $9.71 per option, respectively, and they were estimated using the Black-Scholes option-pricing model with the following weighted-average assumptions: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tbl>
      <w:tblPr>
        <w:tblLayout w:type="fixed"/>
        <w:tblInd w:w="11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318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80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1540" w:type="dxa"/>
            <w:vAlign w:val="bottom"/>
            <w:tcBorders>
              <w:top w:val="single" w:sz="8" w:color="auto"/>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0" w:type="dxa"/>
            <w:vAlign w:val="bottom"/>
            <w:vMerge w:val="continue"/>
          </w:tcPr>
          <w:p>
            <w:pPr>
              <w:spacing w:after="0"/>
              <w:rPr>
                <w:sz w:val="19"/>
                <w:szCs w:val="19"/>
                <w:color w:val="auto"/>
              </w:rPr>
            </w:pPr>
          </w:p>
        </w:tc>
        <w:tc>
          <w:tcPr>
            <w:tcW w:w="1540" w:type="dxa"/>
            <w:vAlign w:val="bottom"/>
          </w:tcPr>
          <w:p>
            <w:pPr>
              <w:jc w:val="right"/>
              <w:ind w:right="95"/>
              <w:spacing w:after="0"/>
              <w:rPr>
                <w:sz w:val="20"/>
                <w:szCs w:val="20"/>
                <w:color w:val="auto"/>
              </w:rPr>
            </w:pPr>
            <w:r>
              <w:rPr>
                <w:rFonts w:ascii="Arial" w:cs="Arial" w:eastAsia="Arial" w:hAnsi="Arial"/>
                <w:sz w:val="18"/>
                <w:szCs w:val="18"/>
                <w:color w:val="auto"/>
              </w:rPr>
              <w:t>$14.98</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$15.23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54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$14.89</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tcPr>
          <w:p>
            <w:pPr>
              <w:spacing w:after="0"/>
              <w:rPr>
                <w:sz w:val="20"/>
                <w:szCs w:val="20"/>
                <w:color w:val="auto"/>
              </w:rPr>
            </w:pPr>
            <w:r>
              <w:rPr>
                <w:rFonts w:ascii="Arial" w:cs="Arial" w:eastAsia="Arial" w:hAnsi="Arial"/>
                <w:sz w:val="18"/>
                <w:szCs w:val="18"/>
                <w:color w:val="auto"/>
              </w:rPr>
              <w:t>Expected term</w:t>
            </w:r>
          </w:p>
        </w:tc>
        <w:tc>
          <w:tcPr>
            <w:tcW w:w="1700" w:type="dxa"/>
            <w:vAlign w:val="bottom"/>
            <w:gridSpan w:val="2"/>
          </w:tcPr>
          <w:p>
            <w:pPr>
              <w:ind w:left="620"/>
              <w:spacing w:after="0"/>
              <w:rPr>
                <w:sz w:val="20"/>
                <w:szCs w:val="20"/>
                <w:color w:val="auto"/>
              </w:rPr>
            </w:pPr>
            <w:r>
              <w:rPr>
                <w:rFonts w:ascii="Arial" w:cs="Arial" w:eastAsia="Arial" w:hAnsi="Arial"/>
                <w:sz w:val="18"/>
                <w:szCs w:val="18"/>
                <w:color w:val="auto"/>
              </w:rPr>
              <w:t>6.99 years</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5.32 years</w:t>
            </w: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78.03%</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75.35%</w:t>
            </w:r>
          </w:p>
        </w:tc>
        <w:tc>
          <w:tcPr>
            <w:tcW w:w="0" w:type="dxa"/>
            <w:vAlign w:val="bottom"/>
          </w:tcPr>
          <w:p>
            <w:pPr>
              <w:spacing w:after="0"/>
              <w:rPr>
                <w:sz w:val="1"/>
                <w:szCs w:val="1"/>
                <w:color w:val="auto"/>
              </w:rPr>
            </w:pPr>
          </w:p>
        </w:tc>
      </w:tr>
      <w:tr>
        <w:trPr>
          <w:trHeight w:val="230"/>
        </w:trPr>
        <w:tc>
          <w:tcPr>
            <w:tcW w:w="5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29"/>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and 2020, the Company granted 1,000 and 571 stock options, respectively, to consultants at a weighted average exercise price of $14.20 and $13.58, respectively. Stock options granted to the Company’s consultants for the years ended December 31, 2021 and 2020 had a weighted average grant date fair value of $11.80 and $8.18 per share, respectively, and they were estimated using the Black-Scholes option-pricing model with the following weighted-average assumptions: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272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4"/>
              </w:rPr>
              <w:t>Year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300" w:type="dxa"/>
            <w:vAlign w:val="bottom"/>
            <w:vMerge w:val="restart"/>
          </w:tcPr>
          <w:p>
            <w:pPr>
              <w:spacing w:after="0"/>
              <w:rPr>
                <w:sz w:val="20"/>
                <w:szCs w:val="20"/>
                <w:color w:val="auto"/>
              </w:rPr>
            </w:pPr>
            <w:r>
              <w:rPr>
                <w:rFonts w:ascii="Arial" w:cs="Arial" w:eastAsia="Arial" w:hAnsi="Arial"/>
                <w:sz w:val="18"/>
                <w:szCs w:val="18"/>
                <w:color w:val="auto"/>
              </w:rPr>
              <w:t>Stock price</w:t>
            </w:r>
          </w:p>
        </w:tc>
        <w:tc>
          <w:tcPr>
            <w:tcW w:w="1740" w:type="dxa"/>
            <w:vAlign w:val="bottom"/>
            <w:tcBorders>
              <w:bottom w:val="single" w:sz="8" w:color="auto"/>
            </w:tcBorders>
          </w:tcPr>
          <w:p>
            <w:pPr>
              <w:jc w:val="right"/>
              <w:ind w:right="655"/>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300" w:type="dxa"/>
            <w:vAlign w:val="bottom"/>
            <w:vMerge w:val="continue"/>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$14.20</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Exercise price</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3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Option term</w:t>
            </w:r>
          </w:p>
        </w:tc>
        <w:tc>
          <w:tcPr>
            <w:tcW w:w="2720" w:type="dxa"/>
            <w:vAlign w:val="bottom"/>
            <w:gridSpan w:val="3"/>
          </w:tcPr>
          <w:p>
            <w:pPr>
              <w:ind w:left="980"/>
              <w:spacing w:after="0"/>
              <w:rPr>
                <w:sz w:val="20"/>
                <w:szCs w:val="20"/>
                <w:color w:val="auto"/>
              </w:rPr>
            </w:pPr>
            <w:r>
              <w:rPr>
                <w:rFonts w:ascii="Arial" w:cs="Arial" w:eastAsia="Arial" w:hAnsi="Arial"/>
                <w:sz w:val="18"/>
                <w:szCs w:val="18"/>
                <w:color w:val="auto"/>
              </w:rPr>
              <w:t>10.0 years</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5.27 years</w:t>
            </w: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84.26%</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6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Arial" w:cs="Arial" w:eastAsia="Arial" w:hAnsi="Arial"/>
                <w:sz w:val="18"/>
                <w:szCs w:val="18"/>
                <w:color w:val="auto"/>
              </w:rPr>
              <w:t>Dividend rate</w:t>
            </w:r>
          </w:p>
        </w:tc>
        <w:tc>
          <w:tcPr>
            <w:tcW w:w="2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6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of December 31, 2021, the unrecognized compensation cost related to non-vested stock options outstanding for consultants was $10 thousand which will be recognized over a weighted-average remaining vesting period of 0.8 years. Compensation cost is not adjusted for estimated forfeitures, but instead is adjusted upon an actual forfeiture of a stock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RSUs in lieu of cash compensation under the 2018 Plan that vested upon issuance. The fair value of the RSUs was based on the closing price of the Company’s common stock on the day of the grant. Subsequent to the March 31, 2021 pay period, no members of the Company’s executive management team continued to elect to receive RSUs in lieu of cash compensation.</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2021, the Company granted 2,668 RSUs to an officer of the Company under the 2018 Plan that were scheduled to vest on October 2, 2021. The fair value of the RSUs was based on the closing price of the Company’s common stock on the Nasdaq Capital Market on the day of the grant. These RSUs were forfeited during the third quarter of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the Company granted 6,343 RSUs to members of the Company’s Board of Directors pursuant to the Non-Employee Director Compensation Policy which vest in twelve monthly installments on the last day of each month. The fair value of the RSUs is based on the closing price of the Company’s common stock on the Nasdaq Capital Market on the day of the grant.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The following is a summary of the Company’s RSU activity for the years ended December 31, 2021 and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 Restricted</w:t>
            </w:r>
          </w:p>
        </w:tc>
        <w:tc>
          <w:tcPr>
            <w:tcW w:w="20" w:type="dxa"/>
            <w:vAlign w:val="bottom"/>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Weighted Average Grant</w:t>
            </w:r>
          </w:p>
        </w:tc>
        <w:tc>
          <w:tcPr>
            <w:tcW w:w="0" w:type="dxa"/>
            <w:vAlign w:val="bottom"/>
          </w:tcPr>
          <w:p>
            <w:pPr>
              <w:spacing w:after="0"/>
              <w:rPr>
                <w:sz w:val="1"/>
                <w:szCs w:val="1"/>
                <w:color w:val="auto"/>
              </w:rPr>
            </w:pPr>
          </w:p>
        </w:tc>
      </w:tr>
      <w:tr>
        <w:trPr>
          <w:trHeight w:val="171"/>
        </w:trPr>
        <w:tc>
          <w:tcPr>
            <w:tcW w:w="7480" w:type="dxa"/>
            <w:vAlign w:val="bottom"/>
          </w:tcPr>
          <w:p>
            <w:pPr>
              <w:spacing w:after="0"/>
              <w:rPr>
                <w:sz w:val="14"/>
                <w:szCs w:val="14"/>
                <w:color w:val="auto"/>
              </w:rPr>
            </w:pPr>
          </w:p>
        </w:tc>
        <w:tc>
          <w:tcPr>
            <w:tcW w:w="19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Stock Units</w:t>
            </w:r>
          </w:p>
        </w:tc>
        <w:tc>
          <w:tcPr>
            <w:tcW w:w="20" w:type="dxa"/>
            <w:vAlign w:val="bottom"/>
          </w:tcPr>
          <w:p>
            <w:pPr>
              <w:spacing w:after="0"/>
              <w:rPr>
                <w:sz w:val="14"/>
                <w:szCs w:val="14"/>
                <w:color w:val="auto"/>
              </w:rPr>
            </w:pPr>
          </w:p>
        </w:tc>
        <w:tc>
          <w:tcPr>
            <w:tcW w:w="1780" w:type="dxa"/>
            <w:vAlign w:val="bottom"/>
            <w:gridSpan w:val="3"/>
          </w:tcPr>
          <w:p>
            <w:pPr>
              <w:ind w:left="60"/>
              <w:spacing w:after="0"/>
              <w:rPr>
                <w:sz w:val="20"/>
                <w:szCs w:val="20"/>
                <w:color w:val="auto"/>
              </w:rPr>
            </w:pPr>
            <w:r>
              <w:rPr>
                <w:rFonts w:ascii="Arial" w:cs="Arial" w:eastAsia="Arial" w:hAnsi="Arial"/>
                <w:sz w:val="14"/>
                <w:szCs w:val="14"/>
                <w:b w:val="1"/>
                <w:bCs w:val="1"/>
                <w:color w:val="auto"/>
              </w:rPr>
              <w:t>Date Fair Value per Unit</w:t>
            </w:r>
          </w:p>
        </w:tc>
        <w:tc>
          <w:tcPr>
            <w:tcW w:w="0" w:type="dxa"/>
            <w:vAlign w:val="bottom"/>
          </w:tcPr>
          <w:p>
            <w:pPr>
              <w:spacing w:after="0"/>
              <w:rPr>
                <w:sz w:val="1"/>
                <w:szCs w:val="1"/>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spacing w:after="0"/>
              <w:rPr>
                <w:sz w:val="20"/>
                <w:szCs w:val="20"/>
                <w:color w:val="auto"/>
              </w:rPr>
            </w:pPr>
            <w:r>
              <w:rPr>
                <w:rFonts w:ascii="Arial" w:cs="Arial" w:eastAsia="Arial" w:hAnsi="Arial"/>
                <w:sz w:val="18"/>
                <w:szCs w:val="18"/>
                <w:color w:val="auto"/>
              </w:rPr>
              <w:t>7,172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Settled</w:t>
            </w: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(7,792)</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80" w:type="dxa"/>
            <w:vAlign w:val="bottom"/>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(2,668)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Settled</w:t>
            </w: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(5,012)</w:t>
            </w:r>
          </w:p>
        </w:tc>
        <w:tc>
          <w:tcPr>
            <w:tcW w:w="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80" w:type="dxa"/>
            <w:vAlign w:val="bottom"/>
            <w:vMerge w:val="continue"/>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2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507"/>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April 1, 2021, the Company granted 5,337 shares of unrestricted common stock to an officer of the Company under the 2018 Plan.</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During the year ended December 31, 2021, all of which occurred during the fourth quarter of 2021, the Company granted 1,929 shares of unrestricted common stock to a consultant of the Company under the 2018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consolidated statements of operations and comprehensive loss as follows (amounts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117475</wp:posOffset>
            </wp:positionV>
            <wp:extent cx="186880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40" w:type="dxa"/>
            <w:vAlign w:val="bottom"/>
            <w:vMerge w:val="restart"/>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gridSpan w:val="2"/>
          </w:tcPr>
          <w:p>
            <w:pPr>
              <w:jc w:val="right"/>
              <w:ind w:right="7"/>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2020" w:type="dxa"/>
            <w:vAlign w:val="bottom"/>
          </w:tcPr>
          <w:p>
            <w:pPr>
              <w:spacing w:after="0"/>
              <w:rPr>
                <w:sz w:val="19"/>
                <w:szCs w:val="19"/>
                <w:color w:val="auto"/>
              </w:rPr>
            </w:pPr>
          </w:p>
        </w:tc>
        <w:tc>
          <w:tcPr>
            <w:tcW w:w="880" w:type="dxa"/>
            <w:vAlign w:val="bottom"/>
            <w:tcBorders>
              <w:top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w:t>
            </w:r>
          </w:p>
        </w:tc>
        <w:tc>
          <w:tcPr>
            <w:tcW w:w="2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2900" w:type="dxa"/>
            <w:vAlign w:val="bottom"/>
            <w:gridSpan w:val="2"/>
            <w:shd w:val="clear" w:color="auto" w:fill="CFF0FC"/>
          </w:tcPr>
          <w:p>
            <w:pPr>
              <w:jc w:val="right"/>
              <w:ind w:right="727"/>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52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0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3,552</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20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4,252</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Stock-based compensation expense for the year ended December 31, 2020, was reduced by $0.1 million related to the forfeiture of stock options as a result of the departure of our former chief executive officer. Stock-based compensation expense for the year ended December 31, 2021 included $0.5 million in expense related to the accelerated vesting of stock options as a result of the departure of our former chief operating officer in July 2021.</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Arial" w:cs="Arial" w:eastAsia="Arial" w:hAnsi="Arial"/>
                <w:sz w:val="18"/>
                <w:szCs w:val="18"/>
                <w:b w:val="1"/>
                <w:bCs w:val="1"/>
                <w:color w:val="auto"/>
              </w:rPr>
              <w:t>5.</w:t>
            </w:r>
          </w:p>
        </w:tc>
        <w:tc>
          <w:tcPr>
            <w:tcW w:w="4780" w:type="dxa"/>
            <w:vAlign w:val="bottom"/>
          </w:tcPr>
          <w:p>
            <w:pPr>
              <w:ind w:left="40"/>
              <w:spacing w:after="0"/>
              <w:rPr>
                <w:sz w:val="20"/>
                <w:szCs w:val="20"/>
                <w:color w:val="auto"/>
              </w:rPr>
            </w:pPr>
            <w:r>
              <w:rPr>
                <w:rFonts w:ascii="Arial" w:cs="Arial" w:eastAsia="Arial" w:hAnsi="Arial"/>
                <w:sz w:val="18"/>
                <w:szCs w:val="18"/>
                <w:b w:val="1"/>
                <w:bCs w:val="1"/>
                <w:color w:val="auto"/>
              </w:rPr>
              <w:t>ACCRUED EXPENSES</w:t>
            </w:r>
          </w:p>
        </w:tc>
        <w:tc>
          <w:tcPr>
            <w:tcW w:w="2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gridSpan w:val="2"/>
          </w:tcPr>
          <w:p>
            <w:pPr>
              <w:ind w:left="40"/>
              <w:spacing w:after="0"/>
              <w:rPr>
                <w:sz w:val="20"/>
                <w:szCs w:val="20"/>
                <w:color w:val="auto"/>
              </w:rPr>
            </w:pPr>
            <w:r>
              <w:rPr>
                <w:rFonts w:ascii="Arial" w:cs="Arial" w:eastAsia="Arial" w:hAnsi="Arial"/>
                <w:sz w:val="18"/>
                <w:szCs w:val="18"/>
                <w:color w:val="auto"/>
                <w:w w:val="93"/>
              </w:rPr>
              <w:t>Accrued expenses consisted of the following (amounts in thousands):</w:t>
            </w:r>
          </w:p>
        </w:tc>
        <w:tc>
          <w:tcPr>
            <w:tcW w:w="2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Employees benefits</w:t>
            </w:r>
          </w:p>
        </w:tc>
        <w:tc>
          <w:tcPr>
            <w:tcW w:w="2240" w:type="dxa"/>
            <w:vAlign w:val="bottom"/>
          </w:tcPr>
          <w:p>
            <w:pPr>
              <w:spacing w:after="0"/>
              <w:rPr>
                <w:sz w:val="13"/>
                <w:szCs w:val="13"/>
                <w:color w:val="auto"/>
              </w:rPr>
            </w:pPr>
          </w:p>
        </w:tc>
        <w:tc>
          <w:tcPr>
            <w:tcW w:w="110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3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gridSpan w:val="2"/>
            <w:vMerge w:val="continue"/>
          </w:tcPr>
          <w:p>
            <w:pPr>
              <w:spacing w:after="0"/>
              <w:rPr>
                <w:sz w:val="19"/>
                <w:szCs w:val="19"/>
                <w:color w:val="auto"/>
              </w:rPr>
            </w:pPr>
          </w:p>
        </w:tc>
        <w:tc>
          <w:tcPr>
            <w:tcW w:w="2240" w:type="dxa"/>
            <w:vAlign w:val="bottom"/>
          </w:tcPr>
          <w:p>
            <w:pPr>
              <w:spacing w:after="0"/>
              <w:rPr>
                <w:sz w:val="19"/>
                <w:szCs w:val="19"/>
                <w:color w:val="auto"/>
              </w:rPr>
            </w:pP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712</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2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gridSpan w:val="2"/>
          </w:tcPr>
          <w:p>
            <w:pPr>
              <w:spacing w:after="0"/>
              <w:rPr>
                <w:sz w:val="20"/>
                <w:szCs w:val="20"/>
                <w:color w:val="auto"/>
              </w:rPr>
            </w:pPr>
            <w:r>
              <w:rPr>
                <w:rFonts w:ascii="Arial" w:cs="Arial" w:eastAsia="Arial" w:hAnsi="Arial"/>
                <w:sz w:val="18"/>
                <w:szCs w:val="18"/>
                <w:color w:val="auto"/>
              </w:rPr>
              <w:t>Legal expense</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Royalty fees</w:t>
            </w:r>
          </w:p>
        </w:tc>
        <w:tc>
          <w:tcPr>
            <w:tcW w:w="2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Franchise fees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193</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Severance</w:t>
            </w:r>
          </w:p>
        </w:tc>
        <w:tc>
          <w:tcPr>
            <w:tcW w:w="2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7"/>
              </w:rPr>
              <w:t>Other</w:t>
            </w:r>
          </w:p>
        </w:tc>
        <w:tc>
          <w:tcPr>
            <w:tcW w:w="4780" w:type="dxa"/>
            <w:vAlign w:val="bottom"/>
            <w:tcBorders>
              <w:bottom w:val="single" w:sz="8" w:color="CFF0FC"/>
            </w:tcBorders>
          </w:tcPr>
          <w:p>
            <w:pPr>
              <w:spacing w:after="0"/>
              <w:rPr>
                <w:sz w:val="19"/>
                <w:szCs w:val="19"/>
                <w:color w:val="auto"/>
              </w:rPr>
            </w:pPr>
          </w:p>
        </w:tc>
        <w:tc>
          <w:tcPr>
            <w:tcW w:w="2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 w:type="dxa"/>
            <w:vAlign w:val="bottom"/>
            <w:tcBorders>
              <w:bottom w:val="single" w:sz="8" w:color="CFF0FC"/>
            </w:tcBorders>
            <w:shd w:val="clear" w:color="auto" w:fill="CFF0FC"/>
          </w:tcPr>
          <w:p>
            <w:pPr>
              <w:spacing w:after="0"/>
              <w:rPr>
                <w:sz w:val="19"/>
                <w:szCs w:val="19"/>
                <w:color w:val="auto"/>
              </w:rPr>
            </w:pPr>
          </w:p>
        </w:tc>
        <w:tc>
          <w:tcPr>
            <w:tcW w:w="4780" w:type="dxa"/>
            <w:vAlign w:val="bottom"/>
            <w:tcBorders>
              <w:bottom w:val="single" w:sz="8" w:color="CFF0FC"/>
            </w:tcBorders>
            <w:shd w:val="clear" w:color="auto" w:fill="CFF0FC"/>
          </w:tcPr>
          <w:p>
            <w:pPr>
              <w:spacing w:after="0"/>
              <w:rPr>
                <w:sz w:val="19"/>
                <w:szCs w:val="19"/>
                <w:color w:val="auto"/>
              </w:rPr>
            </w:pPr>
          </w:p>
        </w:tc>
        <w:tc>
          <w:tcPr>
            <w:tcW w:w="22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340" w:type="dxa"/>
            <w:vAlign w:val="bottom"/>
            <w:gridSpan w:val="2"/>
          </w:tcPr>
          <w:p>
            <w:pPr>
              <w:jc w:val="right"/>
              <w:ind w:right="2696"/>
              <w:spacing w:after="0"/>
              <w:rPr>
                <w:sz w:val="20"/>
                <w:szCs w:val="20"/>
                <w:color w:val="auto"/>
              </w:rPr>
            </w:pPr>
            <w:r>
              <w:rPr>
                <w:rFonts w:ascii="Arial" w:cs="Arial" w:eastAsia="Arial" w:hAnsi="Arial"/>
                <w:sz w:val="18"/>
                <w:szCs w:val="18"/>
                <w:color w:val="auto"/>
              </w:rPr>
              <w:t>F-24</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7" w:name="page98"/>
    <w:bookmarkEnd w:id="97"/>
    <w:p>
      <w:pPr>
        <w:spacing w:after="0" w:line="277" w:lineRule="auto"/>
        <w:rPr>
          <w:sz w:val="20"/>
          <w:szCs w:val="20"/>
          <w:color w:val="auto"/>
        </w:rPr>
      </w:pPr>
      <w:r>
        <w:rPr>
          <w:rFonts w:ascii="Arial" w:cs="Arial" w:eastAsia="Arial" w:hAnsi="Arial"/>
          <w:sz w:val="18"/>
          <w:szCs w:val="18"/>
          <w:color w:val="auto"/>
        </w:rPr>
        <w:t>Accrued severance expenses as of December 31, 2021 included $0.3 million in severance costs related to the departure of our former chief operating officer in July 2021.</w:t>
      </w:r>
    </w:p>
    <w:p>
      <w:pPr>
        <w:spacing w:after="0" w:line="8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loss are as follows (amounts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74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80" w:type="dxa"/>
            <w:vAlign w:val="bottom"/>
            <w:vMerge w:val="restart"/>
          </w:tcPr>
          <w:p>
            <w:pPr>
              <w:spacing w:after="0"/>
              <w:rPr>
                <w:sz w:val="20"/>
                <w:szCs w:val="20"/>
                <w:color w:val="auto"/>
              </w:rPr>
            </w:pPr>
            <w:r>
              <w:rPr>
                <w:rFonts w:ascii="Arial" w:cs="Arial" w:eastAsia="Arial" w:hAnsi="Arial"/>
                <w:sz w:val="18"/>
                <w:szCs w:val="18"/>
                <w:color w:val="auto"/>
              </w:rPr>
              <w:t>U.S.</w:t>
            </w:r>
          </w:p>
        </w:tc>
        <w:tc>
          <w:tcPr>
            <w:tcW w:w="30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3000" w:type="dxa"/>
            <w:vAlign w:val="bottom"/>
          </w:tcPr>
          <w:p>
            <w:pPr>
              <w:spacing w:after="0"/>
              <w:rPr>
                <w:sz w:val="19"/>
                <w:szCs w:val="19"/>
                <w:color w:val="auto"/>
              </w:rPr>
            </w:pPr>
          </w:p>
        </w:tc>
        <w:tc>
          <w:tcPr>
            <w:tcW w:w="960" w:type="dxa"/>
            <w:vAlign w:val="bottom"/>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16,589</w:t>
            </w:r>
          </w:p>
        </w:tc>
        <w:tc>
          <w:tcPr>
            <w:tcW w:w="240" w:type="dxa"/>
            <w:vAlign w:val="bottom"/>
          </w:tcPr>
          <w:p>
            <w:pPr>
              <w:spacing w:after="0"/>
              <w:rPr>
                <w:sz w:val="19"/>
                <w:szCs w:val="19"/>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Non-U.S.</w:t>
            </w:r>
          </w:p>
        </w:tc>
        <w:tc>
          <w:tcPr>
            <w:tcW w:w="30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1,543</w:t>
            </w:r>
          </w:p>
        </w:tc>
        <w:tc>
          <w:tcPr>
            <w:tcW w:w="2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18,132</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income tax provision computed at statutory rates to the reported income tax provision is as follows (amounts in thousands):</w:t>
      </w:r>
    </w:p>
    <w:p>
      <w:pPr>
        <w:spacing w:after="0" w:line="32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5700" w:type="dxa"/>
            <w:vAlign w:val="bottom"/>
            <w:vMerge w:val="restart"/>
          </w:tcPr>
          <w:p>
            <w:pPr>
              <w:spacing w:after="0"/>
              <w:rPr>
                <w:sz w:val="20"/>
                <w:szCs w:val="20"/>
                <w:color w:val="auto"/>
              </w:rPr>
            </w:pPr>
            <w:r>
              <w:rPr>
                <w:rFonts w:ascii="Arial" w:cs="Arial" w:eastAsia="Arial" w:hAnsi="Arial"/>
                <w:sz w:val="18"/>
                <w:szCs w:val="18"/>
                <w:color w:val="auto"/>
              </w:rPr>
              <w:t>Statutory tax rate</w:t>
            </w:r>
          </w:p>
        </w:tc>
        <w:tc>
          <w:tcPr>
            <w:tcW w:w="150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700" w:type="dxa"/>
            <w:vAlign w:val="bottom"/>
            <w:vMerge w:val="continue"/>
          </w:tcPr>
          <w:p>
            <w:pPr>
              <w:spacing w:after="0"/>
              <w:rPr>
                <w:sz w:val="22"/>
                <w:szCs w:val="22"/>
                <w:color w:val="auto"/>
              </w:rPr>
            </w:pPr>
          </w:p>
        </w:tc>
        <w:tc>
          <w:tcPr>
            <w:tcW w:w="1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income taxes</w:t>
            </w:r>
          </w:p>
        </w:tc>
        <w:tc>
          <w:tcPr>
            <w:tcW w:w="15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18,132</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14,130</w:t>
            </w: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Expected income tax recovery</w:t>
            </w:r>
          </w:p>
        </w:tc>
        <w:tc>
          <w:tcPr>
            <w:tcW w:w="1500" w:type="dxa"/>
            <w:vAlign w:val="bottom"/>
          </w:tcPr>
          <w:p>
            <w:pPr>
              <w:spacing w:after="0"/>
              <w:rPr>
                <w:sz w:val="19"/>
                <w:szCs w:val="19"/>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(3,808)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(2,967)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Increase (decrease) in income tax recovery resulting from:</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40"/>
              <w:spacing w:after="0"/>
              <w:rPr>
                <w:sz w:val="20"/>
                <w:szCs w:val="20"/>
                <w:color w:val="auto"/>
              </w:rPr>
            </w:pPr>
            <w:r>
              <w:rPr>
                <w:rFonts w:ascii="Arial" w:cs="Arial" w:eastAsia="Arial" w:hAnsi="Arial"/>
                <w:sz w:val="18"/>
                <w:szCs w:val="18"/>
                <w:color w:val="auto"/>
              </w:rPr>
              <w:t>Derivative liability</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Share based payments</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240"/>
              <w:spacing w:after="0"/>
              <w:rPr>
                <w:sz w:val="20"/>
                <w:szCs w:val="20"/>
                <w:color w:val="auto"/>
              </w:rPr>
            </w:pPr>
            <w:r>
              <w:rPr>
                <w:rFonts w:ascii="Arial" w:cs="Arial" w:eastAsia="Arial" w:hAnsi="Arial"/>
                <w:sz w:val="18"/>
                <w:szCs w:val="18"/>
                <w:color w:val="auto"/>
              </w:rPr>
              <w:t>Other permanent difference</w:t>
            </w: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income taxed at foreign rate</w:t>
            </w: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in valuation allowance</w:t>
            </w:r>
          </w:p>
        </w:tc>
        <w:tc>
          <w:tcPr>
            <w:tcW w:w="15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5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components of the Company’s deferred income tax assets and liabilities after applying enacted corporate tax rates are as follows (amounts in thousands):</w:t>
      </w:r>
    </w:p>
    <w:p>
      <w:pPr>
        <w:spacing w:after="0" w:line="25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40" w:type="dxa"/>
            <w:vAlign w:val="bottom"/>
            <w:vMerge w:val="restart"/>
          </w:tcPr>
          <w:p>
            <w:pPr>
              <w:spacing w:after="0"/>
              <w:rPr>
                <w:sz w:val="20"/>
                <w:szCs w:val="20"/>
                <w:color w:val="auto"/>
              </w:rPr>
            </w:pPr>
            <w:r>
              <w:rPr>
                <w:rFonts w:ascii="Arial" w:cs="Arial" w:eastAsia="Arial" w:hAnsi="Arial"/>
                <w:sz w:val="18"/>
                <w:szCs w:val="18"/>
                <w:color w:val="auto"/>
              </w:rPr>
              <w:t>Deferred income tax assets (liabilities)</w:t>
            </w:r>
          </w:p>
        </w:tc>
        <w:tc>
          <w:tcPr>
            <w:tcW w:w="20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40" w:type="dxa"/>
            <w:vAlign w:val="bottom"/>
            <w:vMerge w:val="continue"/>
          </w:tcPr>
          <w:p>
            <w:pPr>
              <w:spacing w:after="0"/>
              <w:rPr>
                <w:sz w:val="19"/>
                <w:szCs w:val="19"/>
                <w:color w:val="auto"/>
              </w:rPr>
            </w:pP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losses carried forward</w:t>
            </w:r>
          </w:p>
        </w:tc>
        <w:tc>
          <w:tcPr>
            <w:tcW w:w="24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27,514</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Tax credits</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compensation</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Other</w:t>
            </w:r>
          </w:p>
        </w:tc>
        <w:tc>
          <w:tcPr>
            <w:tcW w:w="2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1,006</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0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(31,222)</w:t>
            </w:r>
          </w:p>
        </w:tc>
        <w:tc>
          <w:tcPr>
            <w:tcW w:w="5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(28,173)</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the Company has accumulated non-capital losses totaling $6.7 million in Canada, Federal net operating losses of $98.2 million in the U.S., and State net operating losses of $64.9 million in the U.S. which may be available to carry forward and offset future years’ taxable income. Federal net operating losses of $39.6 million and all State net operating losses of $64.9 million begin to expire starting in 2033 through 2041. The remaining $58.6 million of the Federal net operating losses are available to be carried forward indefinitely.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provisions of the Internal Revenue Code of 1986, as amended (the “Code”), the net operating loss carryforwards are subject to review and possible adjustment by the Internal Revenue Service and state tax authorities. Net operating loss carryforwards may become subject to an annual limitation in the event of certain cumulative changes in the ownership interest of significant shareholders over a three-year period in excess of 50 percent, as defined under Section 382 of the Code,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believes it is possible an ownership change has occurred and that Federal</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net operating losses of $39.6 million and State net operating losses of $64.9 million may be materially limited and expire prior to being utilized.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does not have an accrual relating to uncertain tax positions. It is not anticipated that unrecognized tax benefits would significantly increase or decrease within 12 months of the reporting date.</w:t>
      </w:r>
    </w:p>
    <w:p>
      <w:pPr>
        <w:spacing w:after="0" w:line="166"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ind w:left="500" w:hanging="492"/>
        <w:spacing w:after="0" w:line="275"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on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years ended December 31, 2021 and 2020, the Company recorded approximately $20 thousand and $22 thousand, respectively, in royalty expenses in its consolidated statement of operations.</w:t>
      </w:r>
    </w:p>
    <w:p>
      <w:pPr>
        <w:spacing w:after="0" w:line="176" w:lineRule="exact"/>
        <w:rPr>
          <w:rFonts w:ascii="Arial" w:cs="Arial" w:eastAsia="Arial" w:hAnsi="Arial"/>
          <w:sz w:val="17"/>
          <w:szCs w:val="17"/>
          <w:color w:val="auto"/>
        </w:rPr>
      </w:pPr>
    </w:p>
    <w:p>
      <w:pPr>
        <w:jc w:val="both"/>
        <w:ind w:left="500" w:hanging="492"/>
        <w:spacing w:after="0" w:line="257"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March 2017, the Company entered into a lease for office space in Newtown, Pennsylvania. The initial term of the lease was from July 1, 2017 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 per month beginning in January 2018 with a 3% annual increase.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9" w:name="page100"/>
    <w:bookmarkEnd w:id="99"/>
    <w:p>
      <w:pPr>
        <w:jc w:val="both"/>
        <w:ind w:left="500"/>
        <w:spacing w:after="0" w:line="287" w:lineRule="auto"/>
        <w:rPr>
          <w:sz w:val="20"/>
          <w:szCs w:val="20"/>
          <w:color w:val="auto"/>
        </w:rPr>
      </w:pPr>
      <w:r>
        <w:rPr>
          <w:rFonts w:ascii="Arial" w:cs="Arial" w:eastAsia="Arial" w:hAnsi="Arial"/>
          <w:sz w:val="16"/>
          <w:szCs w:val="16"/>
          <w:color w:val="auto"/>
        </w:rPr>
        <w:t>In May 2020, the Company terminated its lease and entered into a new lease (the “Lease Amendment”) for a smaller footprint of the current office space in Newtown, Pennsylvania. Lease payments under the original contract will be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is recorded as a component of other income in the consolidated statement of operations and comprehensive loss for the year ended December 31, 2020. The initial lease term of the Lease Amendment was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will be approximately $5 thousand per month beginning in January 2021 with a 3% annual increase.</w:t>
      </w:r>
    </w:p>
    <w:p>
      <w:pPr>
        <w:spacing w:after="0" w:line="172" w:lineRule="exact"/>
        <w:rPr>
          <w:sz w:val="20"/>
          <w:szCs w:val="20"/>
          <w:color w:val="auto"/>
        </w:rPr>
      </w:pPr>
    </w:p>
    <w:p>
      <w:pPr>
        <w:jc w:val="both"/>
        <w:ind w:left="500" w:right="20"/>
        <w:spacing w:after="0" w:line="342" w:lineRule="auto"/>
        <w:rPr>
          <w:sz w:val="20"/>
          <w:szCs w:val="20"/>
          <w:color w:val="auto"/>
        </w:rPr>
      </w:pPr>
      <w:r>
        <w:rPr>
          <w:rFonts w:ascii="Arial" w:cs="Arial" w:eastAsia="Arial" w:hAnsi="Arial"/>
          <w:sz w:val="16"/>
          <w:szCs w:val="16"/>
          <w:color w:val="auto"/>
        </w:rPr>
        <w:t>In January 2021, the lease term of the Lease Amendment was amended to go through September 30, 2021, with options to extend monthly thereafter. The expected lease termination date remained June 30, 2021. The Company extended month to month commencing October 1, 2021.</w:t>
      </w:r>
    </w:p>
    <w:p>
      <w:pPr>
        <w:spacing w:after="0" w:line="124"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In November 2021, the Company entered into a new lease (the “Lease Agreement”) for 1,780 square feet of dedicated office space to serve as the Company’s headquarters in Newtown, Pennsylvania. The initial term of the lease is from January 1, 2022 through March 31, 2025. Monthly rent plus utilities is approximately $4 thousand per month with a 3% annual increase. As a result of entering into the Lease Agreement, the Company’s assessment of the lease term of the Lease Amendment changed from terminating on June 30, 2022 to terminating on January 15, 2022. The termination was determined to be a remeasurement of the existing Lease Amendment due to the change in term assessment. As such, the ROU assets and operating lease liabilities were remeasured using an incremental borrowing rate at the date of modification. The carrying value of the ROU asset decreased on a basis proportionate basis by approximately $29 thousand and the related lease liability decreased by approximately $29 thousand. The Company recorded a gain of less than $1 thousand resulting from the difference between the reduction in the lease liability and the proportionate reduction of the ROU asset. This amount is recorded as a component of other income in the consolidated statement of operations and comprehensive loss for the year ended December 31, 2021. As the new Lease Agreement is not effective until January 1, 2022, there is no impact to the Company’s financial statements as of December 31, 2021.</w:t>
      </w:r>
    </w:p>
    <w:p>
      <w:pPr>
        <w:spacing w:after="0" w:line="182"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(amounts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For the Year Ending December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0.04 years</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1.50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w w:val="90"/>
              </w:rPr>
              <w:t>Future minimum lease payments under non-cancellable lease as of December 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gridSpan w:val="5"/>
          </w:tcPr>
          <w:p>
            <w:pPr>
              <w:spacing w:after="0"/>
              <w:rPr>
                <w:sz w:val="20"/>
                <w:szCs w:val="20"/>
                <w:color w:val="auto"/>
              </w:rPr>
            </w:pPr>
            <w:r>
              <w:rPr>
                <w:rFonts w:ascii="Arial" w:cs="Arial" w:eastAsia="Arial" w:hAnsi="Arial"/>
                <w:sz w:val="18"/>
                <w:szCs w:val="18"/>
                <w:color w:val="auto"/>
              </w:rPr>
              <w:t>2021 were as follows: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For the Period Ending December 31,</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w:t>
            </w:r>
          </w:p>
        </w:tc>
        <w:tc>
          <w:tcPr>
            <w:tcW w:w="4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100" w:type="dxa"/>
            <w:vAlign w:val="bottom"/>
            <w:tcBorders>
              <w:top w:val="single" w:sz="8" w:color="CFF0FC"/>
            </w:tcBorders>
          </w:tcPr>
          <w:p>
            <w:pPr>
              <w:spacing w:after="0"/>
              <w:rPr>
                <w:sz w:val="21"/>
                <w:szCs w:val="21"/>
                <w:color w:val="auto"/>
              </w:rPr>
            </w:pPr>
          </w:p>
        </w:tc>
        <w:tc>
          <w:tcPr>
            <w:tcW w:w="340" w:type="dxa"/>
            <w:vAlign w:val="bottom"/>
            <w:tcBorders>
              <w:top w:val="single" w:sz="8" w:color="CFF0FC"/>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980" w:type="dxa"/>
            <w:vAlign w:val="bottom"/>
            <w:tcBorders>
              <w:top w:val="single" w:sz="8" w:color="CFF0FC"/>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8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00" w:type="dxa"/>
            <w:vAlign w:val="bottom"/>
            <w:tcBorders>
              <w:bottom w:val="single" w:sz="8" w:color="CFF0FC"/>
            </w:tcBorders>
            <w:gridSpan w:val="4"/>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Total liability</w:t>
            </w:r>
          </w:p>
        </w:tc>
        <w:tc>
          <w:tcPr>
            <w:tcW w:w="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2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900" w:type="dxa"/>
            <w:vAlign w:val="bottom"/>
            <w:gridSpan w:val="4"/>
            <w:shd w:val="clear" w:color="auto" w:fill="CFF0FC"/>
          </w:tcPr>
          <w:p>
            <w:pPr>
              <w:spacing w:after="0" w:line="189" w:lineRule="exact"/>
              <w:rPr>
                <w:sz w:val="20"/>
                <w:szCs w:val="20"/>
                <w:color w:val="auto"/>
              </w:rPr>
            </w:pPr>
            <w:r>
              <w:rPr>
                <w:rFonts w:ascii="Arial" w:cs="Arial" w:eastAsia="Arial" w:hAnsi="Arial"/>
                <w:sz w:val="18"/>
                <w:szCs w:val="18"/>
                <w:b w:val="1"/>
                <w:bCs w:val="1"/>
                <w:color w:val="auto"/>
              </w:rPr>
              <w:t>Reported as of December 31,</w:t>
            </w: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70"/>
              <w:spacing w:after="0" w:line="189" w:lineRule="exact"/>
              <w:rPr>
                <w:sz w:val="20"/>
                <w:szCs w:val="20"/>
                <w:color w:val="auto"/>
              </w:rPr>
            </w:pPr>
            <w:r>
              <w:rPr>
                <w:rFonts w:ascii="Arial" w:cs="Arial" w:eastAsia="Arial" w:hAnsi="Arial"/>
                <w:sz w:val="18"/>
                <w:szCs w:val="18"/>
                <w:b w:val="1"/>
                <w:bCs w:val="1"/>
                <w:color w:val="auto"/>
              </w:rPr>
              <w:t>2021</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70"/>
              <w:spacing w:after="0" w:line="189" w:lineRule="exact"/>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180" w:type="dxa"/>
            <w:vAlign w:val="bottom"/>
            <w:tcBorders>
              <w:top w:val="single" w:sz="8" w:color="auto"/>
            </w:tcBorders>
            <w:shd w:val="clear" w:color="auto" w:fill="CFF0FC"/>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00" w:type="dxa"/>
            <w:vAlign w:val="bottom"/>
            <w:gridSpan w:val="4"/>
          </w:tcPr>
          <w:p>
            <w:pPr>
              <w:spacing w:after="0"/>
              <w:rPr>
                <w:sz w:val="20"/>
                <w:szCs w:val="20"/>
                <w:color w:val="auto"/>
              </w:rPr>
            </w:pPr>
            <w:r>
              <w:rPr>
                <w:rFonts w:ascii="Arial" w:cs="Arial" w:eastAsia="Arial" w:hAnsi="Arial"/>
                <w:sz w:val="18"/>
                <w:szCs w:val="18"/>
                <w:color w:val="auto"/>
              </w:rPr>
              <w:t>Current operating lease liability</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92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-2540</wp:posOffset>
            </wp:positionV>
            <wp:extent cx="17748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2">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9"/>
          <w:szCs w:val="19"/>
          <w:color w:val="auto"/>
        </w:rPr>
        <w:t>On December 29, 2017, HMI (formerly known as NeuroHabilitation Corporation) entered into a Manufacturing and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-133350</wp:posOffset>
            </wp:positionV>
            <wp:extent cx="17748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3">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5" w:lineRule="exact"/>
        <w:rPr>
          <w:sz w:val="20"/>
          <w:szCs w:val="20"/>
          <w:color w:val="auto"/>
        </w:rPr>
      </w:pPr>
    </w:p>
    <w:p>
      <w:pPr>
        <w:ind w:left="500" w:right="260" w:hanging="492"/>
        <w:spacing w:after="0" w:line="209" w:lineRule="auto"/>
        <w:tabs>
          <w:tab w:leader="none" w:pos="500" w:val="left"/>
        </w:tabs>
        <w:numPr>
          <w:ilvl w:val="0"/>
          <w:numId w:val="42"/>
        </w:numPr>
        <w:rPr>
          <w:rFonts w:ascii="Arial" w:cs="Arial" w:eastAsia="Arial" w:hAnsi="Arial"/>
          <w:sz w:val="36"/>
          <w:szCs w:val="36"/>
          <w:color w:val="auto"/>
          <w:vertAlign w:val="superscript"/>
        </w:rPr>
      </w:pPr>
      <w:r>
        <w:rPr>
          <w:rFonts w:ascii="Arial" w:cs="Arial" w:eastAsia="Arial" w:hAnsi="Arial"/>
          <w:sz w:val="22"/>
          <w:szCs w:val="22"/>
          <w:color w:val="auto"/>
        </w:rPr>
        <w:t>Agreement (“MSA”) with Keytronic Corporation (“Keytronic”), for the manufacture and supply of the Company’s PoNS device based upon the Company’s product specifications as set forth in the MSA. Per the agreement, the Company shall provide to Keytronic a rolling forecast for the procurement of parts and material and within normal lead times based on estimated delivery dates for the manufacture of the PoNS device. The term of the agreement is for three years and the agreement will automatically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jc w:val="both"/>
        <w:ind w:left="500"/>
        <w:spacing w:after="0" w:line="279" w:lineRule="auto"/>
        <w:rPr>
          <w:sz w:val="20"/>
          <w:szCs w:val="20"/>
          <w:color w:val="auto"/>
        </w:rPr>
      </w:pPr>
      <w:r>
        <w:rPr>
          <w:rFonts w:ascii="Arial" w:cs="Arial" w:eastAsia="Arial" w:hAnsi="Arial"/>
          <w:sz w:val="17"/>
          <w:szCs w:val="17"/>
          <w:color w:val="auto"/>
        </w:rPr>
        <w:t>renew for additional consecutive terms of one year, unless cancelled by either party upon 180-day written notice to the other party prior to the end of the then current term. On June 1, 2020, HMI extended the existing manufacturing agreement with Keytronic for a second three year term from December 29, 2020 until December 31, 2023. As of December 31, 2021, the Company did not have any outstanding commitments to Keytronic to complete the Company’s forecast for the procurement of materials necessary for the delivery of PoNS devices.</w:t>
      </w:r>
    </w:p>
    <w:p>
      <w:pPr>
        <w:spacing w:after="0" w:line="171" w:lineRule="exact"/>
        <w:rPr>
          <w:sz w:val="20"/>
          <w:szCs w:val="20"/>
          <w:color w:val="auto"/>
        </w:rPr>
      </w:pPr>
    </w:p>
    <w:p>
      <w:pPr>
        <w:jc w:val="both"/>
        <w:ind w:left="500" w:hanging="492"/>
        <w:spacing w:after="0" w:line="257" w:lineRule="auto"/>
        <w:tabs>
          <w:tab w:leader="none" w:pos="500" w:val="left"/>
        </w:tabs>
        <w:numPr>
          <w:ilvl w:val="0"/>
          <w:numId w:val="43"/>
        </w:numPr>
        <w:rPr>
          <w:rFonts w:ascii="Arial" w:cs="Arial" w:eastAsia="Arial" w:hAnsi="Arial"/>
          <w:sz w:val="18"/>
          <w:szCs w:val="18"/>
          <w:color w:val="313131"/>
        </w:rPr>
      </w:pPr>
      <w:r>
        <w:rPr>
          <w:rFonts w:ascii="Arial" w:cs="Arial" w:eastAsia="Arial" w:hAnsi="Arial"/>
          <w:sz w:val="18"/>
          <w:szCs w:val="18"/>
          <w:color w:val="auto"/>
        </w:rPr>
        <w:t>The Company was granted a $323 thousand loan on April 13, 2020 under the Paycheck Protection Program (the “PPP Loan”) established under the CARES Act. The Company planned to use the proceeds from the PPP Loan for covered payroll costs, rent and utilities in accordance with the relevant terms and conditions of the CARES Act. However, based upon subsequent guidance issued by the Federal Government, including a presumption that publicly traded companies may not be eligible for a PPP loan, the Company returned the PPP Loan proceeds in May 2020 and paid interest for the period of time the loan was outstanding.</w:t>
      </w:r>
    </w:p>
    <w:p>
      <w:pPr>
        <w:spacing w:after="0" w:line="184"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2020, the Company paid approximately $5 thousand in consulting fees to a director of the Company. No consulting fees were paid to this director during the year ended December 31,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 officer of the Company and affiliates of an officer and director subscribed for units in the Company’s October 2020 Offering (see Note 3).</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Affiliates of an officer and director participated in the February 2021 Offering and the November 2021 Offering on the same terms and conditions as all other purchasers.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7160" w:type="dxa"/>
            <w:vAlign w:val="bottom"/>
            <w:gridSpan w:val="2"/>
          </w:tcPr>
          <w:p>
            <w:pPr>
              <w:ind w:left="240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4080" w:type="dxa"/>
            <w:vAlign w:val="bottom"/>
          </w:tcPr>
          <w:p>
            <w:pPr>
              <w:spacing w:after="0"/>
              <w:rPr>
                <w:sz w:val="20"/>
                <w:szCs w:val="20"/>
                <w:color w:val="auto"/>
              </w:rPr>
            </w:pPr>
            <w:r>
              <w:rPr>
                <w:rFonts w:ascii="Arial" w:cs="Arial" w:eastAsia="Arial" w:hAnsi="Arial"/>
                <w:sz w:val="18"/>
                <w:szCs w:val="18"/>
                <w:color w:val="auto"/>
              </w:rPr>
              <w:t>Dated: March 14, 2022</w:t>
            </w:r>
          </w:p>
        </w:tc>
        <w:tc>
          <w:tcPr>
            <w:tcW w:w="7160" w:type="dxa"/>
            <w:vAlign w:val="bottom"/>
            <w:gridSpan w:val="2"/>
          </w:tcPr>
          <w:p>
            <w:pPr>
              <w:ind w:left="2400"/>
              <w:spacing w:after="0"/>
              <w:rPr>
                <w:sz w:val="20"/>
                <w:szCs w:val="20"/>
                <w:color w:val="auto"/>
              </w:rPr>
            </w:pPr>
            <w:r>
              <w:rPr>
                <w:rFonts w:ascii="Arial" w:cs="Arial" w:eastAsia="Arial" w:hAnsi="Arial"/>
                <w:sz w:val="18"/>
                <w:szCs w:val="18"/>
                <w:color w:val="auto"/>
              </w:rPr>
              <w:t>By:  /s/ Dane C. Andreeff</w:t>
            </w:r>
          </w:p>
        </w:tc>
      </w:tr>
      <w:tr>
        <w:trPr>
          <w:trHeight w:val="195"/>
        </w:trPr>
        <w:tc>
          <w:tcPr>
            <w:tcW w:w="40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4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40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r>
    </w:tbl>
    <w:p>
      <w:pPr>
        <w:spacing w:after="0" w:line="24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317"/>
        </w:trPr>
        <w:tc>
          <w:tcPr>
            <w:tcW w:w="340" w:type="dxa"/>
            <w:vAlign w:val="bottom"/>
          </w:tcPr>
          <w:p>
            <w:pPr>
              <w:spacing w:after="0"/>
              <w:rPr>
                <w:sz w:val="24"/>
                <w:szCs w:val="24"/>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Dane C. Andreeff</w:t>
            </w:r>
          </w:p>
        </w:tc>
        <w:tc>
          <w:tcPr>
            <w:tcW w:w="170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c>
          <w:tcPr>
            <w:tcW w:w="170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Chief Financial Officer (Principal Financial Officer and Principal Accounting</w:t>
            </w:r>
          </w:p>
        </w:tc>
        <w:tc>
          <w:tcPr>
            <w:tcW w:w="170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Officer)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Blane Walter</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Blane Walter</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Mitchell E. Tyler</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Mitchell E. Tyler</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64"/>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M. Straw</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Edward M. Straw</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338"/>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Sherrie Perkins</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Sherrie Perkins</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r>
        <w:trPr>
          <w:trHeight w:val="43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Buckman</w:t>
            </w:r>
          </w:p>
        </w:tc>
        <w:tc>
          <w:tcPr>
            <w:tcW w:w="1700" w:type="dxa"/>
            <w:vAlign w:val="bottom"/>
          </w:tcPr>
          <w:p>
            <w:pPr>
              <w:ind w:left="120"/>
              <w:spacing w:after="0"/>
              <w:rPr>
                <w:sz w:val="20"/>
                <w:szCs w:val="20"/>
                <w:color w:val="auto"/>
              </w:rPr>
            </w:pPr>
            <w:r>
              <w:rPr>
                <w:rFonts w:ascii="Arial" w:cs="Arial" w:eastAsia="Arial" w:hAnsi="Arial"/>
                <w:sz w:val="18"/>
                <w:szCs w:val="18"/>
                <w:color w:val="auto"/>
                <w:w w:val="90"/>
              </w:rPr>
              <w:t>Date: March 14, 2022</w:t>
            </w:r>
          </w:p>
        </w:tc>
      </w:tr>
      <w:tr>
        <w:trPr>
          <w:trHeight w:val="195"/>
        </w:trPr>
        <w:tc>
          <w:tcPr>
            <w:tcW w:w="340" w:type="dxa"/>
            <w:vAlign w:val="bottom"/>
          </w:tcPr>
          <w:p>
            <w:pPr>
              <w:spacing w:after="0"/>
              <w:rPr>
                <w:sz w:val="16"/>
                <w:szCs w:val="16"/>
                <w:color w:val="auto"/>
              </w:rPr>
            </w:pPr>
          </w:p>
        </w:tc>
        <w:tc>
          <w:tcPr>
            <w:tcW w:w="6300" w:type="dxa"/>
            <w:vAlign w:val="bottom"/>
          </w:tcPr>
          <w:p>
            <w:pPr>
              <w:spacing w:after="0" w:line="195" w:lineRule="exact"/>
              <w:rPr>
                <w:sz w:val="20"/>
                <w:szCs w:val="20"/>
                <w:color w:val="auto"/>
              </w:rPr>
            </w:pPr>
            <w:r>
              <w:rPr>
                <w:rFonts w:ascii="Arial" w:cs="Arial" w:eastAsia="Arial" w:hAnsi="Arial"/>
                <w:sz w:val="18"/>
                <w:szCs w:val="18"/>
                <w:color w:val="auto"/>
              </w:rPr>
              <w:t>Paul Buckman</w:t>
            </w:r>
          </w:p>
        </w:tc>
        <w:tc>
          <w:tcPr>
            <w:tcW w:w="170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6300" w:type="dxa"/>
            <w:vAlign w:val="bottom"/>
          </w:tcPr>
          <w:p>
            <w:pPr>
              <w:spacing w:after="0"/>
              <w:rPr>
                <w:sz w:val="20"/>
                <w:szCs w:val="20"/>
                <w:color w:val="auto"/>
              </w:rPr>
            </w:pPr>
            <w:r>
              <w:rPr>
                <w:rFonts w:ascii="Arial" w:cs="Arial" w:eastAsia="Arial" w:hAnsi="Arial"/>
                <w:sz w:val="18"/>
                <w:szCs w:val="18"/>
                <w:i w:val="1"/>
                <w:iCs w:val="1"/>
                <w:color w:val="auto"/>
              </w:rPr>
              <w:t>Director</w:t>
            </w:r>
          </w:p>
        </w:tc>
        <w:tc>
          <w:tcPr>
            <w:tcW w:w="1700" w:type="dxa"/>
            <w:vAlign w:val="bottom"/>
          </w:tcPr>
          <w:p>
            <w:pPr>
              <w:spacing w:after="0"/>
              <w:rPr>
                <w:sz w:val="20"/>
                <w:szCs w:val="20"/>
                <w:color w:val="auto"/>
              </w:rPr>
            </w:pPr>
          </w:p>
        </w:tc>
      </w:tr>
    </w:tbl>
    <w:p>
      <w:pPr>
        <w:sectPr>
          <w:pgSz w:w="11900" w:h="16838" w:orient="portrait"/>
          <w:cols w:equalWidth="0" w:num="1">
            <w:col w:w="11240"/>
          </w:cols>
          <w:pgMar w:left="320" w:top="783" w:right="33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21.1</w:t>
            </w:r>
          </w:p>
        </w:tc>
      </w:tr>
      <w:tr>
        <w:trPr>
          <w:trHeight w:val="432"/>
        </w:trPr>
        <w:tc>
          <w:tcPr>
            <w:tcW w:w="1300" w:type="dxa"/>
            <w:vAlign w:val="bottom"/>
          </w:tcPr>
          <w:p>
            <w:pPr>
              <w:spacing w:after="0"/>
              <w:rPr>
                <w:sz w:val="24"/>
                <w:szCs w:val="24"/>
                <w:color w:val="auto"/>
              </w:rPr>
            </w:pPr>
          </w:p>
        </w:tc>
        <w:tc>
          <w:tcPr>
            <w:tcW w:w="8620" w:type="dxa"/>
            <w:vAlign w:val="bottom"/>
          </w:tcPr>
          <w:p>
            <w:pPr>
              <w:ind w:left="1760"/>
              <w:spacing w:after="0"/>
              <w:rPr>
                <w:sz w:val="20"/>
                <w:szCs w:val="20"/>
                <w:color w:val="auto"/>
              </w:rPr>
            </w:pPr>
            <w:r>
              <w:rPr>
                <w:rFonts w:ascii="Arial" w:cs="Arial" w:eastAsia="Arial" w:hAnsi="Arial"/>
                <w:sz w:val="18"/>
                <w:szCs w:val="18"/>
                <w:b w:val="1"/>
                <w:bCs w:val="1"/>
                <w:color w:val="auto"/>
              </w:rPr>
              <w:t>SUBSIDIARIES OF HELIUS MEDICAL TECHNOLOGIES, INC</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1300" w:type="dxa"/>
            <w:vAlign w:val="bottom"/>
          </w:tcPr>
          <w:p>
            <w:pPr>
              <w:spacing w:after="0"/>
              <w:rPr>
                <w:sz w:val="20"/>
                <w:szCs w:val="20"/>
                <w:color w:val="auto"/>
              </w:rPr>
            </w:pPr>
            <w:r>
              <w:rPr>
                <w:rFonts w:ascii="Arial" w:cs="Arial" w:eastAsia="Arial" w:hAnsi="Arial"/>
                <w:sz w:val="18"/>
                <w:szCs w:val="18"/>
                <w:b w:val="1"/>
                <w:bCs w:val="1"/>
                <w:color w:val="auto"/>
              </w:rPr>
              <w:t>ENTITY NAME</w:t>
            </w:r>
          </w:p>
        </w:tc>
        <w:tc>
          <w:tcPr>
            <w:tcW w:w="8620" w:type="dxa"/>
            <w:vAlign w:val="bottom"/>
          </w:tcPr>
          <w:p>
            <w:pPr>
              <w:spacing w:after="0"/>
              <w:rPr>
                <w:sz w:val="24"/>
                <w:szCs w:val="24"/>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JURISDICTION</w:t>
            </w:r>
          </w:p>
        </w:tc>
      </w:tr>
      <w:tr>
        <w:trPr>
          <w:trHeight w:val="20"/>
        </w:trPr>
        <w:tc>
          <w:tcPr>
            <w:tcW w:w="130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8"/>
        </w:trPr>
        <w:tc>
          <w:tcPr>
            <w:tcW w:w="9920" w:type="dxa"/>
            <w:vAlign w:val="bottom"/>
            <w:gridSpan w:val="2"/>
          </w:tcPr>
          <w:p>
            <w:pPr>
              <w:spacing w:after="0"/>
              <w:rPr>
                <w:sz w:val="20"/>
                <w:szCs w:val="20"/>
                <w:color w:val="auto"/>
              </w:rPr>
            </w:pPr>
            <w:r>
              <w:rPr>
                <w:rFonts w:ascii="Arial" w:cs="Arial" w:eastAsia="Arial" w:hAnsi="Arial"/>
                <w:sz w:val="18"/>
                <w:szCs w:val="18"/>
                <w:color w:val="auto"/>
              </w:rPr>
              <w:t>Helius Medical,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Medical Technologies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NeuroRehab,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Delaware</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rPr>
              <w:t>Helius Canada Acquisition Ltd.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r>
        <w:trPr>
          <w:trHeight w:val="230"/>
        </w:trPr>
        <w:tc>
          <w:tcPr>
            <w:tcW w:w="9920" w:type="dxa"/>
            <w:vAlign w:val="bottom"/>
            <w:gridSpan w:val="2"/>
          </w:tcPr>
          <w:p>
            <w:pPr>
              <w:spacing w:after="0"/>
              <w:rPr>
                <w:sz w:val="20"/>
                <w:szCs w:val="20"/>
                <w:color w:val="auto"/>
              </w:rPr>
            </w:pPr>
            <w:r>
              <w:rPr>
                <w:rFonts w:ascii="Arial" w:cs="Arial" w:eastAsia="Arial" w:hAnsi="Arial"/>
                <w:sz w:val="18"/>
                <w:szCs w:val="18"/>
                <w:color w:val="auto"/>
              </w:rPr>
              <w:t>Heuro Canada, Inc.</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Canada</w:t>
            </w:r>
          </w:p>
        </w:tc>
      </w:tr>
    </w:tbl>
    <w:p>
      <w:pPr>
        <w:sectPr>
          <w:pgSz w:w="11900" w:h="16838" w:orient="portrait"/>
          <w:cols w:equalWidth="0" w:num="1">
            <w:col w:w="11240"/>
          </w:cols>
          <w:pgMar w:left="320" w:top="33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Helius Medical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Newtown, Pennsylvania</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hereby consent to the incorporation by reference in the Registration Statements on Form S-3 (No. 333-236101), Form S-1 (No. 333-248824, 333-250974 and 333-259334), and Form S-8 (No. 333-204155, 333-218095, 333-229724, 333-256680 and 333-257749) of Helius Medical Technologies, Inc., of our report dated March 14, 2022, relating to the consolidated financial statements of Helius Medical Technologies, Inc., which appears in this Annual Report on Form 10-K for the year ended December 31, 2021. Our report contains an explanatory paragraph regarding the Company’s ability to continue as a going concern.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2022</w:t>
      </w:r>
    </w:p>
    <w:p>
      <w:pPr>
        <w:sectPr>
          <w:pgSz w:w="11900" w:h="16838" w:orient="portrait"/>
          <w:cols w:equalWidth="0" w:num="1">
            <w:col w:w="11240"/>
          </w:cols>
          <w:pgMar w:left="320" w:top="121"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11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Dane C.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 Rule 13a-14(a) and Rule 15d-14(a)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S. Mathiesen, certify that:</w:t>
      </w:r>
    </w:p>
    <w:p>
      <w:pPr>
        <w:spacing w:after="0" w:line="117"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Helius Medical Technologies,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60" w:hanging="493"/>
        <w:spacing w:after="0" w:line="263"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8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S. Mathiesen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ectPr>
          <w:pgSz w:w="11900" w:h="16838" w:orient="portrait"/>
          <w:cols w:equalWidth="0" w:num="1">
            <w:col w:w="11240"/>
          </w:cols>
          <w:pgMar w:left="320" w:top="12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on Form 10-K of Helius Medical Technologies, Inc. (the "Company") for the year ended December 31, 2021 as filed with the Securities and Exchange Commission on the date hereof (the "Report"), Dane C. Andreeff, as Chief Executive Officer of the Company, and Jeffrey S. Mathiesen, as Chief Financial Officer of the Company, each hereby certifies, pursuant to 18 U.S.C. Section 1350, as adopted pursuant to Section 906 of the Sarbanes-Oxley Act of 2002, that, to the best of their knowledge:</w:t>
      </w:r>
    </w:p>
    <w:p>
      <w:pPr>
        <w:spacing w:after="0" w:line="79"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Dane C. Andreeff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Dane C. Andreeff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S. Mathiesen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S. Mathiesen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p>
    <w:p>
      <w:pPr>
        <w:spacing w:after="0" w:line="2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Helius Medical Technologies, Inc. and will be retained by Helius Medical Technologies,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o"/>
      <w:numFmt w:val="bullet"/>
      <w:start w:val="1"/>
    </w:lvl>
  </w:abstractNum>
  <w:abstractNum w:abstractNumId="8">
    <w:nsid w:val="2CA88611"/>
    <w:multiLevelType w:val="hybridMultilevel"/>
    <w:lvl w:ilvl="0">
      <w:lvlJc w:val="left"/>
      <w:lvlText w:val="o"/>
      <w:numFmt w:val="bullet"/>
      <w:start w:val="1"/>
    </w:lvl>
  </w:abstractNum>
  <w:abstractNum w:abstractNumId="9">
    <w:nsid w:val="836C40E"/>
    <w:multiLevelType w:val="hybridMultilevel"/>
    <w:lvl w:ilvl="0">
      <w:lvlJc w:val="left"/>
      <w:lvlText w:val="o"/>
      <w:numFmt w:val="bullet"/>
      <w:start w:val="1"/>
    </w:lvl>
  </w:abstractNum>
  <w:abstractNum w:abstractNumId="10">
    <w:nsid w:val="2901D82"/>
    <w:multiLevelType w:val="hybridMultilevel"/>
    <w:lvl w:ilvl="0">
      <w:lvlJc w:val="left"/>
      <w:lvlText w:val="o"/>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1)"/>
      <w:numFmt w:val="lowerRoman"/>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2"/>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lowerRoman"/>
      <w:start w:val="1"/>
    </w:lvl>
  </w:abstractNum>
  <w:abstractNum w:abstractNumId="36">
    <w:nsid w:val="70A64E2A"/>
    <w:multiLevelType w:val="hybridMultilevel"/>
    <w:lvl w:ilvl="0">
      <w:lvlJc w:val="left"/>
      <w:lvlText w:val="%1."/>
      <w:numFmt w:val="decimal"/>
      <w:start w:val="3"/>
    </w:lvl>
  </w:abstractNum>
  <w:abstractNum w:abstractNumId="37">
    <w:nsid w:val="6A2342EC"/>
    <w:multiLevelType w:val="hybridMultilevel"/>
    <w:lvl w:ilvl="0">
      <w:lvlJc w:val="left"/>
      <w:lvlText w:val="%1."/>
      <w:numFmt w:val="decimal"/>
      <w:start w:val="4"/>
    </w:lvl>
  </w:abstractNum>
  <w:abstractNum w:abstractNumId="38">
    <w:nsid w:val="2A487CB0"/>
    <w:multiLevelType w:val="hybridMultilevel"/>
    <w:lvl w:ilvl="0">
      <w:lvlJc w:val="left"/>
      <w:lvlText w:val="%1."/>
      <w:numFmt w:val="decimal"/>
      <w:start w:val="6"/>
    </w:lvl>
  </w:abstractNum>
  <w:abstractNum w:abstractNumId="39">
    <w:nsid w:val="1D4ED43B"/>
    <w:multiLevelType w:val="hybridMultilevel"/>
    <w:lvl w:ilvl="0">
      <w:lvlJc w:val="left"/>
      <w:lvlText w:val="%1."/>
      <w:numFmt w:val="decimal"/>
      <w:start w:val="7"/>
    </w:lvl>
  </w:abstractNum>
  <w:abstractNum w:abstractNumId="40">
    <w:nsid w:val="725A06FB"/>
    <w:multiLevelType w:val="hybridMultilevel"/>
    <w:lvl w:ilvl="0">
      <w:lvlJc w:val="left"/>
      <w:lvlText w:val="(%1)"/>
      <w:numFmt w:val="lowerLetter"/>
      <w:start w:val="1"/>
    </w:lvl>
  </w:abstractNum>
  <w:abstractNum w:abstractNumId="41">
    <w:nsid w:val="2CD89A32"/>
    <w:multiLevelType w:val="hybridMultilevel"/>
    <w:lvl w:ilvl="0">
      <w:lvlJc w:val="left"/>
      <w:lvlText w:val="(%1)"/>
      <w:numFmt w:val="lowerLetter"/>
      <w:start w:val="3"/>
    </w:lvl>
  </w:abstractNum>
  <w:abstractNum w:abstractNumId="42">
    <w:nsid w:val="57E4CCAF"/>
    <w:multiLevelType w:val="hybridMultilevel"/>
    <w:lvl w:ilvl="0">
      <w:lvlJc w:val="left"/>
      <w:lvlText w:val="(%1)"/>
      <w:numFmt w:val="lowerLetter"/>
      <w:start w:val="4"/>
    </w:lvl>
  </w:abstractNum>
  <w:abstractNum w:abstractNumId="43">
    <w:nsid w:val="7A6D8D3C"/>
    <w:multiLevelType w:val="hybridMultilevel"/>
    <w:lvl w:ilvl="0">
      <w:lvlJc w:val="left"/>
      <w:lvlText w:val="%1."/>
      <w:numFmt w:val="decimal"/>
      <w:start w:val="8"/>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36" Type="http://schemas.openxmlformats.org/officeDocument/2006/relationships/image" Target="media/image88.png"/><Relationship Id="rId137" Type="http://schemas.openxmlformats.org/officeDocument/2006/relationships/image" Target="media/image89.png"/><Relationship Id="rId140" Type="http://schemas.openxmlformats.org/officeDocument/2006/relationships/image" Target="media/image90.png"/><Relationship Id="rId141" Type="http://schemas.openxmlformats.org/officeDocument/2006/relationships/image" Target="media/image91.png"/><Relationship Id="rId142" Type="http://schemas.openxmlformats.org/officeDocument/2006/relationships/image" Target="media/image92.png"/><Relationship Id="rId143" Type="http://schemas.openxmlformats.org/officeDocument/2006/relationships/image" Target="media/image93.png"/><Relationship Id="rId144" Type="http://schemas.openxmlformats.org/officeDocument/2006/relationships/image" Target="media/image94.png"/><Relationship Id="rId145"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161" Type="http://schemas.openxmlformats.org/officeDocument/2006/relationships/image" Target="media/image111.png"/><Relationship Id="rId162" Type="http://schemas.openxmlformats.org/officeDocument/2006/relationships/image" Target="media/image112.png"/><Relationship Id="rId163" Type="http://schemas.openxmlformats.org/officeDocument/2006/relationships/image" Target="media/image113.png"/><Relationship Id="rId164" Type="http://schemas.openxmlformats.org/officeDocument/2006/relationships/image" Target="media/image114.png"/><Relationship Id="rId165" Type="http://schemas.openxmlformats.org/officeDocument/2006/relationships/image" Target="media/image115.png"/><Relationship Id="rId166" Type="http://schemas.openxmlformats.org/officeDocument/2006/relationships/image" Target="media/image116.png"/><Relationship Id="rId167" Type="http://schemas.openxmlformats.org/officeDocument/2006/relationships/image" Target="media/image117.png"/><Relationship Id="rId168" Type="http://schemas.openxmlformats.org/officeDocument/2006/relationships/image" Target="media/image118.png"/><Relationship Id="rId169" Type="http://schemas.openxmlformats.org/officeDocument/2006/relationships/image" Target="media/image119.png"/><Relationship Id="rId170" Type="http://schemas.openxmlformats.org/officeDocument/2006/relationships/image" Target="media/image120.png"/><Relationship Id="rId171" Type="http://schemas.openxmlformats.org/officeDocument/2006/relationships/image" Target="media/image121.png"/><Relationship Id="rId172" Type="http://schemas.openxmlformats.org/officeDocument/2006/relationships/image" Target="media/image122.png"/><Relationship Id="rId173" Type="http://schemas.openxmlformats.org/officeDocument/2006/relationships/image" Target="media/image123.png"/><Relationship Id="rId174" Type="http://schemas.openxmlformats.org/officeDocument/2006/relationships/image" Target="media/image124.png"/><Relationship Id="rId175" Type="http://schemas.openxmlformats.org/officeDocument/2006/relationships/image" Target="media/image125.png"/><Relationship Id="rId176" Type="http://schemas.openxmlformats.org/officeDocument/2006/relationships/image" Target="media/image126.png"/><Relationship Id="rId177" Type="http://schemas.openxmlformats.org/officeDocument/2006/relationships/image" Target="media/image127.png"/><Relationship Id="rId178" Type="http://schemas.openxmlformats.org/officeDocument/2006/relationships/image" Target="media/image128.png"/><Relationship Id="rId179" Type="http://schemas.openxmlformats.org/officeDocument/2006/relationships/image" Target="media/image129.png"/><Relationship Id="rId93" Type="http://schemas.openxmlformats.org/officeDocument/2006/relationships/hyperlink" Target="http://www.sec.gov/Archives/edgar/data/0001610853/000156459018020736/hsdt-10q_20180630.htm" TargetMode="External"/><Relationship Id="rId94" Type="http://schemas.openxmlformats.org/officeDocument/2006/relationships/hyperlink" Target="http://www.sec.gov/Archives/edgar/data/0001610853/000119312518312155/d646047dex31.htm" TargetMode="External"/><Relationship Id="rId95" Type="http://schemas.openxmlformats.org/officeDocument/2006/relationships/hyperlink" Target="http://www.sec.gov/Archives/edgar/data/1610853/000156459020058917/hsdt-ex31_7.htm" TargetMode="External"/><Relationship Id="rId96" Type="http://schemas.openxmlformats.org/officeDocument/2006/relationships/hyperlink" Target="http://www.sec.gov/Archives/edgar/data/0001610853/000156459018020736/hsdt-ex33_68.htm" TargetMode="External"/><Relationship Id="rId97" Type="http://schemas.openxmlformats.org/officeDocument/2006/relationships/hyperlink" Target="http://www.sec.gov/Archives/edgar/data/1610853/000156459020047638/hsdt-ex41_7.htm" TargetMode="External"/><Relationship Id="rId98" Type="http://schemas.openxmlformats.org/officeDocument/2006/relationships/hyperlink" Target="http://www.sec.gov/Archives/edgar/data/1610853/000119312521011714/d15508dex41.htm" TargetMode="External"/><Relationship Id="rId99" Type="http://schemas.openxmlformats.org/officeDocument/2006/relationships/hyperlink" Target="http://www.sec.gov/Archives/edgar/data/1610853/000119312521011714/d15508dex42.htm" TargetMode="External"/><Relationship Id="rId100" Type="http://schemas.openxmlformats.org/officeDocument/2006/relationships/hyperlink" Target="http://www.sec.gov/Archives/edgar/data/1610853/000156459021012121/hsdt-ex47_10.htm" TargetMode="External"/><Relationship Id="rId101" Type="http://schemas.openxmlformats.org/officeDocument/2006/relationships/hyperlink" Target="http://www.sec.gov/Archives/edgar/data/1610853/000156459021003612/hsdt-ex42_9.htm" TargetMode="External"/><Relationship Id="rId102" Type="http://schemas.openxmlformats.org/officeDocument/2006/relationships/hyperlink" Target="http://www.sec.gov/Archives/edgar/data/0001610853/000106299314005608/exhibit10-8.htm" TargetMode="External"/><Relationship Id="rId103" Type="http://schemas.openxmlformats.org/officeDocument/2006/relationships/hyperlink" Target="http://www.sec.gov/Archives/edgar/data/0001610853/000118374014000218/fs1ex10-1.htm" TargetMode="External"/><Relationship Id="rId104" Type="http://schemas.openxmlformats.org/officeDocument/2006/relationships/hyperlink" Target="http://www.sec.gov/Archives/edgar/data/0001610853/000118374014000218/fs1ex10-7.htm" TargetMode="External"/><Relationship Id="rId105" Type="http://schemas.openxmlformats.org/officeDocument/2006/relationships/hyperlink" Target="http://www.sec.gov/Archives/edgar/data/0001610853/000118374014000218/fs1ex10-3.htm" TargetMode="External"/><Relationship Id="rId106" Type="http://schemas.openxmlformats.org/officeDocument/2006/relationships/hyperlink" Target="http://www.sec.gov/Archives/edgar/data/0001610853/000118374014000218/fs1ex10-4.htm" TargetMode="External"/><Relationship Id="rId107" Type="http://schemas.openxmlformats.org/officeDocument/2006/relationships/hyperlink" Target="http://www.sec.gov/Archives/edgar/data/0001610853/000106299315005471/exhibit2-1.htm" TargetMode="External"/><Relationship Id="rId108" Type="http://schemas.openxmlformats.org/officeDocument/2006/relationships/hyperlink" Target="http://www.sec.gov/Archives/edgar/data/1610853/000156459017021203/hsdt-ex101_6.htm" TargetMode="External"/><Relationship Id="rId109" Type="http://schemas.openxmlformats.org/officeDocument/2006/relationships/hyperlink" Target="http://www.sec.gov/Archives/edgar/data/1610853/000156459019007839/hsdt-ex1027_291.htm" TargetMode="External"/><Relationship Id="rId110" Type="http://schemas.openxmlformats.org/officeDocument/2006/relationships/hyperlink" Target="http://www.sec.gov/Archives/edgar/data/1610853/000156459017023191/hsdt-ex43_70.htm" TargetMode="External"/><Relationship Id="rId113" Type="http://schemas.openxmlformats.org/officeDocument/2006/relationships/hyperlink" Target="http://www.sec.gov/Archives/edgar/data/0001610853/000118374014000218/fs1ex4-1.htm" TargetMode="External"/><Relationship Id="rId114" Type="http://schemas.openxmlformats.org/officeDocument/2006/relationships/hyperlink" Target="http://www.sec.gov/Archives/edgar/data/0001610853/000156459017005926/hsdt-ex1025_990.htm" TargetMode="External"/><Relationship Id="rId115" Type="http://schemas.openxmlformats.org/officeDocument/2006/relationships/hyperlink" Target="http://www.sec.gov/Archives/edgar/data/0001610853/000156459017005926/hsdt-ex10251_1221.htm" TargetMode="External"/><Relationship Id="rId116" Type="http://schemas.openxmlformats.org/officeDocument/2006/relationships/hyperlink" Target="http://www.sec.gov/Archives/edgar/data/0001610853/000119312517175405/d382247dex47.htm" TargetMode="External"/><Relationship Id="rId117" Type="http://schemas.openxmlformats.org/officeDocument/2006/relationships/hyperlink" Target="http://www.sec.gov/Archives/edgar/data/0001610853/000119312517175405/d382247dex48.htm" TargetMode="External"/><Relationship Id="rId118" Type="http://schemas.openxmlformats.org/officeDocument/2006/relationships/hyperlink" Target="http://www.sec.gov/Archives/edgar/data/0001610853/000119312517175405/d382247dex49.htm" TargetMode="External"/><Relationship Id="rId119" Type="http://schemas.openxmlformats.org/officeDocument/2006/relationships/hyperlink" Target="http://www.sec.gov/Archives/edgar/data/0001610853/000156459018028537/hsdt-ex102_17.htm" TargetMode="External"/><Relationship Id="rId120" Type="http://schemas.openxmlformats.org/officeDocument/2006/relationships/hyperlink" Target="http://www.sec.gov/Archives/edgar/data/0001610853/000156459018028537/hsdt-ex103_18.htm" TargetMode="External"/><Relationship Id="rId121" Type="http://schemas.openxmlformats.org/officeDocument/2006/relationships/hyperlink" Target="http://www.sec.gov/Archives/edgar/data/0001610853/000156459018028537/hsdt-ex104_19.htm" TargetMode="External"/><Relationship Id="rId122" Type="http://schemas.openxmlformats.org/officeDocument/2006/relationships/hyperlink" Target="http://www.sec.gov/Archives/edgar/data/1610853/000156459020046019/hsdt-ex101_7.htm" TargetMode="External"/><Relationship Id="rId123" Type="http://schemas.openxmlformats.org/officeDocument/2006/relationships/hyperlink" Target="http://www.sec.gov/Archives/edgar/data/1610853/000156459021018009/hsdt-ex101_8.htm" TargetMode="External"/><Relationship Id="rId124" Type="http://schemas.openxmlformats.org/officeDocument/2006/relationships/hyperlink" Target="http://www.sec.gov/Archives/edgar/data/1610853/000156459021030425/hsdt-ex101_8.htm" TargetMode="External"/><Relationship Id="rId125" Type="http://schemas.openxmlformats.org/officeDocument/2006/relationships/hyperlink" Target="http://www.sec.gov/Archives/edgar/data/1610853/000156459021032871/hsdt-ex103_7.htm" TargetMode="External"/><Relationship Id="rId126" Type="http://schemas.openxmlformats.org/officeDocument/2006/relationships/hyperlink" Target="http://www.sec.gov/Archives/edgar/data/1610853/000156459021012121/hsdt-ex1024_291.htm" TargetMode="External"/><Relationship Id="rId127" Type="http://schemas.openxmlformats.org/officeDocument/2006/relationships/hyperlink" Target="http://www.sec.gov/Archives/edgar/data/1610853/000156459021028404/hsdt-ex107_84.htm" TargetMode="External"/><Relationship Id="rId128" Type="http://schemas.openxmlformats.org/officeDocument/2006/relationships/hyperlink" Target="http://www.sec.gov/Archives/edgar/data/1610853/000156459021032871/hsdt-ex101_9.htm" TargetMode="External"/><Relationship Id="rId129" Type="http://schemas.openxmlformats.org/officeDocument/2006/relationships/hyperlink" Target="http://www.sec.gov/Archives/edgar/data/1610853/000156459021032871/hsdt-ex102_8.htm" TargetMode="External"/><Relationship Id="rId130" Type="http://schemas.openxmlformats.org/officeDocument/2006/relationships/hyperlink" Target="http://www.sec.gov/Archives/edgar/data/1610853/000119312521209963/d164802dex46.htm" TargetMode="External"/><Relationship Id="rId131" Type="http://schemas.openxmlformats.org/officeDocument/2006/relationships/hyperlink" Target="http://www.sec.gov/Archives/edgar/data/1610853/000119312521209963/d164802dex45.htm" TargetMode="External"/><Relationship Id="rId132" Type="http://schemas.openxmlformats.org/officeDocument/2006/relationships/hyperlink" Target="http://www.sec.gov/Archives/edgar/data/1610853/000156459021045202/hsdt-ex101_6.htm" TargetMode="External"/><Relationship Id="rId133" Type="http://schemas.openxmlformats.org/officeDocument/2006/relationships/hyperlink" Target="http://www.sec.gov/Archives/edgar/data/1610853/000119312521263745/d169384dex101.htm" TargetMode="External"/><Relationship Id="rId134" Type="http://schemas.openxmlformats.org/officeDocument/2006/relationships/hyperlink" Target="http://www.sec.gov/Archives/edgar/data/1610853/000119312521263745/d169384dex102.htm" TargetMode="External"/><Relationship Id="rId135" Type="http://schemas.openxmlformats.org/officeDocument/2006/relationships/hyperlink" Target="http://www.sec.gov/Archives/edgar/data/1610853/000119312521265642/d184071dex1031.htm" TargetMode="External"/><Relationship Id="rId138" Type="http://schemas.openxmlformats.org/officeDocument/2006/relationships/hyperlink" Target="http://www.sec.gov/Archives/edgar/data/1610853/000156459022005702/hsdt-ex101_8.htm" TargetMode="External"/><Relationship Id="rId139" Type="http://schemas.openxmlformats.org/officeDocument/2006/relationships/hyperlink" Target="http://www.sec.gov/Archives/edgar/data/1610853/000156459022005702/hsdt-ex103_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2022-03-14T16:14:54Z</dcterms:created>
  <dcterms:modified xsi:type="dcterms:W3CDTF">2022-03-14T16:14:54Z</dcterms:modified>
</cp:coreProperties>
</file>