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4"/>
          <w:szCs w:val="24"/>
          <w:color w:val="auto"/>
        </w:rPr>
      </w:pPr>
    </w:p>
    <w:p>
      <w:pPr>
        <w:ind w:left="480" w:right="360" w:hanging="472"/>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2020</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360" w:hanging="472"/>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4"/>
              </w:rPr>
              <w:t>Delaware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right"/>
              <w:ind w:right="2423"/>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center"/>
              <w:ind w:right="128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center"/>
              <w:ind w:right="130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3"/>
              </w:rPr>
              <w:t>642 Newtown Yardley Road, Suite 100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right"/>
              <w:ind w:right="2583"/>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8"/>
        </w:trPr>
        <w:tc>
          <w:tcPr>
            <w:tcW w:w="4220" w:type="dxa"/>
            <w:vAlign w:val="bottom"/>
          </w:tcPr>
          <w:p>
            <w:pPr>
              <w:jc w:val="center"/>
              <w:ind w:left="1243"/>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vMerge w:val="restart"/>
          </w:tcPr>
          <w:p>
            <w:pPr>
              <w:jc w:val="center"/>
              <w:ind w:right="130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7"/>
        </w:trPr>
        <w:tc>
          <w:tcPr>
            <w:tcW w:w="422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(215) 944-6100</w:t>
            </w:r>
          </w:p>
        </w:tc>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including area code)</w:t>
            </w: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5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220" w:type="dxa"/>
            <w:vAlign w:val="bottom"/>
            <w:vMerge w:val="restart"/>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right="663"/>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320" w:type="dxa"/>
            <w:vAlign w:val="bottom"/>
          </w:tcPr>
          <w:p>
            <w:pPr>
              <w:jc w:val="center"/>
              <w:ind w:right="643"/>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2020, the registrant had 38,041,666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71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340" w:type="dxa"/>
            <w:vAlign w:val="bottom"/>
          </w:tcPr>
          <w:p>
            <w:pPr>
              <w:spacing w:after="0"/>
              <w:rPr>
                <w:sz w:val="20"/>
                <w:szCs w:val="20"/>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5"/>
          </w:tcPr>
          <w:p>
            <w:pPr>
              <w:ind w:left="120"/>
              <w:spacing w:after="0"/>
              <w:rPr>
                <w:sz w:val="20"/>
                <w:szCs w:val="20"/>
                <w:color w:val="auto"/>
              </w:rPr>
            </w:pPr>
            <w:r>
              <w:rPr>
                <w:rFonts w:ascii="Arial" w:cs="Arial" w:eastAsia="Arial" w:hAnsi="Arial"/>
                <w:sz w:val="18"/>
                <w:szCs w:val="18"/>
                <w:color w:val="auto"/>
              </w:rPr>
              <w:t>Condensed Consolidated Financial Statements</w:t>
            </w:r>
          </w:p>
        </w:tc>
        <w:tc>
          <w:tcPr>
            <w:tcW w:w="340" w:type="dxa"/>
            <w:vAlign w:val="bottom"/>
          </w:tcPr>
          <w:p>
            <w:pPr>
              <w:spacing w:after="0"/>
              <w:rPr>
                <w:sz w:val="24"/>
                <w:szCs w:val="24"/>
                <w:color w:val="auto"/>
              </w:rPr>
            </w:pPr>
          </w:p>
        </w:tc>
      </w:tr>
      <w:tr>
        <w:trPr>
          <w:trHeight w:val="338"/>
        </w:trPr>
        <w:tc>
          <w:tcPr>
            <w:tcW w:w="900" w:type="dxa"/>
            <w:vAlign w:val="bottom"/>
          </w:tcPr>
          <w:p>
            <w:pPr>
              <w:spacing w:after="0"/>
              <w:rPr>
                <w:sz w:val="24"/>
                <w:szCs w:val="24"/>
                <w:color w:val="auto"/>
              </w:rPr>
            </w:pP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March 31, 2020 and December 31,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Income for the three months ended March 31,</w:t>
              </w:r>
            </w:hyperlink>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2020 and 2019</w:t>
              </w:r>
            </w:hyperlink>
          </w:p>
        </w:tc>
        <w:tc>
          <w:tcPr>
            <w:tcW w:w="86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r>
      <w:tr>
        <w:trPr>
          <w:trHeight w:val="358"/>
        </w:trPr>
        <w:tc>
          <w:tcPr>
            <w:tcW w:w="900" w:type="dxa"/>
            <w:vAlign w:val="bottom"/>
          </w:tcPr>
          <w:p>
            <w:pPr>
              <w:spacing w:after="0"/>
              <w:rPr>
                <w:sz w:val="24"/>
                <w:szCs w:val="24"/>
                <w:color w:val="auto"/>
              </w:rPr>
            </w:pPr>
          </w:p>
        </w:tc>
        <w:tc>
          <w:tcPr>
            <w:tcW w:w="10020" w:type="dxa"/>
            <w:vAlign w:val="bottom"/>
            <w:gridSpan w:val="5"/>
          </w:tcPr>
          <w:p>
            <w:pPr>
              <w:ind w:left="120"/>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Unaudited Condensed Consolidated Statements of Stockholders’ Equity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1"/>
        </w:trPr>
        <w:tc>
          <w:tcPr>
            <w:tcW w:w="900" w:type="dxa"/>
            <w:vAlign w:val="bottom"/>
          </w:tcPr>
          <w:p>
            <w:pPr>
              <w:spacing w:after="0"/>
              <w:rPr>
                <w:sz w:val="24"/>
                <w:szCs w:val="24"/>
                <w:color w:val="auto"/>
              </w:rPr>
            </w:pP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 for the three months ended March 31, 2020 and 2019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51"/>
        </w:trPr>
        <w:tc>
          <w:tcPr>
            <w:tcW w:w="900" w:type="dxa"/>
            <w:vAlign w:val="bottom"/>
          </w:tcPr>
          <w:p>
            <w:pPr>
              <w:spacing w:after="0"/>
              <w:rPr>
                <w:sz w:val="24"/>
                <w:szCs w:val="24"/>
                <w:color w:val="auto"/>
              </w:rPr>
            </w:pP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gridSpan w:val="5"/>
          </w:tcPr>
          <w:p>
            <w:pPr>
              <w:ind w:left="12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Unregistered Sales of Equity Securities and Use of Proceeds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Defaults Upon Senior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00" w:type="dxa"/>
            <w:vAlign w:val="bottom"/>
          </w:tcPr>
          <w:p>
            <w:pPr>
              <w:spacing w:after="0"/>
              <w:rPr>
                <w:sz w:val="24"/>
                <w:szCs w:val="24"/>
                <w:color w:val="auto"/>
              </w:rPr>
            </w:pPr>
          </w:p>
        </w:tc>
        <w:tc>
          <w:tcPr>
            <w:tcW w:w="9900" w:type="dxa"/>
            <w:vAlign w:val="bottom"/>
            <w:gridSpan w:val="4"/>
          </w:tcPr>
          <w:p>
            <w:pPr>
              <w:jc w:val="right"/>
              <w:ind w:right="5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 of reserve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March 31, 2020 and December 31, 2019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Class A common stock, $0.001 par value; 150,000,000 shares authorized; 38,041,666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rPr>
              <w:t>30,718,554 shares issued and outstanding as of March 31, 2020 and December 31, 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111,479</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(109,530)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(104,773)</w:t>
            </w: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378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Income </w:t>
      </w:r>
      <w:r>
        <w:rPr>
          <w:rFonts w:ascii="Arial" w:cs="Arial" w:eastAsia="Arial" w:hAnsi="Arial"/>
          <w:sz w:val="18"/>
          <w:szCs w:val="18"/>
          <w:color w:val="auto"/>
        </w:rPr>
        <w:t>(Amounts in thousands except shares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 net</w:t>
            </w:r>
          </w:p>
        </w:tc>
        <w:tc>
          <w:tcPr>
            <w:tcW w:w="21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7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17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2,862</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17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w:t>
            </w:r>
          </w:p>
        </w:tc>
        <w:tc>
          <w:tcPr>
            <w:tcW w:w="3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(4,002)</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loss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(765)</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17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3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7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income (loss)</w:t>
            </w:r>
          </w:p>
        </w:tc>
        <w:tc>
          <w:tcPr>
            <w:tcW w:w="17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w:t>
            </w:r>
          </w:p>
        </w:tc>
        <w:tc>
          <w:tcPr>
            <w:tcW w:w="3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per share</w:t>
            </w:r>
          </w:p>
        </w:tc>
        <w:tc>
          <w:tcPr>
            <w:tcW w:w="1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38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ind w:right="187"/>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(0.15)</w:t>
            </w:r>
          </w:p>
        </w:tc>
        <w:tc>
          <w:tcPr>
            <w:tcW w:w="560" w:type="dxa"/>
            <w:vAlign w:val="bottom"/>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17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(0.15)</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30,972,064</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25,832,190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30,972,064</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26,785,708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15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March 31, 2020 and 2019 </w:t>
      </w:r>
      <w:r>
        <w:rPr>
          <w:rFonts w:ascii="Arial" w:cs="Arial" w:eastAsia="Arial" w:hAnsi="Arial"/>
          <w:sz w:val="18"/>
          <w:szCs w:val="18"/>
          <w:color w:val="auto"/>
        </w:rPr>
        <w:t>(Except share and per share data,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25,827,860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105,411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(94,992)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w w:val="99"/>
              </w:rPr>
              <w:t>Reclassification of derivative financial instruments from the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exercise of warrants</w:t>
            </w: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2019</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25,844,180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(93,668)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30,718,554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111,479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(104,773)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w w:val="99"/>
              </w:rPr>
              <w:t>Proceeds from the issuance of common stock from At-the-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Market program</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1,065,968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1"/>
              </w:rPr>
              <w:t>Proceeds from issuance of common stock from the March 2020</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Offering</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6,257,144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38,041,666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114,967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(109,530)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(4,757)</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(8,289)</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Unrealized foreign exchange loss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Intangible asset impairment</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(459)</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w:t>
            </w: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(3,751)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Share issuance costs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29"/>
        </w:trPr>
        <w:tc>
          <w:tcPr>
            <w:tcW w:w="682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(6,927)</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9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90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18,656</w:t>
            </w:r>
          </w:p>
        </w:tc>
        <w:tc>
          <w:tcPr>
            <w:tcW w:w="1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Helius Medical Technologies, Inc. (“we” or the “Company”), is a neurotech company focused on neurological wellness. The Company’s purpose is to develop, license or acquire unique and non-invasive technologies targeted at reducing symptoms of neurological disease or trauma.</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 product, known as the Portable Neuromodulation Stimulator (“PoNS</w:t>
      </w:r>
      <w:r>
        <w:rPr>
          <w:rFonts w:ascii="Arial" w:cs="Arial" w:eastAsia="Arial" w:hAnsi="Arial"/>
          <w:sz w:val="15"/>
          <w:szCs w:val="15"/>
          <w:color w:val="auto"/>
        </w:rPr>
        <w:t>TM</w:t>
      </w:r>
      <w:r>
        <w:rPr>
          <w:rFonts w:ascii="Arial" w:cs="Arial" w:eastAsia="Arial" w:hAnsi="Arial"/>
          <w:sz w:val="18"/>
          <w:szCs w:val="18"/>
          <w:color w:val="auto"/>
        </w:rPr>
        <w:t>”), is an authorized class II, non-implantable medical device authorized for sale in Canada. PoNS is intended as a short term treatment (14 weeks) of chronic balance deficit due to mild-to-moderate traumatic brain injury (“mmTBI”) and is to be used in conjunction with physical therapy (“PoNS Treatment</w:t>
      </w:r>
      <w:r>
        <w:rPr>
          <w:rFonts w:ascii="Arial" w:cs="Arial" w:eastAsia="Arial" w:hAnsi="Arial"/>
          <w:sz w:val="15"/>
          <w:szCs w:val="15"/>
          <w:color w:val="auto"/>
        </w:rPr>
        <w:t>TM</w:t>
      </w:r>
      <w:r>
        <w:rPr>
          <w:rFonts w:ascii="Arial" w:cs="Arial" w:eastAsia="Arial" w:hAnsi="Arial"/>
          <w:sz w:val="18"/>
          <w:szCs w:val="18"/>
          <w:color w:val="auto"/>
        </w:rPr>
        <w:t>”), and is indicated as a short term treatment (14 weeks) of gait deficit due to mild and moderate symptoms from Multiple Sclerosis (“MS”) and is to be used in conjunction with physical therapy. It is an investigational medical device in the United States, the European Union (“EU”), and Australia (“AUS”), and it is currently under review for clearance by the AUS Therapeutic Goods Administration. PoNS Treatment™ is not currently commercially available in the United States, the European Union or Australia.</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2020, the Company had cash of $4.4 million. For the three months ended March 31, 2020, the Company had an operating loss of $4.0 million, and as of March 31, 2020, its accumulated deficit was $109.5 million. For the three months ended March 31, 2020, the Company had $0.2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business, results of operations and financial condition may be adversely impacted by economic conditions, including the global health concerns relating to the coronavirus (“COVID-19”) pandemic. The outbreak and spread of COVID-19 has significantly increased economic uncertainty. Authorities implemented numerous measures to try to contain the virus, such as travel bans and restrictions, quarantines, shelter in place orders, and business shutdowns. The COVID-19 pandemic has led to the closure of PoNS Authorized clinic locations across Canada. Timing for re-opening these clinics is uncertain at this time, and could result in a decrease of our commercial activities, and may have a negative impact on our customer engagement efforts. Moreover, the Company’s ability to conduct its ongoing clinical research may be impaired if trial participants or staff are adversely affected by COVID-19, leading to further delays in the development and approval of the Company’s product candidate. In addition, disruptions in business operations in the United States, Canada and China due to COVID-19 may delay the timing for the submission and approval of the Company’s marketing applications with regulatory agencies or limit the Company’s suppliers’ ability to ship materials that the Company relies upon due to delays or suspension of manufacturing operations. COVID-19 could also disrupt governmental operations or impair the Company’s ability to access the public markets to obtain the necessary capital and continue the Company’s operations. The extent to which the COVID-19 pandemic impacts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6220" w:firstLine="8"/>
        <w:spacing w:after="0" w:line="378"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2019, included in its Annual Report on Form 10-K that was filed with the Securities and Exchange Commission on March 12, 2020. The Company’s reporting currency is the U.S. Dollar (“USD$”).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 Certain prior period amounts have been reclassified to conform to the current period presentation.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required allowance required judgment by Company management. As of March 31, 2020, the Company’s accounts receivable of $0.1 million, is net of an allowance for doubtful accounts of $0.3 million and is the result of revenue from product sales. As of December 31, 2019, the Company’s accounts receivable of $0.4 million, is net of an allowance for doubtful accounts of $0.2 million and is the result of revenue from product sales.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receivables as of March 31, 2020 and December 31, 2019 included refunds from research and development (“R&amp;D”) tax credits of $44 thousand and $0.2 million, respectively, and Goods and Services Tax (“GST”) and Quebec Sales Tax (“QST”) refunds of $80 thousand and $0.1 million, respectively, related to the Company’s Canadian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$2 thousand were recorded during the three months ended March 31, 2020. No inventory markdowns to net realizable value were recorded during the three months ended March 31,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As of March 31, 2020 and December 31, 2019, inventory consisted of the following (amounts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of $37 thousand and $22 thousand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 –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 for the year ended December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proforma financial information has not been presented here because the proforma effects of this acquisition are not material to the Company’s reported results for any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30, 2019</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assigned to identifiable intangible assets assumed were based on management’s current estimates and assumptions and is considered preliminary. The Company believes that the most recent information available provides a reasonable basis for assigning fair value, but anticipates receiving additional information, and as such, the provisional measurements of fair value are subject to change. The Company recorded measurement adjustments of $0.4 million during the three months ended March 31, 2020. The recorded adjustments related to the recognition of reacquired exclusivity rights. The Company will finalize the amounts recognized as it obtains the information necessary to complete the analysis, but no later than one year from the acquisition 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intangibles consisted of customer relationships, proprietary technology and reacquired rights. The remaining useful life at acquisition was 1.25 years, 5 years and 3.87 years, respectively, and the acquired intangibles are amortized using the straight-line method.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Factors considered by the Company in determination of goodwill include synergies, strategic fit and other benefits that do not meet the recognition criteria of acquired identifiable intangible assets. The recognized goodwill of $0.6 million is not expected to be deductible for tax purposes.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55 PoNS devices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condensed consolidated balance sheet. As of March 31, 2020, the control of 11 devices had been transferred resulting in recognition of revenue for these devices. The fair value of the remaining 44 devices is still recorded as deferred revenue on the condensed consolidated balance sheet.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Company’s PoNS Treatment and HTC’s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ten-year term.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March 31,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was a triggering event for testing whether goodwill is impaired. As of March 31, 2020, the Company performed a quantitative assessment and determined that the estimated fair value of the reporting unit exceeded the carrying value of the reporting unit. Therefore, the Company concluded that goodwill was not impaired as of March 31, 2020. The Company will continue to monitor the impacts of the COVID-19 pandemic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for the period ended March 31, 2020 for goodwill:</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20" w:type="dxa"/>
            <w:vAlign w:val="bottom"/>
            <w:gridSpan w:val="2"/>
          </w:tcPr>
          <w:p>
            <w:pPr>
              <w:ind w:left="3480"/>
              <w:spacing w:after="0"/>
              <w:rPr>
                <w:sz w:val="20"/>
                <w:szCs w:val="20"/>
                <w:color w:val="auto"/>
              </w:rPr>
            </w:pPr>
            <w:r>
              <w:rPr>
                <w:rFonts w:ascii="Arial" w:cs="Arial" w:eastAsia="Arial" w:hAnsi="Arial"/>
                <w:sz w:val="14"/>
                <w:szCs w:val="14"/>
                <w:b w:val="1"/>
                <w:bCs w:val="1"/>
                <w:color w:val="auto"/>
              </w:rPr>
              <w:t>Goodwill</w:t>
            </w:r>
          </w:p>
        </w:tc>
        <w:tc>
          <w:tcPr>
            <w:tcW w:w="520" w:type="dxa"/>
            <w:vAlign w:val="bottom"/>
          </w:tcPr>
          <w:p>
            <w:pPr>
              <w:spacing w:after="0"/>
              <w:rPr>
                <w:sz w:val="14"/>
                <w:szCs w:val="14"/>
                <w:color w:val="auto"/>
              </w:rPr>
            </w:pPr>
          </w:p>
        </w:tc>
        <w:tc>
          <w:tcPr>
            <w:tcW w:w="1640" w:type="dxa"/>
            <w:vAlign w:val="bottom"/>
          </w:tcPr>
          <w:p>
            <w:pPr>
              <w:jc w:val="right"/>
              <w:ind w:right="8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7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Carrying amount at beginning of period</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820" w:type="dxa"/>
            <w:vAlign w:val="bottom"/>
            <w:gridSpan w:val="2"/>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5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29"/>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Carrying amount at end of period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$0.1 million during the three months ended March 31, 2020. No amortization expense related to intangible assets was recorded during the three months ended March 31, 2019. During the three months ended March 31, 2020, the Company incurred an intangible asset impairment loss of $0.2 million related to the customer relationships, which is included in selling, general and administrative expenses in the accompanying consolidated statement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2020 and December 31, 2019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 2020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2"/>
              </w:rPr>
              <w:t>As of December 31, 2019</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1"/>
                <w:szCs w:val="11"/>
                <w:color w:val="auto"/>
              </w:rPr>
            </w:pPr>
          </w:p>
        </w:tc>
        <w:tc>
          <w:tcPr>
            <w:tcW w:w="8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290"/>
              <w:spacing w:after="0" w:line="133"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Carrying</w:t>
            </w:r>
          </w:p>
        </w:tc>
        <w:tc>
          <w:tcPr>
            <w:tcW w:w="1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6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78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(130)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Acquired proprietary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6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Internally developed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(200)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1"/>
              </w:rPr>
              <w:t>(64)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w w:val="99"/>
              </w:rPr>
              <w:t>Amortization expense is anticipated to be as follows in future years:</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Year Ending December 31,</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 (remaining 9 months)</w:t>
            </w:r>
          </w:p>
        </w:tc>
        <w:tc>
          <w:tcPr>
            <w:tcW w:w="21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gridSpan w:val="2"/>
          </w:tcPr>
          <w:p>
            <w:pPr>
              <w:jc w:val="center"/>
              <w:ind w:left="67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w w:val="86"/>
              </w:rPr>
              <w:t>206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21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initial term of twelve months or less and recognizes lease expense for these leases as incurred over the lease term. As of March 31, 2020, the Company had only one operating lease, which was for its headquarters office in Newtown, Pennsylvania upon the adoption date. As of March 31, 2020,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does not have lease and non-lease components which are to be accounted for separately. As of March 31, 2020, approximately $0.2 million of the Company’s operating lease ROU asset had been amortized (see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within the condensed consolidated statements of operations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19" w:lineRule="exact"/>
        <w:rPr>
          <w:sz w:val="20"/>
          <w:szCs w:val="20"/>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transaction price, after consideration of variability and constraints, if any, that is allocated to the respective performance obligation when the performance obligation is satisfied.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Further, according to the Company’s arrangement with HTC and Heuro, the Company shared 50/50 with Heuro in fees from support services excluding the CAD$600 payment for an assessment using the NeuroCatch device. For the three months ended March 31, 2019, the Company recorded $0.7 million in product sales net of $25 thousand for HTC’s portion related to services performed using the NeuroCatch device. As described above, the Company modified its arrangement with HTC on October 30, 2019 and product sales were derived from the sale of the PoNS device alone as the NeuroCatch is sold directly to the neuroplasticity clinics in Canada by HTC. For the three months ended March 31, 2020, the Company recorded $0.2 million in product sales. As of March 31, 2020, the control of 11 of the 55 PoNS devices included as consideration in the Heuro acquisition had been transferred resulting in revenue of $0.1 million being recognized which is included in the aforementioned $0.2 million in product sales. The fair value of the remaining 44 devices is recorded as deferred revenue of $0.3 million on the condensed consolidated balance sheet. The only returns during the three months ended March 31, 2020 were the result of warranty returns for defective products. These returns were insignificant and any future replacements are expected to be immaterial.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the Company recognized $9 thousand of fee revenue related to engaging new neuroplasticity clinics to provide the PoNS Treatment. During the three months ended March 31, 2019, the Company did not recognize any fee revenue associated with the Company’s agreement with HTC and Heuro that entitled the Company to 50% of the franchise fees collected by Heuro from each executed franchise agreement. As of March 31, 2020 and December 31, 2019, the Company had no contract assets or liabilities on its consolidated balance sheets related to the supply agreements with each clinic.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did not record any license revenue during the first quarter of 2019. As described above, the Company modified its arrangement with HTC on October 30, 2019. License revenue will be recognized ratably over the ten-year term as the performance obligation is met in connection with the Co-Promotion Agreement. During the three months ended March 31, 2020, the Company recognized revenues of $7 thousand in license fees associated with the Co-Promotion Agreement. Revenue not yet recognized of $0.2 million is recorded as deferred revenue on the condensed consolidated balance sheet.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Currently, we do not believe the CARES Act will have a material impact on our accounting for income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March 31, 2020 and December 31, 2019, the Company’s derivative financial instruments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ind w:right="20"/>
        <w:spacing w:after="0" w:line="259"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March 31, 2020 and December 31, 2019 and the roll forward of the Company’s derivative financial instruments. The Company’s derivative financial instruments are comprised of warrants which are classified as liabilities.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Company’s recurring fair value measurements for derivative financial instruments and stock-based compensation liability within the fair value hierarchy as of March 31, 2020 and December 31, 2019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1</w:t>
            </w: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5840" w:type="dxa"/>
            <w:vAlign w:val="bottom"/>
          </w:tcPr>
          <w:p>
            <w:pPr>
              <w:spacing w:after="0"/>
              <w:rPr>
                <w:sz w:val="20"/>
                <w:szCs w:val="20"/>
                <w:color w:val="auto"/>
              </w:rPr>
            </w:pPr>
            <w:r>
              <w:rPr>
                <w:rFonts w:ascii="Arial" w:cs="Arial" w:eastAsia="Arial" w:hAnsi="Arial"/>
                <w:sz w:val="18"/>
                <w:szCs w:val="18"/>
                <w:color w:val="auto"/>
                <w:w w:val="94"/>
              </w:rPr>
              <w:t>There were no transfers between any levels for any of the periods presented.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three months ended March 31, 2020 of $0.2 million and has a remaining net book value of $0.1 million as of March 31,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basic and diluted (loss) income per share for the periods noted below is as follows (amounts in thousands except shares and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20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(4,757)</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30,972,064</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25,832,190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Basic net income (loss) per share</w:t>
            </w:r>
          </w:p>
        </w:tc>
        <w:tc>
          <w:tcPr>
            <w:tcW w:w="7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26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2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 basic</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(4,757)</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 warrants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(2,809)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loss, diluted</w:t>
            </w:r>
          </w:p>
        </w:tc>
        <w:tc>
          <w:tcPr>
            <w:tcW w:w="7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26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30,972,064</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25,832,190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Incremental dilutive shares from equity instruments (treasury stock method)</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953,518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30,972,064</w:t>
            </w:r>
          </w:p>
        </w:tc>
        <w:tc>
          <w:tcPr>
            <w:tcW w:w="2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26,785,708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Diluted net loss per share</w:t>
            </w:r>
          </w:p>
        </w:tc>
        <w:tc>
          <w:tcPr>
            <w:tcW w:w="7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00" w:type="dxa"/>
            <w:vAlign w:val="bottom"/>
            <w:vMerge w:val="restart"/>
          </w:tcPr>
          <w:p>
            <w:pPr>
              <w:ind w:left="4960"/>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earnings for the three months ended March 31, 2020 and 2019 and because the exercise price of certain of these outstanding securities was greater than the average closing price of the Company’s common stock.</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18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40" w:type="dxa"/>
            <w:vAlign w:val="bottom"/>
          </w:tcPr>
          <w:p>
            <w:pPr>
              <w:spacing w:after="0"/>
              <w:rPr>
                <w:sz w:val="14"/>
                <w:szCs w:val="14"/>
                <w:color w:val="auto"/>
              </w:rPr>
            </w:pPr>
          </w:p>
        </w:tc>
        <w:tc>
          <w:tcPr>
            <w:tcW w:w="2180" w:type="dxa"/>
            <w:vAlign w:val="bottom"/>
            <w:gridSpan w:val="3"/>
          </w:tcPr>
          <w:p>
            <w:pPr>
              <w:jc w:val="center"/>
              <w:ind w:left="758"/>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3,807,417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1,799,795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RSUs</w:t>
            </w:r>
          </w:p>
        </w:tc>
        <w:tc>
          <w:tcPr>
            <w:tcW w:w="1380" w:type="dxa"/>
            <w:vAlign w:val="bottom"/>
          </w:tcPr>
          <w:p>
            <w:pPr>
              <w:jc w:val="right"/>
              <w:spacing w:after="0"/>
              <w:rPr>
                <w:sz w:val="20"/>
                <w:szCs w:val="20"/>
                <w:color w:val="auto"/>
              </w:rPr>
            </w:pPr>
            <w:r>
              <w:rPr>
                <w:rFonts w:ascii="Arial" w:cs="Arial" w:eastAsia="Arial" w:hAnsi="Arial"/>
                <w:sz w:val="18"/>
                <w:szCs w:val="18"/>
                <w:color w:val="auto"/>
              </w:rPr>
              <w:t>111,305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9,300,749</w:t>
            </w:r>
          </w:p>
        </w:tc>
        <w:tc>
          <w:tcPr>
            <w:tcW w:w="2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3,043,605</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13,219,471</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4,843,400</w:t>
            </w:r>
          </w:p>
        </w:tc>
        <w:tc>
          <w:tcPr>
            <w:tcW w:w="12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adds disclosure requirements to Topic 820 for the range and weighted average of significant unobservable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Level 3 fair value measurements. This ASU is effective for interim and annual reporting periods beginning after December 15, 2019. The Company adopted this standard as of January 1, 2020 and the adoption did not have a material impact on the Company’s condensed consolidated financial statements.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dividends have been declared since inception of the Company through March 31,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condensed consolidated statement of operations and comprehensive loss. The fair value of these warrants at issuance was approximately $7.4 million.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jc w:val="both"/>
        <w:ind w:right="20"/>
        <w:spacing w:after="0" w:line="259" w:lineRule="auto"/>
        <w:rPr>
          <w:sz w:val="20"/>
          <w:szCs w:val="20"/>
          <w:color w:val="auto"/>
        </w:rPr>
      </w:pPr>
      <w:r>
        <w:rPr>
          <w:rFonts w:ascii="Arial" w:cs="Arial" w:eastAsia="Arial" w:hAnsi="Arial"/>
          <w:sz w:val="18"/>
          <w:szCs w:val="18"/>
          <w:color w:val="auto"/>
        </w:rPr>
        <w:t>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March 31, 2020, 70,900 warrants had been exercised, all during 2018, for gross proceeds of CAD$0.9 million.</w:t>
      </w:r>
    </w:p>
    <w:p>
      <w:pPr>
        <w:spacing w:after="0" w:line="1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and March 31, 2020.</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2020</w:t>
            </w: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CAD$ 0.46</w:t>
            </w:r>
          </w:p>
        </w:tc>
        <w:tc>
          <w:tcPr>
            <w:tcW w:w="3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CAD$ 12.25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1.03 years</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3.00 years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91.69%</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0.38%</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Dividend rate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November 22, 2019, the Company issued 4,815,010 shares of its common stock in an underwritten public offering at a price of $0.35 per share. Gross proceeds from the offering (the “November 2019 Offering”) were approximately $1.7 million. H.C. Wainwright &amp; Co., LLC (“Wainwright”) acted as book-running manager for the November 2019 Offering. The Company paid approximately $0.1 million in underwriting discounts and commissions and incurred offering expenses of approximately $0.5 million, resulting in net proceeds of $1.1 million, in connection with the November 2019 Offering.</w:t>
      </w:r>
    </w:p>
    <w:p>
      <w:pPr>
        <w:spacing w:after="0" w:line="15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On January 27, 2020, the Company filed a Form S-3 shelf registration under the Securities Act which was declared effective by the SEC on February 6, 2020 (the “2020 Shelf”). The 2020 Shelf provides for the public offer and sale of certain securities of the Company from time to time, at its discretion, up to an aggregate offering amount of $100 million. In conjunction with the 2020 Shelf, on January 27, 2020, the Company entered into an At The Market Offering Agreement (the “2020 ATM”) with Wainwright under which the Company may offer and sell, from time to time at its sole discretion, to or through Wainwright, acting as agent and/or principal, shares of its common stock having an aggregate offering price of up to $11.34 million. For three months ended March 31, 2020, under the 2020 ATM, the Company sold and issued 1,065,968 shares of its common stock with an aggregated market value of $0.8 million at an average price of $0.75 per share and paid Wainwright a sales commission of approximately $28 thousand related to those shares.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March 18, 2020, the Company filed a Prospectus Supplement which amended and supplemented the information in the 2020 Shelf to decrease the amount of common stock offered pursuant to the 2020 ATM to $9.15 million, including the shares previously sold under the 2020 ATM.</w:t>
      </w:r>
    </w:p>
    <w:p>
      <w:pPr>
        <w:spacing w:after="0" w:line="14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March 20, 2020, the Company, in a registered direct offering, issued an aggregate of 6,257,144 shares of its common stock at a price of $0.35 per share. Additionally, the Company issued unregistered warrants in a concurrent private placement to purchase up to 6,257,144 shares of its common stock at a price of $0.46 per share. Gross proceeds from the offering (the “March 2020 Offering”) were approximately $2.2 million. H.C. Wainwright &amp; Co. acted as book-running manager for the March 2020 Offering. The underwriting discounts and commissions and offering expenses of $0.3 million were recorded to share issuance costs.</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Each warrant issued in connection with the March 2020 Offering entitles the holder to acquire one additional share of common stock at an exercise price of $0.46 per share, which will be exercisable on September 20, 2020 and will expire on March 20, 2025. Pursuant to the guidance of ASC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determined that warrants issued in connection with the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should be classified as equity as the warrants can be settled with unregistered shares. The relative fair value of these warrants at issuance was approximately $0.8 million and was included in additional paid-in capital.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20, 2020</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4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Exercise price</w:t>
            </w:r>
          </w:p>
        </w:tc>
        <w:tc>
          <w:tcPr>
            <w:tcW w:w="5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4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Expected volatility</w:t>
            </w:r>
          </w:p>
        </w:tc>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 rate</w:t>
            </w: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5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80" w:type="dxa"/>
            <w:vAlign w:val="bottom"/>
          </w:tcPr>
          <w:p>
            <w:pPr>
              <w:jc w:val="right"/>
              <w:ind w:right="30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three months ended March 31, 2020 and 2019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5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3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13,769</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8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(8,289)</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March 31, 2020 and December 31, 2019 were estimated using the Black-Scholes option pricing model with the following weighted average assumptions:</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CAD$ 0.46</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1.03 years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 years</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91.69%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three months ended March 31,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40" w:type="dxa"/>
            <w:vAlign w:val="bottom"/>
            <w:gridSpan w:val="3"/>
            <w:vMerge w:val="restart"/>
          </w:tcPr>
          <w:p>
            <w:pPr>
              <w:jc w:val="right"/>
              <w:ind w:right="393"/>
              <w:spacing w:after="0"/>
              <w:rPr>
                <w:sz w:val="20"/>
                <w:szCs w:val="20"/>
                <w:color w:val="auto"/>
              </w:rPr>
            </w:pPr>
            <w:r>
              <w:rPr>
                <w:rFonts w:ascii="Arial" w:cs="Arial" w:eastAsia="Arial" w:hAnsi="Arial"/>
                <w:sz w:val="14"/>
                <w:szCs w:val="14"/>
                <w:b w:val="1"/>
                <w:bCs w:val="1"/>
                <w:color w:val="auto"/>
              </w:rPr>
              <w:t>Number of Warrants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40" w:type="dxa"/>
            <w:vAlign w:val="bottom"/>
            <w:tcBorders>
              <w:bottom w:val="single" w:sz="8" w:color="auto"/>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2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CAD$</w:t>
            </w:r>
          </w:p>
        </w:tc>
        <w:tc>
          <w:tcPr>
            <w:tcW w:w="320" w:type="dxa"/>
            <w:vAlign w:val="bottom"/>
          </w:tcPr>
          <w:p>
            <w:pPr>
              <w:spacing w:after="0"/>
              <w:rPr>
                <w:sz w:val="13"/>
                <w:szCs w:val="13"/>
                <w:color w:val="auto"/>
              </w:rPr>
            </w:pPr>
          </w:p>
        </w:tc>
        <w:tc>
          <w:tcPr>
            <w:tcW w:w="7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651,320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6,257,144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6,908,464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warrants outstanding and exercisable as of March 31, 2020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USD$10.75</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June 26, 2020</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1,509</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USD$10.75</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17, 2020</w:t>
            </w: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270,915</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22, 2020</w:t>
            </w:r>
          </w:p>
        </w:tc>
      </w:tr>
      <w:tr>
        <w:trPr>
          <w:trHeight w:val="230"/>
        </w:trPr>
        <w:tc>
          <w:tcPr>
            <w:tcW w:w="3520" w:type="dxa"/>
            <w:vAlign w:val="bottom"/>
          </w:tcPr>
          <w:p>
            <w:pPr>
              <w:jc w:val="right"/>
              <w:spacing w:after="0"/>
              <w:rPr>
                <w:sz w:val="20"/>
                <w:szCs w:val="20"/>
                <w:color w:val="auto"/>
              </w:rPr>
            </w:pPr>
            <w:r>
              <w:rPr>
                <w:rFonts w:ascii="Arial" w:cs="Arial" w:eastAsia="Arial" w:hAnsi="Arial"/>
                <w:sz w:val="18"/>
                <w:szCs w:val="18"/>
                <w:color w:val="auto"/>
              </w:rPr>
              <w:t>171,020</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204,081</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2,392,285</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CAD$12.25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10, 2021</w:t>
            </w:r>
          </w:p>
        </w:tc>
      </w:tr>
      <w:tr>
        <w:trPr>
          <w:trHeight w:val="230"/>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6,257,144</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USD$0.46</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20, 2025</w:t>
            </w:r>
          </w:p>
        </w:tc>
      </w:tr>
      <w:tr>
        <w:trPr>
          <w:trHeight w:val="236"/>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9,300,749</w:t>
            </w:r>
          </w:p>
        </w:tc>
        <w:tc>
          <w:tcPr>
            <w:tcW w:w="3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there was an aggregate of 3,645,038 shares of common stock remaining available for grant under the Company’s 2018 Plan.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the Company issued 368,000 stock options to employees. The Company issued no stock options to consultants and non-employees during the three months ended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three months ended March 31,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Stock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3,467,292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(27,875)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Outstanding as of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3,807,417</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March 31,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2,032,782</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unrecognized compensation cost related to non-vested stock options outstanding for employees and directors, was $5.0 million which will be recognized over a weighted-average remaining vesting period of approximately 2.8 years. Compensation cost is not adjusted for estimated forfeitures, but instead is adjusted upon an actual forfeiture of a stock option.</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three months ended March 31, 2020 was $0.22 per option and the grant date fair values of these stock options were estimated using the Black-Scholes option pricing model using the following weighted average assumptions: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71"/>
        </w:trPr>
        <w:tc>
          <w:tcPr>
            <w:tcW w:w="5140" w:type="dxa"/>
            <w:vAlign w:val="bottom"/>
            <w:tcBorders>
              <w:bottom w:val="single" w:sz="8" w:color="CFF0FC"/>
            </w:tcBorders>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31, 2020</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39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6.25 years</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80.46%</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0.85%</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of March 31, 2020, the unrecognized compensation cost related to non-vested stock options outstanding for non-employees was $33 thousand which will be recognized over a weighted-average remaining vesting period of approximately 1.3 years. Compensation cost is not adjusted for estimated forfeitures, but instead is adjusted upon an actual forfeiture of a stock 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fourth quarter of 2019, certain members of the Company’s executive management team elected to receive restricted stock awards in lieu of cash compensation under the 2018 Plan that vest upon issuance. The fair value of the restricted stock awards was based on the closing price of the Company’s common stock on the day of the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restricted stock award activity for the three months ended March 31, 2020:</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Restricted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Stock Units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97"/>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83,608</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36"/>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2020</w:t>
            </w:r>
          </w:p>
        </w:tc>
        <w:tc>
          <w:tcPr>
            <w:tcW w:w="160" w:type="dxa"/>
            <w:vAlign w:val="bottom"/>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income (loss) as follows (amounts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00" w:type="dxa"/>
            <w:vAlign w:val="bottom"/>
            <w:gridSpan w:val="3"/>
            <w:vMerge w:val="restart"/>
          </w:tcPr>
          <w:p>
            <w:pPr>
              <w:ind w:left="100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ind w:right="441"/>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637</w:t>
            </w: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51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41"/>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842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835</w:t>
            </w: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1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100" w:type="dxa"/>
            <w:vAlign w:val="bottom"/>
            <w:gridSpan w:val="3"/>
          </w:tcPr>
          <w:p>
            <w:pPr>
              <w:ind w:left="480"/>
              <w:spacing w:after="0"/>
              <w:rPr>
                <w:sz w:val="20"/>
                <w:szCs w:val="20"/>
                <w:color w:val="auto"/>
              </w:rPr>
            </w:pPr>
            <w:r>
              <w:rPr>
                <w:rFonts w:ascii="Arial" w:cs="Arial" w:eastAsia="Arial" w:hAnsi="Arial"/>
                <w:sz w:val="18"/>
                <w:szCs w:val="18"/>
                <w:color w:val="auto"/>
              </w:rPr>
              <w:t>Accrued expenses consisted of the following (amounts in thousands):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100" w:type="dxa"/>
            <w:vAlign w:val="bottom"/>
            <w:gridSpan w:val="2"/>
            <w:vMerge w:val="restart"/>
          </w:tcPr>
          <w:p>
            <w:pPr>
              <w:ind w:left="20"/>
              <w:spacing w:after="0"/>
              <w:rPr>
                <w:sz w:val="20"/>
                <w:szCs w:val="20"/>
                <w:color w:val="auto"/>
              </w:rPr>
            </w:pPr>
            <w:r>
              <w:rPr>
                <w:rFonts w:ascii="Arial" w:cs="Arial" w:eastAsia="Arial" w:hAnsi="Arial"/>
                <w:sz w:val="18"/>
                <w:szCs w:val="18"/>
                <w:color w:val="auto"/>
              </w:rPr>
              <w:t>Employees benefits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rPr>
              <w:t>December 31, 2019</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Legal fees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Royalty fees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Franchise fees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1,005</w:t>
            </w: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0" w:type="dxa"/>
            <w:vAlign w:val="bottom"/>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1,519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hanging="472"/>
        <w:spacing w:after="0" w:line="296"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22, 2013, the Company entered into a license agreement with Advanced NeuroRehabilitation, LLC (“ANR”) for an exclusive right to ANR’s patent pending technology, claims and knowhow. In addition to the issuance of 3,207,005 shares of common stock to ANR, the Company agreed to pay a 4% royalty on net revenue on the sales of devices covered by the patent-pending technology and services related to the therapy or use of devices covered by the patent-pending technology. For the three months ended March 31, 2020 and March 31, 2019, the Company recorded approximately $5 thousand and $27 thousand, respectively, in royalty expenses in its condensed consolidated statement of operations.</w:t>
      </w:r>
    </w:p>
    <w:p>
      <w:pPr>
        <w:spacing w:after="0" w:line="53" w:lineRule="exact"/>
        <w:rPr>
          <w:rFonts w:ascii="Arial" w:cs="Arial" w:eastAsia="Arial" w:hAnsi="Arial"/>
          <w:sz w:val="16"/>
          <w:szCs w:val="16"/>
          <w:color w:val="auto"/>
        </w:rPr>
      </w:pPr>
    </w:p>
    <w:p>
      <w:pPr>
        <w:jc w:val="both"/>
        <w:ind w:left="480" w:hanging="472"/>
        <w:spacing w:after="0" w:line="270"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72" w:lineRule="exact"/>
        <w:rPr>
          <w:rFonts w:ascii="Arial" w:cs="Arial" w:eastAsia="Arial" w:hAnsi="Arial"/>
          <w:sz w:val="17"/>
          <w:szCs w:val="17"/>
          <w:color w:val="auto"/>
        </w:rPr>
      </w:pPr>
    </w:p>
    <w:p>
      <w:pPr>
        <w:jc w:val="both"/>
        <w:ind w:left="480" w:hanging="472"/>
        <w:spacing w:after="0" w:line="25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will be approximately $20 thousand per month beginning in January 2018 with a 3% annual increase</w:t>
      </w:r>
      <w:r>
        <w:rPr>
          <w:rFonts w:ascii="Arial" w:cs="Arial" w:eastAsia="Arial" w:hAnsi="Arial"/>
          <w:sz w:val="19"/>
          <w:szCs w:val="19"/>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March 31, 2020 (amounts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For the Three Months Ended March 31, 2020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Future minimum lease payments under non-cancellable lease as of</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5"/>
          </w:tcPr>
          <w:p>
            <w:pPr>
              <w:spacing w:after="0"/>
              <w:rPr>
                <w:sz w:val="20"/>
                <w:szCs w:val="20"/>
                <w:color w:val="auto"/>
              </w:rPr>
            </w:pPr>
            <w:r>
              <w:rPr>
                <w:rFonts w:ascii="Arial" w:cs="Arial" w:eastAsia="Arial" w:hAnsi="Arial"/>
                <w:sz w:val="18"/>
                <w:szCs w:val="18"/>
                <w:color w:val="auto"/>
              </w:rPr>
              <w:t>March 31, 2020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58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2020 (remaining nine months)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6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340" w:type="dxa"/>
            <w:vAlign w:val="bottom"/>
            <w:tcBorders>
              <w:top w:val="single" w:sz="8" w:color="CFF0FC"/>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9"/>
              </w:rPr>
              <w:t>Reported as of March 31, 2020</w:t>
            </w:r>
          </w:p>
        </w:tc>
        <w:tc>
          <w:tcPr>
            <w:tcW w:w="304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CFF0FC"/>
            </w:tcBorders>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480" w:hanging="472"/>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As of March 31, 2020, the Company did not have any outstanding commitments to Key Tronic to complete the Company’s forecasts for the procurement of materials necessary for the delivery of PoNS devices.</w:t>
      </w:r>
    </w:p>
    <w:p>
      <w:pPr>
        <w:spacing w:after="0" w:line="58" w:lineRule="exact"/>
        <w:rPr>
          <w:rFonts w:ascii="Arial" w:cs="Arial" w:eastAsia="Arial" w:hAnsi="Arial"/>
          <w:sz w:val="16"/>
          <w:szCs w:val="16"/>
          <w:color w:val="auto"/>
        </w:rPr>
      </w:pPr>
    </w:p>
    <w:p>
      <w:pPr>
        <w:ind w:left="480" w:right="320" w:hanging="472"/>
        <w:spacing w:after="0" w:line="273"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was granted a $323,000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no publicly traded companies are eligible for a PPP loan, the Company intends to return the PPP Loan proceeds within the time period imposed under these new guidelines out of an abundance of caution, subject to any additional guidance that may be issued by the Federal Government on eligibility criteria for public companies who have already been granted PPP loans.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its individual officers in the Southern District of New York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 application for de novo classification and marketing authorization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Case No. 1:19-cv-07171 (S.D.N.Y.), was filed against the Company and three of its individual officers in the Southern District of New York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 xml:space="preserve">While the Company believes that each of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is without merit and intends to vigorously defend its position in each case, it recognizes that additional putative class actions or related proceedings may be filed. Given that each of these legal proceedings is in its early stages, the Company is unable to predict the probable outcomes at this time.</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During the three months ended March 31, 2020 and 2019, the Company paid approximately $5 thousand and $10 thousand respectively, in consulting fees to a director of the Company. As of March 31, 2020, the Company did not have an accrued liability for consulting fees to a director of the Company.</w:t>
      </w:r>
    </w:p>
    <w:p>
      <w:pPr>
        <w:spacing w:after="0" w:line="3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SUBSEQUENT EVENTS</w:t>
      </w: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received a letter (the “Notice”) from the Listing Qualifications staff of Nasdaq indicating that, based on the closing bid price of the Company’s common stock for the last 30 consecutive business days, the Company no longer meets the requirement to maintain a minimum bid price of $1.00 per share, as set forth in Nasdaq Listing Rule 5550(a)(2). The Notice does not result in the immediate delisting of the Company’s common stock from Nasdaq. In accordance with Nasdaq Listing Rule 5810(c)(3)(A), the Company has been provided a period of 180 calendar days, or until September 21, 2020, in which to regain compliance. In order to regain compliance with the minimum bid price requirement, the closing bid price of the Company’s common stock must be at least $1.00 for a minimum of ten consecutive business days during this 180-day period. In the event that the Company does not regain compliance within this 180-day period, the Company may be eligible to see an additional compliance period of 180 calendar days if it meets the continued listing requirement for market value of publicly held shares and all other initial listing standard for Nasdaq, with the exception of the bid price requirement, and provides written notice to Nasdaq of its intent to cure the deficiency during this second compliance period, by effecting a reverse stock split, if necessary.</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17, 2020, the Company received a second letter (the “Second Notice”) for the Listing Qualifications staff of Nasdaq stating that due to unprecedented turmoil in U.S. and world financial markets resulting from the COVID-19 pandemic, investor confidence has been diminished resulting in depressed prices for companies that otherwise remain suitable for continued listing. Given these extraordinary market conditions, Nasdaq has determined to toll the compliance periods for bid price and market value of publicly held shares (“MVPHS”) requirements (collectively, the “Price-based Requirements”) through June 30, 2020. As a result, companies presently in compliance periods for any Price-based Requirements will remain at that same stage of the process and will not be subject to being delisted for these concerns. Starting on July 1, 2020, companies will receive the balance of any pending compliance period in effect at the start of the tolling period to regain compliance.</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Accordingly, since the Company had 158 calendar days remaining in its Bid compliance period as of April 16, 2020, it will, upon reinstatement of the Price-based Requirements, still have 158 calendar days from July 1, 2020, or until December 3, 2020, to regain compliance. The Company can regain compliance, either during the suspension or during the compliance period resuming after the suspension, by evidencing compliance with the Price-based Requirements for a minimum of 10 consecutive trading days.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Company’s common stock is delisted from Nasdaq, its ability to raise capital through public offerings of the Company’s securities and to finance its operations could be adversely affected. The Company also believes that delisting would likely result in decreased liquidity and/or increased volatility in its common stock and could harm the Company’s business and future prospects. In addition, the Company believes that, if its common stock is delisted, the Company’s stockholders would likely find it more difficult to obtain accurate quotations as to the price of the common stock and it may be more difficult for stockholders to buy or sell the Company’s common stock at competitive market prices, or at all.</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2020, the Company was granted a $323,000 loan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no publicly traded companies are eligible for a PPP loan, the Company intends to return the PPP Loan proceeds within the time period imposed under these new guidelines out of an abundance of caution, subject to any additional guidance that may be issued by the Federal Government on eligibility criteria for public companies who have already been granted PPP loans.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2019, and the related Management’s Discussion and Analysis of Financial Condition and Results of Operations, both of which are contained in the our Annual Report on Form 10-K for the year ended December 31, 2019 filed with the Securities and Exchange Commission, or the SEC, on March 12, 2020, or our 2019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Such forward-looking statements involve risks and uncertainties regarding the COVID-19 pandemic, including its impact on the Company,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In evaluating these statements, you should consider various factors, including the risks outlined in the “Risk Factors” sections of our 2019 Annual Report and this report.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our actual results will almost always vary, sometimes materially, from any estimates, predictions, projections, assumptions or other future performance suggested herein. We do not intend to update any of the forward-looking statements to conform these statements to actual results, except as required by applicable law, including the securities laws of the United States. The forward-looking statements are subject to a number of risks and uncertainties which are discussed in the section entitled “Item 1A. Risk Factors” in this Quarterly Report on Form 10-Q and in our 2019 Annual Report and those described from time to time in our future reports filed with the SEC. Although we believe that the expectations reflected in our forward-looking statements are reasonable, we cannot guarantee future results, events, levels of activity, performance or achievement. We undertake no obligation to publicly update or revise any forward-looking statements, whether as a result of new information, future events or otherwise, unless required by law.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 product, known as the Portable Neuromodulation Stimulator (“PoNS</w:t>
      </w:r>
      <w:r>
        <w:rPr>
          <w:rFonts w:ascii="Arial" w:cs="Arial" w:eastAsia="Arial" w:hAnsi="Arial"/>
          <w:sz w:val="15"/>
          <w:szCs w:val="15"/>
          <w:color w:val="auto"/>
        </w:rPr>
        <w:t>TM</w:t>
      </w:r>
      <w:r>
        <w:rPr>
          <w:rFonts w:ascii="Arial" w:cs="Arial" w:eastAsia="Arial" w:hAnsi="Arial"/>
          <w:sz w:val="18"/>
          <w:szCs w:val="18"/>
          <w:color w:val="auto"/>
        </w:rPr>
        <w:t>”), is an authorized class II, non-implantable medical device authorized for sale in Canada. PoNS is intended as a short term treatment (14 weeks) of chronic balance deficit due to mild-to-moderate traumatic brain injury (“mmTBI”) and is to be used in conjunction with physical therapy (“PoNS Treatment</w:t>
      </w:r>
      <w:r>
        <w:rPr>
          <w:rFonts w:ascii="Arial" w:cs="Arial" w:eastAsia="Arial" w:hAnsi="Arial"/>
          <w:sz w:val="15"/>
          <w:szCs w:val="15"/>
          <w:color w:val="auto"/>
        </w:rPr>
        <w:t>TM</w:t>
      </w:r>
      <w:r>
        <w:rPr>
          <w:rFonts w:ascii="Arial" w:cs="Arial" w:eastAsia="Arial" w:hAnsi="Arial"/>
          <w:sz w:val="18"/>
          <w:szCs w:val="18"/>
          <w:color w:val="auto"/>
        </w:rPr>
        <w:t>”), and is indicated as a short term treatment (14 weeks) of gait deficit due to mild and moderate symptoms from Multiple Sclerosis (“MS”) and is to be used in conjunction with physical therapy. It is an investigational medical device in the United States, the European Union (“EU”), and Australia (“AUS”), and it is currently under review for clearance by the AUS Therapeutic Goods Administration. PoNS Treatment™ is not currently commercially available in the United States, the European Union or Australia.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market opportunity in Canada to include a patient population that is motivated to pursue treatment options which may resolve or delay the progression of MS gait deficit symptoms.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to enable US marketability. Novel treatments for MS are highlighted as a specific target of the FDA as a high unmet medical need disease. We plan to submit to the FDA for this high unmet medical need in the second half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for marketability of the PoNS device from the FDA for the treatment of chronic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Prior to the COVID-19 pandemic, our expectation was that we would move forward with the revised protocol and estimated that enrollment would begin in April 2020 with the completion of the trial and submission to the FDA in the second quarter of 2021. As clinical trial activity across the U.S. and Canada has been halted, our launch of the TBI002 trial has been temporarily suspended and we are evaluating our options and timing for restarting the trial.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and have received and answered all the questions supplied to date and wait for the TGA’s decision.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we began the initial commercialization of our PoNS Treatment in Canada, where our PoNS device is the first and only device authorized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In addition, we launched a clinical experience program through University Health Network Toronto at 3 private clinic locations with an opportunity to transition to commercial treatment centers. We expect that it will take the newly authorized clinics time to work the PoNS Treatment into the clinic rotation but are confident that our focus on authorizing clinics which meet our refined criteria will drive efficiency and PoNS sales performance.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pursuing this expansion plan, we modified our go-to-market pricing model in 2020 based on direct market feedback. Our modified pricing model is focused on reducing the need for clinics and patients to pay large, upfront costs at the start of treatment.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parallel with our commercialization efforts, we, in concert with input from insurers, have created a value dossier on behalf of the clinics and patients to fully demonstrate in both scientific and financial terms, the merits of PoNS Treatment for claimants. We are currently expanding the value dossier to add MS detail based on the March 18, 2020 Canadian MS label expansion. The dossier will be provided to our clinics across Canada to submit as part of treatment plans with reimbursement applications to the payer community. Our reimbursement strategy for mmTBI is focused initially in the auto accident insurance and workers compensation, or WC, market as well as long-term disability cases.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March 18, 2020, the Company received notification that its Canadian Class II license amendment application for the treatment of gait deficit in patients with mild and moderate symptoms from MS was successful and received marketing authorization for PoNS from Health Canada.</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2020, the COVID-19 pandemic led to the closure of the PoNS Authorized clinic locations across Canada. Patients who completed their initial training in the clinics prior to the closures have been able to continue working independently in the at-home portion of the treatment, with remote check-ins with their certified therapists. Timing for re-opening the clinics will be determined on a provincial basis, which continues to be uncertain at this time.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business, results of operations and financial condition may be adversely impacted by economic conditions, including the global health concerns relating to the COVID-19 pandemic. The outbreak and spread of COVID-19 has significantly increased economic uncertainty. Authorities implemented numerous measures to try to contain the virus, such as travel bans and restrictions, quarantines, shelter in place orders, and business shutdowns. Moreover, the Company’s ability to conduct its ongoing clinical research may be impaired if trial participants or staff are adversely affected by COVID-19, leading to further delays in the development and approval of the Company’s product candidate. In addition, disruptions in business operations in the United States, Canada and China due to COVID-19 may delay the timing for the submission and approval of the Company’s marketing applications with regulatory agencies or limit the Company’s suppliers’ ability to ship materials that the Company relies upon due to delays or suspension of manufacturing operations. COVID-19 could also disrupt governmental operations or impair the Company’s ability to access the public markets to obtain the necessary capital and continue the Company’s operations. The extent to which the COVID-19 pandemic impacts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(10) years, renewable by HTC for one additional ten (10) year term upon sixty (60) days’ written notice to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the Three Months Ended March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(4,757)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(6,081)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March 31, 2020, we recognized revenue of $0.2 million, of which $0.2 million was generated through product sales of our PoNS device in Canada pursuant to our executed supply agreements with neuroplasticity clinics in Canada, $9 thousand was generated from fee revenue related to engaging new PoNS authorized clinics, and $7 thousand was generated from license fee revenue related to our co-promotion agreement with HTC. For the three months ended March 31, 2019 we recognized revenue of $0.7 million, of which all was generated through product sales of our PoNS device in Canada pursuant to our executed supply agreements with neuroplasticity clinics in Canada.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March 31, 2020, we incurred $0.1 million in our cost of sales. For the three months ended March 31, 2019, we incurred $0.2 million in our cost of sales which also included certain support services provided by Heuro on our behalf.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or R&amp;D, expenses were $1.1 million for the three months ended March 31, 2020 compared to $2.7 million for the three months ended March 31, 2019, a decrease of $1.6 million. The decrease was primarily attributable to a $0.7 million reduction in product development costs due to completion of the PoNS device development in 2019 and a $0.4 million decrease in salary, wages and other employee expense from an increased headcount in 2019 to support our Canadian launch. Medical affairs expenses decreased by $0.2 million due to the effort in 2019 to create awareness of the PoNS device by delivery clinical and scientific data to key opinion leaders, professional societies and practitioners. There was also a reduction of $0.1 million in regulatory expenses.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Selling, general and administrative, or SG&amp;A, expenses were $2.9 million for the three months ended March 31, 2020 compared to $4.6 million for the three months ended March 31, 2019, an decrease of approximately $1.7 million. The decrease was primarily due to $1.0 million in less wages and salaries due to higher headcount in 2019 and a $0.7 million reduction in commercial operations expense as in 2019 we invested in marketing and distribution capabilities in support of our US launch prior to receiving denial for clearance from the FDA. Office and computer expenses also decreased by $0.2 million. These decreases were partially offset by a $0.2 million impairment loss related to intangible assets.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March 31, 2020, amortization expense was $0.1 million. No amortization expense was recorded during the three months ended March 31,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$4 thousand for the three months ended March 31, 2020 compared to a gain of $8.3 million for the three months ended March 31,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loss was $0.8 million for the three months ended March 31, 2020, compared to a loss of $0.2 million for the three months ended March 31, 2019. This was primarily due to fluctuations in the foreign exchange rate as it relates to the amount of Canadian dollars held at the end of each reporting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2020 and 2019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(1,099)</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(6,927)</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during the three months ended March 31, 2020 was $3.8 million. This was comprised of a loss from operations of $4.0 million and $1.0 million net cash used resulting from changes in operating assets and liabilities, partially offset by certain adjustments for non-cash items of $2.0 million comprised mainly of stock-based compensation of $0.8 million, unrealized foreign exchange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losses of $0.7 million, depreciation and amortization of $0.2 million, impairment loss on intangible assets of $0.2 million and provision for doubtful accounts of $0.1 million.</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used in operating activities during the three months ended March 31, 2019 was $6.8 million. This was comprised of a loss from operations of $6.8 million and $0.9 million net cash used resulting from changes in operating assets and liabilities, partially offset by certain adjustments for non-cash items comprised of stock-based compensation of $0.8 million and depreciation expense of $22,000.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2020 was $10 thousand, which was primarily related to the purchase of equipment for our office and internally developed software.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2019 was $0.2 million, which was primarily related to the purchase of furniture and fixtures for our office as well as laser marking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three months ended March 31, 2020 was $2.7 million, which consisted of proceeds from the issuance of common stock from the 2020 ATM and March 2020 Offering, net of share issuance costs.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three months ended March 31, 2019 was $40,000, which was comprised of $0.1 million in proceeds from the exercise of warrants. This amount was partially offset by $52,000 in share issuance costs incurred in connection with the November 2018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March 31, 2020, we raised approximately $98.9 million in gross proceeds from various public and private offerings of our common stock as well as the exercise of stock options and warrants.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March 31, 2020 and December 31, 2019 (amounts in thousands):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March 31, 2020</w:t>
            </w:r>
          </w:p>
        </w:tc>
        <w:tc>
          <w:tcPr>
            <w:tcW w:w="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4,360</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3,258</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3,444</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limited working capital and liquid assets. Our cash as of March 31, 2020 was approximately $4.4 million. 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will be sufficient to fund our operations through the second quarter of 2020.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2019 Annual Report. There have been no changes in critical accounting policies in the current year from those described in our 2019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foreign currency exchange risk from the transfer of funds between the United States and Canada to satisfy obligations as we do not hedge our foreign exchange exposure.</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Other than as set forth below,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our individual officers in the Southern District of New York, or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 application for de novo classification and marketing authorization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xml:space="preserve">, Case No. 1:19-cv-07171 (S.D.N.Y.), was filed against the Company and three of our individual officers in the Southern District of New York, or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While we believe that each of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is without merit and intend to vigorously defend our position in each case, we recognize that additional putative class actions or related proceedings may be filed. Given that each of these legal proceedings is in its early stages, we are unable to predict the probable outcomes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Annual Report on Form 10-K for the year ended December 31, 2019. You should carefully consider the risk factors discussed in Part I, “Item 1A. Risk Factors” in our 2019 Annual Report. The risks described below and in our 2019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delisted from Nasdaq, which could seriously harm the liquidity of our stock and our ability to raise capital.</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March 23, 2020, we received a written notice from Nasdaq staff indicating that, based upon the closing bid price of our common stock for the last 30 consecutive business days, we no longer met the requirement to maintain a minimum bid price of $1 per share, as set forth in Nasdaq Listing Rule 5550(a)</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 In accordance with Nasdaq Listing Rule 5810(c)(3)(A), we were provided a period of 180 calendar days, or until September 21, 2020, in which to regain compliance. On April 17, 2020, we received a second notice from Nasdaq stating that due to unprecedented turmoil in U.S. and world financial markets resulting from the COVID-19 pandemic, Nasdaq has tolled the compliance period for bid price requirements through June 30, 2020, and accordingly, we have until December 3, 2020, to regain compliance. However, we may be unable to regain compliance with our current minimum bid price obligation or other listing requirements, which could cause us to lose eligibility for continued listing on the Nasdaq Capital Market or any comparable trading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we cease to be eligible to trade on Nasdaq:</w:t>
      </w:r>
    </w:p>
    <w:p>
      <w:pPr>
        <w:spacing w:after="0" w:line="225" w:lineRule="exact"/>
        <w:rPr>
          <w:sz w:val="20"/>
          <w:szCs w:val="20"/>
          <w:color w:val="auto"/>
        </w:rPr>
      </w:pPr>
    </w:p>
    <w:p>
      <w:pPr>
        <w:ind w:left="520" w:hanging="21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have to pursue trading on a less recognized or accepted market, such as the OTC Bulletin Board or the “pink sheets.”</w:t>
      </w:r>
    </w:p>
    <w:p>
      <w:pPr>
        <w:spacing w:after="0" w:line="225" w:lineRule="exact"/>
        <w:rPr>
          <w:rFonts w:ascii="Arial" w:cs="Arial" w:eastAsia="Arial" w:hAnsi="Arial"/>
          <w:sz w:val="18"/>
          <w:szCs w:val="18"/>
          <w:color w:val="auto"/>
        </w:rPr>
      </w:pPr>
    </w:p>
    <w:p>
      <w:pPr>
        <w:jc w:val="both"/>
        <w:ind w:left="520" w:right="520" w:hanging="215"/>
        <w:spacing w:after="0" w:line="26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our common stock could be less liquid and marketable, thereby reducing the ability of stockholders to purchase or sell our shares as quickly and as inexpensively as they have done historically. If our stock is traded as a “penny stock,” transactions in our stock would be more difficult and cumbersome.</w:t>
      </w:r>
    </w:p>
    <w:p>
      <w:pPr>
        <w:spacing w:after="0" w:line="183" w:lineRule="exact"/>
        <w:rPr>
          <w:rFonts w:ascii="Arial" w:cs="Arial" w:eastAsia="Arial" w:hAnsi="Arial"/>
          <w:sz w:val="18"/>
          <w:szCs w:val="18"/>
          <w:color w:val="auto"/>
        </w:rPr>
      </w:pPr>
    </w:p>
    <w:p>
      <w:pPr>
        <w:jc w:val="both"/>
        <w:ind w:left="520" w:right="520" w:hanging="215"/>
        <w:spacing w:after="0" w:line="286"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Outbreaks of communicable diseases may materially and adversely affect our business, financial condition and results of operations.</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face risks related to health pandemics and outbreaks of communicable diseases, and in particular, the recent outbreak around the world of the highly transmissible and pathogenic COVID-19 coronavirus. The COVID-19 pandemic has led to the closure of PoNS Authorized clinic locations across Canada. Timing for re-opening these clinics is uncertain at this time, and has resulted/is expected to result in a decrease of our commercial activities, and may have a negative impact on our customer engagement efforts. Moreover, our ability to conduct our ongoing clinical research if trial participant attendance at requisite study visits is substantially reduced or if a significant percentage of study participants and study staff are adversely affected by COVID-19, the resulting disease course and corresponding government or community shutdowns, may be impaired, and our ability to analyze and submit the results from our clinical trials may also be impaired, leading to further delays in the development and approval of our product candidate.</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Since our business operations are in the United States and Canada, and some of our business partners’ operations are in China, the continued impact resulting from the COVID-19 outbreak in these areas, where we and our business partners have operations, and the measures taken by the governments of countries affected, could adversely affect our business, financial condition, revenues, and results of operations, and may delay the timing for the submission and approval of our marketing applications with regulatory agencies.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outbreaks could also result in delays in or the suspension of our business partners manufacturing operations, our research and product development activities, our regulatory work streams, our research and development activities and other important commercial functions. We are also dependent upon our suppliers for the manufacture of our PoNS device, and the COVID-19 pandemic could significantly disrupt our business by limiting our suppliers’ ability to travel or ship materials or force temporary closure of facilities that we rely upon.</w:t>
      </w:r>
    </w:p>
    <w:p>
      <w:pPr>
        <w:spacing w:after="0" w:line="3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 in our operations as a public company, prolonged government disruptions, global pandemics and other natural disasters or geopolitical actions could affect our ability to access the public markets and obtain necessary capital in order to properly capitalize and continue our operations.</w:t>
      </w:r>
    </w:p>
    <w:p>
      <w:pPr>
        <w:spacing w:after="0" w:line="2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4"/>
          </w:tcPr>
          <w:p>
            <w:pPr>
              <w:spacing w:after="0" w:line="190"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gridSpan w:val="4"/>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Certificate of Incorporation, as corrected (incorporated by reference to Exhibit 3.1 to the Form 8-K filed October 30, 2018)</w:t>
              </w:r>
            </w:hyperlink>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9860" w:type="dxa"/>
            <w:vAlign w:val="bottom"/>
            <w:gridSpan w:val="4"/>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Bylaws as amended and restated (incorporated by reference to Exhibit 3.3 to the Form 10-Q filed August 9, 2018)</w:t>
              </w:r>
            </w:hyperlink>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4"/>
          </w:tcPr>
          <w:p>
            <w:pPr>
              <w:spacing w:after="0" w:line="190"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Act of 2002</w:t>
              </w:r>
            </w:hyperlink>
          </w:p>
        </w:tc>
        <w:tc>
          <w:tcPr>
            <w:tcW w:w="900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Act of 2002</w:t>
              </w:r>
            </w:hyperlink>
          </w:p>
        </w:tc>
        <w:tc>
          <w:tcPr>
            <w:tcW w:w="9000" w:type="dxa"/>
            <w:vAlign w:val="bottom"/>
            <w:gridSpan w:val="3"/>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firstLine="8"/>
        <w:spacing w:after="0" w:line="263"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11, 2020</w:t>
            </w: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By: /s/ Philippe Deschamps</w:t>
            </w:r>
          </w:p>
        </w:tc>
      </w:tr>
      <w:tr>
        <w:trPr>
          <w:trHeight w:val="195"/>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Philippe Deschamps</w:t>
            </w:r>
          </w:p>
        </w:tc>
      </w:tr>
      <w:tr>
        <w:trPr>
          <w:trHeight w:val="230"/>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Dated: May 11, 2020</w:t>
            </w:r>
          </w:p>
        </w:tc>
        <w:tc>
          <w:tcPr>
            <w:tcW w:w="7700" w:type="dxa"/>
            <w:vAlign w:val="bottom"/>
            <w:gridSpan w:val="2"/>
          </w:tcPr>
          <w:p>
            <w:pPr>
              <w:ind w:left="3180"/>
              <w:spacing w:after="0"/>
              <w:rPr>
                <w:sz w:val="20"/>
                <w:szCs w:val="20"/>
                <w:color w:val="auto"/>
              </w:rPr>
            </w:pPr>
            <w:r>
              <w:rPr>
                <w:rFonts w:ascii="Arial" w:cs="Arial" w:eastAsia="Arial" w:hAnsi="Arial"/>
                <w:sz w:val="18"/>
                <w:szCs w:val="18"/>
                <w:color w:val="auto"/>
              </w:rPr>
              <w:t>By: /s/ Joyce LaViscount</w:t>
            </w:r>
          </w:p>
        </w:tc>
      </w:tr>
      <w:tr>
        <w:trPr>
          <w:trHeight w:val="195"/>
        </w:trPr>
        <w:tc>
          <w:tcPr>
            <w:tcW w:w="3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3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Accounting</w:t>
            </w:r>
          </w:p>
        </w:tc>
      </w:tr>
      <w:tr>
        <w:trPr>
          <w:trHeight w:val="230"/>
        </w:trPr>
        <w:tc>
          <w:tcPr>
            <w:tcW w:w="3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78"/>
        </w:trPr>
        <w:tc>
          <w:tcPr>
            <w:tcW w:w="3540" w:type="dxa"/>
            <w:vAlign w:val="bottom"/>
          </w:tcPr>
          <w:p>
            <w:pPr>
              <w:spacing w:after="0"/>
              <w:rPr>
                <w:sz w:val="24"/>
                <w:szCs w:val="24"/>
                <w:color w:val="auto"/>
              </w:rPr>
            </w:pPr>
          </w:p>
        </w:tc>
        <w:tc>
          <w:tcPr>
            <w:tcW w:w="3480" w:type="dxa"/>
            <w:vAlign w:val="bottom"/>
          </w:tcPr>
          <w:p>
            <w:pPr>
              <w:jc w:val="right"/>
              <w:ind w:right="1210"/>
              <w:spacing w:after="0"/>
              <w:rPr>
                <w:sz w:val="20"/>
                <w:szCs w:val="20"/>
                <w:color w:val="auto"/>
              </w:rPr>
            </w:pPr>
            <w:r>
              <w:rPr>
                <w:rFonts w:ascii="Arial" w:cs="Arial" w:eastAsia="Arial" w:hAnsi="Arial"/>
                <w:sz w:val="18"/>
                <w:szCs w:val="18"/>
                <w:color w:val="auto"/>
              </w:rPr>
              <w:t>33</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Phillippe Deschamps, certify that:</w:t>
      </w:r>
    </w:p>
    <w:p>
      <w:pPr>
        <w:spacing w:after="0" w:line="225" w:lineRule="exact"/>
        <w:rPr>
          <w:sz w:val="20"/>
          <w:szCs w:val="20"/>
          <w:color w:val="auto"/>
        </w:rPr>
      </w:pPr>
    </w:p>
    <w:p>
      <w:pPr>
        <w:ind w:left="680" w:hanging="19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Date: May 11,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Phillippe Deschamps</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240"/>
          </w:cols>
          <w:pgMar w:left="320" w:top="35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5" w:lineRule="exact"/>
        <w:rPr>
          <w:sz w:val="20"/>
          <w:szCs w:val="20"/>
          <w:color w:val="auto"/>
        </w:rPr>
      </w:pPr>
    </w:p>
    <w:p>
      <w:pPr>
        <w:ind w:left="680" w:hanging="19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May 11,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Joyce LaViscount</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MARCH 31,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March 31,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11,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Phillippe Deschamps</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PRINCIPAL FINANCIAL OFFICER HELIUS MEDICAL TECHNOLOGIES, INC. FORM 10-Q FOR THE QUARTER ENDED MARCH 31,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March 31,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11,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2" Type="http://schemas.openxmlformats.org/officeDocument/2006/relationships/hyperlink" Target="http://www.sec.gov/Archives/edgar/data/1610853/000156459018020736/hsdt-ex31_66.htm" TargetMode="External"/><Relationship Id="rId53" Type="http://schemas.openxmlformats.org/officeDocument/2006/relationships/hyperlink" Target="http://www.sec.gov/Archives/edgar/data/0001610853/000119312518312155/d646047dex31.htm" TargetMode="External"/><Relationship Id="rId54" Type="http://schemas.openxmlformats.org/officeDocument/2006/relationships/hyperlink" Target="http://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2020-05-11T15:29:37Z</dcterms:created>
  <dcterms:modified xsi:type="dcterms:W3CDTF">2020-05-11T15:29:37Z</dcterms:modified>
</cp:coreProperties>
</file>