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94615</wp:posOffset>
            </wp:positionV>
            <wp:extent cx="1805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208"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106045</wp:posOffset>
            </wp:positionV>
            <wp:extent cx="1805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240" w:lineRule="exact"/>
        <w:rPr>
          <w:sz w:val="24"/>
          <w:szCs w:val="24"/>
          <w:color w:val="auto"/>
        </w:rPr>
      </w:pPr>
    </w:p>
    <w:p>
      <w:pPr>
        <w:ind w:left="480" w:hanging="473"/>
        <w:spacing w:after="0"/>
        <w:tabs>
          <w:tab w:leader="none" w:pos="4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2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2019</w:t>
      </w:r>
    </w:p>
    <w:p>
      <w:pPr>
        <w:spacing w:after="0" w:line="11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480" w:hanging="473"/>
        <w:spacing w:after="0"/>
        <w:tabs>
          <w:tab w:leader="none" w:pos="48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2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to</w:t>
      </w:r>
    </w:p>
    <w:p>
      <w:pPr>
        <w:spacing w:after="0" w:line="11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100330</wp:posOffset>
            </wp:positionV>
            <wp:extent cx="1805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217"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u w:val="single" w:color="auto"/>
          <w:color w:val="auto"/>
        </w:rPr>
        <w:t>HELIUS MEDICAL TECHNOLOGIES, INC.</w:t>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96520</wp:posOffset>
            </wp:positionV>
            <wp:extent cx="1805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232" w:lineRule="exact"/>
        <w:rPr>
          <w:sz w:val="24"/>
          <w:szCs w:val="24"/>
          <w:color w:val="auto"/>
        </w:rPr>
      </w:pPr>
    </w:p>
    <w:tbl>
      <w:tblPr>
        <w:tblLayout w:type="fixed"/>
        <w:tblInd w:w="19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1"/>
              </w:rPr>
              <w:t>Delaware</w:t>
            </w:r>
          </w:p>
        </w:tc>
        <w:tc>
          <w:tcPr>
            <w:tcW w:w="5320" w:type="dxa"/>
            <w:vAlign w:val="bottom"/>
            <w:gridSpan w:val="7"/>
          </w:tcPr>
          <w:p>
            <w:pPr>
              <w:jc w:val="center"/>
              <w:ind w:left="3818"/>
              <w:spacing w:after="0"/>
              <w:rPr>
                <w:sz w:val="20"/>
                <w:szCs w:val="20"/>
                <w:color w:val="auto"/>
              </w:rPr>
            </w:pPr>
            <w:r>
              <w:rPr>
                <w:rFonts w:ascii="Arial" w:cs="Arial" w:eastAsia="Arial" w:hAnsi="Arial"/>
                <w:sz w:val="18"/>
                <w:szCs w:val="18"/>
                <w:b w:val="1"/>
                <w:bCs w:val="1"/>
                <w:color w:val="auto"/>
                <w:w w:val="89"/>
              </w:rPr>
              <w:t>36-4787690</w:t>
            </w:r>
          </w:p>
        </w:tc>
      </w:tr>
      <w:tr>
        <w:trPr>
          <w:trHeight w:val="20"/>
        </w:trPr>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44"/>
        </w:trPr>
        <w:tc>
          <w:tcPr>
            <w:tcW w:w="202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0" w:type="dxa"/>
            <w:vAlign w:val="bottom"/>
            <w:gridSpan w:val="3"/>
          </w:tcPr>
          <w:p>
            <w:pPr>
              <w:jc w:val="center"/>
              <w:ind w:left="909"/>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incorporation or organization)</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0" w:type="dxa"/>
            <w:vAlign w:val="bottom"/>
            <w:gridSpan w:val="3"/>
          </w:tcPr>
          <w:p>
            <w:pPr>
              <w:jc w:val="center"/>
              <w:ind w:left="909"/>
              <w:spacing w:after="0"/>
              <w:rPr>
                <w:sz w:val="20"/>
                <w:szCs w:val="20"/>
                <w:color w:val="auto"/>
              </w:rPr>
            </w:pPr>
            <w:r>
              <w:rPr>
                <w:rFonts w:ascii="Arial" w:cs="Arial" w:eastAsia="Arial" w:hAnsi="Arial"/>
                <w:sz w:val="14"/>
                <w:szCs w:val="14"/>
                <w:b w:val="1"/>
                <w:bCs w:val="1"/>
                <w:color w:val="auto"/>
                <w:w w:val="95"/>
              </w:rPr>
              <w:t>Identification Number)</w:t>
            </w:r>
          </w:p>
        </w:tc>
      </w:tr>
      <w:tr>
        <w:trPr>
          <w:trHeight w:val="287"/>
        </w:trPr>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89"/>
              </w:rPr>
              <w:t>642 Newtown Yardley Road Suite 100</w:t>
            </w:r>
          </w:p>
        </w:tc>
      </w:tr>
      <w:tr>
        <w:trPr>
          <w:trHeight w:val="192"/>
        </w:trPr>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40" w:type="dxa"/>
            <w:vAlign w:val="bottom"/>
            <w:gridSpan w:val="6"/>
          </w:tcPr>
          <w:p>
            <w:pPr>
              <w:jc w:val="center"/>
              <w:ind w:right="2400"/>
              <w:spacing w:after="0" w:line="192" w:lineRule="exact"/>
              <w:rPr>
                <w:sz w:val="20"/>
                <w:szCs w:val="20"/>
                <w:color w:val="auto"/>
              </w:rPr>
            </w:pPr>
            <w:r>
              <w:rPr>
                <w:rFonts w:ascii="Arial" w:cs="Arial" w:eastAsia="Arial" w:hAnsi="Arial"/>
                <w:sz w:val="18"/>
                <w:szCs w:val="18"/>
                <w:b w:val="1"/>
                <w:bCs w:val="1"/>
                <w:color w:val="auto"/>
                <w:w w:val="88"/>
              </w:rPr>
              <w:t>Newtown, Pennsylvania, 18940</w:t>
            </w:r>
          </w:p>
        </w:tc>
      </w:tr>
      <w:tr>
        <w:trPr>
          <w:trHeight w:val="20"/>
        </w:trPr>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r>
      <w:tr>
        <w:trPr>
          <w:trHeight w:val="182"/>
        </w:trPr>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20" w:type="dxa"/>
            <w:vAlign w:val="bottom"/>
            <w:gridSpan w:val="7"/>
          </w:tcPr>
          <w:p>
            <w:pPr>
              <w:jc w:val="center"/>
              <w:ind w:right="1800"/>
              <w:spacing w:after="0"/>
              <w:rPr>
                <w:sz w:val="20"/>
                <w:szCs w:val="20"/>
                <w:color w:val="auto"/>
              </w:rPr>
            </w:pPr>
            <w:r>
              <w:rPr>
                <w:rFonts w:ascii="Arial" w:cs="Arial" w:eastAsia="Arial" w:hAnsi="Arial"/>
                <w:sz w:val="14"/>
                <w:szCs w:val="14"/>
                <w:b w:val="1"/>
                <w:bCs w:val="1"/>
                <w:color w:val="auto"/>
                <w:w w:val="91"/>
              </w:rPr>
              <w:t>(Address of principal executive office) (Zip Code)</w:t>
            </w:r>
          </w:p>
        </w:tc>
      </w:tr>
      <w:tr>
        <w:trPr>
          <w:trHeight w:val="265"/>
        </w:trPr>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20" w:type="dxa"/>
            <w:vAlign w:val="bottom"/>
            <w:gridSpan w:val="3"/>
          </w:tcPr>
          <w:p>
            <w:pPr>
              <w:jc w:val="center"/>
              <w:ind w:left="1118"/>
              <w:spacing w:after="0"/>
              <w:rPr>
                <w:sz w:val="20"/>
                <w:szCs w:val="20"/>
                <w:color w:val="auto"/>
              </w:rPr>
            </w:pPr>
            <w:r>
              <w:rPr>
                <w:rFonts w:ascii="Arial" w:cs="Arial" w:eastAsia="Arial" w:hAnsi="Arial"/>
                <w:sz w:val="18"/>
                <w:szCs w:val="18"/>
                <w:b w:val="1"/>
                <w:bCs w:val="1"/>
                <w:color w:val="auto"/>
                <w:w w:val="90"/>
              </w:rPr>
              <w:t>(215) 944-6100</w:t>
            </w:r>
          </w:p>
        </w:tc>
        <w:tc>
          <w:tcPr>
            <w:tcW w:w="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r>
      <w:tr>
        <w:trPr>
          <w:trHeight w:val="182"/>
        </w:trPr>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320" w:type="dxa"/>
            <w:vAlign w:val="bottom"/>
            <w:gridSpan w:val="7"/>
          </w:tcPr>
          <w:p>
            <w:pPr>
              <w:jc w:val="center"/>
              <w:ind w:right="1820"/>
              <w:spacing w:after="0"/>
              <w:rPr>
                <w:sz w:val="20"/>
                <w:szCs w:val="20"/>
                <w:color w:val="auto"/>
              </w:rPr>
            </w:pPr>
            <w:r>
              <w:rPr>
                <w:rFonts w:ascii="Arial" w:cs="Arial" w:eastAsia="Arial" w:hAnsi="Arial"/>
                <w:sz w:val="14"/>
                <w:szCs w:val="14"/>
                <w:b w:val="1"/>
                <w:bCs w:val="1"/>
                <w:color w:val="auto"/>
                <w:w w:val="90"/>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2725420</wp:posOffset>
            </wp:positionH>
            <wp:positionV relativeFrom="paragraph">
              <wp:posOffset>74930</wp:posOffset>
            </wp:positionV>
            <wp:extent cx="1805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5940" cy="8255"/>
                    </a:xfrm>
                    <a:prstGeom prst="rect">
                      <a:avLst/>
                    </a:prstGeom>
                    <a:noFill/>
                  </pic:spPr>
                </pic:pic>
              </a:graphicData>
            </a:graphic>
          </wp:anchor>
        </w:drawing>
      </w:r>
    </w:p>
    <w:p>
      <w:pPr>
        <w:spacing w:after="0" w:line="204" w:lineRule="exact"/>
        <w:rPr>
          <w:sz w:val="24"/>
          <w:szCs w:val="24"/>
          <w:color w:val="auto"/>
        </w:rPr>
      </w:pPr>
    </w:p>
    <w:p>
      <w:pPr>
        <w:jc w:val="both"/>
        <w:ind w:right="1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1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10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2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40" w:type="dxa"/>
            <w:vAlign w:val="bottom"/>
          </w:tcPr>
          <w:p>
            <w:pPr>
              <w:ind w:left="16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4"/>
        </w:trPr>
        <w:tc>
          <w:tcPr>
            <w:tcW w:w="22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4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3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9"/>
        </w:trPr>
        <w:tc>
          <w:tcPr>
            <w:tcW w:w="2240" w:type="dxa"/>
            <w:vAlign w:val="bottom"/>
            <w:gridSpan w:val="2"/>
          </w:tcPr>
          <w:p>
            <w:pPr>
              <w:spacing w:after="0"/>
              <w:rPr>
                <w:sz w:val="20"/>
                <w:szCs w:val="20"/>
                <w:color w:val="auto"/>
              </w:rPr>
            </w:pPr>
            <w:r>
              <w:rPr>
                <w:rFonts w:ascii="Arial" w:cs="Arial" w:eastAsia="Arial" w:hAnsi="Arial"/>
                <w:sz w:val="18"/>
                <w:szCs w:val="18"/>
                <w:color w:val="auto"/>
              </w:rPr>
              <w:t>Emerging growth company</w:t>
            </w:r>
          </w:p>
        </w:tc>
        <w:tc>
          <w:tcPr>
            <w:tcW w:w="2220" w:type="dxa"/>
            <w:vAlign w:val="bottom"/>
            <w:gridSpan w:val="2"/>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180" w:type="dxa"/>
            <w:vAlign w:val="bottom"/>
            <w:gridSpan w:val="8"/>
          </w:tcPr>
          <w:p>
            <w:pPr>
              <w:spacing w:after="0"/>
              <w:rPr>
                <w:sz w:val="20"/>
                <w:szCs w:val="20"/>
                <w:color w:val="auto"/>
              </w:rPr>
            </w:pPr>
            <w:r>
              <w:rPr>
                <w:rFonts w:ascii="Arial" w:cs="Arial" w:eastAsia="Arial" w:hAnsi="Arial"/>
                <w:sz w:val="18"/>
                <w:szCs w:val="18"/>
                <w:color w:val="auto"/>
                <w:w w:val="90"/>
              </w:rPr>
              <w:t>If an emerging growth company, indicate by check mark if the registrant has elected not to use the extended transition period for complying with any new or</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4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revised financial accounting standards provided pursuant to Section 13(a) of the Exchange Act. </w:t>
            </w:r>
            <w:r>
              <w:rPr>
                <w:rFonts w:ascii="MS PGothic" w:cs="MS PGothic" w:eastAsia="MS PGothic" w:hAnsi="MS PGothic"/>
                <w:sz w:val="18"/>
                <w:szCs w:val="18"/>
                <w:color w:val="auto"/>
                <w:w w:val="91"/>
              </w:rPr>
              <w:t>☒</w:t>
            </w:r>
          </w:p>
        </w:tc>
        <w:tc>
          <w:tcPr>
            <w:tcW w:w="4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1180" w:type="dxa"/>
            <w:vAlign w:val="bottom"/>
            <w:gridSpan w:val="8"/>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gridSpan w:val="4"/>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Title of each class</w:t>
            </w:r>
          </w:p>
        </w:tc>
        <w:tc>
          <w:tcPr>
            <w:tcW w:w="268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8"/>
              </w:rPr>
              <w:t>Trading Symbol(s)</w:t>
            </w:r>
          </w:p>
        </w:tc>
        <w:tc>
          <w:tcPr>
            <w:tcW w:w="4040" w:type="dxa"/>
            <w:vAlign w:val="bottom"/>
          </w:tcPr>
          <w:p>
            <w:pPr>
              <w:jc w:val="center"/>
              <w:ind w:right="331"/>
              <w:spacing w:after="0"/>
              <w:rPr>
                <w:sz w:val="20"/>
                <w:szCs w:val="20"/>
                <w:color w:val="auto"/>
              </w:rPr>
            </w:pPr>
            <w:r>
              <w:rPr>
                <w:rFonts w:ascii="Arial" w:cs="Arial" w:eastAsia="Arial" w:hAnsi="Arial"/>
                <w:sz w:val="18"/>
                <w:szCs w:val="18"/>
                <w:b w:val="1"/>
                <w:bCs w:val="1"/>
                <w:color w:val="auto"/>
                <w:w w:val="86"/>
              </w:rPr>
              <w:t>Name of each exchange on which registered</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120" w:type="dxa"/>
            <w:vAlign w:val="bottom"/>
            <w:vMerge w:val="restart"/>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89"/>
              </w:rPr>
              <w:t>Class A Common stock</w:t>
            </w:r>
          </w:p>
        </w:tc>
        <w:tc>
          <w:tcPr>
            <w:tcW w:w="12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7"/>
              </w:rPr>
              <w:t>HSDT</w:t>
            </w:r>
          </w:p>
        </w:tc>
        <w:tc>
          <w:tcPr>
            <w:tcW w:w="1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040" w:type="dxa"/>
            <w:vAlign w:val="bottom"/>
          </w:tcPr>
          <w:p>
            <w:pPr>
              <w:jc w:val="center"/>
              <w:ind w:right="331"/>
              <w:spacing w:after="0"/>
              <w:rPr>
                <w:sz w:val="20"/>
                <w:szCs w:val="20"/>
                <w:color w:val="auto"/>
              </w:rPr>
            </w:pPr>
            <w:r>
              <w:rPr>
                <w:rFonts w:ascii="Arial" w:cs="Arial" w:eastAsia="Arial" w:hAnsi="Arial"/>
                <w:sz w:val="18"/>
                <w:szCs w:val="18"/>
                <w:color w:val="auto"/>
                <w:w w:val="91"/>
              </w:rPr>
              <w:t>The Nasdaq Stock Market LLC</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 of May 6, 2019, the registrant had 25,866,211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267335</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755015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552" w:right="1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Pr>
          <w:p>
            <w:pPr>
              <w:spacing w:after="0"/>
              <w:rPr>
                <w:sz w:val="20"/>
                <w:szCs w:val="20"/>
                <w:color w:val="auto"/>
              </w:rPr>
            </w:pPr>
          </w:p>
        </w:tc>
      </w:tr>
      <w:tr>
        <w:trPr>
          <w:trHeight w:val="334"/>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8"/>
          </w:tcPr>
          <w:p>
            <w:pPr>
              <w:spacing w:after="0"/>
              <w:rPr>
                <w:sz w:val="20"/>
                <w:szCs w:val="20"/>
                <w:color w:val="auto"/>
              </w:rPr>
            </w:pPr>
            <w:r>
              <w:rPr>
                <w:rFonts w:ascii="Arial" w:cs="Arial" w:eastAsia="Arial" w:hAnsi="Arial"/>
                <w:sz w:val="18"/>
                <w:szCs w:val="18"/>
                <w:color w:val="auto"/>
              </w:rPr>
              <w:t>Condensed Consolidated Financial Statements</w:t>
            </w:r>
          </w:p>
        </w:tc>
        <w:tc>
          <w:tcPr>
            <w:tcW w:w="500" w:type="dxa"/>
            <w:vAlign w:val="bottom"/>
          </w:tcPr>
          <w:p>
            <w:pPr>
              <w:spacing w:after="0"/>
              <w:rPr>
                <w:sz w:val="24"/>
                <w:szCs w:val="24"/>
                <w:color w:val="auto"/>
              </w:rPr>
            </w:pPr>
          </w:p>
        </w:tc>
      </w:tr>
      <w:tr>
        <w:trPr>
          <w:trHeight w:val="295"/>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2019 and December 31,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1"/>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I</w:t>
              </w:r>
              <w:r>
                <w:rPr>
                  <w:rFonts w:ascii="Arial" w:cs="Arial" w:eastAsia="Arial" w:hAnsi="Arial"/>
                  <w:sz w:val="19"/>
                  <w:szCs w:val="19"/>
                  <w:color w:val="0000EE"/>
                  <w:w w:val="89"/>
                </w:rPr>
                <w:t>ncome (L</w:t>
              </w:r>
              <w:r>
                <w:rPr>
                  <w:rFonts w:ascii="Arial" w:cs="Arial" w:eastAsia="Arial" w:hAnsi="Arial"/>
                  <w:sz w:val="18"/>
                  <w:szCs w:val="18"/>
                  <w:color w:val="0000EE"/>
                  <w:w w:val="89"/>
                </w:rPr>
                <w:t>oss) for the three months ended</w:t>
              </w:r>
            </w:hyperlink>
          </w:p>
        </w:tc>
        <w:tc>
          <w:tcPr>
            <w:tcW w:w="9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80" w:type="dxa"/>
            <w:vAlign w:val="bottom"/>
            <w:gridSpan w:val="17"/>
          </w:tcPr>
          <w:p>
            <w:pPr>
              <w:spacing w:after="0" w:line="194" w:lineRule="exact"/>
              <w:rPr>
                <w:rFonts w:ascii="Arial" w:cs="Arial" w:eastAsia="Arial" w:hAnsi="Arial"/>
                <w:sz w:val="18"/>
                <w:szCs w:val="18"/>
                <w:color w:val="0000EE"/>
              </w:rPr>
            </w:pPr>
            <w:hyperlink w:anchor="page4">
              <w:r>
                <w:rPr>
                  <w:rFonts w:ascii="Arial" w:cs="Arial" w:eastAsia="Arial" w:hAnsi="Arial"/>
                  <w:sz w:val="18"/>
                  <w:szCs w:val="18"/>
                  <w:color w:val="0000EE"/>
                </w:rPr>
                <w:t>March 31, 2019 and 2018</w:t>
              </w:r>
            </w:hyperlink>
          </w:p>
        </w:tc>
        <w:tc>
          <w:tcPr>
            <w:tcW w:w="500" w:type="dxa"/>
            <w:vAlign w:val="bottom"/>
          </w:tcPr>
          <w:p>
            <w:pPr>
              <w:spacing w:after="0"/>
              <w:rPr>
                <w:sz w:val="16"/>
                <w:szCs w:val="16"/>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4"/>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 (Deficit) for the three months ended March 31, 2019 and 2018</w:t>
              </w:r>
            </w:hyperlink>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7"/>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three months ended March 31, 2019 and 2018</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7"/>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8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62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Management’s Discussion and Analysis of Financial Condition and Results of Operations</w:t>
              </w:r>
            </w:hyperlink>
          </w:p>
        </w:tc>
        <w:tc>
          <w:tcPr>
            <w:tcW w:w="35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55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4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816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Legal Proceedings</w:t>
              </w:r>
            </w:hyperlink>
          </w:p>
        </w:tc>
        <w:tc>
          <w:tcPr>
            <w:tcW w:w="100" w:type="dxa"/>
            <w:vAlign w:val="bottom"/>
            <w:tcBorders>
              <w:top w:val="single" w:sz="8" w:color="0000EE"/>
            </w:tcBorders>
          </w:tcPr>
          <w:p>
            <w:pPr>
              <w:spacing w:after="0"/>
              <w:rPr>
                <w:sz w:val="24"/>
                <w:szCs w:val="24"/>
                <w:color w:val="auto"/>
              </w:rPr>
            </w:pPr>
          </w:p>
        </w:tc>
        <w:tc>
          <w:tcPr>
            <w:tcW w:w="848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Unregistered Sales of Equity Securities and Use of Proceeds</w:t>
              </w:r>
            </w:hyperlink>
          </w:p>
        </w:tc>
        <w:tc>
          <w:tcPr>
            <w:tcW w:w="560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Defaults Upon Senior Securities</w:t>
              </w:r>
            </w:hyperlink>
          </w:p>
        </w:tc>
        <w:tc>
          <w:tcPr>
            <w:tcW w:w="76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6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4"/>
        </w:trPr>
        <w:tc>
          <w:tcPr>
            <w:tcW w:w="104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46"/>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gridSpan w:val="12"/>
          </w:tcPr>
          <w:p>
            <w:pPr>
              <w:ind w:left="4620"/>
              <w:spacing w:after="0"/>
              <w:rPr>
                <w:sz w:val="20"/>
                <w:szCs w:val="20"/>
                <w:color w:val="auto"/>
              </w:rPr>
            </w:pPr>
            <w:r>
              <w:rPr>
                <w:rFonts w:ascii="Arial" w:cs="Arial" w:eastAsia="Arial" w:hAnsi="Arial"/>
                <w:sz w:val="18"/>
                <w:szCs w:val="18"/>
                <w:color w:val="auto"/>
                <w:w w:val="79"/>
              </w:rPr>
              <w:t>2</w:t>
            </w: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220"/>
        </w:trPr>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Non-current receivables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r>
      <w:tr>
        <w:trPr>
          <w:trHeight w:val="26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22,498</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120" w:type="dxa"/>
            <w:vAlign w:val="bottom"/>
            <w:tcBorders>
              <w:bottom w:val="single" w:sz="8" w:color="CFF0FC"/>
            </w:tcBorders>
          </w:tcPr>
          <w:p>
            <w:pPr>
              <w:spacing w:after="0"/>
              <w:rPr>
                <w:sz w:val="22"/>
                <w:szCs w:val="22"/>
                <w:color w:val="auto"/>
              </w:rPr>
            </w:pPr>
          </w:p>
        </w:tc>
      </w:tr>
      <w:tr>
        <w:trPr>
          <w:trHeight w:val="207"/>
        </w:trPr>
        <w:tc>
          <w:tcPr>
            <w:tcW w:w="7860" w:type="dxa"/>
            <w:vAlign w:val="bottom"/>
            <w:shd w:val="clear" w:color="auto" w:fill="CFF0FC"/>
          </w:tcPr>
          <w:p>
            <w:pPr>
              <w:ind w:left="1900"/>
              <w:spacing w:after="0" w:line="20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17,973</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10,480</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17,973</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3"/>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$0.001 par value; 10,000,000 shares authorized, no shares issued and outstanding as of</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March 31, 2019 and December 31, 2018</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3"/>
        </w:trPr>
        <w:tc>
          <w:tcPr>
            <w:tcW w:w="7860" w:type="dxa"/>
            <w:vAlign w:val="bottom"/>
          </w:tcPr>
          <w:p>
            <w:pPr>
              <w:ind w:left="260"/>
              <w:spacing w:after="0"/>
              <w:rPr>
                <w:sz w:val="20"/>
                <w:szCs w:val="20"/>
                <w:color w:val="auto"/>
              </w:rPr>
            </w:pPr>
            <w:r>
              <w:rPr>
                <w:rFonts w:ascii="Arial" w:cs="Arial" w:eastAsia="Arial" w:hAnsi="Arial"/>
                <w:sz w:val="18"/>
                <w:szCs w:val="18"/>
                <w:color w:val="auto"/>
                <w:w w:val="92"/>
              </w:rPr>
              <w:t>Class A common stock, $0.001 par value; 150,000,000 shares authorized; 25,844,180 and 25,827,860</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shares issued and outstanding as of March 31, 2019 and December 31, 2018, respectively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106,363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105,411</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(93,668)</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(94,992)</w:t>
            </w:r>
          </w:p>
        </w:tc>
      </w:tr>
      <w:tr>
        <w:trPr>
          <w:trHeight w:val="22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 except shares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4"/>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9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9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(6,821)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8,145</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60"/>
        </w:trPr>
        <w:tc>
          <w:tcPr>
            <w:tcW w:w="7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1,212</w:t>
            </w:r>
          </w:p>
        </w:tc>
        <w:tc>
          <w:tcPr>
            <w:tcW w:w="28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960" w:type="dxa"/>
            <w:vAlign w:val="bottom"/>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Net income (loss) per share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96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Pr>
          <w:p>
            <w:pPr>
              <w:spacing w:after="0"/>
              <w:rPr>
                <w:sz w:val="23"/>
                <w:szCs w:val="23"/>
                <w:color w:val="auto"/>
              </w:rPr>
            </w:pPr>
          </w:p>
        </w:tc>
        <w:tc>
          <w:tcPr>
            <w:tcW w:w="580" w:type="dxa"/>
            <w:vAlign w:val="bottom"/>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07"/>
        </w:trPr>
        <w:tc>
          <w:tcPr>
            <w:tcW w:w="7960" w:type="dxa"/>
            <w:vAlign w:val="bottom"/>
            <w:tcBorders>
              <w:top w:val="single" w:sz="8" w:color="CFF0FC"/>
              <w:bottom w:val="single" w:sz="8" w:color="CFF0FC"/>
            </w:tcBorders>
            <w:shd w:val="clear" w:color="auto" w:fill="CFF0FC"/>
          </w:tcPr>
          <w:p>
            <w:pPr>
              <w:ind w:left="260"/>
              <w:spacing w:after="0" w:line="20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391"/>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25,832,190</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20,334,929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26,785,708</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20,460,656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 of Stockholders’ Equity (Deficit)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(Except shares data, amounts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Common Stock, $0.001 par</w:t>
            </w:r>
          </w:p>
        </w:tc>
        <w:tc>
          <w:tcPr>
            <w:tcW w:w="80" w:type="dxa"/>
            <w:vAlign w:val="bottom"/>
          </w:tcPr>
          <w:p>
            <w:pPr>
              <w:spacing w:after="0"/>
              <w:rPr>
                <w:sz w:val="14"/>
                <w:szCs w:val="14"/>
                <w:color w:val="auto"/>
              </w:rPr>
            </w:pPr>
          </w:p>
        </w:tc>
        <w:tc>
          <w:tcPr>
            <w:tcW w:w="18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 no par</w:t>
            </w:r>
          </w:p>
        </w:tc>
        <w:tc>
          <w:tcPr>
            <w:tcW w:w="80" w:type="dxa"/>
            <w:vAlign w:val="bottom"/>
          </w:tcPr>
          <w:p>
            <w:pPr>
              <w:spacing w:after="0"/>
              <w:rPr>
                <w:sz w:val="14"/>
                <w:szCs w:val="14"/>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3"/>
              </w:rPr>
              <w:t>Balance as of December 31, 2017</w:t>
            </w: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gridSpan w:val="3"/>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20,178,226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52,230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(66,369)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w w:val="90"/>
              </w:rPr>
              <w:t>Stock-based compensation expense</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w w:val="92"/>
              </w:rPr>
              <w:t>Proceeds from the exercise of stock</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options and warrants</w:t>
            </w: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619,083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Reclassification of liability-</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w w:val="99"/>
              </w:rPr>
              <w:t>classified warrants upon exercise</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1"/>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2018</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20,797,309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59,229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(67,534)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9"/>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(2,229)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Common Stock, $0.001 par</w:t>
            </w:r>
          </w:p>
        </w:tc>
        <w:tc>
          <w:tcPr>
            <w:tcW w:w="80" w:type="dxa"/>
            <w:vAlign w:val="bottom"/>
          </w:tcPr>
          <w:p>
            <w:pPr>
              <w:spacing w:after="0"/>
              <w:rPr>
                <w:sz w:val="24"/>
                <w:szCs w:val="24"/>
                <w:color w:val="auto"/>
              </w:rPr>
            </w:pPr>
          </w:p>
        </w:tc>
        <w:tc>
          <w:tcPr>
            <w:tcW w:w="18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 no par</w:t>
            </w:r>
          </w:p>
        </w:tc>
        <w:tc>
          <w:tcPr>
            <w:tcW w:w="80" w:type="dxa"/>
            <w:vAlign w:val="bottom"/>
          </w:tcPr>
          <w:p>
            <w:pPr>
              <w:spacing w:after="0"/>
              <w:rPr>
                <w:sz w:val="24"/>
                <w:szCs w:val="24"/>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8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3"/>
              </w:rPr>
              <w:t>Balance as of December 31, 2018</w:t>
            </w: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25,827,860</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26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$ 105,411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(94,992)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w w:val="90"/>
              </w:rPr>
              <w:t>Stock-based compensation expense</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w:t>
            </w: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Reclassification of derivative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60" w:type="dxa"/>
            <w:vAlign w:val="bottom"/>
          </w:tcPr>
          <w:p>
            <w:pPr>
              <w:spacing w:after="0"/>
              <w:rPr>
                <w:sz w:val="20"/>
                <w:szCs w:val="20"/>
                <w:color w:val="auto"/>
              </w:rPr>
            </w:pPr>
            <w:r>
              <w:rPr>
                <w:rFonts w:ascii="Arial" w:cs="Arial" w:eastAsia="Arial" w:hAnsi="Arial"/>
                <w:sz w:val="18"/>
                <w:szCs w:val="18"/>
                <w:color w:val="auto"/>
              </w:rPr>
              <w:t>financial instruments from the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rPr>
              <w:t>exercise of warrants</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2019</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25,844,180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$ 106,363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(93,668)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29"/>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12,018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840"/>
          </w:cols>
          <w:pgMar w:left="240" w:top="335" w:right="8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78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1,324</w:t>
            </w:r>
          </w:p>
        </w:tc>
        <w:tc>
          <w:tcPr>
            <w:tcW w:w="280" w:type="dxa"/>
            <w:vAlign w:val="bottom"/>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(8,289)</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(2,525)</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Unrealized foreign exchange loss (gain)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(993)</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(740)</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(339)</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(886)</w:t>
            </w:r>
          </w:p>
        </w:tc>
      </w:tr>
      <w:tr>
        <w:trPr>
          <w:trHeight w:val="227"/>
        </w:trPr>
        <w:tc>
          <w:tcPr>
            <w:tcW w:w="786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r>
      <w:tr>
        <w:trPr>
          <w:trHeight w:val="22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(6,800)</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19"/>
        </w:trPr>
        <w:tc>
          <w:tcPr>
            <w:tcW w:w="7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r>
        <w:trPr>
          <w:trHeight w:val="22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120" w:type="dxa"/>
            <w:vAlign w:val="bottom"/>
            <w:shd w:val="clear" w:color="auto" w:fill="CFF0FC"/>
          </w:tcPr>
          <w:p>
            <w:pPr>
              <w:spacing w:after="0"/>
              <w:rPr>
                <w:sz w:val="19"/>
                <w:szCs w:val="19"/>
                <w:color w:val="auto"/>
              </w:rPr>
            </w:pPr>
          </w:p>
        </w:tc>
      </w:tr>
      <w:tr>
        <w:trPr>
          <w:trHeight w:val="22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3,680</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(6,927)</w:t>
            </w: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25,583</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20" w:type="dxa"/>
            <w:vAlign w:val="bottom"/>
            <w:shd w:val="clear" w:color="auto" w:fill="CFF0FC"/>
          </w:tcPr>
          <w:p>
            <w:pPr>
              <w:spacing w:after="0"/>
              <w:rPr>
                <w:sz w:val="19"/>
                <w:szCs w:val="19"/>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18,656</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4,395</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6"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Helius Medical Technologies, Inc. (the “Company”), is a neurotechnology company focused on neurological wellness. The Company’s purpose is to develop, license or acquire non-invasive technologies targeted at reducing symptoms of neurological disease or trauma.</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first product, known as the Portable Neuromodulation Stimulator (“PoNS™”), is an authorized medical device in Canada for the treatment of chronic balance deficit associated with a mild to moderate traumatic brain injury (“mmTBI”), and is an investigational, non-invasive, medical device for which the Company has submitted an application for a CE mark for marketing authorization in the European Union, to improve balance in patients following a mmTBI. The Company’s PoNS device, when combined with targeted physical and/or cognitive therapy, (“PoNS Treatment”), is the first and only treatment that combines neurostimulation of cranial nerves via the tongue to restore lost function. In April 2019, the Company announced that the U.S. Food and Drug administration (“FDA”) had completed its review and declined the Company’s request for de novo classification and marketing authorization of the PoNS device in the United States.</w:t>
      </w: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21, 2018, the Company’s wholly owned subsidiary NeuroHabilitation Corporation changed its name to Helius Medical, Inc (“HMI”). On January 31, 2019, the Company formed another wholly owned subsidiary, Helius NeuroRehab, Inc., (“HNR”), a Delaware corporation, which will operate a clinical research site as well as a rehabilitation clinic that will provide the PoNS Treatment to patients with balance and gait disorder upon receipt of marketing authorization from the FDA</w:t>
      </w:r>
      <w:r>
        <w:rPr>
          <w:rFonts w:ascii="Arial" w:cs="Arial" w:eastAsia="Arial" w:hAnsi="Arial"/>
          <w:sz w:val="19"/>
          <w:szCs w:val="19"/>
          <w:i w:val="1"/>
          <w:iCs w:val="1"/>
          <w:color w:val="auto"/>
        </w:rPr>
        <w:t>.</w:t>
      </w:r>
      <w:r>
        <w:rPr>
          <w:rFonts w:ascii="Arial" w:cs="Arial" w:eastAsia="Arial" w:hAnsi="Arial"/>
          <w:sz w:val="18"/>
          <w:szCs w:val="18"/>
          <w:color w:val="auto"/>
        </w:rPr>
        <w:t xml:space="preserve"> The Company’s wholly owned subsidiaries are comprised of HMI, Helius Medical Technologies (Canada), Inc., (“HMC”), and HNR.</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spacing w:after="0" w:line="12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231F20"/>
        </w:rPr>
        <w:t xml:space="preserve">Effective after the close of business on January 22, 2018, the Company completed a 1-for-5 reverse stock split of its common stock. </w:t>
      </w:r>
      <w:r>
        <w:rPr>
          <w:rFonts w:ascii="Arial" w:cs="Arial" w:eastAsia="Arial" w:hAnsi="Arial"/>
          <w:sz w:val="18"/>
          <w:szCs w:val="18"/>
          <w:color w:val="000000"/>
        </w:rPr>
        <w:t>All share and per share</w:t>
      </w:r>
      <w:r>
        <w:rPr>
          <w:rFonts w:ascii="Arial" w:cs="Arial" w:eastAsia="Arial" w:hAnsi="Arial"/>
          <w:sz w:val="18"/>
          <w:szCs w:val="18"/>
          <w:color w:val="231F20"/>
        </w:rPr>
        <w:t xml:space="preserve"> </w:t>
      </w:r>
      <w:r>
        <w:rPr>
          <w:rFonts w:ascii="Arial" w:cs="Arial" w:eastAsia="Arial" w:hAnsi="Arial"/>
          <w:sz w:val="18"/>
          <w:szCs w:val="18"/>
          <w:color w:val="000000"/>
        </w:rPr>
        <w:t>amounts in this quarterly report on Form 10-Q have been reflected on a post-split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2019, the Company had cash of $18.7 million. For the three months ended March 31, 2019, the Company had an operating loss of $6.8 million and as of March 31, 2019, its accumulated deficit was $93.7 million.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raise substantial doubt about the Company’s ability to continue as a going concern. The Company’s condensed consolidated financial statements have been prepared on the basis of continuity of operations, realization of assets and satisfaction of liabilities in the ordinary course of business.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291" w:lineRule="exact"/>
        <w:rPr>
          <w:sz w:val="20"/>
          <w:szCs w:val="20"/>
          <w:color w:val="auto"/>
        </w:rPr>
      </w:pPr>
    </w:p>
    <w:p>
      <w:pPr>
        <w:ind w:right="6460" w:firstLine="7"/>
        <w:spacing w:after="0" w:line="373" w:lineRule="auto"/>
        <w:tabs>
          <w:tab w:leader="none" w:pos="31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The Company’s reporting currency is the U.S. Dollar (USD$”).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the condensed consolidated financial statements in accordance with U.S. GAAP requires management to make estimates and assumptions that affect the amounts reported in the condensed consolidated financial statements and disclosure of contingent assets and liabilities. Significant estimates include the assumptions used in the valuation of receivables, fair value-pricing model for stock-based compensation, operating lease liability and derivative financial instruments. Financial statements include estimates, which, by their nature, are uncertain. Actual results could differ from those estimates.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(see Note 7). All intercompany balances and transactions have been eliminated. Certain prior period amounts have been reclassified to conform to the current period presentation.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Accounts receivables are stated at their net realizable value. As of each of March 31, 2019 and December 31, 2018, the Company’s accounts receivable were comprised of amounts owed related to license revenue of approximately $0.5 million recognized in 2018 resulting from the Company’s strategic alliance agreement with Health Tech Connex Inc, (“HTC”), and Heuro Canada, Inc., (“Heuro”), of which $0.3 million was classified as a non-current receivable. As of March 31, 2019, accounts receivable included revenue from product sales of approximately $0.6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5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No inventory write-offs were recorded during the three months ended March 31,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and December 31, 2018, inventory consisted of the following (amounts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77"/>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0"/>
        </w:trPr>
        <w:tc>
          <w:tcPr>
            <w:tcW w:w="70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4"/>
                <w:szCs w:val="14"/>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March 31, 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0"/>
        </w:trPr>
        <w:tc>
          <w:tcPr>
            <w:tcW w:w="704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04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summarizes the Company’s property and equipment as of March 31, 2019 and December 31, 2018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0"/>
        </w:trPr>
        <w:tc>
          <w:tcPr>
            <w:tcW w:w="786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0"/>
        </w:trPr>
        <w:tc>
          <w:tcPr>
            <w:tcW w:w="7860" w:type="dxa"/>
            <w:vAlign w:val="bottom"/>
            <w:vMerge w:val="continue"/>
          </w:tcPr>
          <w:p>
            <w:pPr>
              <w:spacing w:after="0"/>
              <w:rPr>
                <w:sz w:val="19"/>
                <w:szCs w:val="19"/>
                <w:color w:val="auto"/>
              </w:rPr>
            </w:pPr>
          </w:p>
        </w:tc>
        <w:tc>
          <w:tcPr>
            <w:tcW w:w="1280" w:type="dxa"/>
            <w:vAlign w:val="bottom"/>
            <w:tcBorders>
              <w:top w:val="single" w:sz="8" w:color="auto"/>
            </w:tcBorders>
          </w:tcPr>
          <w:p>
            <w:pPr>
              <w:jc w:val="right"/>
              <w:ind w:right="11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Equipment</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219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1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791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693</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color w:val="auto"/>
        </w:rPr>
        <w:t xml:space="preserve">On January 1, 2019, 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does not record an operating lease ROU asset and corresponding lease liability for leases with an initial term of twelve months or less and recognizes lease expense for these leases as incurred over the lease term. As of March 31, 2019, the Company had only one operating lease, which was for its headquarters office in Newtown, Pennsylvania upon the adoption date. As of March 31,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accounted for separately. As of March 31, 2019, approximately $30,000 of the Company’s operating lease ROU asset had been amortized (see Note 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financial statements prior to and including the period ended March 31, 2018 were not restated for the change in functional currency.</w:t>
      </w:r>
    </w:p>
    <w:p>
      <w:pPr>
        <w:spacing w:after="0" w:line="10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income (loss) as foreign exchange gain (loss).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functional currency of HMC, the Company’s Canadian subsidiary,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income (loss) for the reporting period, but rather are accumulated and gains and losses are recorded in foreign exchange gain (loss), as a component of comprehensive income (loss), within the condensed consolidated statements of operations and comprehensive income (loss).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adoption of ASU No. 2018-07, </w:t>
      </w:r>
      <w:r>
        <w:rPr>
          <w:rFonts w:ascii="Arial" w:cs="Arial" w:eastAsia="Arial" w:hAnsi="Arial"/>
          <w:sz w:val="18"/>
          <w:szCs w:val="18"/>
          <w:i w:val="1"/>
          <w:iCs w:val="1"/>
          <w:color w:val="auto"/>
        </w:rPr>
        <w:t>Improvements to Nonemployee Share-Based Payment Accounting (“ASU 2018-07”),</w:t>
      </w:r>
      <w:r>
        <w:rPr>
          <w:rFonts w:ascii="Arial" w:cs="Arial" w:eastAsia="Arial" w:hAnsi="Arial"/>
          <w:sz w:val="18"/>
          <w:szCs w:val="18"/>
          <w:color w:val="auto"/>
        </w:rPr>
        <w:t xml:space="preserve"> 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recognized over the vesting period of the award and in the same manner as if the Company had paid cash instead of paying with or using equity-based instruments. The fair value of the stock-based payments to non-employees that was fully vested and non-forfeitable as of the grant date were measured and recognized at that date. Following the adoption of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Liability-classified options are re-measured to their fair values at the end of each reporting date with changes in the fair value recognized in stock-based compensation expense or additional paid-in capital until settlement or cancellation. Under FASB’s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 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2,741,146 shares of common stock consented to the modification. Employee stock options with a fair value of $10.3 million on August 8, 2018, which were previously classified as stock-based compensation liabilities, were reclassified to equity during the third quarter of 2018. Following these reclassifications, the Company no longer has any liability-classified stock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22" w:lineRule="exact"/>
        <w:rPr>
          <w:sz w:val="20"/>
          <w:szCs w:val="20"/>
          <w:color w:val="auto"/>
        </w:rPr>
      </w:pPr>
    </w:p>
    <w:p>
      <w:pPr>
        <w:ind w:left="1060" w:hanging="70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9" w:lineRule="exact"/>
        <w:rPr>
          <w:rFonts w:ascii="Arial" w:cs="Arial" w:eastAsia="Arial" w:hAnsi="Arial"/>
          <w:sz w:val="18"/>
          <w:szCs w:val="18"/>
          <w:color w:val="auto"/>
        </w:rPr>
      </w:pPr>
    </w:p>
    <w:p>
      <w:pPr>
        <w:ind w:left="1060" w:hanging="70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6" w:lineRule="exact"/>
        <w:rPr>
          <w:rFonts w:ascii="Arial" w:cs="Arial" w:eastAsia="Arial" w:hAnsi="Arial"/>
          <w:sz w:val="18"/>
          <w:szCs w:val="18"/>
          <w:color w:val="auto"/>
        </w:rPr>
      </w:pPr>
    </w:p>
    <w:p>
      <w:pPr>
        <w:ind w:left="1060" w:hanging="70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6" w:lineRule="exact"/>
        <w:rPr>
          <w:rFonts w:ascii="Arial" w:cs="Arial" w:eastAsia="Arial" w:hAnsi="Arial"/>
          <w:sz w:val="18"/>
          <w:szCs w:val="18"/>
          <w:color w:val="auto"/>
        </w:rPr>
      </w:pPr>
    </w:p>
    <w:p>
      <w:pPr>
        <w:ind w:left="1060" w:hanging="70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6" w:lineRule="exact"/>
        <w:rPr>
          <w:rFonts w:ascii="Arial" w:cs="Arial" w:eastAsia="Arial" w:hAnsi="Arial"/>
          <w:sz w:val="18"/>
          <w:szCs w:val="18"/>
          <w:color w:val="auto"/>
        </w:rPr>
      </w:pPr>
    </w:p>
    <w:p>
      <w:pPr>
        <w:ind w:left="1060" w:hanging="70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Product sales are derived from the sale of the PoNS device and support services including services from the use of the neurocatch device, which assesses brain vital signs of each patient participating in the PoNS Treatment at two Canadian neuroplasticity clinics with which the Company has executed supply agreements. The neurocatch device is owned by HTC, and the Company remits CAD$600 for each patient treated with the PoNS device. According to the supply agreement with each of these two clinics the Company’s performance obligation is met when it delivers the PoNS device to the clinic’s facility and the clinic takes title of the PoNS device upon acceptance. In addition, the Company acts in an agency capacity for services performed using the neurocatch device. Further, according to the strategic alliance agreement, the Company shares 50/50 with Heuro in fees from support services excluding the CAD$600 payment for the neurocatch device. For the three months ended March 31, 2019, the Company recorded $0.7 million in product sales net of $25,000 for HTC’s portion related to services performed using the neurocatch device.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2019, the Company had recorded $0.7 million in current receivables and had no contract assets or liabilities on its condensed consolidated balance sheet related to these supply agreements. As of March 31, 2019 and December 31, 2018, the Company had recorded $0.2 million and $0.3 million in current and non-current receivables, respectively, and had no contract assets or liabilities on its condensed consolidated balance sheets related to license revenue related to an exclusive strategic alliance agreement with HTC and Heuro.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Cost of Sales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has adopted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income (loss). When applicable, the Company classifies penalties and interest associated with uncertain tax positions as a component of income tax expense in its condensed consolidated statements of operations and comprehensive income (loss).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R&amp;D costs are charged to operations when they are incurred.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income (loss). As of March 31, 2019, and December 31, 2018, the Company’s derivative financial instruments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Level 2 – Quoted prices in markets that are not active or financial instruments for which all significant inputs are observable, either directly or indirectly; and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13"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 w:name="page12"/>
    <w:bookmarkEnd w:id="11"/>
    <w:p>
      <w:pPr>
        <w:jc w:val="both"/>
        <w:ind w:right="40"/>
        <w:spacing w:after="0" w:line="270" w:lineRule="auto"/>
        <w:rPr>
          <w:sz w:val="20"/>
          <w:szCs w:val="20"/>
          <w:color w:val="auto"/>
        </w:rPr>
      </w:pPr>
      <w:r>
        <w:rPr>
          <w:rFonts w:ascii="Arial" w:cs="Arial" w:eastAsia="Arial" w:hAnsi="Arial"/>
          <w:sz w:val="18"/>
          <w:szCs w:val="18"/>
          <w:color w:val="auto"/>
        </w:rPr>
        <w:t>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0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March 31, 2019 and 2018 and the roll forward of the Company’s derivative financial instruments. The Company’s derivative financial instruments are comprised of warrants which are classified as liabilities.</w:t>
      </w:r>
    </w:p>
    <w:p>
      <w:pPr>
        <w:spacing w:after="0" w:line="18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following table summarizes the Company’s financial instruments within the fair value hierarchy as of March 31, 2019 and December 31, 2018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March 31, 2019</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Level 1</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9"/>
        </w:trPr>
        <w:tc>
          <w:tcPr>
            <w:tcW w:w="424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5,743</w:t>
            </w:r>
          </w:p>
        </w:tc>
        <w:tc>
          <w:tcPr>
            <w:tcW w:w="24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tcPr>
          <w:p>
            <w:pPr>
              <w:spacing w:after="0"/>
              <w:rPr>
                <w:sz w:val="20"/>
                <w:szCs w:val="20"/>
                <w:color w:val="auto"/>
              </w:rPr>
            </w:pPr>
            <w:r>
              <w:rPr>
                <w:rFonts w:ascii="Arial" w:cs="Arial" w:eastAsia="Arial" w:hAnsi="Arial"/>
                <w:sz w:val="18"/>
                <w:szCs w:val="18"/>
                <w:color w:val="auto"/>
              </w:rPr>
              <w:t>Liabilities: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financial instruments</w:t>
            </w:r>
          </w:p>
        </w:tc>
        <w:tc>
          <w:tcPr>
            <w:tcW w:w="1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13,769</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Income (Loss) per Share</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basic and diluted income (loss) per share for the periods noted below is as follows (amounts in thousands except shares and per share data):</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70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gridSpan w:val="2"/>
          </w:tcPr>
          <w:p>
            <w:pPr>
              <w:ind w:left="58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25,832,190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20,334,929</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620" w:type="dxa"/>
            <w:vAlign w:val="bottom"/>
            <w:gridSpan w:val="2"/>
          </w:tcPr>
          <w:p>
            <w:pPr>
              <w:ind w:left="580"/>
              <w:spacing w:after="0"/>
              <w:rPr>
                <w:sz w:val="20"/>
                <w:szCs w:val="20"/>
                <w:color w:val="auto"/>
              </w:rPr>
            </w:pPr>
            <w:r>
              <w:rPr>
                <w:rFonts w:ascii="Arial" w:cs="Arial" w:eastAsia="Arial" w:hAnsi="Arial"/>
                <w:sz w:val="18"/>
                <w:szCs w:val="18"/>
                <w:color w:val="auto"/>
              </w:rPr>
              <w:t>Basic net income (loss) per share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0" w:type="dxa"/>
            <w:vAlign w:val="bottom"/>
            <w:vMerge w:val="restart"/>
          </w:tcPr>
          <w:p>
            <w:pPr>
              <w:spacing w:after="0"/>
              <w:rPr>
                <w:sz w:val="18"/>
                <w:szCs w:val="18"/>
                <w:color w:val="auto"/>
              </w:rPr>
            </w:pPr>
          </w:p>
        </w:tc>
        <w:tc>
          <w:tcPr>
            <w:tcW w:w="70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 w:type="dxa"/>
            <w:vAlign w:val="bottom"/>
            <w:vMerge w:val="continue"/>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income (loss), basic</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9"/>
                <w:szCs w:val="19"/>
                <w:color w:val="auto"/>
              </w:rPr>
            </w:pPr>
          </w:p>
        </w:tc>
        <w:tc>
          <w:tcPr>
            <w:tcW w:w="6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 change in fair value of derivative financial instruments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gridSpan w:val="2"/>
          </w:tcPr>
          <w:p>
            <w:pPr>
              <w:ind w:left="580"/>
              <w:spacing w:after="0"/>
              <w:rPr>
                <w:sz w:val="20"/>
                <w:szCs w:val="20"/>
                <w:color w:val="auto"/>
              </w:rPr>
            </w:pPr>
            <w:r>
              <w:rPr>
                <w:rFonts w:ascii="Arial" w:cs="Arial" w:eastAsia="Arial" w:hAnsi="Arial"/>
                <w:sz w:val="18"/>
                <w:szCs w:val="18"/>
                <w:color w:val="auto"/>
              </w:rPr>
              <w:t>Net loss, diluted</w:t>
            </w: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25,832,190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20,334,929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Incremental dilutive shares from options and warrants (treasury stock method)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953,518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125,727</w:t>
            </w:r>
          </w:p>
        </w:tc>
        <w:tc>
          <w:tcPr>
            <w:tcW w:w="100" w:type="dxa"/>
            <w:vAlign w:val="bottom"/>
            <w:tcBorders>
              <w:bottom w:val="single" w:sz="8" w:color="CFF0FC"/>
            </w:tcBorders>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26,785,708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20,460,656</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20" w:type="dxa"/>
            <w:vAlign w:val="bottom"/>
            <w:gridSpan w:val="2"/>
          </w:tcPr>
          <w:p>
            <w:pPr>
              <w:ind w:left="580"/>
              <w:spacing w:after="0"/>
              <w:rPr>
                <w:sz w:val="20"/>
                <w:szCs w:val="20"/>
                <w:color w:val="auto"/>
              </w:rPr>
            </w:pPr>
            <w:r>
              <w:rPr>
                <w:rFonts w:ascii="Arial" w:cs="Arial" w:eastAsia="Arial" w:hAnsi="Arial"/>
                <w:sz w:val="18"/>
                <w:szCs w:val="18"/>
                <w:color w:val="auto"/>
              </w:rPr>
              <w:t>Diluted net loss per share</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31"/>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7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7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2" w:name="page13"/>
    <w:bookmarkEnd w:id="12"/>
    <w:p>
      <w:pPr>
        <w:jc w:val="both"/>
        <w:ind w:right="20"/>
        <w:spacing w:after="0" w:line="259" w:lineRule="auto"/>
        <w:rPr>
          <w:sz w:val="20"/>
          <w:szCs w:val="20"/>
          <w:color w:val="auto"/>
        </w:rPr>
      </w:pPr>
      <w:r>
        <w:rPr>
          <w:rFonts w:ascii="Arial" w:cs="Arial" w:eastAsia="Arial" w:hAnsi="Arial"/>
          <w:sz w:val="18"/>
          <w:szCs w:val="18"/>
          <w:color w:val="auto"/>
        </w:rPr>
        <w:t>The following outstanding securities have been excluded from the computation of diluted weighted shares outstanding for the periods noted below, as they would have been anti-dilutive due to the Company’s losses for the three months ended March 31, 2018 and because the exercise price of certain of these outstanding securities was greater than the average closing price of the Company’s common stock.</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3200" w:type="dxa"/>
            <w:vAlign w:val="bottom"/>
            <w:gridSpan w:val="4"/>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0"/>
        </w:trPr>
        <w:tc>
          <w:tcPr>
            <w:tcW w:w="7060" w:type="dxa"/>
            <w:vAlign w:val="bottom"/>
            <w:vMerge w:val="restart"/>
          </w:tcPr>
          <w:p>
            <w:pPr>
              <w:spacing w:after="0"/>
              <w:rPr>
                <w:sz w:val="20"/>
                <w:szCs w:val="20"/>
                <w:color w:val="auto"/>
              </w:rPr>
            </w:pPr>
            <w:r>
              <w:rPr>
                <w:rFonts w:ascii="Arial" w:cs="Arial" w:eastAsia="Arial" w:hAnsi="Arial"/>
                <w:sz w:val="18"/>
                <w:szCs w:val="18"/>
                <w:color w:val="auto"/>
              </w:rPr>
              <w:t>Stock options outstanding</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2019</w:t>
            </w: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20"/>
        </w:trPr>
        <w:tc>
          <w:tcPr>
            <w:tcW w:w="7060" w:type="dxa"/>
            <w:vAlign w:val="bottom"/>
            <w:vMerge w:val="continue"/>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1,799,795</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3,043,605</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4,843,400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4,029,013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which adds disclosure requirements to Topic 820 for the range and weighted average of significant unobservable inputs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Level 3 fair value measurements. This ASU is effective for interim and annual reporting periods beginning after December 15, 2019. The Company is evaluating the effect that ASU 2018-13 will have on its condensed consolidated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AND WARRANTS</w:t>
      </w:r>
    </w:p>
    <w:p>
      <w:pPr>
        <w:spacing w:after="0" w:line="117"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spacing w:after="0" w:line="2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a result, following the Company’s reincorporation in the state of Delaware,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No dividends have been declared since inception of the Company through March 31,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On April 18, 2016, the Company closed its short form prospectus offering in Canada and a concurrent U.S. private placement (the “April 2016 Offering”) of units (the “Units”) with gross proceeds to the Company of $7.2 million through the issuance of Units at a price of CAD$5.00 per Unit. Each Unit consists of one share of common stock of the Company (a “Common Share’) and one-half of one Common Share purchase warrant (each whole warrant, a “Warrant”). Each Warrant entitled the holder thereof to acquire one additional Common Share at an exercise price of CAD$7.50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87,210 Units at an exercise price of CAD$5.00 per Unit for a period of 24 months from the closing of the April 2016 Offering. The Company incurred other cash issuance costs of $1.1 million related to this offering. As of March 31, 2019, the Company had 944,379 warrants outstanding.</w:t>
      </w:r>
    </w:p>
    <w:p>
      <w:pPr>
        <w:spacing w:after="0" w:line="183"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The proceeds from the April 2016 Offering were allocated on a relative fair value basis between the common stock and the warrants issued. The warrants issued in connection with the April 2016 Offering were classified within equity in the Company’s condensed consolidated balance sheets. These warrants were recorded in additional paid-in capital in the Company’s condensed consolidated balance sheets at their fair value. As discussed in Note 2, due to the change in the Company’s functional currency, as of April 1, 2018, these warrants have been reclassified to liabilities as derivative financial instruments on the Company’s condensed consolidated balance sheet as they are now priced in a currency other than the Company’s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weighted average assumptions used in estimating the fair value of the warrants granted in the April 2016 Offering using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as of the grant date and as of December 31, 2018 and March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March 31, 2019</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1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CAD$8.95</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CAD$12.80</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CAD$5.45</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Exercise price</w:t>
            </w:r>
          </w:p>
        </w:tc>
        <w:tc>
          <w:tcPr>
            <w:tcW w:w="2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CAD$7.50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CAD$7.50</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CAD$7.50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0.05 years</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0.30 years</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 years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3460" w:type="dxa"/>
            <w:vAlign w:val="bottom"/>
            <w:gridSpan w:val="3"/>
          </w:tcPr>
          <w:p>
            <w:pPr>
              <w:jc w:val="right"/>
              <w:ind w:right="140"/>
              <w:spacing w:after="0"/>
              <w:rPr>
                <w:sz w:val="20"/>
                <w:szCs w:val="20"/>
                <w:color w:val="auto"/>
              </w:rPr>
            </w:pPr>
            <w:r>
              <w:rPr>
                <w:rFonts w:ascii="Arial" w:cs="Arial" w:eastAsia="Arial" w:hAnsi="Arial"/>
                <w:sz w:val="18"/>
                <w:szCs w:val="18"/>
                <w:color w:val="auto"/>
              </w:rPr>
              <w:t>58.52%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83.56%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83.83%</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Dividend rate</w:t>
            </w:r>
          </w:p>
        </w:tc>
        <w:tc>
          <w:tcPr>
            <w:tcW w:w="3460" w:type="dxa"/>
            <w:vAlign w:val="bottom"/>
            <w:gridSpan w:val="3"/>
          </w:tcPr>
          <w:p>
            <w:pPr>
              <w:jc w:val="right"/>
              <w:ind w:right="140"/>
              <w:spacing w:after="0"/>
              <w:rPr>
                <w:sz w:val="20"/>
                <w:szCs w:val="20"/>
                <w:color w:val="auto"/>
              </w:rPr>
            </w:pPr>
            <w:r>
              <w:rPr>
                <w:rFonts w:ascii="Arial" w:cs="Arial" w:eastAsia="Arial" w:hAnsi="Arial"/>
                <w:sz w:val="18"/>
                <w:szCs w:val="18"/>
                <w:color w:val="auto"/>
              </w:rPr>
              <w:t>0.00%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0"/>
        </w:trPr>
        <w:tc>
          <w:tcPr>
            <w:tcW w:w="1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40" w:type="dxa"/>
            <w:vAlign w:val="bottom"/>
          </w:tcPr>
          <w:p>
            <w:pPr>
              <w:jc w:val="right"/>
              <w:ind w:right="451"/>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79" w:right="219" w:bottom="1440" w:gutter="0" w:footer="0" w:header="0"/>
        </w:sectPr>
      </w:pPr>
    </w:p>
    <w:bookmarkStart w:id="13" w:name="page14"/>
    <w:bookmarkEnd w:id="13"/>
    <w:p>
      <w:pPr>
        <w:jc w:val="both"/>
        <w:ind w:right="20"/>
        <w:spacing w:after="0" w:line="285" w:lineRule="auto"/>
        <w:rPr>
          <w:sz w:val="20"/>
          <w:szCs w:val="20"/>
          <w:color w:val="auto"/>
        </w:rPr>
      </w:pPr>
      <w:r>
        <w:rPr>
          <w:rFonts w:ascii="Arial" w:cs="Arial" w:eastAsia="Arial" w:hAnsi="Arial"/>
          <w:sz w:val="16"/>
          <w:szCs w:val="16"/>
          <w:color w:val="auto"/>
        </w:rPr>
        <w:t>In December 2017, the Company completed a three-tranche non-brokered private placement (the “December 2017 Financing”) for an aggregate of 646,016 units for gross proceeds of approximately $6.3 million. Each unit consisted of one share of common stock and one share purchase warrant, and was sold at a price of $9.80 per unit. Each warrant entitles the holder to acquire one additional share of common stock and is exercisable over a period of 36 months following the respective closing of the December 2017 Financing at an exercise price of $12.25 per warrant share. The first tranche, which closed on December 22, 2017, was for 270,915 units for which the Company received gross proceeds of approximately $2.6 million. The second tranche, which closed on December 28, 2017, was for 171,020 units for which the Company received approximately $1.7 million, while the third tranche, which closed on December 29, 2017, was for 204,081 units for which the Company received $2.0 million. The Company paid $0.1 million in share issuance costs related to the December 2017 Financing. As a result of the change in the Company’s functional currency, these warrants have been reclassified from liabilities as derivative financial instruments to additional paid-in capital in the Company’s condensed consolidated balance sheets.</w:t>
      </w:r>
    </w:p>
    <w:p>
      <w:pPr>
        <w:spacing w:after="0" w:line="10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condensed consolidated statement of operations and comprehensive income (loss). The fair value of these warrants at issuance was approximately $7.4 million.</w:t>
      </w:r>
    </w:p>
    <w:p>
      <w:pPr>
        <w:spacing w:after="0" w:line="100"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March 31, 2019, 70,900 warrants had been exercised, all during 2018, for gross proceeds of CAD$0.9 million.</w:t>
      </w:r>
    </w:p>
    <w:p>
      <w:pPr>
        <w:spacing w:after="0" w:line="1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as well as at March 31, 2019.</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2019</w:t>
            </w: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April 24, 2018</w:t>
            </w: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13, 2018</w:t>
            </w:r>
          </w:p>
        </w:tc>
        <w:tc>
          <w:tcPr>
            <w:tcW w:w="8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9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$8.95</w:t>
            </w:r>
          </w:p>
        </w:tc>
        <w:tc>
          <w:tcPr>
            <w:tcW w:w="3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Exercise price</w:t>
            </w:r>
          </w:p>
        </w:tc>
        <w:tc>
          <w:tcPr>
            <w:tcW w:w="29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CAD $12.25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c>
          <w:tcPr>
            <w:tcW w:w="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9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2.0 years</w:t>
            </w: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 years</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 years</w:t>
            </w:r>
          </w:p>
        </w:tc>
        <w:tc>
          <w:tcPr>
            <w:tcW w:w="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volatility</w:t>
            </w:r>
          </w:p>
        </w:tc>
        <w:tc>
          <w:tcPr>
            <w:tcW w:w="4600" w:type="dxa"/>
            <w:vAlign w:val="bottom"/>
            <w:gridSpan w:val="3"/>
          </w:tcPr>
          <w:p>
            <w:pPr>
              <w:jc w:val="right"/>
              <w:ind w:right="160"/>
              <w:spacing w:after="0"/>
              <w:rPr>
                <w:sz w:val="20"/>
                <w:szCs w:val="20"/>
                <w:color w:val="auto"/>
              </w:rPr>
            </w:pPr>
            <w:r>
              <w:rPr>
                <w:rFonts w:ascii="Arial" w:cs="Arial" w:eastAsia="Arial" w:hAnsi="Arial"/>
                <w:sz w:val="18"/>
                <w:szCs w:val="18"/>
                <w:color w:val="auto"/>
              </w:rPr>
              <w:t>69.14%</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r>
      <w:tr>
        <w:trPr>
          <w:trHeight w:val="227"/>
        </w:trPr>
        <w:tc>
          <w:tcPr>
            <w:tcW w:w="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Dividend rate</w:t>
            </w:r>
          </w:p>
        </w:tc>
        <w:tc>
          <w:tcPr>
            <w:tcW w:w="460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r>
      <w:tr>
        <w:trPr>
          <w:trHeight w:val="426"/>
        </w:trPr>
        <w:tc>
          <w:tcPr>
            <w:tcW w:w="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980" w:type="dxa"/>
            <w:vAlign w:val="bottom"/>
          </w:tcPr>
          <w:p>
            <w:pPr>
              <w:jc w:val="right"/>
              <w:ind w:right="711"/>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4" w:name="page15"/>
    <w:bookmarkEnd w:id="14"/>
    <w:p>
      <w:pPr>
        <w:jc w:val="both"/>
        <w:ind w:right="20"/>
        <w:spacing w:after="0" w:line="251" w:lineRule="auto"/>
        <w:rPr>
          <w:sz w:val="20"/>
          <w:szCs w:val="20"/>
          <w:color w:val="auto"/>
        </w:rPr>
      </w:pPr>
      <w:r>
        <w:rPr>
          <w:rFonts w:ascii="Arial" w:cs="Arial" w:eastAsia="Arial" w:hAnsi="Arial"/>
          <w:sz w:val="18"/>
          <w:szCs w:val="18"/>
          <w:color w:val="auto"/>
        </w:rPr>
        <w:t>On November 19, 2018, the Company issued 2,121,212 shares of its common stock in an underwritten public offering at a price of $8.25 per share. Gross proceeds from the offering were $17.5 million. On November 30, 2018, the Company closed on the sale of an additional 318,182 shares of its common stock pursuant to the exercise of the over-allotment option (collectively the “November 2018 Offering”) granted to the underwriters in connection with the offering at a price of $8.25 per share. Gross proceeds from the exercise of the over-allotment option was $2.6 million. BTIG LLC and Oppenheimer &amp; Co acted as joint book-running managers for the November 2018 Offering. The Company paid approximately $1.2 million in underwriting discounts and commissions and incurred offering expenses of approximately $0.7 million, of which $0.1 million was paid during the three months ended March 31, 2019, resulting in net proceeds of $18.3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activities of warrants that the Company accounted for as liabilities and recorded as derivative financial instruments on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balance sheets for the three months ended March 31, 2019 and 2018 (amounts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54"/>
        </w:trPr>
        <w:tc>
          <w:tcPr>
            <w:tcW w:w="54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warrants at beginning of period</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r>
      <w:tr>
        <w:trPr>
          <w:trHeight w:val="227"/>
        </w:trPr>
        <w:tc>
          <w:tcPr>
            <w:tcW w:w="5420" w:type="dxa"/>
            <w:vAlign w:val="bottom"/>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(2,509)</w:t>
            </w:r>
          </w:p>
        </w:tc>
      </w:tr>
      <w:tr>
        <w:trPr>
          <w:trHeight w:val="22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42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(8,289)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(1,954)</w:t>
            </w:r>
          </w:p>
        </w:tc>
      </w:tr>
      <w:tr>
        <w:trPr>
          <w:trHeight w:val="220"/>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warrants at end of period</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income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all warrants classified as derivative financial instruments outstanding as of March 31, 2019 and December 31, 2018 were estimated using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March 31, 2019</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53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CAD$ 8.95</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CAD$ 12.80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Exercise price</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CAD$ 10.91</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CAD$ 10.89</w:t>
            </w:r>
          </w:p>
        </w:tc>
        <w:tc>
          <w:tcPr>
            <w:tcW w:w="0" w:type="dxa"/>
            <w:vAlign w:val="bottom"/>
          </w:tcPr>
          <w:p>
            <w:pPr>
              <w:spacing w:after="0"/>
              <w:rPr>
                <w:sz w:val="1"/>
                <w:szCs w:val="1"/>
                <w:color w:val="auto"/>
              </w:rPr>
            </w:pPr>
          </w:p>
        </w:tc>
      </w:tr>
      <w:tr>
        <w:trPr>
          <w:trHeight w:val="22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1.47 years</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 years</w:t>
            </w:r>
          </w:p>
        </w:tc>
        <w:tc>
          <w:tcPr>
            <w:tcW w:w="0" w:type="dxa"/>
            <w:vAlign w:val="bottom"/>
          </w:tcPr>
          <w:p>
            <w:pPr>
              <w:spacing w:after="0"/>
              <w:rPr>
                <w:sz w:val="1"/>
                <w:szCs w:val="1"/>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66.13%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2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7"/>
        </w:trPr>
        <w:tc>
          <w:tcPr>
            <w:tcW w:w="5340" w:type="dxa"/>
            <w:vAlign w:val="bottom"/>
          </w:tcPr>
          <w:p>
            <w:pPr>
              <w:spacing w:after="0"/>
              <w:rPr>
                <w:sz w:val="20"/>
                <w:szCs w:val="20"/>
                <w:color w:val="auto"/>
              </w:rPr>
            </w:pPr>
            <w:r>
              <w:rPr>
                <w:rFonts w:ascii="Arial" w:cs="Arial" w:eastAsia="Arial" w:hAnsi="Arial"/>
                <w:sz w:val="18"/>
                <w:szCs w:val="18"/>
                <w:color w:val="auto"/>
              </w:rPr>
              <w:t>Dividend rate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during the three months ended March 31, 2019:</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Number of Warrants (by currency</w:t>
            </w:r>
          </w:p>
        </w:tc>
        <w:tc>
          <w:tcPr>
            <w:tcW w:w="200" w:type="dxa"/>
            <w:vAlign w:val="bottom"/>
          </w:tcPr>
          <w:p>
            <w:pPr>
              <w:spacing w:after="0"/>
              <w:rPr>
                <w:sz w:val="14"/>
                <w:szCs w:val="14"/>
                <w:color w:val="auto"/>
              </w:rPr>
            </w:pPr>
          </w:p>
        </w:tc>
        <w:tc>
          <w:tcPr>
            <w:tcW w:w="2200" w:type="dxa"/>
            <w:vAlign w:val="bottom"/>
            <w:gridSpan w:val="5"/>
          </w:tcPr>
          <w:p>
            <w:pPr>
              <w:ind w:left="400"/>
              <w:spacing w:after="0"/>
              <w:rPr>
                <w:sz w:val="20"/>
                <w:szCs w:val="20"/>
                <w:color w:val="auto"/>
              </w:rPr>
            </w:pPr>
            <w:r>
              <w:rPr>
                <w:rFonts w:ascii="Arial" w:cs="Arial" w:eastAsia="Arial" w:hAnsi="Arial"/>
                <w:sz w:val="14"/>
                <w:szCs w:val="14"/>
                <w:b w:val="1"/>
                <w:bCs w:val="1"/>
                <w:color w:val="auto"/>
              </w:rPr>
              <w:t>Weighted Average</w:t>
            </w:r>
          </w:p>
        </w:tc>
      </w:tr>
      <w:tr>
        <w:trPr>
          <w:trHeight w:val="170"/>
        </w:trPr>
        <w:tc>
          <w:tcPr>
            <w:tcW w:w="5360" w:type="dxa"/>
            <w:vAlign w:val="bottom"/>
          </w:tcPr>
          <w:p>
            <w:pPr>
              <w:spacing w:after="0"/>
              <w:rPr>
                <w:sz w:val="14"/>
                <w:szCs w:val="14"/>
                <w:color w:val="auto"/>
              </w:rPr>
            </w:pPr>
          </w:p>
        </w:tc>
        <w:tc>
          <w:tcPr>
            <w:tcW w:w="2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denomination of exercise price)</w:t>
            </w:r>
          </w:p>
        </w:tc>
        <w:tc>
          <w:tcPr>
            <w:tcW w:w="2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536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CAD$</w:t>
            </w:r>
          </w:p>
        </w:tc>
        <w:tc>
          <w:tcPr>
            <w:tcW w:w="104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60"/>
              <w:spacing w:after="0" w:line="153" w:lineRule="exact"/>
              <w:rPr>
                <w:sz w:val="20"/>
                <w:szCs w:val="20"/>
                <w:color w:val="auto"/>
              </w:rPr>
            </w:pPr>
            <w:r>
              <w:rPr>
                <w:rFonts w:ascii="Arial" w:cs="Arial" w:eastAsia="Arial" w:hAnsi="Arial"/>
                <w:sz w:val="14"/>
                <w:szCs w:val="14"/>
                <w:b w:val="1"/>
                <w:bCs w:val="1"/>
                <w:color w:val="auto"/>
              </w:rPr>
              <w:t>CAD$</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w w:val="96"/>
              </w:rPr>
              <w:t>USD$</w:t>
            </w:r>
          </w:p>
        </w:tc>
        <w:tc>
          <w:tcPr>
            <w:tcW w:w="80" w:type="dxa"/>
            <w:vAlign w:val="bottom"/>
          </w:tcPr>
          <w:p>
            <w:pPr>
              <w:spacing w:after="0"/>
              <w:rPr>
                <w:sz w:val="13"/>
                <w:szCs w:val="13"/>
                <w:color w:val="auto"/>
              </w:rPr>
            </w:pPr>
          </w:p>
        </w:tc>
      </w:tr>
      <w:tr>
        <w:trPr>
          <w:trHeight w:val="220"/>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3,352,984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(16,320)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0"/>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3,336,664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warrants outstanding and exercisable as of March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653"/>
              <w:spacing w:after="0"/>
              <w:rPr>
                <w:sz w:val="20"/>
                <w:szCs w:val="20"/>
                <w:color w:val="auto"/>
              </w:rPr>
            </w:pPr>
            <w:r>
              <w:rPr>
                <w:rFonts w:ascii="Arial" w:cs="Arial" w:eastAsia="Arial" w:hAnsi="Arial"/>
                <w:sz w:val="14"/>
                <w:szCs w:val="14"/>
                <w:b w:val="1"/>
                <w:bCs w:val="1"/>
                <w:color w:val="auto"/>
              </w:rPr>
              <w:t>Number of Warrants Outstanding</w:t>
            </w:r>
          </w:p>
        </w:tc>
        <w:tc>
          <w:tcPr>
            <w:tcW w:w="300" w:type="dxa"/>
            <w:vAlign w:val="bottom"/>
          </w:tcPr>
          <w:p>
            <w:pPr>
              <w:spacing w:after="0"/>
              <w:rPr>
                <w:sz w:val="14"/>
                <w:szCs w:val="1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300" w:type="dxa"/>
            <w:vAlign w:val="bottom"/>
            <w:tcBorders>
              <w:top w:val="single" w:sz="8" w:color="CFF0FC"/>
            </w:tcBorders>
            <w:shd w:val="clear" w:color="auto" w:fill="CFF0FC"/>
          </w:tcPr>
          <w:p>
            <w:pPr>
              <w:spacing w:after="0"/>
              <w:rPr>
                <w:sz w:val="19"/>
                <w:szCs w:val="19"/>
                <w:color w:val="auto"/>
              </w:rPr>
            </w:pPr>
          </w:p>
        </w:tc>
        <w:tc>
          <w:tcPr>
            <w:tcW w:w="3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USD$10.75</w:t>
            </w:r>
          </w:p>
        </w:tc>
        <w:tc>
          <w:tcPr>
            <w:tcW w:w="200" w:type="dxa"/>
            <w:vAlign w:val="bottom"/>
            <w:tcBorders>
              <w:top w:val="single" w:sz="8" w:color="CFF0FC"/>
            </w:tcBorders>
            <w:shd w:val="clear" w:color="auto" w:fill="CFF0FC"/>
          </w:tcPr>
          <w:p>
            <w:pPr>
              <w:spacing w:after="0"/>
              <w:rPr>
                <w:sz w:val="19"/>
                <w:szCs w:val="19"/>
                <w:color w:val="auto"/>
              </w:rPr>
            </w:pPr>
          </w:p>
        </w:tc>
        <w:tc>
          <w:tcPr>
            <w:tcW w:w="3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June 26,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jc w:val="right"/>
              <w:spacing w:after="0"/>
              <w:rPr>
                <w:sz w:val="20"/>
                <w:szCs w:val="20"/>
                <w:color w:val="auto"/>
              </w:rPr>
            </w:pPr>
            <w:r>
              <w:rPr>
                <w:rFonts w:ascii="Arial" w:cs="Arial" w:eastAsia="Arial" w:hAnsi="Arial"/>
                <w:sz w:val="18"/>
                <w:szCs w:val="18"/>
                <w:color w:val="auto"/>
              </w:rPr>
              <w:t>1,509</w:t>
            </w:r>
          </w:p>
        </w:tc>
        <w:tc>
          <w:tcPr>
            <w:tcW w:w="300" w:type="dxa"/>
            <w:vAlign w:val="bottom"/>
          </w:tcPr>
          <w:p>
            <w:pPr>
              <w:spacing w:after="0"/>
              <w:rPr>
                <w:sz w:val="19"/>
                <w:szCs w:val="19"/>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USD$10.75</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July 17,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944,379</w:t>
            </w:r>
          </w:p>
        </w:tc>
        <w:tc>
          <w:tcPr>
            <w:tcW w:w="300" w:type="dxa"/>
            <w:vAlign w:val="bottom"/>
            <w:shd w:val="clear" w:color="auto" w:fill="CFF0FC"/>
          </w:tcPr>
          <w:p>
            <w:pPr>
              <w:spacing w:after="0"/>
              <w:rPr>
                <w:sz w:val="19"/>
                <w:szCs w:val="19"/>
                <w:color w:val="auto"/>
              </w:rPr>
            </w:pPr>
          </w:p>
        </w:tc>
        <w:tc>
          <w:tcPr>
            <w:tcW w:w="388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3"/>
              </w:rPr>
              <w:t>CAD$7.50</w:t>
            </w:r>
          </w:p>
        </w:tc>
        <w:tc>
          <w:tcPr>
            <w:tcW w:w="3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April 18,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jc w:val="right"/>
              <w:spacing w:after="0"/>
              <w:rPr>
                <w:sz w:val="20"/>
                <w:szCs w:val="20"/>
                <w:color w:val="auto"/>
              </w:rPr>
            </w:pPr>
            <w:r>
              <w:rPr>
                <w:rFonts w:ascii="Arial" w:cs="Arial" w:eastAsia="Arial" w:hAnsi="Arial"/>
                <w:sz w:val="18"/>
                <w:szCs w:val="18"/>
                <w:color w:val="auto"/>
              </w:rPr>
              <w:t>270,915</w:t>
            </w:r>
          </w:p>
        </w:tc>
        <w:tc>
          <w:tcPr>
            <w:tcW w:w="300" w:type="dxa"/>
            <w:vAlign w:val="bottom"/>
          </w:tcPr>
          <w:p>
            <w:pPr>
              <w:spacing w:after="0"/>
              <w:rPr>
                <w:sz w:val="19"/>
                <w:szCs w:val="19"/>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80" w:type="dxa"/>
            <w:vAlign w:val="bottom"/>
          </w:tcPr>
          <w:p>
            <w:pPr>
              <w:jc w:val="center"/>
              <w:spacing w:after="0"/>
              <w:rPr>
                <w:sz w:val="20"/>
                <w:szCs w:val="20"/>
                <w:color w:val="auto"/>
              </w:rPr>
            </w:pPr>
            <w:r>
              <w:rPr>
                <w:rFonts w:ascii="Arial" w:cs="Arial" w:eastAsia="Arial" w:hAnsi="Arial"/>
                <w:sz w:val="18"/>
                <w:szCs w:val="18"/>
                <w:color w:val="auto"/>
                <w:w w:val="88"/>
              </w:rPr>
              <w:t>December 22,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171,020</w:t>
            </w:r>
          </w:p>
        </w:tc>
        <w:tc>
          <w:tcPr>
            <w:tcW w:w="300" w:type="dxa"/>
            <w:vAlign w:val="bottom"/>
            <w:shd w:val="clear" w:color="auto" w:fill="CFF0FC"/>
          </w:tcPr>
          <w:p>
            <w:pPr>
              <w:spacing w:after="0"/>
              <w:rPr>
                <w:sz w:val="19"/>
                <w:szCs w:val="19"/>
                <w:color w:val="auto"/>
              </w:rPr>
            </w:pPr>
          </w:p>
        </w:tc>
        <w:tc>
          <w:tcPr>
            <w:tcW w:w="38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USD$12.25</w:t>
            </w:r>
          </w:p>
        </w:tc>
        <w:tc>
          <w:tcPr>
            <w:tcW w:w="3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28,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Pr>
          <w:p>
            <w:pPr>
              <w:jc w:val="right"/>
              <w:spacing w:after="0"/>
              <w:rPr>
                <w:sz w:val="20"/>
                <w:szCs w:val="20"/>
                <w:color w:val="auto"/>
              </w:rPr>
            </w:pPr>
            <w:r>
              <w:rPr>
                <w:rFonts w:ascii="Arial" w:cs="Arial" w:eastAsia="Arial" w:hAnsi="Arial"/>
                <w:sz w:val="18"/>
                <w:szCs w:val="18"/>
                <w:color w:val="auto"/>
              </w:rPr>
              <w:t>204,081</w:t>
            </w:r>
          </w:p>
        </w:tc>
        <w:tc>
          <w:tcPr>
            <w:tcW w:w="300" w:type="dxa"/>
            <w:vAlign w:val="bottom"/>
          </w:tcPr>
          <w:p>
            <w:pPr>
              <w:spacing w:after="0"/>
              <w:rPr>
                <w:sz w:val="19"/>
                <w:szCs w:val="19"/>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80" w:type="dxa"/>
            <w:vAlign w:val="bottom"/>
          </w:tcPr>
          <w:p>
            <w:pPr>
              <w:jc w:val="center"/>
              <w:spacing w:after="0"/>
              <w:rPr>
                <w:sz w:val="20"/>
                <w:szCs w:val="20"/>
                <w:color w:val="auto"/>
              </w:rPr>
            </w:pPr>
            <w:r>
              <w:rPr>
                <w:rFonts w:ascii="Arial" w:cs="Arial" w:eastAsia="Arial" w:hAnsi="Arial"/>
                <w:sz w:val="18"/>
                <w:szCs w:val="18"/>
                <w:color w:val="auto"/>
                <w:w w:val="88"/>
              </w:rPr>
              <w:t>December 29,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2,392,285</w:t>
            </w:r>
          </w:p>
        </w:tc>
        <w:tc>
          <w:tcPr>
            <w:tcW w:w="300" w:type="dxa"/>
            <w:vAlign w:val="bottom"/>
            <w:shd w:val="clear" w:color="auto" w:fill="CFF0FC"/>
          </w:tcPr>
          <w:p>
            <w:pPr>
              <w:spacing w:after="0"/>
              <w:rPr>
                <w:sz w:val="19"/>
                <w:szCs w:val="19"/>
                <w:color w:val="auto"/>
              </w:rPr>
            </w:pPr>
          </w:p>
        </w:tc>
        <w:tc>
          <w:tcPr>
            <w:tcW w:w="388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CAD$12.25</w:t>
            </w:r>
          </w:p>
        </w:tc>
        <w:tc>
          <w:tcPr>
            <w:tcW w:w="3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April 10,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3,987,984</w:t>
            </w: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980" w:type="dxa"/>
            <w:vAlign w:val="bottom"/>
            <w:gridSpan w:val="2"/>
            <w:vMerge w:val="restart"/>
          </w:tcPr>
          <w:p>
            <w:pPr>
              <w:jc w:val="center"/>
              <w:ind w:left="231"/>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3560" w:type="dxa"/>
            <w:vAlign w:val="bottom"/>
          </w:tcPr>
          <w:p>
            <w:pPr>
              <w:spacing w:after="0"/>
              <w:rPr>
                <w:sz w:val="24"/>
                <w:szCs w:val="24"/>
                <w:color w:val="auto"/>
              </w:rPr>
            </w:pPr>
          </w:p>
        </w:tc>
        <w:tc>
          <w:tcPr>
            <w:tcW w:w="39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2" w:right="219" w:bottom="1440" w:gutter="0" w:footer="0" w:header="0"/>
        </w:sectPr>
      </w:pPr>
    </w:p>
    <w:bookmarkStart w:id="15" w:name="page16"/>
    <w:bookmarkEnd w:id="15"/>
    <w:p>
      <w:pPr>
        <w:ind w:left="320" w:hanging="313"/>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4"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2019, there were an aggregate of 4,189,661 shares of common stock remaining available for grant under the Company’s 2018 Plan.</w:t>
      </w:r>
    </w:p>
    <w:p>
      <w:pPr>
        <w:spacing w:after="0" w:line="15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For the three months ended March 31, 2019, the Company issued 640,158 stock options to employees and directors. The Company issued no stock options to consultants or non-employees during the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during the three months ended March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Intrinsic Value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Outstanding as of December 31, 2018</w:t>
            </w:r>
          </w:p>
        </w:tc>
        <w:tc>
          <w:tcPr>
            <w:tcW w:w="17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Stock Options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Exercise Price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80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3,308,049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640,158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Forfeited/Cancelled</w:t>
            </w:r>
          </w:p>
        </w:tc>
        <w:tc>
          <w:tcPr>
            <w:tcW w:w="2940" w:type="dxa"/>
            <w:vAlign w:val="bottom"/>
            <w:gridSpan w:val="3"/>
          </w:tcPr>
          <w:p>
            <w:pPr>
              <w:jc w:val="right"/>
              <w:ind w:right="80"/>
              <w:spacing w:after="0"/>
              <w:rPr>
                <w:sz w:val="20"/>
                <w:szCs w:val="20"/>
                <w:color w:val="auto"/>
              </w:rPr>
            </w:pPr>
            <w:r>
              <w:rPr>
                <w:rFonts w:ascii="Arial" w:cs="Arial" w:eastAsia="Arial" w:hAnsi="Arial"/>
                <w:sz w:val="18"/>
                <w:szCs w:val="18"/>
                <w:color w:val="auto"/>
              </w:rPr>
              <w:t>(54,108)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2019</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3,894,099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Exercisable as of March 31, 2019</w:t>
            </w:r>
          </w:p>
        </w:tc>
        <w:tc>
          <w:tcPr>
            <w:tcW w:w="2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1,960,235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vMerge w:val="restart"/>
          </w:tcPr>
          <w:p>
            <w:pPr>
              <w:jc w:val="right"/>
              <w:ind w:right="671"/>
              <w:spacing w:after="0"/>
              <w:rPr>
                <w:sz w:val="20"/>
                <w:szCs w:val="20"/>
                <w:color w:val="auto"/>
              </w:rPr>
            </w:pPr>
            <w:r>
              <w:rPr>
                <w:rFonts w:ascii="Arial" w:cs="Arial" w:eastAsia="Arial" w:hAnsi="Arial"/>
                <w:sz w:val="18"/>
                <w:szCs w:val="18"/>
                <w:color w:val="auto"/>
              </w:rPr>
              <w:t>16</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summarizes stock options outstanding and exercisable by employees and directors as of March 31,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0"/>
        </w:trPr>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0"/>
        </w:trPr>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85"/>
        </w:trPr>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Contractual Life</w:t>
            </w:r>
          </w:p>
        </w:tc>
        <w:tc>
          <w:tcPr>
            <w:tcW w:w="22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225"/>
        </w:trPr>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Options Outstanding</w:t>
            </w:r>
          </w:p>
        </w:tc>
        <w:tc>
          <w:tcPr>
            <w:tcW w:w="280" w:type="dxa"/>
            <w:vAlign w:val="bottom"/>
            <w:tcBorders>
              <w:bottom w:val="single" w:sz="8" w:color="CFF0FC"/>
            </w:tcBorders>
          </w:tcPr>
          <w:p>
            <w:pPr>
              <w:spacing w:after="0"/>
              <w:rPr>
                <w:sz w:val="19"/>
                <w:szCs w:val="19"/>
                <w:color w:val="auto"/>
              </w:rPr>
            </w:pPr>
          </w:p>
        </w:tc>
        <w:tc>
          <w:tcPr>
            <w:tcW w:w="2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Expiration Date</w:t>
            </w:r>
          </w:p>
        </w:tc>
        <w:tc>
          <w:tcPr>
            <w:tcW w:w="1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 xml:space="preserve">Post Modification </w:t>
            </w:r>
            <w:r>
              <w:rPr>
                <w:rFonts w:ascii="Arial" w:cs="Arial" w:eastAsia="Arial" w:hAnsi="Arial"/>
                <w:sz w:val="12"/>
                <w:szCs w:val="12"/>
                <w:b w:val="1"/>
                <w:bCs w:val="1"/>
                <w:color w:val="auto"/>
                <w:w w:val="96"/>
              </w:rPr>
              <w:t>(1)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r>
      <w:tr>
        <w:trPr>
          <w:trHeight w:val="234"/>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June 18, 2019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June 18, 2019</w:t>
            </w:r>
          </w:p>
        </w:tc>
        <w:tc>
          <w:tcPr>
            <w:tcW w:w="1300" w:type="dxa"/>
            <w:vAlign w:val="bottom"/>
          </w:tcPr>
          <w:p>
            <w:pPr>
              <w:jc w:val="right"/>
              <w:spacing w:after="0"/>
              <w:rPr>
                <w:sz w:val="20"/>
                <w:szCs w:val="20"/>
                <w:color w:val="auto"/>
              </w:rPr>
            </w:pPr>
            <w:r>
              <w:rPr>
                <w:rFonts w:ascii="Arial" w:cs="Arial" w:eastAsia="Arial" w:hAnsi="Arial"/>
                <w:sz w:val="18"/>
                <w:szCs w:val="18"/>
                <w:color w:val="auto"/>
              </w:rPr>
              <w:t>0.22</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6.62</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8, 2019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8, 2019</w:t>
            </w:r>
          </w:p>
        </w:tc>
        <w:tc>
          <w:tcPr>
            <w:tcW w:w="1300" w:type="dxa"/>
            <w:vAlign w:val="bottom"/>
          </w:tcPr>
          <w:p>
            <w:pPr>
              <w:jc w:val="right"/>
              <w:spacing w:after="0"/>
              <w:rPr>
                <w:sz w:val="20"/>
                <w:szCs w:val="20"/>
                <w:color w:val="auto"/>
              </w:rPr>
            </w:pPr>
            <w:r>
              <w:rPr>
                <w:rFonts w:ascii="Arial" w:cs="Arial" w:eastAsia="Arial" w:hAnsi="Arial"/>
                <w:sz w:val="18"/>
                <w:szCs w:val="18"/>
                <w:color w:val="auto"/>
              </w:rPr>
              <w:t>0.69</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12.72</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March 16,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21, 2020</w:t>
            </w: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31,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595,000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July 13, 2020</w:t>
            </w:r>
          </w:p>
        </w:tc>
        <w:tc>
          <w:tcPr>
            <w:tcW w:w="130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595,00</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August 8, 2020</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617,000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April 17, 2027</w:t>
            </w:r>
          </w:p>
        </w:tc>
        <w:tc>
          <w:tcPr>
            <w:tcW w:w="1300" w:type="dxa"/>
            <w:vAlign w:val="bottom"/>
          </w:tcPr>
          <w:p>
            <w:pPr>
              <w:jc w:val="right"/>
              <w:spacing w:after="0"/>
              <w:rPr>
                <w:sz w:val="20"/>
                <w:szCs w:val="20"/>
                <w:color w:val="auto"/>
              </w:rPr>
            </w:pPr>
            <w:r>
              <w:rPr>
                <w:rFonts w:ascii="Arial" w:cs="Arial" w:eastAsia="Arial" w:hAnsi="Arial"/>
                <w:sz w:val="18"/>
                <w:szCs w:val="18"/>
                <w:color w:val="auto"/>
              </w:rPr>
              <w:t>8.04</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154,25</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May 18, 2027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May 18, 2027</w:t>
            </w:r>
          </w:p>
        </w:tc>
        <w:tc>
          <w:tcPr>
            <w:tcW w:w="1300" w:type="dxa"/>
            <w:vAlign w:val="bottom"/>
          </w:tcPr>
          <w:p>
            <w:pPr>
              <w:jc w:val="right"/>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August 8, 2027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April 9,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9.03</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May 15,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July 9,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73,295</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August 22,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11,500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September 4,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10.19</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September 10,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September 24,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9.71</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October 8,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15,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9.54</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8.75</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October 22,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October 29,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9.71</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November 19,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3, 2028</w:t>
            </w:r>
          </w:p>
        </w:tc>
        <w:tc>
          <w:tcPr>
            <w:tcW w:w="130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8.66</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17, 2028</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January 7, 2029</w:t>
            </w:r>
          </w:p>
        </w:tc>
        <w:tc>
          <w:tcPr>
            <w:tcW w:w="1300" w:type="dxa"/>
            <w:vAlign w:val="bottom"/>
          </w:tcPr>
          <w:p>
            <w:pPr>
              <w:jc w:val="right"/>
              <w:spacing w:after="0"/>
              <w:rPr>
                <w:sz w:val="20"/>
                <w:szCs w:val="20"/>
                <w:color w:val="auto"/>
              </w:rPr>
            </w:pPr>
            <w:r>
              <w:rPr>
                <w:rFonts w:ascii="Arial" w:cs="Arial" w:eastAsia="Arial" w:hAnsi="Arial"/>
                <w:sz w:val="18"/>
                <w:szCs w:val="18"/>
                <w:color w:val="auto"/>
              </w:rPr>
              <w:t>9.77</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January 14, 2029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9,000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January 22, 2029</w:t>
            </w:r>
          </w:p>
        </w:tc>
        <w:tc>
          <w:tcPr>
            <w:tcW w:w="1300" w:type="dxa"/>
            <w:vAlign w:val="bottom"/>
          </w:tcPr>
          <w:p>
            <w:pPr>
              <w:jc w:val="right"/>
              <w:spacing w:after="0"/>
              <w:rPr>
                <w:sz w:val="20"/>
                <w:szCs w:val="20"/>
                <w:color w:val="auto"/>
              </w:rPr>
            </w:pPr>
            <w:r>
              <w:rPr>
                <w:rFonts w:ascii="Arial" w:cs="Arial" w:eastAsia="Arial" w:hAnsi="Arial"/>
                <w:sz w:val="18"/>
                <w:szCs w:val="18"/>
                <w:color w:val="auto"/>
              </w:rPr>
              <w:t>9.81</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7.65</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1"/>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February 4, 2029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Pr>
          <w:p>
            <w:pPr>
              <w:jc w:val="right"/>
              <w:spacing w:after="0"/>
              <w:rPr>
                <w:sz w:val="20"/>
                <w:szCs w:val="20"/>
                <w:color w:val="auto"/>
              </w:rPr>
            </w:pPr>
            <w:r>
              <w:rPr>
                <w:rFonts w:ascii="Arial" w:cs="Arial" w:eastAsia="Arial" w:hAnsi="Arial"/>
                <w:sz w:val="18"/>
                <w:szCs w:val="18"/>
                <w:color w:val="auto"/>
              </w:rPr>
              <w:t>3,100</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March 18, 2029</w:t>
            </w:r>
          </w:p>
        </w:tc>
        <w:tc>
          <w:tcPr>
            <w:tcW w:w="1300" w:type="dxa"/>
            <w:vAlign w:val="bottom"/>
          </w:tcPr>
          <w:p>
            <w:pPr>
              <w:jc w:val="right"/>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20"/>
                <w:szCs w:val="20"/>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c>
          <w:tcPr>
            <w:tcW w:w="480" w:type="dxa"/>
            <w:vAlign w:val="bottom"/>
            <w:gridSpan w:val="2"/>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560,558</w:t>
            </w:r>
          </w:p>
        </w:tc>
        <w:tc>
          <w:tcPr>
            <w:tcW w:w="28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March 28, 2029</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48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3,532,099</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1,635,73</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(1) Reflects fair value of modified stock options on August 8, 2018.</w:t>
      </w:r>
    </w:p>
    <w:p>
      <w:pPr>
        <w:spacing w:after="0" w:line="32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As of March 31, 2019, the unrecognized compensation cost related to non-vested stock options outstanding for employees and directors, was $10.1 million which will be recognized over a weighted-average remaining vesting period of approximately 3.0 years.</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379" w:right="139" w:bottom="1440" w:gutter="0" w:footer="0" w:header="0"/>
        </w:sectPr>
      </w:pPr>
    </w:p>
    <w:bookmarkStart w:id="17" w:name="page18"/>
    <w:bookmarkEnd w:id="17"/>
    <w:p>
      <w:pPr>
        <w:jc w:val="both"/>
        <w:ind w:right="40"/>
        <w:spacing w:after="0" w:line="270" w:lineRule="auto"/>
        <w:rPr>
          <w:sz w:val="20"/>
          <w:szCs w:val="20"/>
          <w:color w:val="auto"/>
        </w:rPr>
      </w:pPr>
      <w:r>
        <w:rPr>
          <w:rFonts w:ascii="Arial" w:cs="Arial" w:eastAsia="Arial" w:hAnsi="Arial"/>
          <w:sz w:val="18"/>
          <w:szCs w:val="18"/>
          <w:color w:val="auto"/>
        </w:rPr>
        <w:t>The fair value of employee and director stock options for the three months ended March 31, 2019 had a weighted average grant date fair value of $4.71 per option and they were estimated using the Black-Scholes option pricing model using the following weighted average assumptions:</w:t>
      </w:r>
    </w:p>
    <w:p>
      <w:pPr>
        <w:spacing w:after="0" w:line="36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2019</w:t>
            </w:r>
          </w:p>
        </w:tc>
      </w:tr>
      <w:tr>
        <w:trPr>
          <w:trHeight w:val="220"/>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top w:val="single" w:sz="8" w:color="CFF0FC"/>
            </w:tcBorders>
            <w:shd w:val="clear" w:color="auto" w:fill="CFF0FC"/>
          </w:tcPr>
          <w:p>
            <w:pPr>
              <w:spacing w:after="0"/>
              <w:rPr>
                <w:sz w:val="19"/>
                <w:szCs w:val="19"/>
                <w:color w:val="auto"/>
              </w:rPr>
            </w:pPr>
          </w:p>
        </w:tc>
      </w:tr>
      <w:tr>
        <w:trPr>
          <w:trHeight w:val="227"/>
        </w:trPr>
        <w:tc>
          <w:tcPr>
            <w:tcW w:w="4960" w:type="dxa"/>
            <w:vAlign w:val="bottom"/>
          </w:tcPr>
          <w:p>
            <w:pPr>
              <w:spacing w:after="0"/>
              <w:rPr>
                <w:sz w:val="20"/>
                <w:szCs w:val="20"/>
                <w:color w:val="auto"/>
              </w:rPr>
            </w:pPr>
            <w:r>
              <w:rPr>
                <w:rFonts w:ascii="Arial" w:cs="Arial" w:eastAsia="Arial" w:hAnsi="Arial"/>
                <w:sz w:val="18"/>
                <w:szCs w:val="18"/>
                <w:color w:val="auto"/>
              </w:rPr>
              <w:t>Exercise price</w:t>
            </w:r>
          </w:p>
        </w:tc>
        <w:tc>
          <w:tcPr>
            <w:tcW w:w="36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19"/>
                <w:szCs w:val="19"/>
                <w:color w:val="auto"/>
              </w:rPr>
            </w:pPr>
          </w:p>
        </w:tc>
      </w:tr>
      <w:tr>
        <w:trPr>
          <w:trHeight w:val="22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6.09 years</w:t>
            </w:r>
          </w:p>
        </w:tc>
      </w:tr>
      <w:tr>
        <w:trPr>
          <w:trHeight w:val="227"/>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76.90%</w:t>
            </w:r>
          </w:p>
        </w:tc>
      </w:tr>
      <w:tr>
        <w:trPr>
          <w:trHeight w:val="22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r>
      <w:tr>
        <w:trPr>
          <w:trHeight w:val="227"/>
        </w:trPr>
        <w:tc>
          <w:tcPr>
            <w:tcW w:w="4960" w:type="dxa"/>
            <w:vAlign w:val="bottom"/>
          </w:tcPr>
          <w:p>
            <w:pPr>
              <w:spacing w:after="0"/>
              <w:rPr>
                <w:sz w:val="20"/>
                <w:szCs w:val="20"/>
                <w:color w:val="auto"/>
              </w:rPr>
            </w:pPr>
            <w:r>
              <w:rPr>
                <w:rFonts w:ascii="Arial" w:cs="Arial" w:eastAsia="Arial" w:hAnsi="Arial"/>
                <w:sz w:val="18"/>
                <w:szCs w:val="18"/>
                <w:color w:val="auto"/>
              </w:rPr>
              <w:t>Dividend rate</w:t>
            </w:r>
          </w:p>
        </w:tc>
        <w:tc>
          <w:tcPr>
            <w:tcW w:w="3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 Options</w:t>
      </w:r>
    </w:p>
    <w:p>
      <w:pPr>
        <w:spacing w:after="0" w:line="11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As of March 31, 2019 and December 31, 2018, all non-employee stock options are accounted for as equity instruments. The following table summarizes stock options outstanding and exercisable by non-employees as of March 31, 2019:</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center"/>
              <w:ind w:left="349"/>
              <w:spacing w:after="0"/>
              <w:rPr>
                <w:sz w:val="20"/>
                <w:szCs w:val="20"/>
                <w:color w:val="auto"/>
              </w:rPr>
            </w:pPr>
            <w:r>
              <w:rPr>
                <w:rFonts w:ascii="Arial" w:cs="Arial" w:eastAsia="Arial" w:hAnsi="Arial"/>
                <w:sz w:val="14"/>
                <w:szCs w:val="14"/>
                <w:b w:val="1"/>
                <w:bCs w:val="1"/>
                <w:color w:val="auto"/>
                <w:w w:val="90"/>
              </w:rPr>
              <w:t>Options</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left="349"/>
              <w:spacing w:after="0"/>
              <w:rPr>
                <w:sz w:val="20"/>
                <w:szCs w:val="20"/>
                <w:color w:val="auto"/>
              </w:rPr>
            </w:pPr>
            <w:r>
              <w:rPr>
                <w:rFonts w:ascii="Arial" w:cs="Arial" w:eastAsia="Arial" w:hAnsi="Arial"/>
                <w:sz w:val="14"/>
                <w:szCs w:val="14"/>
                <w:b w:val="1"/>
                <w:bCs w:val="1"/>
                <w:color w:val="auto"/>
                <w:w w:val="92"/>
              </w:rPr>
              <w:t>Outstanding</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left="369"/>
              <w:spacing w:after="0"/>
              <w:rPr>
                <w:sz w:val="20"/>
                <w:szCs w:val="20"/>
                <w:color w:val="auto"/>
              </w:rPr>
            </w:pPr>
            <w:r>
              <w:rPr>
                <w:rFonts w:ascii="Arial" w:cs="Arial" w:eastAsia="Arial" w:hAnsi="Arial"/>
                <w:sz w:val="14"/>
                <w:szCs w:val="14"/>
                <w:b w:val="1"/>
                <w:bCs w:val="1"/>
                <w:color w:val="auto"/>
                <w:w w:val="92"/>
              </w:rPr>
              <w:t>Remaining</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227"/>
        </w:trPr>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center"/>
              <w:ind w:left="369"/>
              <w:spacing w:after="0"/>
              <w:rPr>
                <w:sz w:val="20"/>
                <w:szCs w:val="20"/>
                <w:color w:val="auto"/>
              </w:rPr>
            </w:pPr>
            <w:r>
              <w:rPr>
                <w:rFonts w:ascii="Arial" w:cs="Arial" w:eastAsia="Arial" w:hAnsi="Arial"/>
                <w:sz w:val="14"/>
                <w:szCs w:val="14"/>
                <w:b w:val="1"/>
                <w:bCs w:val="1"/>
                <w:color w:val="auto"/>
                <w:w w:val="95"/>
              </w:rPr>
              <w:t>Contractual Life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Grant Date</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r>
      <w:tr>
        <w:trPr>
          <w:trHeight w:val="225"/>
        </w:trPr>
        <w:tc>
          <w:tcPr>
            <w:tcW w:w="146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Options Outstanding</w:t>
            </w:r>
          </w:p>
        </w:tc>
        <w:tc>
          <w:tcPr>
            <w:tcW w:w="260" w:type="dxa"/>
            <w:vAlign w:val="bottom"/>
          </w:tcPr>
          <w:p>
            <w:pPr>
              <w:spacing w:after="0"/>
              <w:rPr>
                <w:sz w:val="19"/>
                <w:szCs w:val="19"/>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ind w:left="349"/>
              <w:spacing w:after="0"/>
              <w:rPr>
                <w:sz w:val="20"/>
                <w:szCs w:val="20"/>
                <w:color w:val="auto"/>
              </w:rPr>
            </w:pPr>
            <w:r>
              <w:rPr>
                <w:rFonts w:ascii="Arial" w:cs="Arial" w:eastAsia="Arial" w:hAnsi="Arial"/>
                <w:sz w:val="14"/>
                <w:szCs w:val="14"/>
                <w:b w:val="1"/>
                <w:bCs w:val="1"/>
                <w:color w:val="auto"/>
                <w:w w:val="93"/>
              </w:rPr>
              <w:t>(In Years)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9"/>
                <w:szCs w:val="19"/>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 xml:space="preserve">Post Modification </w:t>
            </w:r>
            <w:r>
              <w:rPr>
                <w:rFonts w:ascii="Arial" w:cs="Arial" w:eastAsia="Arial" w:hAnsi="Arial"/>
                <w:sz w:val="12"/>
                <w:szCs w:val="12"/>
                <w:b w:val="1"/>
                <w:bCs w:val="1"/>
                <w:color w:val="auto"/>
                <w:w w:val="92"/>
              </w:rPr>
              <w:t>1</w:t>
            </w:r>
          </w:p>
        </w:tc>
        <w:tc>
          <w:tcPr>
            <w:tcW w:w="10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r>
      <w:tr>
        <w:trPr>
          <w:trHeight w:val="220"/>
        </w:trPr>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June 18, 2019</w:t>
            </w:r>
          </w:p>
        </w:tc>
        <w:tc>
          <w:tcPr>
            <w:tcW w:w="14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146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December 8, 2019</w:t>
            </w:r>
          </w:p>
        </w:tc>
        <w:tc>
          <w:tcPr>
            <w:tcW w:w="1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0.69</w:t>
            </w: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r>
      <w:tr>
        <w:trPr>
          <w:trHeight w:val="227"/>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October 3, 2020</w:t>
            </w:r>
          </w:p>
        </w:tc>
        <w:tc>
          <w:tcPr>
            <w:tcW w:w="1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4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w:t>
            </w:r>
          </w:p>
        </w:tc>
        <w:tc>
          <w:tcPr>
            <w:tcW w:w="60" w:type="dxa"/>
            <w:vAlign w:val="bottom"/>
            <w:shd w:val="clear" w:color="auto" w:fill="CFF0FC"/>
          </w:tcPr>
          <w:p>
            <w:pPr>
              <w:spacing w:after="0"/>
              <w:rPr>
                <w:sz w:val="19"/>
                <w:szCs w:val="19"/>
                <w:color w:val="auto"/>
              </w:rPr>
            </w:pPr>
          </w:p>
        </w:tc>
      </w:tr>
      <w:tr>
        <w:trPr>
          <w:trHeight w:val="227"/>
        </w:trPr>
        <w:tc>
          <w:tcPr>
            <w:tcW w:w="1460" w:type="dxa"/>
            <w:vAlign w:val="bottom"/>
          </w:tcPr>
          <w:p>
            <w:pPr>
              <w:jc w:val="right"/>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28, 2020</w:t>
            </w:r>
          </w:p>
        </w:tc>
        <w:tc>
          <w:tcPr>
            <w:tcW w:w="1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110,000</w:t>
            </w:r>
          </w:p>
        </w:tc>
        <w:tc>
          <w:tcPr>
            <w:tcW w:w="60" w:type="dxa"/>
            <w:vAlign w:val="bottom"/>
          </w:tcPr>
          <w:p>
            <w:pPr>
              <w:spacing w:after="0"/>
              <w:rPr>
                <w:sz w:val="19"/>
                <w:szCs w:val="19"/>
                <w:color w:val="auto"/>
              </w:rPr>
            </w:pPr>
          </w:p>
        </w:tc>
      </w:tr>
      <w:tr>
        <w:trPr>
          <w:trHeight w:val="227"/>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May 18, 2027</w:t>
            </w:r>
          </w:p>
        </w:tc>
        <w:tc>
          <w:tcPr>
            <w:tcW w:w="1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4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FF0FC"/>
          </w:tcPr>
          <w:p>
            <w:pPr>
              <w:spacing w:after="0"/>
              <w:rPr>
                <w:sz w:val="19"/>
                <w:szCs w:val="19"/>
                <w:color w:val="auto"/>
              </w:rPr>
            </w:pPr>
          </w:p>
        </w:tc>
      </w:tr>
      <w:tr>
        <w:trPr>
          <w:trHeight w:val="227"/>
        </w:trPr>
        <w:tc>
          <w:tcPr>
            <w:tcW w:w="1460" w:type="dxa"/>
            <w:vAlign w:val="bottom"/>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August 8, 2027</w:t>
            </w:r>
          </w:p>
        </w:tc>
        <w:tc>
          <w:tcPr>
            <w:tcW w:w="1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8.35</w:t>
            </w: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3,750</w:t>
            </w:r>
          </w:p>
        </w:tc>
        <w:tc>
          <w:tcPr>
            <w:tcW w:w="60" w:type="dxa"/>
            <w:vAlign w:val="bottom"/>
          </w:tcPr>
          <w:p>
            <w:pPr>
              <w:spacing w:after="0"/>
              <w:rPr>
                <w:sz w:val="19"/>
                <w:szCs w:val="19"/>
                <w:color w:val="auto"/>
              </w:rPr>
            </w:pPr>
          </w:p>
        </w:tc>
      </w:tr>
      <w:tr>
        <w:trPr>
          <w:trHeight w:val="227"/>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November 6, 2027</w:t>
            </w:r>
          </w:p>
        </w:tc>
        <w:tc>
          <w:tcPr>
            <w:tcW w:w="1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4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FF0FC"/>
          </w:tcPr>
          <w:p>
            <w:pPr>
              <w:spacing w:after="0"/>
              <w:rPr>
                <w:sz w:val="19"/>
                <w:szCs w:val="19"/>
                <w:color w:val="auto"/>
              </w:rPr>
            </w:pPr>
          </w:p>
        </w:tc>
      </w:tr>
      <w:tr>
        <w:trPr>
          <w:trHeight w:val="22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August 22, 2028</w:t>
            </w:r>
          </w:p>
        </w:tc>
        <w:tc>
          <w:tcPr>
            <w:tcW w:w="17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9.39</w:t>
            </w:r>
          </w:p>
        </w:tc>
        <w:tc>
          <w:tcPr>
            <w:tcW w:w="460" w:type="dxa"/>
            <w:vAlign w:val="bottom"/>
            <w:tcBorders>
              <w:bottom w:val="single" w:sz="8" w:color="CFF0FC"/>
            </w:tcBorders>
            <w:gridSpan w:val="2"/>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10.23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Borders>
              <w:bottom w:val="single" w:sz="8" w:color="CFF0FC"/>
            </w:tcBorders>
          </w:tcPr>
          <w:p>
            <w:pPr>
              <w:spacing w:after="0"/>
              <w:rPr>
                <w:sz w:val="19"/>
                <w:szCs w:val="19"/>
                <w:color w:val="auto"/>
              </w:rPr>
            </w:pPr>
          </w:p>
        </w:tc>
      </w:tr>
      <w:tr>
        <w:trPr>
          <w:trHeight w:val="220"/>
        </w:trPr>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357,000</w:t>
            </w:r>
          </w:p>
        </w:tc>
        <w:tc>
          <w:tcPr>
            <w:tcW w:w="26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319,500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Reflects fair value of modified stock options on August 8, 2018.</w:t>
      </w:r>
    </w:p>
    <w:p>
      <w:pPr>
        <w:spacing w:after="0" w:line="3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March 31, 2019, the unrecognized compensation cost related to non-vested stock options outstanding for non-employees, was $0.1 million which will be recognized over a weighted-average remaining vesting period of approximately 2.3 years. The Company recognizes compensation expense for only the portion of awards that are expected to vest.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3"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As of March 31, 2019, the Company had 964 RSUs outstanding with a weighted average grant date fair value of CAD$10.00 per share. For the three months ended March 31, 2019, there was no vested RSUs and as such there was no issuance of shares of common stock in settlement of vested RSUs.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income (loss) as follows (amounts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296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1240" w:type="dxa"/>
            <w:vAlign w:val="bottom"/>
            <w:gridSpan w:val="2"/>
          </w:tcPr>
          <w:p>
            <w:pPr>
              <w:jc w:val="right"/>
              <w:ind w:right="108"/>
              <w:spacing w:after="0" w:line="153"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620" w:type="dxa"/>
            <w:vAlign w:val="bottom"/>
            <w:gridSpan w:val="2"/>
            <w:vMerge w:val="continue"/>
          </w:tcPr>
          <w:p>
            <w:pPr>
              <w:spacing w:after="0"/>
              <w:rPr>
                <w:sz w:val="19"/>
                <w:szCs w:val="19"/>
                <w:color w:val="auto"/>
              </w:rPr>
            </w:pPr>
          </w:p>
        </w:tc>
        <w:tc>
          <w:tcPr>
            <w:tcW w:w="2960" w:type="dxa"/>
            <w:vAlign w:val="bottom"/>
          </w:tcPr>
          <w:p>
            <w:pPr>
              <w:spacing w:after="0"/>
              <w:rPr>
                <w:sz w:val="19"/>
                <w:szCs w:val="19"/>
                <w:color w:val="auto"/>
              </w:rPr>
            </w:pPr>
          </w:p>
        </w:tc>
        <w:tc>
          <w:tcPr>
            <w:tcW w:w="7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9"/>
                <w:szCs w:val="19"/>
                <w:color w:val="auto"/>
              </w:rPr>
            </w:pP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29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3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387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60" w:type="dxa"/>
            <w:vAlign w:val="bottom"/>
            <w:vMerge w:val="restart"/>
          </w:tcPr>
          <w:p>
            <w:pPr>
              <w:jc w:val="right"/>
              <w:ind w:right="1691"/>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18" w:name="page19"/>
    <w:bookmarkEnd w:id="18"/>
    <w:p>
      <w:pPr>
        <w:spacing w:after="0"/>
        <w:tabs>
          <w:tab w:leader="none" w:pos="340" w:val="left"/>
        </w:tabs>
        <w:rPr>
          <w:sz w:val="20"/>
          <w:szCs w:val="20"/>
          <w:color w:val="auto"/>
        </w:rPr>
      </w:pPr>
      <w:r>
        <w:rPr>
          <w:rFonts w:ascii="Arial" w:cs="Arial" w:eastAsia="Arial" w:hAnsi="Arial"/>
          <w:sz w:val="18"/>
          <w:szCs w:val="18"/>
          <w:b w:val="1"/>
          <w:bCs w:val="1"/>
          <w:color w:val="auto"/>
        </w:rPr>
        <w:t>5.</w:t>
        <w:tab/>
        <w:t>ACCRUED EXPENSES</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60" w:type="dxa"/>
            <w:vAlign w:val="bottom"/>
            <w:vMerge w:val="restart"/>
          </w:tcPr>
          <w:p>
            <w:pPr>
              <w:spacing w:after="0"/>
              <w:rPr>
                <w:sz w:val="20"/>
                <w:szCs w:val="20"/>
                <w:color w:val="auto"/>
              </w:rPr>
            </w:pPr>
            <w:r>
              <w:rPr>
                <w:rFonts w:ascii="Arial" w:cs="Arial" w:eastAsia="Arial" w:hAnsi="Arial"/>
                <w:sz w:val="18"/>
                <w:szCs w:val="18"/>
                <w:color w:val="auto"/>
              </w:rPr>
              <w:t>Employees benefits</w:t>
            </w:r>
          </w:p>
        </w:tc>
        <w:tc>
          <w:tcPr>
            <w:tcW w:w="200" w:type="dxa"/>
            <w:vAlign w:val="bottom"/>
          </w:tcPr>
          <w:p>
            <w:pPr>
              <w:spacing w:after="0"/>
              <w:rPr>
                <w:sz w:val="13"/>
                <w:szCs w:val="13"/>
                <w:color w:val="auto"/>
              </w:rPr>
            </w:pPr>
          </w:p>
        </w:tc>
        <w:tc>
          <w:tcPr>
            <w:tcW w:w="16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3"/>
                <w:szCs w:val="13"/>
                <w:color w:val="auto"/>
              </w:rPr>
            </w:pPr>
          </w:p>
        </w:tc>
        <w:tc>
          <w:tcPr>
            <w:tcW w:w="144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86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Legal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Due to HTC/Heuro</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Royalty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Franchise fee</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Rent</w:t>
            </w:r>
          </w:p>
        </w:tc>
        <w:tc>
          <w:tcPr>
            <w:tcW w:w="2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jc w:val="both"/>
        <w:ind w:left="480" w:hanging="473"/>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22, 2013, the Company entered into a license agreement with Advanced NeuroRehabilitation, LLC (“ANR”) for an exclusive right to ANR’s patent pending technology, claims and knowhow. In addition to the issuance of 3,207,005 shares of common stock, the Company agreed to pay a 4% royalty on net revenue on the sales of devices covered by the patent-pending technology and services related to the therapy or use of devices covered by the patent-pending technology. For the three months ended March 31, 2019, the Company accrued $27,000 in royalties related to PoNS device sales for the period.</w:t>
      </w:r>
    </w:p>
    <w:p>
      <w:pPr>
        <w:spacing w:after="0" w:line="230" w:lineRule="exact"/>
        <w:rPr>
          <w:rFonts w:ascii="Arial" w:cs="Arial" w:eastAsia="Arial" w:hAnsi="Arial"/>
          <w:sz w:val="18"/>
          <w:szCs w:val="18"/>
          <w:color w:val="auto"/>
        </w:rPr>
      </w:pPr>
    </w:p>
    <w:p>
      <w:pPr>
        <w:jc w:val="both"/>
        <w:ind w:left="480" w:hanging="473"/>
        <w:spacing w:after="0" w:line="267"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218" w:lineRule="exact"/>
        <w:rPr>
          <w:rFonts w:ascii="Arial" w:cs="Arial" w:eastAsia="Arial" w:hAnsi="Arial"/>
          <w:sz w:val="17"/>
          <w:szCs w:val="17"/>
          <w:color w:val="auto"/>
        </w:rPr>
      </w:pPr>
    </w:p>
    <w:p>
      <w:pPr>
        <w:jc w:val="both"/>
        <w:ind w:left="480" w:hanging="473"/>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2014, the Company signed a distribution agreement with Altair LLC to apply for the registration and distribution of the PoNS device in the territories of the former Soviet Union. Through March 31, 2019, the Company was entitled to receive a 7% royalty on sales of the devices within the territories. As of March 31, 2019, the Company had not made any commercial sales in the territories. On March 21, 2019, Altair provided the Company with a notice of termination which will be effective on May 20, 2019.</w:t>
      </w:r>
    </w:p>
    <w:p>
      <w:pPr>
        <w:spacing w:after="0" w:line="228" w:lineRule="exact"/>
        <w:rPr>
          <w:rFonts w:ascii="Arial" w:cs="Arial" w:eastAsia="Arial" w:hAnsi="Arial"/>
          <w:sz w:val="18"/>
          <w:szCs w:val="18"/>
          <w:color w:val="auto"/>
        </w:rPr>
      </w:pPr>
    </w:p>
    <w:p>
      <w:pPr>
        <w:jc w:val="both"/>
        <w:ind w:left="480" w:hanging="473"/>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Monthly rent plus utilities was approximately $20,000 per month beginning in January 2019 with 3% annual increases thereafter.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9" w:name="page20"/>
    <w:bookmarkEnd w:id="19"/>
    <w:p>
      <w:pPr>
        <w:spacing w:after="0" w:line="270"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March 31, 2019 (amounts in thousands).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740" w:type="dxa"/>
            <w:vAlign w:val="bottom"/>
            <w:gridSpan w:val="4"/>
          </w:tcPr>
          <w:p>
            <w:pPr>
              <w:spacing w:after="0"/>
              <w:rPr>
                <w:sz w:val="20"/>
                <w:szCs w:val="20"/>
                <w:color w:val="auto"/>
              </w:rPr>
            </w:pPr>
            <w:r>
              <w:rPr>
                <w:rFonts w:ascii="Arial" w:cs="Arial" w:eastAsia="Arial" w:hAnsi="Arial"/>
                <w:sz w:val="14"/>
                <w:szCs w:val="14"/>
                <w:b w:val="1"/>
                <w:bCs w:val="1"/>
                <w:color w:val="auto"/>
              </w:rPr>
              <w:t>For the Three Months Ended March 31, 2019</w:t>
            </w: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9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Operating lease - operating cash flows</w:t>
            </w:r>
          </w:p>
        </w:tc>
        <w:tc>
          <w:tcPr>
            <w:tcW w:w="11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3.83 years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w w:val="96"/>
              </w:rPr>
              <w:t>Future minimum lease payments under non-cancellable lease as of March 31, 2019 were as follows:</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FF0FC"/>
          </w:tcPr>
          <w:p>
            <w:pPr>
              <w:spacing w:after="0" w:line="188" w:lineRule="exact"/>
              <w:rPr>
                <w:sz w:val="20"/>
                <w:szCs w:val="20"/>
                <w:color w:val="auto"/>
              </w:rPr>
            </w:pPr>
            <w:r>
              <w:rPr>
                <w:rFonts w:ascii="Arial" w:cs="Arial" w:eastAsia="Arial" w:hAnsi="Arial"/>
                <w:sz w:val="18"/>
                <w:szCs w:val="18"/>
                <w:color w:val="auto"/>
                <w:w w:val="87"/>
              </w:rPr>
              <w:t>For the Period Ending December 31,</w:t>
            </w:r>
          </w:p>
        </w:tc>
        <w:tc>
          <w:tcPr>
            <w:tcW w:w="5120" w:type="dxa"/>
            <w:vAlign w:val="bottom"/>
            <w:tcBorders>
              <w:bottom w:val="single" w:sz="8" w:color="CFF0FC"/>
            </w:tcBorders>
            <w:gridSpan w:val="2"/>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2019 (remaining nine months)</w:t>
            </w:r>
          </w:p>
        </w:tc>
        <w:tc>
          <w:tcPr>
            <w:tcW w:w="11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19"/>
                <w:szCs w:val="19"/>
                <w:color w:val="auto"/>
              </w:rPr>
            </w:pPr>
          </w:p>
        </w:tc>
        <w:tc>
          <w:tcPr>
            <w:tcW w:w="4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4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FF0FC"/>
            </w:tcBorders>
          </w:tcPr>
          <w:p>
            <w:pPr>
              <w:spacing w:after="0"/>
              <w:rPr>
                <w:sz w:val="19"/>
                <w:szCs w:val="19"/>
                <w:color w:val="auto"/>
              </w:rPr>
            </w:pPr>
          </w:p>
        </w:tc>
        <w:tc>
          <w:tcPr>
            <w:tcW w:w="49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liability</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39" w:right="239" w:bottom="1440" w:gutter="0" w:footer="0" w:header="0"/>
        </w:sectPr>
      </w:pPr>
    </w:p>
    <w:p>
      <w:pPr>
        <w:ind w:left="580"/>
        <w:spacing w:after="0"/>
        <w:rPr>
          <w:sz w:val="20"/>
          <w:szCs w:val="20"/>
          <w:color w:val="auto"/>
        </w:rPr>
      </w:pPr>
      <w:r>
        <w:rPr>
          <w:rFonts w:ascii="Arial" w:cs="Arial" w:eastAsia="Arial" w:hAnsi="Arial"/>
          <w:sz w:val="18"/>
          <w:szCs w:val="18"/>
          <w:color w:val="auto"/>
        </w:rPr>
        <w:t>Reported as of March 31, 2019</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-130175</wp:posOffset>
            </wp:positionV>
            <wp:extent cx="6518910"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8910" cy="14414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Non-current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27940</wp:posOffset>
            </wp:positionV>
            <wp:extent cx="6518910"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8910" cy="161290"/>
                    </a:xfrm>
                    <a:prstGeom prst="rect">
                      <a:avLst/>
                    </a:prstGeom>
                    <a:noFill/>
                  </pic:spPr>
                </pic:pic>
              </a:graphicData>
            </a:graphic>
          </wp:anchor>
        </w:drawing>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p>
    <w:p>
      <w:pPr>
        <w:jc w:val="right"/>
        <w:ind w:right="760"/>
        <w:spacing w:after="0"/>
        <w:rPr>
          <w:sz w:val="20"/>
          <w:szCs w:val="20"/>
          <w:color w:val="auto"/>
        </w:rPr>
      </w:pPr>
      <w:r>
        <w:rPr>
          <w:rFonts w:ascii="Arial" w:cs="Arial" w:eastAsia="Arial" w:hAnsi="Arial"/>
          <w:sz w:val="18"/>
          <w:szCs w:val="18"/>
          <w:color w:val="auto"/>
        </w:rPr>
        <w:t>597</w:t>
      </w:r>
    </w:p>
    <w:p>
      <w:pPr>
        <w:spacing w:after="0" w:line="33"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3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93470" cy="825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8240" w:space="720"/>
            <w:col w:w="2460"/>
          </w:cols>
          <w:pgMar w:left="240" w:top="339" w:right="239" w:bottom="1440" w:gutter="0" w:footer="0" w:header="0"/>
          <w:type w:val="continuous"/>
        </w:sectPr>
      </w:pPr>
    </w:p>
    <w:p>
      <w:pPr>
        <w:spacing w:after="0" w:line="167" w:lineRule="exact"/>
        <w:rPr>
          <w:sz w:val="20"/>
          <w:szCs w:val="20"/>
          <w:color w:val="auto"/>
        </w:rPr>
      </w:pPr>
    </w:p>
    <w:p>
      <w:pPr>
        <w:jc w:val="both"/>
        <w:ind w:left="480" w:hanging="473"/>
        <w:spacing w:after="0" w:line="251"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On December 29, 2017, the Company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the agreement will automatically renew for additional consecutive terms of one year, unless cancelled by either party upon 180-day written notice to the other party prior to the end of the then current term. </w:t>
      </w:r>
      <w:r>
        <w:rPr>
          <w:rFonts w:ascii="Arial" w:cs="Arial" w:eastAsia="Arial" w:hAnsi="Arial"/>
          <w:sz w:val="18"/>
          <w:szCs w:val="18"/>
          <w:color w:val="313131"/>
        </w:rPr>
        <w:t>As of March 31, 2019, the Company had a $0.1 million obligation to Key Tronic to complete the Company’s initial forecast to deliver</w:t>
      </w:r>
      <w:r>
        <w:rPr>
          <w:rFonts w:ascii="Arial" w:cs="Arial" w:eastAsia="Arial" w:hAnsi="Arial"/>
          <w:sz w:val="18"/>
          <w:szCs w:val="18"/>
          <w:color w:val="auto"/>
        </w:rPr>
        <w:t xml:space="preserve"> </w:t>
      </w:r>
      <w:r>
        <w:rPr>
          <w:rFonts w:ascii="Arial" w:cs="Arial" w:eastAsia="Arial" w:hAnsi="Arial"/>
          <w:sz w:val="18"/>
          <w:szCs w:val="18"/>
          <w:color w:val="313131"/>
        </w:rPr>
        <w:t>PoNS devices for commercial launch.</w:t>
      </w:r>
    </w:p>
    <w:p>
      <w:pPr>
        <w:spacing w:after="0" w:line="233" w:lineRule="exact"/>
        <w:rPr>
          <w:rFonts w:ascii="Arial" w:cs="Arial" w:eastAsia="Arial" w:hAnsi="Arial"/>
          <w:sz w:val="18"/>
          <w:szCs w:val="18"/>
          <w:color w:val="auto"/>
        </w:rPr>
      </w:pPr>
    </w:p>
    <w:p>
      <w:pPr>
        <w:jc w:val="both"/>
        <w:ind w:left="480" w:hanging="473"/>
        <w:spacing w:after="0" w:line="266" w:lineRule="auto"/>
        <w:tabs>
          <w:tab w:leader="none" w:pos="480" w:val="left"/>
        </w:tabs>
        <w:numPr>
          <w:ilvl w:val="0"/>
          <w:numId w:val="9"/>
        </w:numPr>
        <w:rPr>
          <w:rFonts w:ascii="Arial" w:cs="Arial" w:eastAsia="Arial" w:hAnsi="Arial"/>
          <w:sz w:val="17"/>
          <w:szCs w:val="17"/>
          <w:color w:val="313131"/>
        </w:rPr>
      </w:pPr>
      <w:r>
        <w:rPr>
          <w:rFonts w:ascii="Arial" w:cs="Arial" w:eastAsia="Arial" w:hAnsi="Arial"/>
          <w:sz w:val="17"/>
          <w:szCs w:val="17"/>
          <w:color w:val="auto"/>
        </w:rPr>
        <w:t>In September 2018, the Company entered into a strategic alliance agreement with HTC and Heuro to establish three founding clinics to treat patients and create a replicable model for future clinic expansion. Under the terms of the agreement, Heuro is responsible for the development of the clinic systems to facilitate the commercialization of the PoNS Treatment in Canada. The parties will contract with the clinics and develop a model for the clinics to deliver clinical services, featuring the PoNS Treatment to manage neurological conditions. The agreement also provides for HTC to pay the Company CAD$750,000 in three annual payments of CAD$250,000 beginning December 31, 2019, in consideration for the exclusivity right the Company granted to Heuro. The Company and HTC have also agreed to each fund up to 50% of Heuro’s operating budget as agreed upon by a joint steering committee not to exceed CAD$1.0 million each. The parties have also agreed to share in the net profits and losses of Heuro on a 50/50 basis. The term of this agreement is the earlier of September 2023 or the formal adoption of a clinical expansion plan. For the three months ended March 31, 2019, the Company recorded CAD$0.2 million in expenses for its share of the estimated costs incurred by Heuro which was recorded as selling, general and administrative expenses and an additional CAD$65,000 in cost of sales for services rendered in the Company’s condensed consolidated statements of operations and comprehensive income (loss).</w:t>
      </w:r>
    </w:p>
    <w:p>
      <w:pPr>
        <w:spacing w:after="0" w:line="176" w:lineRule="exact"/>
        <w:rPr>
          <w:rFonts w:ascii="Arial" w:cs="Arial" w:eastAsia="Arial" w:hAnsi="Arial"/>
          <w:sz w:val="17"/>
          <w:szCs w:val="17"/>
          <w:color w:val="313131"/>
        </w:rPr>
      </w:pPr>
    </w:p>
    <w:p>
      <w:pPr>
        <w:ind w:left="340" w:hanging="313"/>
        <w:spacing w:after="0"/>
        <w:tabs>
          <w:tab w:leader="none" w:pos="34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spacing w:after="0" w:line="77" w:lineRule="exact"/>
        <w:rPr>
          <w:sz w:val="20"/>
          <w:szCs w:val="20"/>
          <w:color w:val="auto"/>
        </w:rPr>
      </w:pPr>
    </w:p>
    <w:p>
      <w:pPr>
        <w:ind w:left="700" w:hanging="3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power to direct the activities that most significantly impact the economic performance of the VIE; and</w:t>
      </w:r>
    </w:p>
    <w:p>
      <w:pPr>
        <w:spacing w:after="0" w:line="19" w:lineRule="exact"/>
        <w:rPr>
          <w:rFonts w:ascii="Arial" w:cs="Arial" w:eastAsia="Arial" w:hAnsi="Arial"/>
          <w:sz w:val="18"/>
          <w:szCs w:val="18"/>
          <w:color w:val="auto"/>
        </w:rPr>
      </w:pPr>
    </w:p>
    <w:p>
      <w:pPr>
        <w:ind w:left="700" w:hanging="3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to receive benefits from, or the obligation to absorb losses of the VIE that could be potentially significant to the VIE.</w:t>
      </w:r>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Unconsolidated Variable Interest Entity</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utilized the consolidation guidance under ASC 810 to determine whether Heuro was a VIE, and if so, whether the Company was the primary beneficiary of Heuro (see Note 6(f)). As of March 31, 2019, the Company had concluded that Heuro was a VIE based on the fact that the equity investment at risk in Heuro was not sufficient. The Company’s variable interests in Heuro arise from a profit-sharing arrangement with Heuro. In determining whether the Company is the primary beneficiary and whether the Company has the right to receive benefits and the obligation to absorb losses that could potentially be significant to the VIE, the Company evaluated its economic interest in Heuro.</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evaluation considered all relevant factors of Heuro’s structure, including its capital structure, contractual rights to earnings (losses) as well as other contractual arrangements that have the potential to be economically significant. Following the guidance in ASC 810, although the Company has the obligation to absorb losses as of March 31, 2019, the Company concluded that it is not the primary beneficiary, as it does not have the power to direct the activities that most significantly affect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as of March 31, 2019, the Company did not consolidate Heuro in its condensed consolidated financial statements. In addition, as of March 31, 2019, the Company had no carrying amounts for assets and approximately $0.1 million in liabilities relating to the variable interest in the VIE. The Company believes that its maximum exposure to loss as a result of its involvement with the VIE is limited to CAD$0.6 million, which is its remaining obligation to fund Heuro’s operating budget of up to CAD$1.0 million.</w:t>
      </w:r>
    </w:p>
    <w:p>
      <w:pPr>
        <w:spacing w:after="0" w:line="200" w:lineRule="exact"/>
        <w:rPr>
          <w:sz w:val="20"/>
          <w:szCs w:val="20"/>
          <w:color w:val="auto"/>
        </w:rPr>
      </w:pPr>
    </w:p>
    <w:p>
      <w:pPr>
        <w:spacing w:after="0" w:line="305"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During the three months ended March 31, 2019 and 2018, the Company paid approximately $10,000 and $3,000 respectively, in consulting fees to a director of the Company.</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2016, the Company entered into a consulting agreement with Montel Media, Inc. (“Montel Media”), pursuant to which Montel Media provides consulting services for the promotion of the Company’s clinical trials and ongoing media and marketing strategies. Montel Media is owned by Montel Williams, who beneficially owns greater than 5% of the Company’s common stock. Under the agreement, Montel Media received $15,000 per month. During the first quarter of 2018, the Company terminated its agreement with Montel Media. The Company paid Montel Media $45,000 during the three months ended March 31, 2018.</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2018, a benefit of $0.2 million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Chief Medical Officer was a founding member of Clinvue LLC, (“Clinvue”), a company that provides regulatory advisory services to the Company. For the three months ended March 31, 2018, the Company made a $0.1 million payment to Clinvue for consulting services. The Company made no payment to Clinvue for the three months ended March 31, 2019, as Clinvue ceased operation during the fourth quarter of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Unless otherwise specified or the context otherwise requires, references to “we”, “us” or “our” mean Helius Medical Technologies, Inc. and its wholly owned subsidiaries, Helius Medical, Inc, or HMI, Helius Medical Technologies (Canada), Inc. and Helius NeuroRehab, Inc., or HNR. 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the our Annual Report on Form 10-K for the year ended December 31, 2018 filed with the Securities and Exchange Commission, or the SEC, on March 14, 2019, or our 2018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Such forward-looking statements involve risks and uncertainties regarding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In evaluating these statements, you should consider various factors, including the risks outlined in the “Risk Factors” sections of our 2018 Annual Report and this report.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our actual results will almost always vary, sometimes materially, from any estimates, predictions, projections, assumptions or other future performance suggested herein. We do not intend to update any of the forward-looking statements to conform these statements to actual results, except as required by applicable law, including the securities laws of the United States. The forward-looking statements are subject to a number of risks and uncertainties which are discussed in the section entitled “Item 1A. Risk Factors” in this Quarterly Report on Form 10-Q and in our 2018 Annual Report and those described from time to time in our future reports filed with the SEC. Although we believe that the expectations reflected in our forward-looking statements are reasonable, we cannot guarantee future results, events, levels of activity, performance or achievement. We undertake no obligation to publicly update or revise any forward-looking statements, whether as a result of new information, future events or otherwise, unless required by law.</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first product, known as the Portable Neuromodulation Stimulator, or PoNS™, is an authorized medical device in Canada for the treatment of chronic balance deficit associated with a mild to moderate traumatic brain injury, or mmTBI, and is an investigational, non-invasive, medical device for which we have submitted an application for a CE mark for marketing authorization in the European Union, to improve balance in patients following a mmTBI. Our PoNS device, when combined with targeted physical and/or cognitive therapy, or PoNS Treatment, is the first and only treatment that combines neurostimulation of cranial nerves via the tongue to restore lost function.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On May 6, 2019, we submitted our application to the Therapeutic Goods Administration for marketing authorization of our PoNS device in Australia.</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April 10, 2019, we announced that the FDA, completed its review of and declined our request for de novo classification and marketing authorization of the PoNS device. We are currently engaged in obtaining additional clarity from the FDA on the specifics of their response to our de novo request, which we expect will inform our strategy to address the FDA’s concerns to support our pursuit of marketing authorization for our PoNS device. We also plan to engage with the FDA in a pre-submission meeting to obtain the FDA’s feedback before moving forward on our next steps. Given the change in our United States regulatory timeline, we will continue to prioritize our resources to support our resubmission to the FDA and commercialization efforts in Canada. As a result, we reduced our workforce by over 30% to scale back the staff that were hired to prepare for our commercial launch in the United States while maintaining the necessary distribution, regulatory and quality system infrastructure to support our commercial launch in Canada. Finally, this change in focus has also led us to place our clinical experience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8"/>
          <w:szCs w:val="18"/>
          <w:color w:val="auto"/>
        </w:rPr>
        <w:t>program on hold, as we will be able to rely on the real world experience of the Canadian neuroplasticity clinics and gather anonymized health economic data from the patients treated to support our future efforts to obtain broad-based reimbursement for our PoNS Treatment.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first quarter of 2019, we executed supply agreements with two neuroplasticity clinics for the sale of the PoNS device in Canada and shipped commercial devices to the clinics in February and March. In addition, in support of Canadian commercialization efforts and launch, we developed and established our distribution, quality management and post-market surveillance systems. While the initial sales of our PoNS device have been to self-pay patients, we have begun to engage provincial automobile insurance industry and workers’ compensation systems across the country to explore PoNS Treatment reimbursement. Lastly, through Heuro, we are focused on identifying, engaging, training and approving additional neuroplasticity clinics in major metropolitan cities in Canada to provide the PoNS Treatment.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21, 2019, Altair LLC., a Russian distribution company, provided us with a notice of termination with respect to its distribution agreement signed in 2014. This termination will be effective on May 20, 2019. We are in active discussions with Altair to replace the original agreement with one that more accurately drives the business objectives of both parties.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the Three Months Ended March 31,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2018 (amounts in thousands):</w:t>
      </w:r>
    </w:p>
    <w:p>
      <w:pPr>
        <w:spacing w:after="0" w:line="30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Product sales, net</w:t>
            </w:r>
          </w:p>
        </w:tc>
        <w:tc>
          <w:tcPr>
            <w:tcW w:w="8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36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Foreign exchange gain (loss)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other income</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8,145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3,552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6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Revenue for the three months ended March 31, 2019 was $0.7 million. This was generated through product sales of our PoNS device in Canada pursuant to our executed supply agreements with two neuroplasticity clinics in Canada. We generated no revenue for the three months ended March 31, 2018.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It also includes certain support services provided by Heuro on our behalf. For the three months ended March 31, 2019, we incurred $0.2 million in our cost of sales. We had no cost of sales for the three months ended March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or R&amp;D expenses were $2.7 million for the three months ended March 31, 2019 compared to $2.6 million during the three months ended March 31, 2018, an increase of $0.1 million. The increase was primarily driven by an increase in regulatory expenses related to providing responses to the FDA’s additional information request received in January 2019.</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or SG&amp;A expenses were $4.6 million for the three months ended March 31, 2019 compared to $2.2 million for the three months ended March 31, 2018, an increase of $2.4 million. The increase was primarily due to higher wages and salaries of $1.0 million due to increased head count, $0.9 million increase in commercial operations expenses, $0.3 million increase in stock-based compensation expense and a $0.2 million increase in information technology-related expenses as a result of the higher headcount.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change in fair value of derivative financial instruments was a gain of $8.3 million for the three months ended March 31, 2019 compared to a gain of $2.5 million for the three months ended March 31, 2018.</w:t>
      </w:r>
    </w:p>
    <w:p>
      <w:pPr>
        <w:spacing w:after="0" w:line="68"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Foreign exchange loss was $0.2 million for the three months ended March 31, 2019 compared to a gain of $1.0 million for the three months ended March 31, 2018. This was primarily due to the amount of Canadian dollars held at the end of each reporting period.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2019 and 2018 (amounts in thousands):</w:t>
      </w:r>
    </w:p>
    <w:p>
      <w:pPr>
        <w:spacing w:after="0" w:line="305"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 March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4"/>
        </w:trPr>
        <w:tc>
          <w:tcPr>
            <w:tcW w:w="5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4"/>
              <w:spacing w:after="0" w:line="153"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(6,927)</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(1,167)</w:t>
            </w:r>
          </w:p>
        </w:tc>
        <w:tc>
          <w:tcPr>
            <w:tcW w:w="26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2019 was $6.8 million. This was comprised of a loss from operations of $6.8 million and $0.9 million net cash used resulting from changes in operating assets and liabilities, partially offset by certain adjustments for non-cash items comprised of stock-based compensation of $0.8 million and depreciation expense of $22,000.</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Net cash used in operating activities during the three months ended March 31, 2018 was $4.9 million. This was comprised of a net loss of $1.2 million, adjusted for non-cash items including the change in fair value of derivative liability of $2.5 million, stock-based compensation expense of $0.4 million, unrealized foreign exchange gains of $1.0 million and changes in operating assets and liabilities, resulting in net cash used of $0.6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cash used in investing activities during the three months ended March 31, 2019 was $0.2 million, which was primarily related to the purchase of furniture and fixtures and computer software.</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cash used in investing activities for the three months ended March 31, 2018 was $27,000, which was primarily related to the purchase of computer hardware.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3"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Net cash provided by financing activities during the three months ended March 31, 2019 was $40,000, which was comprised of $0.1 million in proceeds from the exercise of warrants. This amount was partially offset by $52,000 in share issuance costs related to our November 2018 public offering.</w:t>
      </w:r>
    </w:p>
    <w:p>
      <w:pPr>
        <w:spacing w:after="0" w:line="4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Net cash provided by financing activities during the three months ended March 31, 2018 was $3.7 million. This amount was primarily comprised of proceeds of $3.8 million from the exercise of warrants which was partially offset by the payment of $0.1 million in share issuance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 w:name="page25"/>
    <w:bookmarkEnd w:id="24"/>
    <w:p>
      <w:pPr>
        <w:jc w:val="both"/>
        <w:spacing w:after="0" w:line="270" w:lineRule="auto"/>
        <w:rPr>
          <w:sz w:val="20"/>
          <w:szCs w:val="20"/>
          <w:color w:val="auto"/>
        </w:rPr>
      </w:pPr>
      <w:r>
        <w:rPr>
          <w:rFonts w:ascii="Arial" w:cs="Arial" w:eastAsia="Arial" w:hAnsi="Arial"/>
          <w:sz w:val="18"/>
          <w:szCs w:val="18"/>
          <w:color w:val="auto"/>
        </w:rPr>
        <w:t>options and warrants. From June 2014 through March 31, 2019, we raised approximately $94.1 million in gross proceeds from various public and private offerings of our common stock as well as the exercise of stock options and warrants.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March 31, 2019 and December 31, 2018 (amounts in thousands):</w:t>
      </w:r>
    </w:p>
    <w:p>
      <w:pPr>
        <w:spacing w:after="0" w:line="260" w:lineRule="exact"/>
        <w:rPr>
          <w:sz w:val="20"/>
          <w:szCs w:val="20"/>
          <w:color w:val="auto"/>
        </w:rPr>
      </w:pPr>
    </w:p>
    <w:tbl>
      <w:tblPr>
        <w:tblLayout w:type="fixed"/>
        <w:tblInd w:w="13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March 31, 2019</w:t>
            </w:r>
          </w:p>
        </w:tc>
        <w:tc>
          <w:tcPr>
            <w:tcW w:w="2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2018</w:t>
            </w:r>
          </w:p>
        </w:tc>
      </w:tr>
      <w:tr>
        <w:trPr>
          <w:trHeight w:val="220"/>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Working capital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16,691</w:t>
            </w:r>
          </w:p>
        </w:tc>
        <w:tc>
          <w:tcPr>
            <w:tcW w:w="6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22,757</w:t>
            </w:r>
          </w:p>
        </w:tc>
        <w:tc>
          <w:tcPr>
            <w:tcW w:w="80" w:type="dxa"/>
            <w:vAlign w:val="bottom"/>
          </w:tcPr>
          <w:p>
            <w:pPr>
              <w:spacing w:after="0"/>
              <w:rPr>
                <w:sz w:val="19"/>
                <w:szCs w:val="19"/>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have limited working capital and liquid assets. Our cash as of March 31, 2019 was approximately $18.7 million. 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will be sufficient to fund our operations through the end of the fourth quarter of 2019.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disclosure of our contractual obligations and commitments was reported in our 2018 Annual Report. There have been no material changes from the contractual commitments and obligations previously disclosed in our 2018 Annual Report, other than the changes described in Note 6, “Commitments and Contingencies” to our condensed consolidated financial statements included elsewhere in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September 2018, we entered into an exclusive strategic alliance agreement with Health Tech Connex Inc., or HTC, and Heuro Canada, Inc., or Heuro. Under the terms of the agreement, Heuro is responsible for the development of the clinic systems to facilitate the commercialization of the PoNS Treatment in Canada. The agreement also provides for HTC to pay us CAD$750,000 in three annual payments of CAD$250,000 beginning December 31, 2019, in consideration for the exclusivity right we granted to Heuro. We and HTC have agreed to fund up 50% of the Heuro’s operating budget as agreed to by the joint steering committee, but not to exceed 50% of the operating budget associated with this arrangement, and share in the net profits and losses of Heuro on a 50/50 basis with HTC. The term of the agreement is the earlier of September 2023 or the formal adoption of a clinical expansion plan. For the three months ended March 31, 2019, we recorded $0.2 million in expenses for our share of the estimated costs incurred by Heuro which amounts were recorded as selling, general and administrative expenses in our consolidated statement of operations and comprehensive income (loss). We believe that the maximum exposure to loss as a result of our involvement with Heuro was CAD$0.6 million as of March 31, 2019, which represents our remaining obligation to fund Heuro’s operating budget of up to CAD$1.0 million.</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 other than that described above and in Note 7 to our condensed consolidated financial statements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critical accounting policies and estimates are described in Item 7 “Management’s Discussion and Analysis of Financial Condition and Results of Operations — Critical Accounting Policies and Estimates” of our 2018 Annual Report. There have been no changes in critical accounting policies in the current year from those described in our 2018 Annual Report, except for the adoption of ASU No. 2016-02,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method.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elected the package of practical expedients permitted under the transition guidance within the new standard which allowed us to carry forward the historical lease classification. Adoption of this standard resulted in the recording of an operating lease right-of-use (“ROU”) asset and corresponding operating lease liability of $0.7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In August 2018, the Financial Accounting Standards Board, or FASB, issued ASU 2018-13, </w:t>
      </w:r>
      <w:r>
        <w:rPr>
          <w:rFonts w:ascii="Arial" w:cs="Arial" w:eastAsia="Arial" w:hAnsi="Arial"/>
          <w:sz w:val="17"/>
          <w:szCs w:val="17"/>
          <w:i w:val="1"/>
          <w:iCs w:val="1"/>
          <w:color w:val="auto"/>
        </w:rPr>
        <w:t>Fair Value Measurement (Topic 820): Disclosure Framework-Changes to the Disclosure Requirements for Fair Value Measurement</w:t>
      </w:r>
      <w:r>
        <w:rPr>
          <w:rFonts w:ascii="Arial" w:cs="Arial" w:eastAsia="Arial" w:hAnsi="Arial"/>
          <w:sz w:val="17"/>
          <w:szCs w:val="17"/>
          <w:color w:val="auto"/>
        </w:rPr>
        <w:t>, which adds disclosure requirements to Topic 820 for the range and weighted average of</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unobservable inputs used to develop Level 3 fair value measurements. This ASU is effective for interim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5" w:name="page26"/>
    <w:bookmarkEnd w:id="25"/>
    <w:p>
      <w:pPr>
        <w:jc w:val="both"/>
        <w:spacing w:after="0" w:line="270" w:lineRule="auto"/>
        <w:rPr>
          <w:sz w:val="20"/>
          <w:szCs w:val="20"/>
          <w:color w:val="auto"/>
        </w:rPr>
      </w:pPr>
      <w:r>
        <w:rPr>
          <w:rFonts w:ascii="Arial" w:cs="Arial" w:eastAsia="Arial" w:hAnsi="Arial"/>
          <w:sz w:val="18"/>
          <w:szCs w:val="18"/>
          <w:color w:val="auto"/>
        </w:rPr>
        <w:t>and annual reporting periods beginning after December 15, 2019. We are evaluating the effect that ASU 2018-13 will have on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5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26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exposed to foreign currency exchange risk from the transfer of funds between the United States and Canada to satisfy obligations as we do not hedge our foreign exchange exposure.</w:t>
      </w: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Quarterly Report on Form 10-Q. Based on this evaluation, we have concluded that our disclosure controls and procedures were effective as of the end of the period covered by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Annual Report on Form 10-K for the year ended December 31, 2018. You should carefully consider the risk factors discussed in Part I, “Item 1A. Risk Factors” in our 2018 Annual Report. The risks described below and in our 2018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TGA for commercial distribution in Australia, and we may never obtain such authorizations.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currently have no products authorized for commercial distribution in either the United States, Europe or Australia. We are developing the PoNS device for use in the neuromodulation market, but we cannot begin marketing and selling the device in the United States, Europe or Australia until we obtain authorizations from the FDA, European Union or TGA, respectively. While we have submitted applications for regulatory marketing authorization in these jurisdictions with the exception of Australia,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31F20"/>
        </w:rPr>
        <w:t>In April 2019, the FDA declined our request for de novo classification and marketing authorization In reaching its conclusion, the FDA noted that it did not have sufficient information to discern the relative independent contributions of the PoNS device and physical therapy on the improvements from baseline in the effectiveness endpoints observed in our clinical trials. We intend to generate additional data to address the FDA’s concerns and resubmit our request for de novo classification. However, t</w:t>
      </w:r>
      <w:r>
        <w:rPr>
          <w:rFonts w:ascii="Arial" w:cs="Arial" w:eastAsia="Arial" w:hAnsi="Arial"/>
          <w:sz w:val="16"/>
          <w:szCs w:val="16"/>
          <w:color w:val="000000"/>
        </w:rPr>
        <w:t>he FDA has substantial discretion in the de novo review process and may refuse to accept our application or may decide that our new</w:t>
      </w:r>
      <w:r>
        <w:rPr>
          <w:rFonts w:ascii="Arial" w:cs="Arial" w:eastAsia="Arial" w:hAnsi="Arial"/>
          <w:sz w:val="16"/>
          <w:szCs w:val="16"/>
          <w:color w:val="231F20"/>
        </w:rPr>
        <w:t xml:space="preserve"> </w:t>
      </w:r>
      <w:r>
        <w:rPr>
          <w:rFonts w:ascii="Arial" w:cs="Arial" w:eastAsia="Arial" w:hAnsi="Arial"/>
          <w:sz w:val="16"/>
          <w:szCs w:val="16"/>
          <w:color w:val="000000"/>
        </w:rPr>
        <w:t>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able to complete development of the PoNS device and obtain marketing authorization of the PoNS device for the treatment of chronic balance deficit in patients with mmTBI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other marketing authorization could be substantial and would likely require additional funding, and each such indication would be subject to the same foregoing risks and uncertainties for FDA clearance/authorization.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4" w:lineRule="exact"/>
        <w:rPr>
          <w:sz w:val="20"/>
          <w:szCs w:val="20"/>
          <w:color w:val="auto"/>
        </w:rPr>
      </w:pPr>
    </w:p>
    <w:p>
      <w:pPr>
        <w:jc w:val="both"/>
        <w:spacing w:after="0" w:line="416" w:lineRule="auto"/>
        <w:rPr>
          <w:sz w:val="20"/>
          <w:szCs w:val="20"/>
          <w:color w:val="auto"/>
        </w:rPr>
      </w:pPr>
      <w:r>
        <w:rPr>
          <w:rFonts w:ascii="Arial" w:cs="Arial" w:eastAsia="Arial" w:hAnsi="Arial"/>
          <w:sz w:val="14"/>
          <w:szCs w:val="14"/>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Before we begin to label and market the PoNS Treatment for use in the United States, we are required to obtain marketing authorization via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reclassification request for our product or approval of pre-market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The process of obtaining regulatory authorizations or approvals, including completion of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7" w:name="page28"/>
    <w:bookmarkEnd w:id="27"/>
    <w:p>
      <w:pPr>
        <w:jc w:val="both"/>
        <w:spacing w:after="0" w:line="265" w:lineRule="auto"/>
        <w:rPr>
          <w:sz w:val="20"/>
          <w:szCs w:val="20"/>
          <w:color w:val="auto"/>
        </w:rPr>
      </w:pPr>
      <w:r>
        <w:rPr>
          <w:rFonts w:ascii="Arial" w:cs="Arial" w:eastAsia="Arial" w:hAnsi="Arial"/>
          <w:sz w:val="17"/>
          <w:szCs w:val="17"/>
          <w:color w:val="231F20"/>
        </w:rPr>
        <w:t xml:space="preserve">In August 2018, we submitted a request to the FDA for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classification of the PoNS device </w:t>
      </w:r>
      <w:r>
        <w:rPr>
          <w:rFonts w:ascii="Arial" w:cs="Arial" w:eastAsia="Arial" w:hAnsi="Arial"/>
          <w:sz w:val="17"/>
          <w:szCs w:val="17"/>
          <w:color w:val="000000"/>
        </w:rPr>
        <w:t>because there is currently no predicate cleared or approved by</w:t>
      </w:r>
      <w:r>
        <w:rPr>
          <w:rFonts w:ascii="Arial" w:cs="Arial" w:eastAsia="Arial" w:hAnsi="Arial"/>
          <w:sz w:val="17"/>
          <w:szCs w:val="17"/>
          <w:color w:val="231F20"/>
        </w:rPr>
        <w:t xml:space="preserve"> </w:t>
      </w:r>
      <w:r>
        <w:rPr>
          <w:rFonts w:ascii="Arial" w:cs="Arial" w:eastAsia="Arial" w:hAnsi="Arial"/>
          <w:sz w:val="17"/>
          <w:szCs w:val="17"/>
          <w:color w:val="000000"/>
        </w:rPr>
        <w:t xml:space="preserve">the FDA for commercial distribution and no existing classification decision by the FDA for such a device. </w:t>
      </w:r>
      <w:r>
        <w:rPr>
          <w:rFonts w:ascii="Arial" w:cs="Arial" w:eastAsia="Arial" w:hAnsi="Arial"/>
          <w:sz w:val="17"/>
          <w:szCs w:val="17"/>
          <w:color w:val="231F20"/>
        </w:rPr>
        <w:t>In April 2019, the FDA declined our request for</w:t>
      </w:r>
      <w:r>
        <w:rPr>
          <w:rFonts w:ascii="Arial" w:cs="Arial" w:eastAsia="Arial" w:hAnsi="Arial"/>
          <w:sz w:val="17"/>
          <w:szCs w:val="17"/>
          <w:color w:val="000000"/>
        </w:rPr>
        <w:t xml:space="preserve"> </w:t>
      </w:r>
      <w:r>
        <w:rPr>
          <w:rFonts w:ascii="Arial" w:cs="Arial" w:eastAsia="Arial" w:hAnsi="Arial"/>
          <w:sz w:val="17"/>
          <w:szCs w:val="17"/>
          <w:i w:val="1"/>
          <w:iCs w:val="1"/>
          <w:color w:val="231F20"/>
        </w:rPr>
        <w:t>de</w:t>
      </w:r>
      <w:r>
        <w:rPr>
          <w:rFonts w:ascii="Arial" w:cs="Arial" w:eastAsia="Arial" w:hAnsi="Arial"/>
          <w:sz w:val="17"/>
          <w:szCs w:val="17"/>
          <w:color w:val="000000"/>
        </w:rPr>
        <w:t xml:space="preserve"> </w:t>
      </w:r>
      <w:r>
        <w:rPr>
          <w:rFonts w:ascii="Arial" w:cs="Arial" w:eastAsia="Arial" w:hAnsi="Arial"/>
          <w:sz w:val="17"/>
          <w:szCs w:val="17"/>
          <w:i w:val="1"/>
          <w:iCs w:val="1"/>
          <w:color w:val="231F20"/>
        </w:rPr>
        <w:t xml:space="preserve">novo </w:t>
      </w:r>
      <w:r>
        <w:rPr>
          <w:rFonts w:ascii="Arial" w:cs="Arial" w:eastAsia="Arial" w:hAnsi="Arial"/>
          <w:sz w:val="17"/>
          <w:szCs w:val="17"/>
          <w:color w:val="231F20"/>
        </w:rPr>
        <w:t>classification. In reaching its conclusion, the FDA noted that it did not have sufficient information to discern the relative independent contributions of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 xml:space="preserve">PoNS device and physical therapy on the improvements from baseline in the effectiveness endpoints observed in our clinical trials. We intend to generate additional data to address the FDA’s concerns and resubmit our request for </w:t>
      </w:r>
      <w:r>
        <w:rPr>
          <w:rFonts w:ascii="Arial" w:cs="Arial" w:eastAsia="Arial" w:hAnsi="Arial"/>
          <w:sz w:val="17"/>
          <w:szCs w:val="17"/>
          <w:i w:val="1"/>
          <w:iCs w:val="1"/>
          <w:color w:val="231F20"/>
        </w:rPr>
        <w:t>de novo</w:t>
      </w:r>
      <w:r>
        <w:rPr>
          <w:rFonts w:ascii="Arial" w:cs="Arial" w:eastAsia="Arial" w:hAnsi="Arial"/>
          <w:sz w:val="17"/>
          <w:szCs w:val="17"/>
          <w:color w:val="231F20"/>
        </w:rPr>
        <w:t xml:space="preserve"> classification. Because </w:t>
      </w:r>
      <w:r>
        <w:rPr>
          <w:rFonts w:ascii="Arial" w:cs="Arial" w:eastAsia="Arial" w:hAnsi="Arial"/>
          <w:sz w:val="17"/>
          <w:szCs w:val="17"/>
          <w:color w:val="000000"/>
        </w:rPr>
        <w:t>the FDA has required us to go through a lengthier,</w:t>
      </w:r>
      <w:r>
        <w:rPr>
          <w:rFonts w:ascii="Arial" w:cs="Arial" w:eastAsia="Arial" w:hAnsi="Arial"/>
          <w:sz w:val="17"/>
          <w:szCs w:val="17"/>
          <w:color w:val="231F20"/>
        </w:rPr>
        <w:t xml:space="preserve"> </w:t>
      </w:r>
      <w:r>
        <w:rPr>
          <w:rFonts w:ascii="Arial" w:cs="Arial" w:eastAsia="Arial" w:hAnsi="Arial"/>
          <w:sz w:val="17"/>
          <w:szCs w:val="17"/>
          <w:color w:val="000000"/>
        </w:rPr>
        <w:t xml:space="preserve">more rigorous examination for the PoNS device for mmTBI, introducing the product will be delayed until we can generate sufficient additional data, which will cause our launch in the United States to be delayed or, in the event that the FDA does not find our additional data sufficient to support </w:t>
      </w:r>
      <w:r>
        <w:rPr>
          <w:rFonts w:ascii="Arial" w:cs="Arial" w:eastAsia="Arial" w:hAnsi="Arial"/>
          <w:sz w:val="17"/>
          <w:szCs w:val="17"/>
          <w:i w:val="1"/>
          <w:iCs w:val="1"/>
          <w:color w:val="000000"/>
        </w:rPr>
        <w:t>de novo</w:t>
      </w:r>
      <w:r>
        <w:rPr>
          <w:rFonts w:ascii="Arial" w:cs="Arial" w:eastAsia="Arial" w:hAnsi="Arial"/>
          <w:sz w:val="17"/>
          <w:szCs w:val="17"/>
          <w:color w:val="000000"/>
        </w:rPr>
        <w:t xml:space="preserve"> classification, we may be required to abandon our pursuit of approval to commercialize the PoNS device in the United States altogether. In addition, the FDA may determine that the PoNS device requires the more costly, lengthy and uncertain pre-market approval process. For example, if the FDA disagrees with our determination that the </w:t>
      </w:r>
      <w:r>
        <w:rPr>
          <w:rFonts w:ascii="Arial" w:cs="Arial" w:eastAsia="Arial" w:hAnsi="Arial"/>
          <w:sz w:val="17"/>
          <w:szCs w:val="17"/>
          <w:i w:val="1"/>
          <w:iCs w:val="1"/>
          <w:color w:val="000000"/>
        </w:rPr>
        <w:t>de novo</w:t>
      </w:r>
      <w:r>
        <w:rPr>
          <w:rFonts w:ascii="Arial" w:cs="Arial" w:eastAsia="Arial" w:hAnsi="Arial"/>
          <w:sz w:val="17"/>
          <w:szCs w:val="17"/>
          <w:color w:val="000000"/>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 if ever.</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Moreover, we are currently developing the PoNS device for other potential indications. At this time, we do not know what pathways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200" w:lineRule="exact"/>
        <w:rPr>
          <w:sz w:val="20"/>
          <w:szCs w:val="20"/>
          <w:color w:val="auto"/>
        </w:rPr>
      </w:pPr>
    </w:p>
    <w:p>
      <w:pPr>
        <w:spacing w:after="0" w:line="256" w:lineRule="exact"/>
        <w:rPr>
          <w:sz w:val="20"/>
          <w:szCs w:val="20"/>
          <w:color w:val="auto"/>
        </w:rPr>
      </w:pPr>
    </w:p>
    <w:p>
      <w:pPr>
        <w:jc w:val="both"/>
        <w:spacing w:after="0" w:line="367" w:lineRule="auto"/>
        <w:rPr>
          <w:sz w:val="20"/>
          <w:szCs w:val="20"/>
          <w:color w:val="auto"/>
        </w:rPr>
      </w:pPr>
      <w:r>
        <w:rPr>
          <w:rFonts w:ascii="Arial" w:cs="Arial" w:eastAsia="Arial" w:hAnsi="Arial"/>
          <w:sz w:val="14"/>
          <w:szCs w:val="14"/>
          <w:b w:val="1"/>
          <w:bCs w:val="1"/>
          <w:i w:val="1"/>
          <w:iCs w:val="1"/>
          <w:color w:val="auto"/>
        </w:rPr>
        <w:t>We may be required to conduct a clinical trial to support a Premarket Approval application for the PoNS device and we expect to be required to conduct clinical trials to support regulatory marketing authorization of some of our potential future product candidates. Clinical trials are complex, expensive and may proceed more slowly than anticipated, and we cannot be certain that our product candidate will be shown to be safe and effective for human use.</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or is not exempt from premarket review by the FDA. In April 2019, the FDA declined our </w:t>
      </w:r>
      <w:r>
        <w:rPr>
          <w:rFonts w:ascii="Arial" w:cs="Arial" w:eastAsia="Arial" w:hAnsi="Arial"/>
          <w:sz w:val="16"/>
          <w:szCs w:val="16"/>
          <w:color w:val="231F20"/>
        </w:rPr>
        <w:t>request for</w:t>
      </w:r>
      <w:r>
        <w:rPr>
          <w:rFonts w:ascii="Arial" w:cs="Arial" w:eastAsia="Arial" w:hAnsi="Arial"/>
          <w:sz w:val="16"/>
          <w:szCs w:val="16"/>
          <w:color w:val="auto"/>
        </w:rPr>
        <w:t xml:space="preserve"> </w:t>
      </w:r>
      <w:r>
        <w:rPr>
          <w:rFonts w:ascii="Arial" w:cs="Arial" w:eastAsia="Arial" w:hAnsi="Arial"/>
          <w:sz w:val="16"/>
          <w:szCs w:val="16"/>
          <w:i w:val="1"/>
          <w:iCs w:val="1"/>
          <w:color w:val="231F20"/>
        </w:rPr>
        <w:t>de novo</w:t>
      </w:r>
      <w:r>
        <w:rPr>
          <w:rFonts w:ascii="Arial" w:cs="Arial" w:eastAsia="Arial" w:hAnsi="Arial"/>
          <w:sz w:val="16"/>
          <w:szCs w:val="16"/>
          <w:color w:val="auto"/>
        </w:rPr>
        <w:t xml:space="preserve"> </w:t>
      </w:r>
      <w:r>
        <w:rPr>
          <w:rFonts w:ascii="Arial" w:cs="Arial" w:eastAsia="Arial" w:hAnsi="Arial"/>
          <w:sz w:val="16"/>
          <w:szCs w:val="16"/>
          <w:color w:val="231F20"/>
        </w:rPr>
        <w:t xml:space="preserve">classification. However, we intend to generate additional data, which may include clinical data, to address the FDA’s concerns and resubmit our request for </w:t>
      </w:r>
      <w:r>
        <w:rPr>
          <w:rFonts w:ascii="Arial" w:cs="Arial" w:eastAsia="Arial" w:hAnsi="Arial"/>
          <w:sz w:val="16"/>
          <w:szCs w:val="16"/>
          <w:i w:val="1"/>
          <w:iCs w:val="1"/>
          <w:color w:val="231F20"/>
        </w:rPr>
        <w:t>de</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novo </w:t>
      </w:r>
      <w:r>
        <w:rPr>
          <w:rFonts w:ascii="Arial" w:cs="Arial" w:eastAsia="Arial" w:hAnsi="Arial"/>
          <w:sz w:val="16"/>
          <w:szCs w:val="16"/>
          <w:color w:val="231F20"/>
        </w:rPr>
        <w:t>classification.</w:t>
      </w:r>
      <w:r>
        <w:rPr>
          <w:rFonts w:ascii="Arial" w:cs="Arial" w:eastAsia="Arial" w:hAnsi="Arial"/>
          <w:sz w:val="16"/>
          <w:szCs w:val="16"/>
          <w:i w:val="1"/>
          <w:iCs w:val="1"/>
          <w:color w:val="231F20"/>
        </w:rPr>
        <w:t xml:space="preserve"> </w:t>
      </w:r>
      <w:r>
        <w:rPr>
          <w:rFonts w:ascii="Arial" w:cs="Arial" w:eastAsia="Arial" w:hAnsi="Arial"/>
          <w:sz w:val="16"/>
          <w:szCs w:val="16"/>
          <w:color w:val="000000"/>
        </w:rPr>
        <w:t>We could also be required to submit a PMA application for other potential future product candidates. If we are required by the FDA to</w:t>
      </w:r>
      <w:r>
        <w:rPr>
          <w:rFonts w:ascii="Arial" w:cs="Arial" w:eastAsia="Arial" w:hAnsi="Arial"/>
          <w:sz w:val="16"/>
          <w:szCs w:val="16"/>
          <w:i w:val="1"/>
          <w:iCs w:val="1"/>
          <w:color w:val="231F20"/>
        </w:rPr>
        <w:t xml:space="preserve"> </w:t>
      </w:r>
      <w:r>
        <w:rPr>
          <w:rFonts w:ascii="Arial" w:cs="Arial" w:eastAsia="Arial" w:hAnsi="Arial"/>
          <w:sz w:val="16"/>
          <w:szCs w:val="16"/>
          <w:color w:val="000000"/>
        </w:rPr>
        <w:t>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Clinical trials are complex, expensive, time consuming, uncertain and are subject to substantial and unanticipated delays. Before we may begin clinical trials,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experience or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2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8" w:name="page29"/>
    <w:bookmarkEnd w:id="28"/>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655" w:right="1440" w:bottom="1440" w:gutter="0" w:footer="0" w:header="0"/>
        </w:sectPr>
      </w:pPr>
    </w:p>
    <w:bookmarkStart w:id="29" w:name="page30"/>
    <w:bookmarkEnd w:id="2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040" w:type="dxa"/>
            <w:vAlign w:val="bottom"/>
            <w:gridSpan w:val="7"/>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160" w:type="dxa"/>
            <w:vAlign w:val="bottom"/>
          </w:tcPr>
          <w:p>
            <w:pPr>
              <w:spacing w:after="0" w:line="188" w:lineRule="exact"/>
              <w:rPr>
                <w:sz w:val="20"/>
                <w:szCs w:val="20"/>
                <w:color w:val="auto"/>
              </w:rPr>
            </w:pPr>
            <w:r>
              <w:rPr>
                <w:rFonts w:ascii="Arial" w:cs="Arial" w:eastAsia="Arial" w:hAnsi="Arial"/>
                <w:sz w:val="18"/>
                <w:szCs w:val="18"/>
                <w:color w:val="auto"/>
              </w:rPr>
              <w:t>3.1</w:t>
            </w:r>
          </w:p>
        </w:tc>
        <w:tc>
          <w:tcPr>
            <w:tcW w:w="10040" w:type="dxa"/>
            <w:vAlign w:val="bottom"/>
            <w:tcBorders>
              <w:bottom w:val="single" w:sz="8" w:color="0000EE"/>
            </w:tcBorders>
            <w:gridSpan w:val="7"/>
          </w:tcPr>
          <w:p>
            <w:pPr>
              <w:spacing w:after="0" w:line="188"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Certificate of Conversion filed with the Delaware Secretary of State on July 18, 2018 (incorporated by reference to Exhibit 3.1 to the Form</w:t>
              </w:r>
            </w:hyperlink>
          </w:p>
        </w:tc>
      </w:tr>
      <w:tr>
        <w:trPr>
          <w:trHeight w:val="194"/>
        </w:trPr>
        <w:tc>
          <w:tcPr>
            <w:tcW w:w="1160" w:type="dxa"/>
            <w:vAlign w:val="bottom"/>
          </w:tcPr>
          <w:p>
            <w:pPr>
              <w:spacing w:after="0"/>
              <w:rPr>
                <w:sz w:val="16"/>
                <w:szCs w:val="16"/>
                <w:color w:val="auto"/>
              </w:rPr>
            </w:pPr>
          </w:p>
        </w:tc>
        <w:tc>
          <w:tcPr>
            <w:tcW w:w="10040" w:type="dxa"/>
            <w:vAlign w:val="bottom"/>
            <w:gridSpan w:val="7"/>
          </w:tcPr>
          <w:p>
            <w:pPr>
              <w:spacing w:after="0" w:line="194" w:lineRule="exact"/>
              <w:rPr>
                <w:rFonts w:ascii="Arial" w:cs="Arial" w:eastAsia="Arial" w:hAnsi="Arial"/>
                <w:sz w:val="18"/>
                <w:szCs w:val="18"/>
                <w:color w:val="0000EE"/>
              </w:rPr>
            </w:pPr>
            <w:hyperlink r:id="rId56">
              <w:r>
                <w:rPr>
                  <w:rFonts w:ascii="Arial" w:cs="Arial" w:eastAsia="Arial" w:hAnsi="Arial"/>
                  <w:sz w:val="18"/>
                  <w:szCs w:val="18"/>
                  <w:color w:val="0000EE"/>
                </w:rPr>
                <w:t>10-Q filed August 9, 2018)</w:t>
              </w:r>
            </w:hyperlink>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3.2</w:t>
            </w:r>
          </w:p>
        </w:tc>
        <w:tc>
          <w:tcPr>
            <w:tcW w:w="10040" w:type="dxa"/>
            <w:vAlign w:val="bottom"/>
            <w:gridSpan w:val="7"/>
          </w:tcPr>
          <w:p>
            <w:pPr>
              <w:spacing w:after="0" w:line="194" w:lineRule="exact"/>
              <w:rPr>
                <w:rFonts w:ascii="Arial" w:cs="Arial" w:eastAsia="Arial" w:hAnsi="Arial"/>
                <w:sz w:val="18"/>
                <w:szCs w:val="18"/>
                <w:color w:val="0000EE"/>
              </w:rPr>
            </w:pPr>
            <w:hyperlink r:id="rId57">
              <w:r>
                <w:rPr>
                  <w:rFonts w:ascii="Arial" w:cs="Arial" w:eastAsia="Arial" w:hAnsi="Arial"/>
                  <w:sz w:val="18"/>
                  <w:szCs w:val="18"/>
                  <w:color w:val="0000EE"/>
                </w:rPr>
                <w:t>Certificate of Incorporation, as corrected (incorporated by reference to Exhibit 3.1 to the Form 8-K filed October 30, 2018)</w:t>
              </w:r>
            </w:hyperlink>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3.3</w:t>
            </w:r>
          </w:p>
        </w:tc>
        <w:tc>
          <w:tcPr>
            <w:tcW w:w="8760" w:type="dxa"/>
            <w:vAlign w:val="bottom"/>
            <w:tcBorders>
              <w:top w:val="single" w:sz="8" w:color="0000EE"/>
            </w:tcBorders>
            <w:gridSpan w:val="5"/>
          </w:tcPr>
          <w:p>
            <w:pPr>
              <w:spacing w:after="0" w:line="194"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Bylaws as amended and restated (incorporated by reference to Exhibit 3.3 to the Form 10-Q filed August 9, 2018)</w:t>
              </w:r>
            </w:hyperlink>
          </w:p>
        </w:tc>
        <w:tc>
          <w:tcPr>
            <w:tcW w:w="1280" w:type="dxa"/>
            <w:vAlign w:val="bottom"/>
            <w:gridSpan w:val="2"/>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78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31.1#</w:t>
            </w:r>
          </w:p>
        </w:tc>
        <w:tc>
          <w:tcPr>
            <w:tcW w:w="10040" w:type="dxa"/>
            <w:vAlign w:val="bottom"/>
            <w:gridSpan w:val="7"/>
          </w:tcPr>
          <w:p>
            <w:pPr>
              <w:spacing w:after="0" w:line="194" w:lineRule="exact"/>
              <w:rPr>
                <w:sz w:val="20"/>
                <w:szCs w:val="20"/>
                <w:color w:val="auto"/>
              </w:rPr>
            </w:pPr>
            <w:r>
              <w:rPr>
                <w:rFonts w:ascii="Arial" w:cs="Arial" w:eastAsia="Arial" w:hAnsi="Arial"/>
                <w:sz w:val="18"/>
                <w:szCs w:val="18"/>
                <w:color w:val="0000EE"/>
                <w:w w:val="89"/>
              </w:rPr>
              <w:t>Certification of Chief Executive Officer pursuant to Rule 13a-14(a) and Rule 15d-14(a), as adopted pursuant to Section 302 of the Sarbanes-</w:t>
            </w:r>
          </w:p>
        </w:tc>
      </w:tr>
      <w:tr>
        <w:trPr>
          <w:trHeight w:val="194"/>
        </w:trPr>
        <w:tc>
          <w:tcPr>
            <w:tcW w:w="116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2"/>
          </w:tcPr>
          <w:p>
            <w:pPr>
              <w:spacing w:after="0" w:line="194" w:lineRule="exact"/>
              <w:rPr>
                <w:sz w:val="20"/>
                <w:szCs w:val="20"/>
                <w:color w:val="auto"/>
              </w:rPr>
            </w:pPr>
            <w:r>
              <w:rPr>
                <w:rFonts w:ascii="Arial" w:cs="Arial" w:eastAsia="Arial" w:hAnsi="Arial"/>
                <w:sz w:val="18"/>
                <w:szCs w:val="18"/>
                <w:color w:val="0000EE"/>
                <w:w w:val="92"/>
              </w:rPr>
              <w:t>Oxley Act of 2002</w:t>
            </w:r>
          </w:p>
        </w:tc>
        <w:tc>
          <w:tcPr>
            <w:tcW w:w="8680" w:type="dxa"/>
            <w:vAlign w:val="bottom"/>
            <w:tcBorders>
              <w:top w:val="single" w:sz="8" w:color="0000EE"/>
            </w:tcBorders>
            <w:gridSpan w:val="4"/>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31.2#</w:t>
            </w:r>
          </w:p>
        </w:tc>
        <w:tc>
          <w:tcPr>
            <w:tcW w:w="10040" w:type="dxa"/>
            <w:vAlign w:val="bottom"/>
            <w:gridSpan w:val="7"/>
          </w:tcPr>
          <w:p>
            <w:pPr>
              <w:spacing w:after="0" w:line="194" w:lineRule="exact"/>
              <w:rPr>
                <w:sz w:val="20"/>
                <w:szCs w:val="20"/>
                <w:color w:val="auto"/>
              </w:rPr>
            </w:pPr>
            <w:r>
              <w:rPr>
                <w:rFonts w:ascii="Arial" w:cs="Arial" w:eastAsia="Arial" w:hAnsi="Arial"/>
                <w:sz w:val="18"/>
                <w:szCs w:val="18"/>
                <w:color w:val="0000EE"/>
                <w:w w:val="90"/>
              </w:rPr>
              <w:t>Certification of Chief Financial Officer pursuant to Rule 13a-14(a) and Rule 15d-14(a), as adopted pursuant to Section302 of the Sarbanes-</w:t>
            </w:r>
          </w:p>
        </w:tc>
      </w:tr>
      <w:tr>
        <w:trPr>
          <w:trHeight w:val="194"/>
        </w:trPr>
        <w:tc>
          <w:tcPr>
            <w:tcW w:w="116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2"/>
          </w:tcPr>
          <w:p>
            <w:pPr>
              <w:spacing w:after="0" w:line="194" w:lineRule="exact"/>
              <w:rPr>
                <w:sz w:val="20"/>
                <w:szCs w:val="20"/>
                <w:color w:val="auto"/>
              </w:rPr>
            </w:pPr>
            <w:r>
              <w:rPr>
                <w:rFonts w:ascii="Arial" w:cs="Arial" w:eastAsia="Arial" w:hAnsi="Arial"/>
                <w:sz w:val="18"/>
                <w:szCs w:val="18"/>
                <w:color w:val="0000EE"/>
                <w:w w:val="92"/>
              </w:rPr>
              <w:t>Oxley Act of 2002</w:t>
            </w:r>
          </w:p>
        </w:tc>
        <w:tc>
          <w:tcPr>
            <w:tcW w:w="8680" w:type="dxa"/>
            <w:vAlign w:val="bottom"/>
            <w:tcBorders>
              <w:top w:val="single" w:sz="8" w:color="0000EE"/>
            </w:tcBorders>
            <w:gridSpan w:val="4"/>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7"/>
          </w:tcPr>
          <w:p>
            <w:pPr>
              <w:spacing w:after="0" w:line="194"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906 of the Sarbanes-Oxley Act</w:t>
            </w:r>
          </w:p>
        </w:tc>
      </w:tr>
      <w:tr>
        <w:trPr>
          <w:trHeight w:val="194"/>
        </w:trPr>
        <w:tc>
          <w:tcPr>
            <w:tcW w:w="1160" w:type="dxa"/>
            <w:vAlign w:val="bottom"/>
          </w:tcPr>
          <w:p>
            <w:pPr>
              <w:spacing w:after="0"/>
              <w:rPr>
                <w:sz w:val="16"/>
                <w:szCs w:val="16"/>
                <w:color w:val="auto"/>
              </w:rPr>
            </w:pPr>
          </w:p>
        </w:tc>
        <w:tc>
          <w:tcPr>
            <w:tcW w:w="560" w:type="dxa"/>
            <w:vAlign w:val="bottom"/>
            <w:tcBorders>
              <w:bottom w:val="single" w:sz="8" w:color="0000EE"/>
            </w:tcBorders>
          </w:tcPr>
          <w:p>
            <w:pPr>
              <w:spacing w:after="0" w:line="194" w:lineRule="exact"/>
              <w:rPr>
                <w:sz w:val="20"/>
                <w:szCs w:val="20"/>
                <w:color w:val="auto"/>
              </w:rPr>
            </w:pPr>
            <w:r>
              <w:rPr>
                <w:rFonts w:ascii="Arial" w:cs="Arial" w:eastAsia="Arial" w:hAnsi="Arial"/>
                <w:sz w:val="18"/>
                <w:szCs w:val="18"/>
                <w:color w:val="0000EE"/>
                <w:w w:val="89"/>
              </w:rPr>
              <w:t>of 2002</w:t>
            </w:r>
          </w:p>
        </w:tc>
        <w:tc>
          <w:tcPr>
            <w:tcW w:w="9480" w:type="dxa"/>
            <w:vAlign w:val="bottom"/>
            <w:gridSpan w:val="6"/>
          </w:tcPr>
          <w:p>
            <w:pPr>
              <w:spacing w:after="0"/>
              <w:rPr>
                <w:sz w:val="16"/>
                <w:szCs w:val="16"/>
                <w:color w:val="auto"/>
              </w:rPr>
            </w:pPr>
          </w:p>
        </w:tc>
      </w:tr>
      <w:tr>
        <w:trPr>
          <w:trHeight w:val="194"/>
        </w:trPr>
        <w:tc>
          <w:tcPr>
            <w:tcW w:w="1160" w:type="dxa"/>
            <w:vAlign w:val="bottom"/>
          </w:tcPr>
          <w:p>
            <w:pPr>
              <w:spacing w:after="0" w:line="194" w:lineRule="exact"/>
              <w:rPr>
                <w:sz w:val="20"/>
                <w:szCs w:val="20"/>
                <w:color w:val="auto"/>
              </w:rPr>
            </w:pPr>
            <w:r>
              <w:rPr>
                <w:rFonts w:ascii="Arial" w:cs="Arial" w:eastAsia="Arial" w:hAnsi="Arial"/>
                <w:sz w:val="18"/>
                <w:szCs w:val="18"/>
                <w:color w:val="auto"/>
              </w:rPr>
              <w:t>32.2#*</w:t>
            </w:r>
          </w:p>
        </w:tc>
        <w:tc>
          <w:tcPr>
            <w:tcW w:w="10040" w:type="dxa"/>
            <w:vAlign w:val="bottom"/>
            <w:gridSpan w:val="7"/>
          </w:tcPr>
          <w:p>
            <w:pPr>
              <w:spacing w:after="0" w:line="194"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906 of the Sarbanes-Oxley Act</w:t>
            </w:r>
          </w:p>
        </w:tc>
      </w:tr>
      <w:tr>
        <w:trPr>
          <w:trHeight w:val="194"/>
        </w:trPr>
        <w:tc>
          <w:tcPr>
            <w:tcW w:w="116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94" w:lineRule="exact"/>
              <w:rPr>
                <w:sz w:val="20"/>
                <w:szCs w:val="20"/>
                <w:color w:val="auto"/>
              </w:rPr>
            </w:pPr>
            <w:r>
              <w:rPr>
                <w:rFonts w:ascii="Arial" w:cs="Arial" w:eastAsia="Arial" w:hAnsi="Arial"/>
                <w:sz w:val="18"/>
                <w:szCs w:val="18"/>
                <w:color w:val="0000EE"/>
                <w:w w:val="89"/>
              </w:rPr>
              <w:t>of 2002</w:t>
            </w:r>
          </w:p>
        </w:tc>
        <w:tc>
          <w:tcPr>
            <w:tcW w:w="9460" w:type="dxa"/>
            <w:vAlign w:val="bottom"/>
            <w:tcBorders>
              <w:top w:val="single" w:sz="8" w:color="0000EE"/>
            </w:tcBorders>
            <w:gridSpan w:val="5"/>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7"/>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3" w:lineRule="exact"/>
        <w:rPr>
          <w:sz w:val="20"/>
          <w:szCs w:val="20"/>
          <w:color w:val="auto"/>
        </w:rPr>
      </w:pPr>
    </w:p>
    <w:p>
      <w:pPr>
        <w:jc w:val="both"/>
        <w:ind w:firstLine="7"/>
        <w:spacing w:after="0" w:line="259" w:lineRule="auto"/>
        <w:tabs>
          <w:tab w:leader="none" w:pos="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485"/>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7900" w:type="dxa"/>
            <w:vAlign w:val="bottom"/>
            <w:gridSpan w:val="2"/>
          </w:tcPr>
          <w:p>
            <w:pPr>
              <w:ind w:left="3300"/>
              <w:spacing w:after="0"/>
              <w:rPr>
                <w:sz w:val="20"/>
                <w:szCs w:val="20"/>
                <w:color w:val="auto"/>
              </w:rPr>
            </w:pPr>
            <w:r>
              <w:rPr>
                <w:rFonts w:ascii="Arial" w:cs="Arial" w:eastAsia="Arial" w:hAnsi="Arial"/>
                <w:sz w:val="18"/>
                <w:szCs w:val="18"/>
                <w:color w:val="auto"/>
              </w:rPr>
              <w:t>HELIUS MEDICAL TECHNOLOGIES, INC.</w:t>
            </w:r>
          </w:p>
        </w:tc>
      </w:tr>
      <w:tr>
        <w:trPr>
          <w:trHeight w:val="428"/>
        </w:trPr>
        <w:tc>
          <w:tcPr>
            <w:tcW w:w="3520" w:type="dxa"/>
            <w:vAlign w:val="bottom"/>
          </w:tcPr>
          <w:p>
            <w:pPr>
              <w:spacing w:after="0"/>
              <w:rPr>
                <w:sz w:val="20"/>
                <w:szCs w:val="20"/>
                <w:color w:val="auto"/>
              </w:rPr>
            </w:pPr>
            <w:r>
              <w:rPr>
                <w:rFonts w:ascii="Arial" w:cs="Arial" w:eastAsia="Arial" w:hAnsi="Arial"/>
                <w:sz w:val="18"/>
                <w:szCs w:val="18"/>
                <w:color w:val="auto"/>
              </w:rPr>
              <w:t>Dated: May 9, 2019</w:t>
            </w:r>
          </w:p>
        </w:tc>
        <w:tc>
          <w:tcPr>
            <w:tcW w:w="7900" w:type="dxa"/>
            <w:vAlign w:val="bottom"/>
            <w:gridSpan w:val="2"/>
          </w:tcPr>
          <w:p>
            <w:pPr>
              <w:ind w:left="3300"/>
              <w:spacing w:after="0"/>
              <w:rPr>
                <w:sz w:val="20"/>
                <w:szCs w:val="20"/>
                <w:color w:val="auto"/>
              </w:rPr>
            </w:pPr>
            <w:r>
              <w:rPr>
                <w:rFonts w:ascii="Arial" w:cs="Arial" w:eastAsia="Arial" w:hAnsi="Arial"/>
                <w:sz w:val="18"/>
                <w:szCs w:val="18"/>
                <w:color w:val="auto"/>
              </w:rPr>
              <w:t>By: /s/ Philippe Deschamps</w:t>
            </w:r>
          </w:p>
        </w:tc>
      </w:tr>
      <w:tr>
        <w:trPr>
          <w:trHeight w:val="193"/>
        </w:trPr>
        <w:tc>
          <w:tcPr>
            <w:tcW w:w="35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3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Philippe Deschamps</w:t>
            </w:r>
          </w:p>
        </w:tc>
      </w:tr>
      <w:tr>
        <w:trPr>
          <w:trHeight w:val="227"/>
        </w:trPr>
        <w:tc>
          <w:tcPr>
            <w:tcW w:w="35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28"/>
        </w:trPr>
        <w:tc>
          <w:tcPr>
            <w:tcW w:w="3520" w:type="dxa"/>
            <w:vAlign w:val="bottom"/>
          </w:tcPr>
          <w:p>
            <w:pPr>
              <w:spacing w:after="0"/>
              <w:rPr>
                <w:sz w:val="20"/>
                <w:szCs w:val="20"/>
                <w:color w:val="auto"/>
              </w:rPr>
            </w:pPr>
            <w:r>
              <w:rPr>
                <w:rFonts w:ascii="Arial" w:cs="Arial" w:eastAsia="Arial" w:hAnsi="Arial"/>
                <w:sz w:val="18"/>
                <w:szCs w:val="18"/>
                <w:color w:val="auto"/>
              </w:rPr>
              <w:t>Dated: May 9, 2019</w:t>
            </w:r>
          </w:p>
        </w:tc>
        <w:tc>
          <w:tcPr>
            <w:tcW w:w="7900" w:type="dxa"/>
            <w:vAlign w:val="bottom"/>
            <w:gridSpan w:val="2"/>
          </w:tcPr>
          <w:p>
            <w:pPr>
              <w:ind w:left="3300"/>
              <w:spacing w:after="0"/>
              <w:rPr>
                <w:sz w:val="20"/>
                <w:szCs w:val="20"/>
                <w:color w:val="auto"/>
              </w:rPr>
            </w:pPr>
            <w:r>
              <w:rPr>
                <w:rFonts w:ascii="Arial" w:cs="Arial" w:eastAsia="Arial" w:hAnsi="Arial"/>
                <w:sz w:val="18"/>
                <w:szCs w:val="18"/>
                <w:color w:val="auto"/>
              </w:rPr>
              <w:t>By: /s/ Joyce LaViscount</w:t>
            </w:r>
          </w:p>
        </w:tc>
      </w:tr>
      <w:tr>
        <w:trPr>
          <w:trHeight w:val="193"/>
        </w:trPr>
        <w:tc>
          <w:tcPr>
            <w:tcW w:w="35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3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Joyce LaViscount</w:t>
            </w:r>
          </w:p>
        </w:tc>
      </w:tr>
      <w:tr>
        <w:trPr>
          <w:trHeight w:val="214"/>
        </w:trPr>
        <w:tc>
          <w:tcPr>
            <w:tcW w:w="35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Accounting</w:t>
            </w:r>
          </w:p>
        </w:tc>
      </w:tr>
      <w:tr>
        <w:trPr>
          <w:trHeight w:val="227"/>
        </w:trPr>
        <w:tc>
          <w:tcPr>
            <w:tcW w:w="35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68"/>
        </w:trPr>
        <w:tc>
          <w:tcPr>
            <w:tcW w:w="3520" w:type="dxa"/>
            <w:vAlign w:val="bottom"/>
          </w:tcPr>
          <w:p>
            <w:pPr>
              <w:spacing w:after="0"/>
              <w:rPr>
                <w:sz w:val="24"/>
                <w:szCs w:val="24"/>
                <w:color w:val="auto"/>
              </w:rPr>
            </w:pPr>
          </w:p>
        </w:tc>
        <w:tc>
          <w:tcPr>
            <w:tcW w:w="3600" w:type="dxa"/>
            <w:vAlign w:val="bottom"/>
          </w:tcPr>
          <w:p>
            <w:pPr>
              <w:jc w:val="right"/>
              <w:ind w:right="1231"/>
              <w:spacing w:after="0"/>
              <w:rPr>
                <w:sz w:val="20"/>
                <w:szCs w:val="20"/>
                <w:color w:val="auto"/>
              </w:rPr>
            </w:pPr>
            <w:r>
              <w:rPr>
                <w:rFonts w:ascii="Arial" w:cs="Arial" w:eastAsia="Arial" w:hAnsi="Arial"/>
                <w:sz w:val="18"/>
                <w:szCs w:val="18"/>
                <w:color w:val="auto"/>
              </w:rPr>
              <w:t>31</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335" w:right="239" w:bottom="1440" w:gutter="0" w:footer="0" w:header="0"/>
        </w:sectPr>
      </w:pPr>
    </w:p>
    <w:bookmarkStart w:id="31" w:name="page32"/>
    <w:bookmarkEnd w:id="31"/>
    <w:p>
      <w:pPr>
        <w:ind w:left="10300"/>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Phillippe Deschamps, certify that:</w:t>
      </w:r>
    </w:p>
    <w:p>
      <w:pPr>
        <w:spacing w:after="0" w:line="220" w:lineRule="exact"/>
        <w:rPr>
          <w:sz w:val="20"/>
          <w:szCs w:val="20"/>
          <w:color w:val="auto"/>
        </w:rPr>
      </w:pPr>
    </w:p>
    <w:p>
      <w:pPr>
        <w:ind w:left="680" w:hanging="18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0" w:lineRule="exact"/>
        <w:rPr>
          <w:rFonts w:ascii="Arial" w:cs="Arial" w:eastAsia="Arial" w:hAnsi="Arial"/>
          <w:sz w:val="18"/>
          <w:szCs w:val="18"/>
          <w:color w:val="auto"/>
        </w:rPr>
      </w:pPr>
    </w:p>
    <w:p>
      <w:pPr>
        <w:ind w:left="500" w:right="20" w:hanging="8"/>
        <w:spacing w:after="0" w:line="334" w:lineRule="auto"/>
        <w:tabs>
          <w:tab w:leader="none" w:pos="7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500" w:hanging="8"/>
        <w:spacing w:after="0" w:line="270" w:lineRule="auto"/>
        <w:tabs>
          <w:tab w:leader="none" w:pos="7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500" w:hanging="8"/>
        <w:spacing w:after="0" w:line="300" w:lineRule="auto"/>
        <w:tabs>
          <w:tab w:leader="none" w:pos="6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7"/>
          <w:szCs w:val="17"/>
          <w:color w:val="auto"/>
        </w:rPr>
      </w:pPr>
    </w:p>
    <w:p>
      <w:pPr>
        <w:jc w:val="both"/>
        <w:ind w:left="500" w:firstLine="456"/>
        <w:spacing w:after="0" w:line="259" w:lineRule="auto"/>
        <w:tabs>
          <w:tab w:leader="none" w:pos="115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jc w:val="both"/>
        <w:ind w:left="500" w:firstLine="456"/>
        <w:spacing w:after="0" w:line="259" w:lineRule="auto"/>
        <w:tabs>
          <w:tab w:leader="none" w:pos="118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left="500" w:firstLine="456"/>
        <w:spacing w:after="0" w:line="300" w:lineRule="auto"/>
        <w:tabs>
          <w:tab w:leader="none" w:pos="11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7"/>
          <w:szCs w:val="17"/>
          <w:color w:val="auto"/>
        </w:rPr>
      </w:pPr>
    </w:p>
    <w:p>
      <w:pPr>
        <w:jc w:val="both"/>
        <w:ind w:left="500" w:firstLine="456"/>
        <w:spacing w:after="0" w:line="259" w:lineRule="auto"/>
        <w:tabs>
          <w:tab w:leader="none" w:pos="11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00" w:hanging="8"/>
        <w:spacing w:after="0" w:line="270" w:lineRule="auto"/>
        <w:tabs>
          <w:tab w:leader="none" w:pos="6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8"/>
          <w:szCs w:val="18"/>
          <w:color w:val="auto"/>
        </w:rPr>
      </w:pPr>
    </w:p>
    <w:p>
      <w:pPr>
        <w:ind w:left="500" w:firstLine="456"/>
        <w:spacing w:after="0" w:line="270" w:lineRule="auto"/>
        <w:tabs>
          <w:tab w:leader="none" w:pos="115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left="500" w:right="20" w:firstLine="456"/>
        <w:spacing w:after="0" w:line="270" w:lineRule="auto"/>
        <w:tabs>
          <w:tab w:leader="none" w:pos="11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60" w:type="dxa"/>
            <w:vAlign w:val="bottom"/>
          </w:tcPr>
          <w:p>
            <w:pPr>
              <w:spacing w:after="0"/>
              <w:rPr>
                <w:sz w:val="20"/>
                <w:szCs w:val="20"/>
                <w:color w:val="auto"/>
              </w:rPr>
            </w:pPr>
            <w:r>
              <w:rPr>
                <w:rFonts w:ascii="Arial" w:cs="Arial" w:eastAsia="Arial" w:hAnsi="Arial"/>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Phillippe Deschamps</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420"/>
          </w:cols>
          <w:pgMar w:left="240" w:top="348" w:right="239" w:bottom="1440" w:gutter="0" w:footer="0" w:header="0"/>
        </w:sectPr>
      </w:pPr>
    </w:p>
    <w:bookmarkStart w:id="32" w:name="page33"/>
    <w:bookmarkEnd w:id="32"/>
    <w:p>
      <w:pPr>
        <w:ind w:left="10300"/>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0" w:lineRule="exact"/>
        <w:rPr>
          <w:sz w:val="20"/>
          <w:szCs w:val="20"/>
          <w:color w:val="auto"/>
        </w:rPr>
      </w:pPr>
    </w:p>
    <w:p>
      <w:pPr>
        <w:ind w:left="680" w:hanging="18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0" w:lineRule="exact"/>
        <w:rPr>
          <w:rFonts w:ascii="Arial" w:cs="Arial" w:eastAsia="Arial" w:hAnsi="Arial"/>
          <w:sz w:val="18"/>
          <w:szCs w:val="18"/>
          <w:color w:val="auto"/>
        </w:rPr>
      </w:pPr>
    </w:p>
    <w:p>
      <w:pPr>
        <w:ind w:left="500" w:right="20" w:hanging="8"/>
        <w:spacing w:after="0" w:line="334" w:lineRule="auto"/>
        <w:tabs>
          <w:tab w:leader="none" w:pos="7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500" w:hanging="8"/>
        <w:spacing w:after="0" w:line="270" w:lineRule="auto"/>
        <w:tabs>
          <w:tab w:leader="none" w:pos="7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ind w:left="500" w:hanging="8"/>
        <w:spacing w:after="0" w:line="300" w:lineRule="auto"/>
        <w:tabs>
          <w:tab w:leader="none" w:pos="6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7"/>
          <w:szCs w:val="17"/>
          <w:color w:val="auto"/>
        </w:rPr>
      </w:pPr>
    </w:p>
    <w:p>
      <w:pPr>
        <w:jc w:val="both"/>
        <w:ind w:left="500" w:firstLine="456"/>
        <w:spacing w:after="0" w:line="259" w:lineRule="auto"/>
        <w:tabs>
          <w:tab w:leader="none" w:pos="115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jc w:val="both"/>
        <w:ind w:left="500" w:firstLine="456"/>
        <w:spacing w:after="0" w:line="259" w:lineRule="auto"/>
        <w:tabs>
          <w:tab w:leader="none" w:pos="11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left="500" w:firstLine="456"/>
        <w:spacing w:after="0" w:line="300" w:lineRule="auto"/>
        <w:tabs>
          <w:tab w:leader="none" w:pos="1184"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7"/>
          <w:szCs w:val="17"/>
          <w:color w:val="auto"/>
        </w:rPr>
      </w:pPr>
    </w:p>
    <w:p>
      <w:pPr>
        <w:jc w:val="both"/>
        <w:ind w:left="500" w:firstLine="456"/>
        <w:spacing w:after="0" w:line="259" w:lineRule="auto"/>
        <w:tabs>
          <w:tab w:leader="none" w:pos="11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00" w:hanging="8"/>
        <w:spacing w:after="0" w:line="270" w:lineRule="auto"/>
        <w:tabs>
          <w:tab w:leader="none" w:pos="6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8"/>
          <w:szCs w:val="18"/>
          <w:color w:val="auto"/>
        </w:rPr>
      </w:pPr>
    </w:p>
    <w:p>
      <w:pPr>
        <w:ind w:left="500" w:firstLine="456"/>
        <w:spacing w:after="0" w:line="270" w:lineRule="auto"/>
        <w:tabs>
          <w:tab w:leader="none" w:pos="11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left="500" w:right="20" w:firstLine="456"/>
        <w:spacing w:after="0" w:line="270" w:lineRule="auto"/>
        <w:tabs>
          <w:tab w:leader="none" w:pos="11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3"/>
        </w:trPr>
        <w:tc>
          <w:tcPr>
            <w:tcW w:w="6860" w:type="dxa"/>
            <w:vAlign w:val="bottom"/>
          </w:tcPr>
          <w:p>
            <w:pPr>
              <w:spacing w:after="0"/>
              <w:rPr>
                <w:sz w:val="13"/>
                <w:szCs w:val="13"/>
                <w:color w:val="auto"/>
              </w:rPr>
            </w:pPr>
          </w:p>
        </w:tc>
        <w:tc>
          <w:tcPr>
            <w:tcW w:w="4560" w:type="dxa"/>
            <w:vAlign w:val="bottom"/>
          </w:tcPr>
          <w:p>
            <w:pPr>
              <w:spacing w:after="0" w:line="153" w:lineRule="exact"/>
              <w:rPr>
                <w:sz w:val="20"/>
                <w:szCs w:val="20"/>
                <w:color w:val="auto"/>
              </w:rPr>
            </w:pPr>
            <w:r>
              <w:rPr>
                <w:rFonts w:ascii="Arial" w:cs="Arial" w:eastAsia="Arial" w:hAnsi="Arial"/>
                <w:sz w:val="17"/>
                <w:szCs w:val="17"/>
                <w:color w:val="auto"/>
              </w:rPr>
              <w:t>Joyce LaViscount</w:t>
            </w:r>
          </w:p>
        </w:tc>
      </w:tr>
      <w:tr>
        <w:trPr>
          <w:trHeight w:val="187"/>
        </w:trPr>
        <w:tc>
          <w:tcPr>
            <w:tcW w:w="6860" w:type="dxa"/>
            <w:vAlign w:val="bottom"/>
          </w:tcPr>
          <w:p>
            <w:pPr>
              <w:spacing w:after="0"/>
              <w:rPr>
                <w:sz w:val="16"/>
                <w:szCs w:val="16"/>
                <w:color w:val="auto"/>
              </w:rPr>
            </w:pPr>
          </w:p>
        </w:tc>
        <w:tc>
          <w:tcPr>
            <w:tcW w:w="4560" w:type="dxa"/>
            <w:vAlign w:val="bottom"/>
          </w:tcPr>
          <w:p>
            <w:pPr>
              <w:spacing w:after="0" w:line="187" w:lineRule="exact"/>
              <w:rPr>
                <w:sz w:val="20"/>
                <w:szCs w:val="20"/>
                <w:color w:val="auto"/>
              </w:rPr>
            </w:pPr>
            <w:r>
              <w:rPr>
                <w:rFonts w:ascii="Arial" w:cs="Arial" w:eastAsia="Arial" w:hAnsi="Arial"/>
                <w:sz w:val="18"/>
                <w:szCs w:val="18"/>
                <w:color w:val="auto"/>
              </w:rPr>
              <w:t>Chief Financial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4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MARCH 31, 2019 PURSUANT TO 18 U.S.C. SECTION 1350, AS ADOPTED PURSUANT TO SECTION 906 OF THE SARBANES-OXLEY ACT OF 2002</w:t>
      </w:r>
    </w:p>
    <w:p>
      <w:pPr>
        <w:spacing w:after="0" w:line="190" w:lineRule="exact"/>
        <w:rPr>
          <w:sz w:val="20"/>
          <w:szCs w:val="20"/>
          <w:color w:val="auto"/>
        </w:rPr>
      </w:pPr>
    </w:p>
    <w:p>
      <w:pPr>
        <w:jc w:val="both"/>
        <w:ind w:right="20" w:firstLine="485"/>
        <w:spacing w:after="0" w:line="334" w:lineRule="auto"/>
        <w:rPr>
          <w:sz w:val="20"/>
          <w:szCs w:val="20"/>
          <w:color w:val="auto"/>
        </w:rPr>
      </w:pPr>
      <w:r>
        <w:rPr>
          <w:rFonts w:ascii="Arial" w:cs="Arial" w:eastAsia="Arial" w:hAnsi="Arial"/>
          <w:sz w:val="16"/>
          <w:szCs w:val="16"/>
          <w:color w:val="auto"/>
        </w:rPr>
        <w:t>I am the Chief Executive Officer of Helius Medical Technologies, Inc., a Delaware corporation (the “Company”). I am delivering this certificate in connection with the Form 10-Q of the Company for the quarter ended March 31, 2019 and filed with the Securities and Exchange Commission (“Form 10-Q”).</w:t>
      </w:r>
    </w:p>
    <w:p>
      <w:pPr>
        <w:spacing w:after="0" w:line="129" w:lineRule="exact"/>
        <w:rPr>
          <w:sz w:val="20"/>
          <w:szCs w:val="20"/>
          <w:color w:val="auto"/>
        </w:rPr>
      </w:pPr>
    </w:p>
    <w:p>
      <w:pPr>
        <w:jc w:val="both"/>
        <w:ind w:firstLine="485"/>
        <w:spacing w:after="0" w:line="281"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Phillippe Deschamps</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4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CERTIFICATION OF PRINCIPAL FINANCIAL OFFICER HELIUS MEDICAL TECHNOLOGIES, INC. FORM 10-Q FOR THE QUARTER ENDED MARCH 31, 2019 PURSUANT TO 18 U.S.C. SECTION 1350, AS ADOPTED PURSUANT TO SECTION 906 OF THE SARBANES-OXLEY ACT OF 2002</w:t>
      </w:r>
    </w:p>
    <w:p>
      <w:pPr>
        <w:spacing w:after="0" w:line="190" w:lineRule="exact"/>
        <w:rPr>
          <w:sz w:val="20"/>
          <w:szCs w:val="20"/>
          <w:color w:val="auto"/>
        </w:rPr>
      </w:pPr>
    </w:p>
    <w:p>
      <w:pPr>
        <w:jc w:val="both"/>
        <w:ind w:firstLine="485"/>
        <w:spacing w:after="0" w:line="334" w:lineRule="auto"/>
        <w:rPr>
          <w:sz w:val="20"/>
          <w:szCs w:val="20"/>
          <w:color w:val="auto"/>
        </w:rPr>
      </w:pPr>
      <w:r>
        <w:rPr>
          <w:rFonts w:ascii="Arial" w:cs="Arial" w:eastAsia="Arial" w:hAnsi="Arial"/>
          <w:sz w:val="16"/>
          <w:szCs w:val="16"/>
          <w:color w:val="auto"/>
        </w:rPr>
        <w:t>I am the Chief Financial Officer of Helius Medical Technologies, Inc., a Delaware corporation (the “Company”). I am delivering this certificate in connection with the Form 10-Q of the Company for the quarter ended March 31, 2019 and filed with the Securities and Exchange Commission (“Form 10-Q”).</w:t>
      </w:r>
    </w:p>
    <w:p>
      <w:pPr>
        <w:spacing w:after="0" w:line="129" w:lineRule="exact"/>
        <w:rPr>
          <w:sz w:val="20"/>
          <w:szCs w:val="20"/>
          <w:color w:val="auto"/>
        </w:rPr>
      </w:pPr>
    </w:p>
    <w:p>
      <w:pPr>
        <w:jc w:val="both"/>
        <w:ind w:firstLine="485"/>
        <w:spacing w:after="0" w:line="281"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May 9,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Joyce LaViscount</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5"/>
    </w:lvl>
    <w:lvl w:ilvl="1">
      <w:lvlJc w:val="left"/>
      <w:lvlText w:val="%2."/>
      <w:numFmt w:val="decimal"/>
      <w:start w:val="7"/>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56" Type="http://schemas.openxmlformats.org/officeDocument/2006/relationships/hyperlink" Target="http://www.sec.gov/Archives/edgar/data/0001610853/000156459018020736/hsdt-ex31_66.htm" TargetMode="External"/><Relationship Id="rId57" Type="http://schemas.openxmlformats.org/officeDocument/2006/relationships/hyperlink" Target="http://www.sec.gov/Archives/edgar/data/0001610853/000119312518312155/d646047dex31.htm" TargetMode="External"/><Relationship Id="rId58" Type="http://schemas.openxmlformats.org/officeDocument/2006/relationships/hyperlink" Target="http://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2019-12-02T21:06:05Z</dcterms:created>
  <dcterms:modified xsi:type="dcterms:W3CDTF">2019-12-02T21:06:05Z</dcterms:modified>
</cp:coreProperties>
</file>