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424(b)(5)</w:t>
      </w:r>
    </w:p>
    <w:p>
      <w:pPr>
        <w:pStyle w:val="TextBody"/>
        <w:bidi w:val="0"/>
        <w:spacing w:lineRule="auto" w:line="288" w:before="0" w:after="480"/>
        <w:jc w:val="right"/>
        <w:rPr>
          <w:color w:val="000000"/>
        </w:rPr>
      </w:pPr>
      <w:r>
        <w:rPr>
          <w:color w:val="000000"/>
        </w:rPr>
        <w:t> </w:t>
      </w:r>
      <w:r>
        <w:rPr>
          <w:rFonts w:ascii="Times New Roman;serif" w:hAnsi="Times New Roman;serif"/>
          <w:b/>
          <w:color w:val="000000"/>
          <w:sz w:val="20"/>
        </w:rPr>
        <w:t>Registration No. 333-290429</w:t>
      </w:r>
    </w:p>
    <w:p>
      <w:pPr>
        <w:pStyle w:val="TextBody"/>
        <w:bidi w:val="0"/>
        <w:spacing w:lineRule="auto" w:line="288" w:before="0" w:after="480"/>
        <w:jc w:val="left"/>
        <w:rPr>
          <w:rFonts w:ascii="Times New Roman;serif" w:hAnsi="Times New Roman;serif"/>
          <w:b/>
          <w:color w:val="000000"/>
          <w:sz w:val="20"/>
        </w:rPr>
      </w:pPr>
      <w:r>
        <w:rPr>
          <w:rFonts w:ascii="Times New Roman;serif" w:hAnsi="Times New Roman;serif"/>
          <w:b/>
          <w:color w:val="000000"/>
          <w:sz w:val="20"/>
        </w:rPr>
        <w:t xml:space="preserve">PROSPECTUS SUPPLEMENT </w:t>
        <w:br/>
        <w:t>(To Prospectus dated March 31, 2026)</w:t>
      </w:r>
    </w:p>
    <w:p>
      <w:pPr>
        <w:pStyle w:val="TextBody"/>
        <w:bidi w:val="0"/>
        <w:spacing w:before="0" w:after="240"/>
        <w:jc w:val="center"/>
        <w:rPr/>
      </w:pPr>
      <w:r>
        <w:rPr/>
        <w:drawing>
          <wp:inline distT="0" distB="0" distL="0" distR="0">
            <wp:extent cx="27908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90825" cy="419100"/>
                    </a:xfrm>
                    <a:prstGeom prst="rect">
                      <a:avLst/>
                    </a:prstGeom>
                  </pic:spPr>
                </pic:pic>
              </a:graphicData>
            </a:graphic>
          </wp:inline>
        </w:drawing>
      </w:r>
    </w:p>
    <w:p>
      <w:pPr>
        <w:pStyle w:val="TextBody"/>
        <w:bidi w:val="0"/>
        <w:spacing w:lineRule="auto" w:line="288" w:before="0" w:after="0"/>
        <w:jc w:val="center"/>
        <w:rPr/>
      </w:pPr>
      <w:r>
        <w:rPr>
          <w:rFonts w:ascii="Times NR MT Pro;sans-serif" w:hAnsi="Times NR MT Pro;sans-serif"/>
          <w:b/>
          <w:color w:val="231F20"/>
          <w:sz w:val="28"/>
        </w:rPr>
        <w:t>4,369,356 Shares</w:t>
      </w:r>
      <w:r>
        <w:rPr>
          <w:color w:val="000000"/>
        </w:rPr>
        <w:t xml:space="preserve"> </w:t>
      </w:r>
      <w:r>
        <w:rPr>
          <w:rFonts w:ascii="Times New Roman;serif" w:hAnsi="Times New Roman;serif"/>
          <w:b/>
          <w:color w:val="000000"/>
          <w:sz w:val="28"/>
        </w:rPr>
        <w:t>of</w:t>
      </w:r>
      <w:r>
        <w:rPr>
          <w:color w:val="010302"/>
        </w:rPr>
        <w:t xml:space="preserve"> </w:t>
      </w:r>
      <w:r>
        <w:rPr>
          <w:rFonts w:ascii="Times NR MT Pro;sans-serif" w:hAnsi="Times NR MT Pro;sans-serif"/>
          <w:b/>
          <w:color w:val="231F20"/>
          <w:sz w:val="28"/>
        </w:rPr>
        <w:t>Class A Common Stock</w:t>
      </w:r>
    </w:p>
    <w:p>
      <w:pPr>
        <w:pStyle w:val="TextBody"/>
        <w:bidi w:val="0"/>
        <w:spacing w:lineRule="auto" w:line="288" w:before="0" w:after="0"/>
        <w:jc w:val="center"/>
        <w:rPr/>
      </w:pPr>
      <w:r>
        <w:rPr>
          <w:rFonts w:ascii="Times New Roman;serif" w:hAnsi="Times New Roman;serif"/>
          <w:b/>
          <w:color w:val="000000"/>
          <w:sz w:val="28"/>
        </w:rPr>
        <w:t>Warrants to Purchas</w:t>
      </w:r>
      <w:r>
        <w:rPr>
          <w:rFonts w:ascii="Times NR MT Pro;sans-serif" w:hAnsi="Times NR MT Pro;sans-serif"/>
          <w:b/>
          <w:color w:val="231F20"/>
          <w:sz w:val="28"/>
        </w:rPr>
        <w:t>e Up to 4,369,356 Shares of Class A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offering to purchasers (i) 4,369,356 shares of our Class A common stock, par value $0.001 per share, at a purchase price of $3.433 per share and (ii) accompanying common warrants to purchase up to an aggregate of 4,369,356 shares of our Class A common stock (each a “Common Warrant”, and collectively, the “Common Warrants”) with an exercise price of $3.776 per Class A common stock (and the shares of our Class A common stock issuable from time to time upon exercise of each Common Warrant) (collectively, the “securities”), in a registered direct offering. Class A common stock will be sold in combination with an accompanying Common Warrant to purchase one share of Class A common stock issued for each share of Class A common stock sold. The shares of our Class A common stock and Common Warrants are immediately separable and will be issued separately. The Common Warrants will be exercisable immediately from the date of issuance and will expire 5.5 years from the date of issuance.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Capital Market (“Nasdaq”) under the symbol “HSDT.” On September 29, 2026, the last reported sale price of our Class A common stock on Nasdaq was $2.86 per share. There is no established public trading market for the Common Warrants, and we do not expect a market to develop. In addition, we do not intend to apply for listing of the Common Warrants on any securities exchange or recognized trading system.</w:t>
      </w:r>
    </w:p>
    <w:p>
      <w:pPr>
        <w:pStyle w:val="TextBody"/>
        <w:bidi w:val="0"/>
        <w:spacing w:lineRule="auto" w:line="240"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engaged Clear Street LLC to act as our exclusive placement agent in connection with this offering. The placement agent is not purchasing the securities offered by us in this offering and is not required to arrange the purchase or sale of any specific number or dollar amount of securities.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erif" w:hAnsi="Times New Roman;serif"/>
          <w:b/>
          <w:color w:val="000000"/>
          <w:sz w:val="20"/>
        </w:rPr>
        <w:t xml:space="preserve">Investing in our securities involves a high degree of risk. See “Risk Factors” on page </w:t>
      </w:r>
      <w:hyperlink w:anchor="i0e10a50cbb8d48debca5b3ea420956e9_1102">
        <w:r>
          <w:rPr>
            <w:rStyle w:val="InternetLink"/>
            <w:rFonts w:ascii="Times New Roman;serif" w:hAnsi="Times New Roman;serif"/>
            <w:b/>
            <w:color w:val="0563C1"/>
            <w:sz w:val="20"/>
            <w:u w:val="single"/>
          </w:rPr>
          <w:t>S-5</w:t>
        </w:r>
      </w:hyperlink>
      <w:r>
        <w:rPr>
          <w:color w:val="000000"/>
        </w:rPr>
        <w:t xml:space="preserve"> </w:t>
      </w:r>
      <w:r>
        <w:rPr>
          <w:rFonts w:ascii="Times New Roman;serif" w:hAnsi="Times New Roman;serif"/>
          <w:b/>
          <w:color w:val="000000"/>
          <w:sz w:val="20"/>
        </w:rPr>
        <w:t xml:space="preserve">of this prospectus supplement and in the documents incorporated by reference into this prospectus supplement and the accompanying prospectus. </w:t>
      </w:r>
    </w:p>
    <w:p>
      <w:pPr>
        <w:pStyle w:val="TextBody"/>
        <w:bidi w:val="0"/>
        <w:spacing w:lineRule="auto" w:line="240"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tbl>
      <w:tblPr>
        <w:tblW w:w="10205" w:type="dxa"/>
        <w:jc w:val="left"/>
        <w:tblInd w:w="0" w:type="dxa"/>
        <w:tblLayout w:type="fixed"/>
        <w:tblCellMar>
          <w:top w:w="28" w:type="dxa"/>
          <w:left w:w="28" w:type="dxa"/>
          <w:bottom w:w="28" w:type="dxa"/>
          <w:right w:w="28" w:type="dxa"/>
        </w:tblCellMar>
      </w:tblPr>
      <w:tblGrid>
        <w:gridCol w:w="1189"/>
        <w:gridCol w:w="1007"/>
        <w:gridCol w:w="1012"/>
        <w:gridCol w:w="917"/>
        <w:gridCol w:w="917"/>
        <w:gridCol w:w="920"/>
        <w:gridCol w:w="716"/>
        <w:gridCol w:w="716"/>
        <w:gridCol w:w="718"/>
        <w:gridCol w:w="671"/>
        <w:gridCol w:w="591"/>
        <w:gridCol w:w="831"/>
      </w:tblGrid>
      <w:tr>
        <w:trPr/>
        <w:tc>
          <w:tcPr>
            <w:tcW w:w="118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tcMar>
              <w:top w:w="0" w:type="dxa"/>
              <w:left w:w="0" w:type="dxa"/>
              <w:bottom w:w="0" w:type="dxa"/>
              <w:right w:w="0" w:type="dxa"/>
            </w:tcMar>
            <w:vAlign w:val="center"/>
          </w:tcPr>
          <w:p>
            <w:pPr>
              <w:pStyle w:val="TableContents"/>
              <w:bidi w:val="0"/>
              <w:spacing w:lineRule="auto" w:line="288" w:before="40" w:after="100"/>
              <w:jc w:val="right"/>
              <w:rPr/>
            </w:pPr>
            <w:r>
              <w:rPr>
                <w:rFonts w:ascii="Times NR MT Pro;sans-serif" w:hAnsi="Times NR MT Pro;sans-serif"/>
                <w:b/>
                <w:color w:val="231F20"/>
                <w:sz w:val="20"/>
              </w:rPr>
              <w:t>Per Share of Common Stock</w:t>
            </w:r>
            <w:r>
              <w:rPr>
                <w:color w:val="000000"/>
              </w:rPr>
              <w:t xml:space="preserve"> </w:t>
            </w:r>
          </w:p>
        </w:tc>
        <w:tc>
          <w:tcPr>
            <w:tcW w:w="2150" w:type="dxa"/>
            <w:gridSpan w:val="3"/>
            <w:tcBorders/>
            <w:tcMar>
              <w:top w:w="0" w:type="dxa"/>
              <w:left w:w="0" w:type="dxa"/>
              <w:bottom w:w="0" w:type="dxa"/>
              <w:right w:w="0" w:type="dxa"/>
            </w:tcMar>
            <w:vAlign w:val="center"/>
          </w:tcPr>
          <w:p>
            <w:pPr>
              <w:pStyle w:val="TableContents"/>
              <w:bidi w:val="0"/>
              <w:spacing w:lineRule="auto" w:line="288" w:before="40" w:after="100"/>
              <w:jc w:val="right"/>
              <w:rPr>
                <w:rFonts w:ascii="Times NR MT Pro;sans-serif" w:hAnsi="Times NR MT Pro;sans-serif"/>
                <w:b/>
                <w:color w:val="231F20"/>
                <w:sz w:val="20"/>
              </w:rPr>
            </w:pPr>
            <w:r>
              <w:rPr>
                <w:rFonts w:ascii="Times NR MT Pro;sans-serif" w:hAnsi="Times NR MT Pro;sans-serif"/>
                <w:b/>
                <w:color w:val="231F20"/>
                <w:sz w:val="20"/>
              </w:rPr>
              <w:t>Per Common Warrant</w:t>
            </w:r>
          </w:p>
        </w:tc>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R MT Pro;sans-serif" w:hAnsi="Times NR MT Pro;sans-serif"/>
                <w:b/>
                <w:color w:val="231F20"/>
                <w:sz w:val="20"/>
              </w:rPr>
            </w:pPr>
            <w:r>
              <w:rPr>
                <w:rFonts w:ascii="Times NR MT Pro;sans-serif" w:hAnsi="Times NR MT Pro;sans-serif"/>
                <w:b/>
                <w:color w:val="231F20"/>
                <w:sz w:val="20"/>
              </w:rPr>
              <w:t>Total Offering Price</w:t>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88" w:before="40" w:after="100"/>
              <w:jc w:val="left"/>
              <w:rPr>
                <w:rFonts w:ascii="Times New Roman;serif" w:hAnsi="Times New Roman;serif"/>
                <w:b w:val="false"/>
                <w:i/>
                <w:color w:val="231F20"/>
                <w:sz w:val="20"/>
              </w:rPr>
            </w:pPr>
            <w:r>
              <w:rPr>
                <w:rFonts w:ascii="Times New Roman;serif" w:hAnsi="Times New Roman;serif"/>
                <w:b w:val="false"/>
                <w:i/>
                <w:color w:val="231F20"/>
                <w:sz w:val="20"/>
              </w:rPr>
              <w:t>Offering Price</w:t>
            </w:r>
          </w:p>
        </w:tc>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302"/>
                <w:sz w:val="20"/>
              </w:rPr>
            </w:pPr>
            <w:r>
              <w:rPr>
                <w:rFonts w:ascii="Times New Roman;serif" w:hAnsi="Times New Roman;serif"/>
                <w:b w:val="false"/>
                <w:color w:val="010302"/>
                <w:sz w:val="20"/>
              </w:rPr>
              <w:t>$3.433</w:t>
            </w:r>
          </w:p>
        </w:tc>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302"/>
                <w:sz w:val="20"/>
              </w:rPr>
            </w:pPr>
            <w:r>
              <w:rPr>
                <w:rFonts w:ascii="Times New Roman;serif" w:hAnsi="Times New Roman;serif"/>
                <w:b w:val="false"/>
                <w:color w:val="010302"/>
                <w:sz w:val="20"/>
              </w:rPr>
              <w:t>$3.776</w:t>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302"/>
                <w:sz w:val="20"/>
              </w:rPr>
            </w:pPr>
            <w:r>
              <w:rPr>
                <w:rFonts w:ascii="Times New Roman;serif" w:hAnsi="Times New Roman;serif"/>
                <w:b w:val="false"/>
                <w:color w:val="010302"/>
                <w:sz w:val="20"/>
              </w:rPr>
              <w:t>$14,999,999.15</w:t>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88" w:before="40" w:after="100"/>
              <w:jc w:val="left"/>
              <w:rPr/>
            </w:pPr>
            <w:r>
              <w:rPr>
                <w:rFonts w:ascii="Times New Roman;serif" w:hAnsi="Times New Roman;serif"/>
                <w:b w:val="false"/>
                <w:i/>
                <w:color w:val="231F20"/>
                <w:sz w:val="20"/>
              </w:rPr>
              <w:t xml:space="preserve">Placement Agent Fees </w:t>
            </w:r>
            <w:r>
              <w:rPr>
                <w:rFonts w:ascii="Times New Roman;serif" w:hAnsi="Times New Roman;serif"/>
                <w:b w:val="false"/>
                <w:i/>
                <w:color w:val="231F20"/>
                <w:sz w:val="13"/>
              </w:rPr>
              <w:t>(1)</w:t>
            </w:r>
          </w:p>
        </w:tc>
        <w:tc>
          <w:tcPr>
            <w:tcW w:w="2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302"/>
                <w:sz w:val="20"/>
              </w:rPr>
            </w:pPr>
            <w:r>
              <w:rPr>
                <w:rFonts w:ascii="Times New Roman;serif" w:hAnsi="Times New Roman;serif"/>
                <w:b w:val="false"/>
                <w:color w:val="010302"/>
                <w:sz w:val="20"/>
              </w:rPr>
              <w:t>$0.137</w:t>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10302"/>
              </w:rPr>
            </w:pPr>
            <w:r>
              <w:rPr>
                <w:color w:val="010302"/>
              </w:rPr>
              <w:t>—</w:t>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302"/>
                <w:sz w:val="20"/>
              </w:rPr>
            </w:pPr>
            <w:r>
              <w:rPr>
                <w:rFonts w:ascii="Times New Roman;serif" w:hAnsi="Times New Roman;serif"/>
                <w:b w:val="false"/>
                <w:color w:val="010302"/>
                <w:sz w:val="20"/>
              </w:rPr>
              <w:t>$599,999.97</w:t>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88" w:before="40" w:after="100"/>
              <w:jc w:val="left"/>
              <w:rPr>
                <w:rFonts w:ascii="Times New Roman;serif" w:hAnsi="Times New Roman;serif"/>
                <w:b w:val="false"/>
                <w:i/>
                <w:color w:val="231F20"/>
                <w:sz w:val="20"/>
              </w:rPr>
            </w:pPr>
            <w:r>
              <w:rPr>
                <w:rFonts w:ascii="Times New Roman;serif" w:hAnsi="Times New Roman;serif"/>
                <w:b w:val="false"/>
                <w:i/>
                <w:color w:val="231F20"/>
                <w:sz w:val="20"/>
              </w:rPr>
              <w:t>Proceeds to Solana Company Before Expenses</w:t>
            </w:r>
          </w:p>
        </w:tc>
        <w:tc>
          <w:tcPr>
            <w:tcW w:w="2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302"/>
                <w:sz w:val="20"/>
              </w:rPr>
            </w:pPr>
            <w:r>
              <w:rPr>
                <w:rFonts w:ascii="Times New Roman;serif" w:hAnsi="Times New Roman;serif"/>
                <w:b w:val="false"/>
                <w:color w:val="010302"/>
                <w:sz w:val="20"/>
              </w:rPr>
              <w:t>$3.296</w:t>
            </w:r>
          </w:p>
        </w:tc>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302"/>
                <w:sz w:val="20"/>
              </w:rPr>
            </w:pPr>
            <w:r>
              <w:rPr>
                <w:rFonts w:ascii="Times New Roman;serif" w:hAnsi="Times New Roman;serif"/>
                <w:b w:val="false"/>
                <w:color w:val="010302"/>
                <w:sz w:val="20"/>
              </w:rPr>
              <w:t>$3.776</w:t>
            </w:r>
          </w:p>
        </w:tc>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302"/>
                <w:sz w:val="20"/>
              </w:rPr>
            </w:pPr>
            <w:r>
              <w:rPr>
                <w:rFonts w:ascii="Times New Roman;serif" w:hAnsi="Times New Roman;serif"/>
                <w:b w:val="false"/>
                <w:color w:val="010302"/>
                <w:sz w:val="20"/>
              </w:rPr>
              <w:t>$14,399,999.18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3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See the section titled “Plan of Distribution” for additional disclosure regarding the Placement Agent fees.</w:t>
      </w:r>
    </w:p>
    <w:p>
      <w:pPr>
        <w:pStyle w:val="TextBody"/>
        <w:bidi w:val="0"/>
        <w:spacing w:lineRule="auto" w:line="288" w:before="0" w:after="240"/>
        <w:jc w:val="center"/>
        <w:rPr>
          <w:rFonts w:ascii="Times New Roman;serif" w:hAnsi="Times New Roman;serif"/>
          <w:b/>
          <w:color w:val="231F20"/>
          <w:sz w:val="24"/>
        </w:rPr>
      </w:pPr>
      <w:r>
        <w:rPr>
          <w:rFonts w:ascii="Times New Roman;serif" w:hAnsi="Times New Roman;serif"/>
          <w:b/>
          <w:color w:val="231F20"/>
          <w:sz w:val="24"/>
        </w:rPr>
        <w:t>Clear Street</w:t>
      </w:r>
    </w:p>
    <w:p>
      <w:pPr>
        <w:pStyle w:val="TextBody"/>
        <w:bidi w:val="0"/>
        <w:spacing w:lineRule="auto" w:line="288" w:before="0" w:after="240"/>
        <w:jc w:val="center"/>
        <w:rPr>
          <w:rFonts w:ascii="Times NR MT Pro;sans-serif" w:hAnsi="Times NR MT Pro;sans-serif"/>
          <w:b/>
          <w:i/>
          <w:color w:val="231F20"/>
          <w:sz w:val="16"/>
        </w:rPr>
      </w:pPr>
      <w:r>
        <w:rPr>
          <w:rFonts w:ascii="Times NR MT Pro;sans-serif" w:hAnsi="Times NR MT Pro;sans-serif"/>
          <w:b/>
          <w:i/>
          <w:color w:val="231F20"/>
          <w:sz w:val="16"/>
        </w:rPr>
        <w:t>Placement Agent</w:t>
      </w:r>
    </w:p>
    <w:p>
      <w:pPr>
        <w:pStyle w:val="TextBody"/>
        <w:bidi w:val="0"/>
        <w:spacing w:lineRule="auto" w:line="288" w:before="0" w:after="0"/>
        <w:jc w:val="center"/>
        <w:rPr/>
      </w:pPr>
      <w:r>
        <w:rPr>
          <w:rFonts w:ascii="Times NR MT Pro;sans-serif" w:hAnsi="Times NR MT Pro;sans-serif"/>
          <w:b/>
          <w:color w:val="231F20"/>
          <w:sz w:val="20"/>
        </w:rPr>
        <w:t>The date of this prospectus supplement is September 30,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FFFFFF"/>
          <w:sz w:val="2"/>
        </w:rPr>
      </w:pPr>
      <w:bookmarkStart w:id="0" w:name="i7d1294ff25034a09a8c1a7fb9661f209"/>
      <w:bookmarkEnd w:id="0"/>
      <w:r>
        <w:rPr>
          <w:rFonts w:ascii="Times New Roman;serif" w:hAnsi="Times New Roman;serif"/>
          <w:b w:val="false"/>
          <w:color w:val="FFFFFF"/>
          <w:sz w:val="2"/>
        </w:rPr>
        <w: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Page</w:t>
      </w:r>
    </w:p>
    <w:tbl>
      <w:tblPr>
        <w:tblW w:w="6420" w:type="dxa"/>
        <w:jc w:val="left"/>
        <w:tblInd w:w="0" w:type="dxa"/>
        <w:tblLayout w:type="fixed"/>
        <w:tblCellMar>
          <w:top w:w="28" w:type="dxa"/>
          <w:left w:w="28" w:type="dxa"/>
          <w:bottom w:w="28" w:type="dxa"/>
          <w:right w:w="28" w:type="dxa"/>
        </w:tblCellMar>
      </w:tblPr>
      <w:tblGrid>
        <w:gridCol w:w="2136"/>
        <w:gridCol w:w="1877"/>
        <w:gridCol w:w="1882"/>
        <w:gridCol w:w="154"/>
        <w:gridCol w:w="154"/>
        <w:gridCol w:w="217"/>
      </w:tblGrid>
      <w:tr>
        <w:trPr/>
        <w:tc>
          <w:tcPr>
            <w:tcW w:w="213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4587227bb543a28318b573e90f268a">
              <w:r>
                <w:rPr>
                  <w:rStyle w:val="InternetLink"/>
                  <w:rFonts w:ascii="Times New Roman;serif" w:hAnsi="Times New Roman;serif"/>
                  <w:b w:val="false"/>
                  <w:color w:val="0563C1"/>
                  <w:sz w:val="20"/>
                  <w:u w:val="single"/>
                </w:rPr>
                <w:t xml:space="preserve">ABOUT THIS PROSPECTUS SUPPLEMENT </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4587227bb543a28318b573e90f268a">
              <w:r>
                <w:rPr>
                  <w:rStyle w:val="InternetLink"/>
                  <w:rFonts w:ascii="Times New Roman;serif" w:hAnsi="Times New Roman;serif"/>
                  <w:b w:val="false"/>
                  <w:color w:val="0563C1"/>
                  <w:sz w:val="20"/>
                  <w:u w:val="single"/>
                </w:rPr>
                <w:t>ii</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eeb3772de3f42c6ada4bfa772e3b0ea">
              <w:r>
                <w:rPr>
                  <w:rStyle w:val="InternetLink"/>
                  <w:rFonts w:ascii="Times New Roman;serif" w:hAnsi="Times New Roman;serif"/>
                  <w:b w:val="false"/>
                  <w:color w:val="0563C1"/>
                  <w:sz w:val="20"/>
                  <w:u w:val="single"/>
                </w:rPr>
                <w:t xml:space="preserve">SPECIAL NOTE REGARDING FORWARD-LOOKING STATEMENTS </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eeb3772de3f42c6ada4bfa772e3b0ea">
              <w:r>
                <w:rPr>
                  <w:rStyle w:val="InternetLink"/>
                  <w:rFonts w:ascii="Times New Roman;serif" w:hAnsi="Times New Roman;serif"/>
                  <w:b w:val="false"/>
                  <w:color w:val="0563C1"/>
                  <w:sz w:val="20"/>
                  <w:u w:val="single"/>
                </w:rPr>
                <w:t>iv</w:t>
              </w:r>
            </w:hyperlink>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154d1f632f4427b7d617948e34d8f5">
              <w:r>
                <w:rPr>
                  <w:rStyle w:val="InternetLink"/>
                  <w:rFonts w:ascii="Times New Roman;serif" w:hAnsi="Times New Roman;serif"/>
                  <w:b w:val="false"/>
                  <w:color w:val="0563C1"/>
                  <w:sz w:val="20"/>
                  <w:u w:val="single"/>
                </w:rPr>
                <w:t xml:space="preserve">PROSPECTUS SUPPLEMENT SUMMARY </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1154d1f632f4427b7d617948e34d8f5">
              <w:r>
                <w:rPr>
                  <w:rStyle w:val="InternetLink"/>
                  <w:rFonts w:ascii="Times New Roman;serif" w:hAnsi="Times New Roman;serif"/>
                  <w:b w:val="false"/>
                  <w:color w:val="0563C1"/>
                  <w:sz w:val="20"/>
                  <w:u w:val="single"/>
                </w:rPr>
                <w:t>S-1</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87f6dbb07ad4cf68592664899446bdc">
              <w:r>
                <w:rPr>
                  <w:rStyle w:val="InternetLink"/>
                  <w:rFonts w:ascii="Times New Roman;serif" w:hAnsi="Times New Roman;serif"/>
                  <w:b w:val="false"/>
                  <w:color w:val="0563C1"/>
                  <w:sz w:val="20"/>
                  <w:u w:val="single"/>
                </w:rPr>
                <w:t>THE OFFERING</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7f6dbb07ad4cf68592664899446bdc">
              <w:r>
                <w:rPr>
                  <w:rStyle w:val="InternetLink"/>
                  <w:rFonts w:ascii="Times New Roman;serif" w:hAnsi="Times New Roman;serif"/>
                  <w:b w:val="false"/>
                  <w:color w:val="0563C1"/>
                  <w:sz w:val="20"/>
                  <w:u w:val="single"/>
                </w:rPr>
                <w:t>S-3</w:t>
              </w:r>
            </w:hyperlink>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8871ffbd4eb4ff0b19c9511e242ec2a">
              <w:r>
                <w:rPr>
                  <w:rStyle w:val="InternetLink"/>
                  <w:rFonts w:ascii="Times New Roman;serif" w:hAnsi="Times New Roman;serif"/>
                  <w:b w:val="false"/>
                  <w:color w:val="0563C1"/>
                  <w:sz w:val="20"/>
                  <w:u w:val="single"/>
                </w:rPr>
                <w:t>RISK FACTORS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871ffbd4eb4ff0b19c9511e242ec2a">
              <w:r>
                <w:rPr>
                  <w:rStyle w:val="InternetLink"/>
                  <w:rFonts w:ascii="Times New Roman;serif" w:hAnsi="Times New Roman;serif"/>
                  <w:b w:val="false"/>
                  <w:color w:val="0563C1"/>
                  <w:sz w:val="20"/>
                  <w:u w:val="single"/>
                </w:rPr>
                <w:t>S-5</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ca1f113389a40579b30adba1ca92ad6">
              <w:r>
                <w:rPr>
                  <w:rStyle w:val="InternetLink"/>
                  <w:rFonts w:ascii="Times New Roman;serif" w:hAnsi="Times New Roman;serif"/>
                  <w:b w:val="false"/>
                  <w:color w:val="0563C1"/>
                  <w:sz w:val="20"/>
                  <w:u w:val="single"/>
                </w:rPr>
                <w:t xml:space="preserve">USE OF PROCEEDS </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ca1f113389a40579b30adba1ca92ad6">
              <w:r>
                <w:rPr>
                  <w:rStyle w:val="InternetLink"/>
                  <w:rFonts w:ascii="Times New Roman;serif" w:hAnsi="Times New Roman;serif"/>
                  <w:b w:val="false"/>
                  <w:color w:val="0563C1"/>
                  <w:sz w:val="20"/>
                  <w:u w:val="single"/>
                </w:rPr>
                <w:t>S-7</w:t>
              </w:r>
            </w:hyperlink>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a37f6ce64e4762ac2cc5c8697f700d">
              <w:r>
                <w:rPr>
                  <w:rStyle w:val="InternetLink"/>
                  <w:rFonts w:ascii="Times New Roman;serif" w:hAnsi="Times New Roman;serif"/>
                  <w:b w:val="false"/>
                  <w:color w:val="0563C1"/>
                  <w:sz w:val="20"/>
                  <w:u w:val="single"/>
                </w:rPr>
                <w:t xml:space="preserve">PLAN OF DISTRIBUTION </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fa37f6ce64e4762ac2cc5c8697f700d">
              <w:r>
                <w:rPr>
                  <w:rStyle w:val="InternetLink"/>
                  <w:rFonts w:ascii="Times New Roman;serif" w:hAnsi="Times New Roman;serif"/>
                  <w:b w:val="false"/>
                  <w:color w:val="0563C1"/>
                  <w:sz w:val="20"/>
                  <w:u w:val="single"/>
                </w:rPr>
                <w:t>S-8</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2f99c193e844e384de7f7d17c29f5b">
              <w:r>
                <w:rPr>
                  <w:rStyle w:val="InternetLink"/>
                  <w:rFonts w:ascii="Times New Roman;serif" w:hAnsi="Times New Roman;serif"/>
                  <w:b w:val="false"/>
                  <w:color w:val="0563C1"/>
                  <w:sz w:val="20"/>
                  <w:u w:val="single"/>
                </w:rPr>
                <w:t xml:space="preserve">LEGAL MATTERS </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2f99c193e844e384de7f7d17c29f5b">
              <w:r>
                <w:rPr>
                  <w:rStyle w:val="InternetLink"/>
                  <w:rFonts w:ascii="Times New Roman;serif" w:hAnsi="Times New Roman;serif"/>
                  <w:b w:val="false"/>
                  <w:color w:val="0563C1"/>
                  <w:sz w:val="20"/>
                  <w:u w:val="single"/>
                </w:rPr>
                <w:t>S-10</w:t>
              </w:r>
            </w:hyperlink>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d490ef668bd473ba5b9010ff89ee397">
              <w:r>
                <w:rPr>
                  <w:rStyle w:val="InternetLink"/>
                  <w:rFonts w:ascii="Times New Roman;serif" w:hAnsi="Times New Roman;serif"/>
                  <w:b w:val="false"/>
                  <w:color w:val="0563C1"/>
                  <w:sz w:val="20"/>
                  <w:u w:val="single"/>
                </w:rPr>
                <w:t xml:space="preserve">EXPERTS </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d490ef668bd473ba5b9010ff89ee397">
              <w:r>
                <w:rPr>
                  <w:rStyle w:val="InternetLink"/>
                  <w:rFonts w:ascii="Times New Roman;serif" w:hAnsi="Times New Roman;serif"/>
                  <w:b w:val="false"/>
                  <w:color w:val="0563C1"/>
                  <w:sz w:val="20"/>
                  <w:u w:val="single"/>
                </w:rPr>
                <w:t>S-10</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d46f0b4af744873b5f37e86e7a69601">
              <w:r>
                <w:rPr>
                  <w:rStyle w:val="InternetLink"/>
                  <w:rFonts w:ascii="Times New Roman;serif" w:hAnsi="Times New Roman;serif"/>
                  <w:b w:val="false"/>
                  <w:color w:val="0563C1"/>
                  <w:sz w:val="20"/>
                  <w:u w:val="single"/>
                </w:rPr>
                <w:t xml:space="preserve">WHERE YOU CAN FIND ADDITIONAL INFORMATION </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d46f0b4af744873b5f37e86e7a69601">
              <w:r>
                <w:rPr>
                  <w:rStyle w:val="InternetLink"/>
                  <w:rFonts w:ascii="Times New Roman;serif" w:hAnsi="Times New Roman;serif"/>
                  <w:b w:val="false"/>
                  <w:color w:val="0563C1"/>
                  <w:sz w:val="20"/>
                  <w:u w:val="single"/>
                </w:rPr>
                <w:t>S-10</w:t>
              </w:r>
            </w:hyperlink>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f0b835385394f01b39bfc400adfe7c5">
              <w:r>
                <w:rPr>
                  <w:rStyle w:val="InternetLink"/>
                  <w:rFonts w:ascii="Times New Roman;serif" w:hAnsi="Times New Roman;serif"/>
                  <w:b w:val="false"/>
                  <w:color w:val="0563C1"/>
                  <w:sz w:val="20"/>
                  <w:u w:val="single"/>
                </w:rPr>
                <w:t xml:space="preserve">INCORPORATION OF CERTAIN INFORMATION BY REFERENCE </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f0b835385394f01b39bfc400adfe7c5">
              <w:r>
                <w:rPr>
                  <w:rStyle w:val="InternetLink"/>
                  <w:rFonts w:ascii="Times New Roman;serif" w:hAnsi="Times New Roman;serif"/>
                  <w:b w:val="false"/>
                  <w:color w:val="0563C1"/>
                  <w:sz w:val="20"/>
                  <w:u w:val="single"/>
                </w:rPr>
                <w:t>S-11</w:t>
              </w:r>
            </w:hyperlink>
          </w:p>
        </w:tc>
      </w:tr>
    </w:tbl>
    <w:p>
      <w:pPr>
        <w:pStyle w:val="TextBody"/>
        <w:bidi w:val="0"/>
        <w:spacing w:before="0" w:after="0"/>
        <w:jc w:val="left"/>
        <w:rPr/>
      </w:pPr>
      <w:r>
        <w:rPr/>
      </w:r>
    </w:p>
    <w:p>
      <w:pPr>
        <w:pStyle w:val="TextBody"/>
        <w:bidi w:val="0"/>
        <w:spacing w:lineRule="auto" w:line="288" w:before="360" w:after="240"/>
        <w:jc w:val="center"/>
        <w:rPr>
          <w:rFonts w:ascii="Times New Roman;serif" w:hAnsi="Times New Roman;serif"/>
          <w:b/>
          <w:color w:val="000000"/>
          <w:sz w:val="20"/>
        </w:rPr>
      </w:pPr>
      <w:r>
        <w:rPr>
          <w:rFonts w:ascii="Times New Roman;serif" w:hAnsi="Times New Roman;serif"/>
          <w:b/>
          <w:color w:val="000000"/>
          <w:sz w:val="20"/>
        </w:rPr>
        <w:t>PROSPECTUS</w:t>
      </w:r>
    </w:p>
    <w:tbl>
      <w:tblPr>
        <w:tblW w:w="7752" w:type="dxa"/>
        <w:jc w:val="left"/>
        <w:tblInd w:w="0" w:type="dxa"/>
        <w:tblLayout w:type="fixed"/>
        <w:tblCellMar>
          <w:top w:w="28" w:type="dxa"/>
          <w:left w:w="28" w:type="dxa"/>
          <w:bottom w:w="28" w:type="dxa"/>
          <w:right w:w="28" w:type="dxa"/>
        </w:tblCellMar>
      </w:tblPr>
      <w:tblGrid>
        <w:gridCol w:w="2669"/>
        <w:gridCol w:w="2353"/>
        <w:gridCol w:w="2358"/>
        <w:gridCol w:w="109"/>
        <w:gridCol w:w="109"/>
        <w:gridCol w:w="154"/>
      </w:tblGrid>
      <w:tr>
        <w:trPr/>
        <w:tc>
          <w:tcPr>
            <w:tcW w:w="266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f33205b0c4fe5a9d41c23b6d6c618">
              <w:r>
                <w:rPr>
                  <w:rStyle w:val="InternetLink"/>
                  <w:rFonts w:ascii="Times New Roman;serif" w:hAnsi="Times New Roman;serif"/>
                  <w:b w:val="false"/>
                  <w:color w:val="0563C1"/>
                  <w:sz w:val="20"/>
                  <w:u w:val="single"/>
                </w:rPr>
                <w:t xml:space="preserve">ABOUT THIS PROSPECTUS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f33205b0c4fe5a9d41c23b6d6c618">
              <w:r>
                <w:rPr>
                  <w:rStyle w:val="InternetLink"/>
                  <w:rFonts w:ascii="Times New Roman;serif" w:hAnsi="Times New Roman;serif"/>
                  <w:b w:val="false"/>
                  <w:color w:val="0563C1"/>
                  <w:sz w:val="20"/>
                  <w:u w:val="single"/>
                </w:rPr>
                <w:t>1</w:t>
              </w:r>
            </w:hyperlink>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a5d247a19e34bf4a37de4033b3a2488">
              <w:r>
                <w:rPr>
                  <w:rStyle w:val="InternetLink"/>
                  <w:rFonts w:ascii="Times New Roman;serif" w:hAnsi="Times New Roman;serif"/>
                  <w:b w:val="false"/>
                  <w:color w:val="0563C1"/>
                  <w:sz w:val="20"/>
                  <w:u w:val="single"/>
                </w:rPr>
                <w:t xml:space="preserve">SPECIAL NOTE REGARDING FORWARD-LOOKING STATEMENTS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a5d247a19e34bf4a37de4033b3a2488">
              <w:r>
                <w:rPr>
                  <w:rStyle w:val="InternetLink"/>
                  <w:rFonts w:ascii="Times New Roman;serif" w:hAnsi="Times New Roman;serif"/>
                  <w:b w:val="false"/>
                  <w:color w:val="0563C1"/>
                  <w:sz w:val="20"/>
                  <w:u w:val="single"/>
                </w:rPr>
                <w:t>2</w:t>
              </w:r>
            </w:hyperlink>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9276090c184fd9ab15b35ac16781d5">
              <w:r>
                <w:rPr>
                  <w:rStyle w:val="InternetLink"/>
                  <w:rFonts w:ascii="Times New Roman;serif" w:hAnsi="Times New Roman;serif"/>
                  <w:b w:val="false"/>
                  <w:color w:val="0563C1"/>
                  <w:sz w:val="20"/>
                  <w:u w:val="single"/>
                </w:rPr>
                <w:t xml:space="preserve">THE COMPANY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9276090c184fd9ab15b35ac16781d5">
              <w:r>
                <w:rPr>
                  <w:rStyle w:val="InternetLink"/>
                  <w:rFonts w:ascii="Times New Roman;serif" w:hAnsi="Times New Roman;serif"/>
                  <w:b w:val="false"/>
                  <w:color w:val="0563C1"/>
                  <w:sz w:val="20"/>
                  <w:u w:val="single"/>
                </w:rPr>
                <w:t>3</w:t>
              </w:r>
            </w:hyperlink>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60973893a814f31bb745c34a55af8a8">
              <w:r>
                <w:rPr>
                  <w:rStyle w:val="InternetLink"/>
                  <w:rFonts w:ascii="Times New Roman;serif" w:hAnsi="Times New Roman;serif"/>
                  <w:b w:val="false"/>
                  <w:color w:val="0563C1"/>
                  <w:sz w:val="20"/>
                  <w:u w:val="single"/>
                </w:rPr>
                <w:t xml:space="preserve">RISK FACTORS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60973893a814f31bb745c34a55af8a8">
              <w:r>
                <w:rPr>
                  <w:rStyle w:val="InternetLink"/>
                  <w:rFonts w:ascii="Times New Roman;serif" w:hAnsi="Times New Roman;serif"/>
                  <w:b w:val="false"/>
                  <w:color w:val="0563C1"/>
                  <w:sz w:val="20"/>
                  <w:u w:val="single"/>
                </w:rPr>
                <w:t>4</w:t>
              </w:r>
            </w:hyperlink>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05d79253e3a48cbb4841a3e568d7899">
              <w:r>
                <w:rPr>
                  <w:rStyle w:val="InternetLink"/>
                  <w:rFonts w:ascii="Times New Roman;serif" w:hAnsi="Times New Roman;serif"/>
                  <w:b w:val="false"/>
                  <w:color w:val="0563C1"/>
                  <w:sz w:val="20"/>
                  <w:u w:val="single"/>
                </w:rPr>
                <w:t xml:space="preserve">USE OF PROCEEDS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05d79253e3a48cbb4841a3e568d7899">
              <w:r>
                <w:rPr>
                  <w:rStyle w:val="InternetLink"/>
                  <w:rFonts w:ascii="Times New Roman;serif" w:hAnsi="Times New Roman;serif"/>
                  <w:b w:val="false"/>
                  <w:color w:val="0563C1"/>
                  <w:sz w:val="20"/>
                  <w:u w:val="single"/>
                </w:rPr>
                <w:t>5</w:t>
              </w:r>
            </w:hyperlink>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14270b92ffa4a6a96ae8cba70bf69d2">
              <w:r>
                <w:rPr>
                  <w:rStyle w:val="InternetLink"/>
                  <w:rFonts w:ascii="Times New Roman;serif" w:hAnsi="Times New Roman;serif"/>
                  <w:b w:val="false"/>
                  <w:color w:val="0563C1"/>
                  <w:sz w:val="20"/>
                  <w:u w:val="single"/>
                </w:rPr>
                <w:t xml:space="preserve">DESCRIPTION OF CAPITAL STOCK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14270b92ffa4a6a96ae8cba70bf69d2">
              <w:r>
                <w:rPr>
                  <w:rStyle w:val="InternetLink"/>
                  <w:rFonts w:ascii="Times New Roman;serif" w:hAnsi="Times New Roman;serif"/>
                  <w:b w:val="false"/>
                  <w:color w:val="0563C1"/>
                  <w:sz w:val="20"/>
                  <w:u w:val="single"/>
                </w:rPr>
                <w:t>6</w:t>
              </w:r>
            </w:hyperlink>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0b9b695e8041f0987ae3f84248d419">
              <w:r>
                <w:rPr>
                  <w:rStyle w:val="InternetLink"/>
                  <w:rFonts w:ascii="Times New Roman;serif" w:hAnsi="Times New Roman;serif"/>
                  <w:b w:val="false"/>
                  <w:color w:val="0563C1"/>
                  <w:sz w:val="20"/>
                  <w:u w:val="single"/>
                </w:rPr>
                <w:t xml:space="preserve">DESCRIPTION OF DEBT SECURITIES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a0b9b695e8041f0987ae3f84248d419">
              <w:r>
                <w:rPr>
                  <w:rStyle w:val="InternetLink"/>
                  <w:rFonts w:ascii="Times New Roman;serif" w:hAnsi="Times New Roman;serif"/>
                  <w:b w:val="false"/>
                  <w:color w:val="0563C1"/>
                  <w:sz w:val="20"/>
                  <w:u w:val="single"/>
                </w:rPr>
                <w:t>11</w:t>
              </w:r>
            </w:hyperlink>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16a443022fe4f4186809c6208902a2f">
              <w:r>
                <w:rPr>
                  <w:rStyle w:val="InternetLink"/>
                  <w:rFonts w:ascii="Times New Roman;serif" w:hAnsi="Times New Roman;serif"/>
                  <w:b w:val="false"/>
                  <w:color w:val="0563C1"/>
                  <w:sz w:val="20"/>
                  <w:u w:val="single"/>
                </w:rPr>
                <w:t xml:space="preserve">DESCRIPTION OF WARRANTS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6a443022fe4f4186809c6208902a2f">
              <w:r>
                <w:rPr>
                  <w:rStyle w:val="InternetLink"/>
                  <w:rFonts w:ascii="Times New Roman;serif" w:hAnsi="Times New Roman;serif"/>
                  <w:b w:val="false"/>
                  <w:color w:val="0563C1"/>
                  <w:sz w:val="20"/>
                  <w:u w:val="single"/>
                </w:rPr>
                <w:t>19</w:t>
              </w:r>
            </w:hyperlink>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4bde2ca84534f838c150baacf5a7a9b">
              <w:r>
                <w:rPr>
                  <w:rStyle w:val="InternetLink"/>
                  <w:rFonts w:ascii="Times New Roman;serif" w:hAnsi="Times New Roman;serif"/>
                  <w:b w:val="false"/>
                  <w:color w:val="0563C1"/>
                  <w:sz w:val="20"/>
                  <w:u w:val="single"/>
                </w:rPr>
                <w:t xml:space="preserve">DESCRIPTION OF UNITS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4bde2ca84534f838c150baacf5a7a9b">
              <w:r>
                <w:rPr>
                  <w:rStyle w:val="InternetLink"/>
                  <w:rFonts w:ascii="Times New Roman;serif" w:hAnsi="Times New Roman;serif"/>
                  <w:b w:val="false"/>
                  <w:color w:val="0563C1"/>
                  <w:sz w:val="20"/>
                  <w:u w:val="single"/>
                </w:rPr>
                <w:t>20</w:t>
              </w:r>
            </w:hyperlink>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7ecd78d896949f7a0f59e5a50f8cc66">
              <w:r>
                <w:rPr>
                  <w:rStyle w:val="InternetLink"/>
                  <w:rFonts w:ascii="Times New Roman;serif" w:hAnsi="Times New Roman;serif"/>
                  <w:b w:val="false"/>
                  <w:color w:val="0563C1"/>
                  <w:sz w:val="20"/>
                  <w:u w:val="single"/>
                </w:rPr>
                <w:t xml:space="preserve">GLOBAL SECURITIES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7ecd78d896949f7a0f59e5a50f8cc66">
              <w:r>
                <w:rPr>
                  <w:rStyle w:val="InternetLink"/>
                  <w:rFonts w:ascii="Times New Roman;serif" w:hAnsi="Times New Roman;serif"/>
                  <w:b w:val="false"/>
                  <w:color w:val="0563C1"/>
                  <w:sz w:val="20"/>
                  <w:u w:val="single"/>
                </w:rPr>
                <w:t>21</w:t>
              </w:r>
            </w:hyperlink>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e53235967f043cdbabd94802f1a4786">
              <w:r>
                <w:rPr>
                  <w:rStyle w:val="InternetLink"/>
                  <w:rFonts w:ascii="Times New Roman;serif" w:hAnsi="Times New Roman;serif"/>
                  <w:b w:val="false"/>
                  <w:color w:val="0563C1"/>
                  <w:sz w:val="20"/>
                  <w:u w:val="single"/>
                </w:rPr>
                <w:t xml:space="preserve">PLAN OF DISTRIBUTION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e53235967f043cdbabd94802f1a4786">
              <w:r>
                <w:rPr>
                  <w:rStyle w:val="InternetLink"/>
                  <w:rFonts w:ascii="Times New Roman;serif" w:hAnsi="Times New Roman;serif"/>
                  <w:b w:val="false"/>
                  <w:color w:val="0563C1"/>
                  <w:sz w:val="20"/>
                  <w:u w:val="single"/>
                </w:rPr>
                <w:t>24</w:t>
              </w:r>
            </w:hyperlink>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7621a1bfdc44b3a9e52f17399faee00">
              <w:r>
                <w:rPr>
                  <w:rStyle w:val="InternetLink"/>
                  <w:rFonts w:ascii="Times New Roman;serif" w:hAnsi="Times New Roman;serif"/>
                  <w:b w:val="false"/>
                  <w:color w:val="0563C1"/>
                  <w:sz w:val="20"/>
                  <w:u w:val="single"/>
                </w:rPr>
                <w:t xml:space="preserve">LEGAL MATTERS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7621a1bfdc44b3a9e52f17399faee00">
              <w:r>
                <w:rPr>
                  <w:rStyle w:val="InternetLink"/>
                  <w:rFonts w:ascii="Times New Roman;serif" w:hAnsi="Times New Roman;serif"/>
                  <w:b w:val="false"/>
                  <w:color w:val="0563C1"/>
                  <w:sz w:val="20"/>
                  <w:u w:val="single"/>
                </w:rPr>
                <w:t>26</w:t>
              </w:r>
            </w:hyperlink>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2d7070a4bb343cbafa675e2a901d98b">
              <w:r>
                <w:rPr>
                  <w:rStyle w:val="InternetLink"/>
                  <w:rFonts w:ascii="Times New Roman;serif" w:hAnsi="Times New Roman;serif"/>
                  <w:b w:val="false"/>
                  <w:color w:val="0563C1"/>
                  <w:sz w:val="20"/>
                  <w:u w:val="single"/>
                </w:rPr>
                <w:t xml:space="preserve">EXPERTS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2d7070a4bb343cbafa675e2a901d98b">
              <w:r>
                <w:rPr>
                  <w:rStyle w:val="InternetLink"/>
                  <w:rFonts w:ascii="Times New Roman;serif" w:hAnsi="Times New Roman;serif"/>
                  <w:b w:val="false"/>
                  <w:color w:val="0563C1"/>
                  <w:sz w:val="20"/>
                  <w:u w:val="single"/>
                </w:rPr>
                <w:t>26</w:t>
              </w:r>
            </w:hyperlink>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8a867ecf7f4d2ebf41b97d1f31a429">
              <w:r>
                <w:rPr>
                  <w:rStyle w:val="InternetLink"/>
                  <w:rFonts w:ascii="Times New Roman;serif" w:hAnsi="Times New Roman;serif"/>
                  <w:b w:val="false"/>
                  <w:color w:val="0563C1"/>
                  <w:sz w:val="20"/>
                  <w:u w:val="single"/>
                </w:rPr>
                <w:t xml:space="preserve">WHERE YOU CAN FIND MORE INFORMATION; INCORPORATION BY REFERENCE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8a867ecf7f4d2ebf41b97d1f31a429">
              <w:r>
                <w:rPr>
                  <w:rStyle w:val="InternetLink"/>
                  <w:rFonts w:ascii="Times New Roman;serif" w:hAnsi="Times New Roman;serif"/>
                  <w:b w:val="false"/>
                  <w:color w:val="0563C1"/>
                  <w:sz w:val="20"/>
                  <w:u w:val="single"/>
                </w:rPr>
                <w:t>26</w:t>
              </w:r>
            </w:hyperlink>
          </w:p>
        </w:tc>
      </w:tr>
    </w:tbl>
    <w:p>
      <w:pPr>
        <w:pStyle w:val="TextBody"/>
        <w:bidi w:val="0"/>
        <w:spacing w:before="0" w:after="283"/>
        <w:jc w:val="left"/>
        <w:rPr/>
      </w:pPr>
      <w:r>
        <w:rPr/>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1" w:name="i914587227bb543a28318b573e90f268a"/>
      <w:bookmarkEnd w:id="1"/>
      <w:r>
        <w:rPr>
          <w:rFonts w:ascii="Times New Roman;serif" w:hAnsi="Times New Roman;serif"/>
          <w:b/>
          <w:color w:val="000000"/>
          <w:sz w:val="20"/>
        </w:rPr>
        <w:t xml:space="preserve">ABOUT THIS PROSPECTUS SUPPLEMENT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initially filed on September 22, 2025, as amended on March 31, 2026 and declared effective on April 8, 2026, are part of a registration statement on Form S-3 that we filed with the U.S. Securities and Exchange Commission (the “SEC”) under the Securities Act of 1933, as amended (the “Securities Act”), utilizing a “shelf” registration process or continuous offering of up to an aggregate offering price of $1,000,000,000. Under this shelf registration process, we may, from time to time, offer and sell in one or more offerings any securities described in the accompanying prospectus.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document is in two parts. The first part is this prospectus supplement, which describes the terms of this offering of securities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you with any information other than that contained or incorporated by reference in this prospectus supplement, the accompanying prospectus or in any free writing prospectus that we have authorized for use in connection with this offering. We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their entirety before making your investment decision. You should also read and consider the information in the documents to which we have referred you in the sections titled “Where You Can Find Additional Information” and “Incorporation of Certain Information by Reference” in this prospectus supplement and in the accompanying prospectus.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w:t>
        <w:br/>
        <w:t xml:space="preserve">of some of the documents referred to herein have been or will be filed as exhibits to the registration statement of which this prospectus supplement is a part or as exhibits to documents incorporated by reference herein, and you may obtain copies of those documents as described below under the headings “Where You Can Find Additional Information” and “Incorporation of Certain Information by Reference.”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offering to sell, and seeking offers to buy, shares of our securities only in jurisdictions in which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Except as otherwise indicated herein or as the context otherwise requires, references in this prospectus supplement, the accompanying prospectus and the information incorporated by referenced herein or therein to (i) “Solana Company,” “the Company,” “we,” “us,” “our” and similar terms refer to Solana Company and its subsidiaries and (ii) “Class A common stock” refer to shares of Class A common stock of Solana Company, par value $0.001 per share.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2" w:name="i0eeb3772de3f42c6ada4bfa772e3b0ea"/>
      <w:bookmarkEnd w:id="2"/>
      <w:r>
        <w:rPr>
          <w:rFonts w:ascii="Times New Roman;serif" w:hAnsi="Times New Roman;serif"/>
          <w:b/>
          <w:color w:val="000000"/>
          <w:sz w:val="20"/>
        </w:rPr>
        <w:t xml:space="preserve">SPECIAL NOTE REGARDING FORWARD-LOOKING STATEMENTS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including the documents that we incorporate by reference, contain forward-looking statements that involve risks, uncertainties, including statements regarding the Company’s market, strategy, competition, capital needs, business plans and expectations. Any statements contained herein that are not statements of historical fact may be deemed to be forward-looking statements. In some cases, you can identify forward-looking statements by the words “may,” “will,” “should,” “could,” “anticipates,” “estimates,” “plans,” “projects,” “potential,” “continuing,” “ongoing,” “expects,” “believes,” “intends,” “targets,” “predicts,” “potential” or “continue”, the negative of these terms, or other comparable terminology.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made, without limitation, in relation to expected benefits and implementation of our digital asset treasury strategy; expected staking, yield and broader opportunities across the Solana ecosystem; our expected token treasury growth; the potential tokenization of our Class A common stock; the anticipated terms of custody arrangements; prospects and potential benefits of the Solana Foundation; our future growth and operational progress; our compliance with Nasdaq requirements; the impacts of the current global macroeconomic environment on our sufficiency of cash and availability of funds and operating costs; our market awareness; our ability to compete effectively; our future expenses and cash flow; our ability to become profitable; our future financing arrangements; and any future stock price. While these forward-looking statements, and any assumptions upon which they are based, are made in good faith, based on information available to the Company as of the date hereof, and reflect the Company’s current judgment regarding its business plans, the Company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 looking statements as a result of new information, future events or otherwise or to conform these statements to actual results, except as required by applicable law, including the securities laws of the U.S.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Such forward-looking statements involve risks and uncertainties, known and unknown, including capital requirements to achieve our business objectives, expected benefits and implementation of our digital asset treasury strategy, expected staking, yield and broader opportunities across the Solana ecosystem; our expected token treasury growth, the impact on the Company of global macroeconomic conditions including effects from supply chain constraints, including risks related to manufacturing delays, logistics challenges, labor shortages, disruptions in the banking system and financial markets, high levels of inflation and high interest rates on our ability to operate our business and access capital markets, the success of our business plan, our operating costs and use of cash, and our ability to achieve significant revenues and other factors discussed in the “Risk Factors” section of this prospectus supplement.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refer to the “Risk Factors” section of this prospectus supplement for a discussion of important factors that may cause our actual results to differ materially from those expressed or implied by our forward-looking statements. As a result of these factors, we cannot assure you that the forward-looking statements in this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speak only as of the date of this prospectus supplement. Except as required by law, we assume no obligation to update or revise these forward-looking statements for any reason, even if new information becomes available in the future. You should, however, review the factors and risks and other information we describe in the reports we will file from time to time with the Securities and Exchange Commission (the “SEC”) after the date of this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bdr w:val="single" w:sz="4" w:space="30" w:color="000000"/>
        </w:rPr>
      </w:pPr>
      <w:bookmarkStart w:id="3" w:name="ie1154d1f632f4427b7d617948e34d8f5"/>
      <w:bookmarkEnd w:id="3"/>
      <w:r>
        <w:rPr>
          <w:rFonts w:ascii="Times New Roman;serif" w:hAnsi="Times New Roman;serif"/>
          <w:b/>
          <w:color w:val="000000"/>
          <w:sz w:val="20"/>
          <w:bdr w:val="single" w:sz="4" w:space="30" w:color="000000"/>
        </w:rPr>
        <w:t xml:space="preserve">PROSPECTUS SUPPLEMENT SUMMARY </w:t>
      </w:r>
    </w:p>
    <w:p>
      <w:pPr>
        <w:pStyle w:val="TextBody"/>
        <w:bidi w:val="0"/>
        <w:spacing w:lineRule="auto" w:line="288" w:before="0" w:after="240"/>
        <w:ind w:left="0" w:right="0" w:firstLine="360"/>
        <w:jc w:val="both"/>
        <w:rPr>
          <w:rFonts w:ascii="Times New Roman;serif" w:hAnsi="Times New Roman;serif"/>
          <w:b w:val="false"/>
          <w:i/>
          <w:color w:val="000000"/>
          <w:sz w:val="20"/>
          <w:bdr w:val="single" w:sz="4" w:space="30" w:color="000000"/>
        </w:rPr>
      </w:pPr>
      <w:r>
        <w:rPr>
          <w:rFonts w:ascii="Times New Roman;serif" w:hAnsi="Times New Roman;serif"/>
          <w:b w:val="false"/>
          <w:i/>
          <w:color w:val="000000"/>
          <w:sz w:val="20"/>
          <w:bdr w:val="single" w:sz="4" w:space="30" w:color="000000"/>
        </w:rPr>
        <w:t xml:space="preserve">This summary highlights selected information contained elsewhere in or incorporated by reference into this prospectus supplement. It does not contain all of the information you should consider before making an investment decision. Before you decide to invest in our Class A common stock, you should carefully read and consider the more detailed information included or incorporated by reference in this prospectus supplement, the accompanying prospectus and any free writing prospectus that we have authorized for use in connection with </w:t>
        <w:br/>
        <w:t xml:space="preserve">this offering, including the risk factors included or incorporated by reference herein and therein. You also should carefully read the other information incorporated by reference into this prospectus supplement and the accompanying prospectus, including our financial statements, other information and the exhibits to the registration statement of which this prospectus supplement and the accompanying prospectus are a part.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bdr w:val="single" w:sz="4" w:space="30" w:color="000000"/>
        </w:rPr>
      </w:pPr>
      <w:bookmarkStart w:id="4" w:name="i56bb38557a7b40b79aa9d16dd6f9736d"/>
      <w:bookmarkEnd w:id="4"/>
      <w:r>
        <w:rPr>
          <w:rFonts w:ascii="Times New Roman;serif" w:hAnsi="Times New Roman;serif"/>
          <w:b/>
          <w:color w:val="000000"/>
          <w:sz w:val="20"/>
          <w:bdr w:val="single" w:sz="4" w:space="30" w:color="000000"/>
        </w:rPr>
        <w:t xml:space="preserve">Overview </w:t>
      </w:r>
    </w:p>
    <w:p>
      <w:pPr>
        <w:pStyle w:val="TextBody"/>
        <w:bidi w:val="0"/>
        <w:spacing w:lineRule="auto" w:line="288" w:before="0" w:after="240"/>
        <w:ind w:left="0" w:right="0" w:firstLine="360"/>
        <w:jc w:val="both"/>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 xml:space="preserve">We are a listed digital asset treasury (“DAT”) dedicated to acquiring and holding Solana tokens (“SOL”). Our DAT objective is to maximize SOL per share through strategic use of capital markets and on-chain opportunities, offering public market investors direct exposure to Solana’s secular growth. </w:t>
      </w:r>
    </w:p>
    <w:p>
      <w:pPr>
        <w:pStyle w:val="TextBody"/>
        <w:bidi w:val="0"/>
        <w:spacing w:lineRule="auto" w:line="288" w:before="0" w:after="240"/>
        <w:ind w:left="0" w:right="0" w:firstLine="360"/>
        <w:jc w:val="both"/>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 xml:space="preserve">Strategic digital asset reserves like SOL lay the groundwork for a future where global payments, credentialing, and personalized learning can be powered by decentralized infrastructure, enhancing how we grow our Company. We believe that Solana represents a uniquely scalable, high-performance blockchain platform that aligns with our long-term vision of integrating innovative technologies into our services. By investing in and participating in the Solana ecosystem, we aim to both enhance our digital asset treasury strategy and create strategic optionality for product innovation in our core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bdr w:val="single" w:sz="4" w:space="30" w:color="000000"/>
        </w:rPr>
      </w:pPr>
      <w:bookmarkStart w:id="5" w:name="i3c7f91b6ffb94e75a374fb43e5988e19"/>
      <w:bookmarkEnd w:id="5"/>
      <w:r>
        <w:rPr>
          <w:rFonts w:ascii="Times New Roman;serif" w:hAnsi="Times New Roman;serif"/>
          <w:b/>
          <w:i/>
          <w:color w:val="000000"/>
          <w:sz w:val="20"/>
          <w:bdr w:val="single" w:sz="4" w:space="30" w:color="000000"/>
        </w:rPr>
        <w:t xml:space="preserve">Digital Asset Treasury </w:t>
      </w:r>
    </w:p>
    <w:p>
      <w:pPr>
        <w:pStyle w:val="TextBody"/>
        <w:bidi w:val="0"/>
        <w:spacing w:lineRule="auto" w:line="288" w:before="0" w:after="240"/>
        <w:ind w:left="0" w:right="0" w:firstLine="360"/>
        <w:jc w:val="both"/>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 xml:space="preserve">In September 2025, we adopted a digital asset treasury strategy centered on acquiring SOL and began repositioning a substantial portion of our balance sheet around that strategy. We expect the digital asset treasury strategy to be our principal strategic focus. Our assets are expected to remain concentrated primarily in SOL. Our objective is to increase long-term shareholder value by increasing the amount of SOL underlying each share, generating yield on treasury assets where appropriate, and using public-market financing and treasury tools in a disciplined manner to compound net asset value (“NAV”) over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bdr w:val="single" w:sz="4" w:space="30" w:color="000000"/>
        </w:rPr>
      </w:pPr>
      <w:bookmarkStart w:id="6" w:name="i448235c580314bc9b26e5290009c514b"/>
      <w:bookmarkEnd w:id="6"/>
      <w:r>
        <w:rPr>
          <w:rFonts w:ascii="Times New Roman;serif" w:hAnsi="Times New Roman;serif"/>
          <w:b/>
          <w:i/>
          <w:color w:val="000000"/>
          <w:sz w:val="20"/>
          <w:bdr w:val="single" w:sz="4" w:space="30" w:color="000000"/>
        </w:rPr>
        <w:t xml:space="preserve">Unlocked and Locked SOL </w:t>
      </w:r>
    </w:p>
    <w:p>
      <w:pPr>
        <w:pStyle w:val="TextBody"/>
        <w:bidi w:val="0"/>
        <w:spacing w:lineRule="auto" w:line="288" w:before="0" w:after="240"/>
        <w:ind w:left="0" w:right="0" w:firstLine="360"/>
        <w:jc w:val="both"/>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 xml:space="preserve">We hold SOL, which consist of both unrestricted tokens (“Unlocked SOL”), which unless qualified otherwise, Unlocked SOL shall only refer to unrestricted SOL tokens that are readily transferrable onchain on the Solana network or staked SOL subject to the normal unbonding period, and restricted tokens subject to contractual lock-up (“Locked SOL”). Locked SOL tokens held in custodial controlled omnibus or segregated custodial accounts are subject to contractual and onchain restrictions (“Smart Contracts”) that limit our ability to withdraw, transfer, or otherwise direct the use of the tokens until the time-based unlock conditions are met. The Locked SOL are subject to relatively even monthly unlocks through January 2028. We continue to benefit from staking rewards earned on Locked SOL.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bdr w:val="single" w:sz="4" w:space="30" w:color="000000"/>
        </w:rPr>
      </w:pPr>
      <w:bookmarkStart w:id="7" w:name="i30af27e7c3654a2abd1415bc5e72197d"/>
      <w:bookmarkEnd w:id="7"/>
      <w:r>
        <w:rPr>
          <w:rFonts w:ascii="Times New Roman;serif" w:hAnsi="Times New Roman;serif"/>
          <w:b/>
          <w:i/>
          <w:color w:val="000000"/>
          <w:sz w:val="20"/>
          <w:bdr w:val="single" w:sz="4" w:space="30" w:color="000000"/>
        </w:rPr>
        <w:t>SOL Validator Cluster</w:t>
      </w:r>
    </w:p>
    <w:p>
      <w:pPr>
        <w:pStyle w:val="TextBody"/>
        <w:bidi w:val="0"/>
        <w:spacing w:lineRule="auto" w:line="288" w:before="0" w:after="240"/>
        <w:ind w:left="0" w:right="0" w:firstLine="360"/>
        <w:jc w:val="both"/>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We launched our own SOL validator cluster in July 2026. As of September 28, 2026, external parties have delegated 1 million SOL to stake on our cluster.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bdr w:val="single" w:sz="4" w:space="30" w:color="000000"/>
        </w:rPr>
      </w:pPr>
      <w:bookmarkStart w:id="8" w:name="i49974b1f2fc74cd1a513a6a80a351d71"/>
      <w:bookmarkEnd w:id="8"/>
      <w:r>
        <w:rPr>
          <w:rFonts w:ascii="Times New Roman;serif" w:hAnsi="Times New Roman;serif"/>
          <w:b/>
          <w:color w:val="000000"/>
          <w:sz w:val="20"/>
          <w:bdr w:val="single" w:sz="4" w:space="30" w:color="000000"/>
        </w:rPr>
        <w:t xml:space="preserve">Corporate Information </w:t>
      </w:r>
    </w:p>
    <w:p>
      <w:pPr>
        <w:pStyle w:val="TextBody"/>
        <w:bidi w:val="0"/>
        <w:spacing w:lineRule="auto" w:line="288" w:before="0" w:after="240"/>
        <w:ind w:left="0" w:right="0" w:firstLine="360"/>
        <w:jc w:val="both"/>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 xml:space="preserve">We were originally incorporated in British Columbia, Canada on March 13, 2014 under the British Columbia Business Corporations Act (the “BCBCA”), as “0996445 B.C. Ltd.” On May 23, 2014, we changed our name to “Helius Medical Technologies, Inc.” and filed articles of continuation with the Wyoming Secretary of State office to reincorporate from being a corporation governed by the BCBCA to a corporation governed by the Wyoming Business Corporation Act. On July 20, 2018, we reincorporated from the state of Wyoming to the state of Delaware. On September 29, 2025, we changed our name to “Solana Company.” Our principal executive offices are located at 1650 Market Street, Suite 3600, PMB 17139084 Philadelphia, Pennsylvania and our telephone number is (215) 207-2717. We maintain a corporate website at www.solanacompany.co. We are not including the information on our website as a part of, nor incorporating it by reference into this prospectus or the registration statement of which it forms a part.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bdr w:val="single" w:sz="4" w:space="30" w:color="000000"/>
        </w:rPr>
      </w:pPr>
      <w:bookmarkStart w:id="9" w:name="i8daa962c3ee943af8de0652016abd62a"/>
      <w:bookmarkEnd w:id="9"/>
      <w:r>
        <w:rPr>
          <w:rFonts w:ascii="Times New Roman;serif" w:hAnsi="Times New Roman;serif"/>
          <w:b/>
          <w:color w:val="000000"/>
          <w:sz w:val="20"/>
          <w:bdr w:val="single" w:sz="4" w:space="30" w:color="000000"/>
        </w:rPr>
        <w:t xml:space="preserve">Implications of Being a Smaller Reporting Company </w:t>
      </w:r>
    </w:p>
    <w:p>
      <w:pPr>
        <w:pStyle w:val="TextBody"/>
        <w:bidi w:val="0"/>
        <w:spacing w:lineRule="auto" w:line="288"/>
        <w:ind w:left="0" w:right="0" w:firstLine="360"/>
        <w:jc w:val="left"/>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 xml:space="preserve">We are a “smaller reporting company,” meaning that the market value of our Class A common stock held by non-affiliates is less than $250.0 million measured on the last business day of our second fiscal quarter or our annual revenue is less than $100.0 million during the most recently completed fiscal year and the market value of our Class A common stock held by non-affiliates is less than $700.0 million measured on the last business day of our second fiscal quarter. Accordingly, we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what you might receive from other public reporting companies in which you hold equity interests.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bdr w:val="single" w:sz="4" w:space="30" w:color="000000"/>
        </w:rPr>
      </w:pPr>
      <w:bookmarkStart w:id="10" w:name="i687f6dbb07ad4cf68592664899446bdc"/>
      <w:bookmarkEnd w:id="10"/>
      <w:r>
        <w:rPr>
          <w:rFonts w:ascii="Times New Roman;serif" w:hAnsi="Times New Roman;serif"/>
          <w:b/>
          <w:color w:val="000000"/>
          <w:sz w:val="20"/>
          <w:bdr w:val="single" w:sz="4" w:space="30" w:color="000000"/>
        </w:rPr>
        <w:t>THE OFFERING</w:t>
      </w:r>
    </w:p>
    <w:tbl>
      <w:tblPr>
        <w:tblW w:w="10205" w:type="dxa"/>
        <w:jc w:val="left"/>
        <w:tblInd w:w="0" w:type="dxa"/>
        <w:tblLayout w:type="fixed"/>
        <w:tblCellMar>
          <w:top w:w="28" w:type="dxa"/>
          <w:left w:w="28" w:type="dxa"/>
          <w:bottom w:w="28" w:type="dxa"/>
          <w:right w:w="28" w:type="dxa"/>
        </w:tblCellMar>
      </w:tblPr>
      <w:tblGrid>
        <w:gridCol w:w="744"/>
        <w:gridCol w:w="419"/>
        <w:gridCol w:w="425"/>
        <w:gridCol w:w="2740"/>
        <w:gridCol w:w="2423"/>
        <w:gridCol w:w="3454"/>
      </w:tblGrid>
      <w:tr>
        <w:trPr/>
        <w:tc>
          <w:tcPr>
            <w:tcW w:w="74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4"/>
              <w:jc w:val="left"/>
              <w:rPr>
                <w:rFonts w:ascii="Times New Roman;serif" w:hAnsi="Times New Roman;serif"/>
                <w:b w:val="false"/>
                <w:color w:val="000000"/>
                <w:sz w:val="20"/>
              </w:rPr>
            </w:pPr>
            <w:r>
              <w:rPr>
                <w:rFonts w:ascii="Times New Roman;serif" w:hAnsi="Times New Roman;serif"/>
                <w:b w:val="false"/>
                <w:color w:val="000000"/>
                <w:sz w:val="20"/>
              </w:rPr>
              <w:t>Class A common stock offered by us</w:t>
            </w:r>
          </w:p>
        </w:tc>
        <w:tc>
          <w:tcPr>
            <w:tcW w:w="861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4,369,356 shares of our Class A common stock </w:t>
            </w:r>
          </w:p>
        </w:tc>
      </w:tr>
      <w:tr>
        <w:trPr/>
        <w:tc>
          <w:tcPr>
            <w:tcW w:w="158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4"/>
              <w:jc w:val="left"/>
              <w:rPr>
                <w:rFonts w:ascii="Times New Roman;serif" w:hAnsi="Times New Roman;serif"/>
                <w:b w:val="false"/>
                <w:color w:val="000000"/>
                <w:sz w:val="20"/>
              </w:rPr>
            </w:pPr>
            <w:r>
              <w:rPr>
                <w:rFonts w:ascii="Times New Roman;serif" w:hAnsi="Times New Roman;serif"/>
                <w:b w:val="false"/>
                <w:color w:val="000000"/>
                <w:sz w:val="20"/>
              </w:rPr>
              <w:t>Common Warrants offered by us</w:t>
            </w:r>
          </w:p>
        </w:tc>
        <w:tc>
          <w:tcPr>
            <w:tcW w:w="861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Common Warrants to purchase up to 4,369,356 shares of our Class A common stock. Each warrant will have an initial exercise price per share of $3.776, subject to certain adjustments, will become exercisable immediately from the date of issuance, and will expire 5.5 years years from the date of issuance. For more information, see the section titled “Description of Warrants” on page 17 of the accompanying base prospectus to this prospectus supplement. This prospectus supplement also related to the offering of the shares of Class A common stock issuable upon exercise of the Common Warrants.</w:t>
            </w:r>
          </w:p>
        </w:tc>
      </w:tr>
      <w:tr>
        <w:trPr/>
        <w:tc>
          <w:tcPr>
            <w:tcW w:w="158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4"/>
              <w:jc w:val="left"/>
              <w:rPr>
                <w:rFonts w:ascii="Times New Roman;serif" w:hAnsi="Times New Roman;serif"/>
                <w:b w:val="false"/>
                <w:color w:val="000000"/>
                <w:sz w:val="20"/>
              </w:rPr>
            </w:pPr>
            <w:r>
              <w:rPr>
                <w:rFonts w:ascii="Times New Roman;serif" w:hAnsi="Times New Roman;serif"/>
                <w:b w:val="false"/>
                <w:color w:val="000000"/>
                <w:sz w:val="20"/>
              </w:rPr>
              <w:t>Class A common stock to be outstanding immediately after this offering</w:t>
            </w:r>
          </w:p>
        </w:tc>
        <w:tc>
          <w:tcPr>
            <w:tcW w:w="861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65,104,574 shares of our Class A common stock (assuming none of the Common Warrants issued in this offering are exercised)</w:t>
            </w:r>
          </w:p>
        </w:tc>
      </w:tr>
      <w:tr>
        <w:trPr/>
        <w:tc>
          <w:tcPr>
            <w:tcW w:w="158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6"/>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61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receive net proceeds from this offering excluding the proceeds, if any, from the exercise of the Common Warrants offered hereby, of approximately $14.3 million after deducting placement agent fees and estimated offering expenses payable by us. </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intend to use the net proceeds of this offering, together with our existing cash and cash equivalents, for accumulating SOL, working capital and general corporate purposes, business expansion and other strategic initiatives. </w:t>
            </w:r>
          </w:p>
          <w:p>
            <w:pPr>
              <w:pStyle w:val="TableContents"/>
              <w:bidi w:val="0"/>
              <w:spacing w:lineRule="auto" w:line="288" w:before="0" w:after="240"/>
              <w:jc w:val="left"/>
              <w:rPr/>
            </w:pPr>
            <w:r>
              <w:rPr>
                <w:rFonts w:ascii="Times New Roman;serif" w:hAnsi="Times New Roman;serif"/>
                <w:b w:val="false"/>
                <w:color w:val="000000"/>
                <w:sz w:val="20"/>
              </w:rPr>
              <w:t xml:space="preserve">See “Use of Proceeds” on page </w:t>
            </w:r>
            <w:hyperlink w:anchor="ieef1dd931a8b45998f8a54b6b567ff3b_2015">
              <w:r>
                <w:rPr>
                  <w:rStyle w:val="InternetLink"/>
                  <w:rFonts w:ascii="Times New Roman;serif" w:hAnsi="Times New Roman;serif"/>
                  <w:b w:val="false"/>
                  <w:color w:val="0563C1"/>
                  <w:sz w:val="20"/>
                  <w:u w:val="single"/>
                </w:rPr>
                <w:t>S-7</w:t>
              </w:r>
            </w:hyperlink>
            <w:r>
              <w:rPr>
                <w:color w:val="000000"/>
              </w:rPr>
              <w:t xml:space="preserve"> </w:t>
            </w:r>
            <w:r>
              <w:rPr>
                <w:rFonts w:ascii="Times New Roman;serif" w:hAnsi="Times New Roman;serif"/>
                <w:b w:val="false"/>
                <w:color w:val="000000"/>
                <w:sz w:val="20"/>
              </w:rPr>
              <w:t xml:space="preserve">of this prospectus supplement </w:t>
            </w:r>
          </w:p>
        </w:tc>
      </w:tr>
      <w:tr>
        <w:trPr/>
        <w:tc>
          <w:tcPr>
            <w:tcW w:w="158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4"/>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617"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231F20"/>
                <w:sz w:val="20"/>
              </w:rPr>
              <w:t>Investing in our securities involves significant risks.</w:t>
            </w:r>
            <w:r>
              <w:rPr>
                <w:color w:val="000000"/>
              </w:rPr>
              <w:t xml:space="preserve"> </w:t>
            </w:r>
            <w:r>
              <w:rPr>
                <w:rFonts w:ascii="Times New Roman;serif" w:hAnsi="Times New Roman;serif"/>
                <w:b w:val="false"/>
                <w:color w:val="231F20"/>
                <w:sz w:val="20"/>
              </w:rPr>
              <w:t xml:space="preserve">See the disclosure under the heading “Risk Factors” on page </w:t>
            </w:r>
            <w:hyperlink w:anchor="i0e10a50cbb8d48debca5b3ea420956e9_1102">
              <w:r>
                <w:rPr>
                  <w:rStyle w:val="InternetLink"/>
                  <w:rFonts w:ascii="Times New Roman;serif" w:hAnsi="Times New Roman;serif"/>
                  <w:b w:val="false"/>
                  <w:color w:val="0563C1"/>
                  <w:sz w:val="20"/>
                  <w:u w:val="single"/>
                </w:rPr>
                <w:t>S-5</w:t>
              </w:r>
            </w:hyperlink>
            <w:r>
              <w:rPr>
                <w:color w:val="231F20"/>
              </w:rPr>
              <w:t xml:space="preserve"> </w:t>
            </w:r>
            <w:r>
              <w:rPr>
                <w:rFonts w:ascii="Times New Roman;serif" w:hAnsi="Times New Roman;serif"/>
                <w:b w:val="false"/>
                <w:color w:val="231F20"/>
                <w:sz w:val="20"/>
              </w:rPr>
              <w:t>in</w:t>
            </w:r>
            <w:r>
              <w:rPr>
                <w:color w:val="000000"/>
              </w:rPr>
              <w:t xml:space="preserve"> </w:t>
            </w:r>
            <w:r>
              <w:rPr>
                <w:rFonts w:ascii="Times New Roman;serif" w:hAnsi="Times New Roman;serif"/>
                <w:b w:val="false"/>
                <w:color w:val="231F20"/>
                <w:sz w:val="20"/>
              </w:rPr>
              <w:t>this prospectus supplement and under similar headings in other</w:t>
            </w:r>
            <w:r>
              <w:rPr>
                <w:color w:val="000000"/>
              </w:rPr>
              <w:t xml:space="preserve"> </w:t>
            </w:r>
            <w:r>
              <w:rPr>
                <w:rFonts w:ascii="Times New Roman;serif" w:hAnsi="Times New Roman;serif"/>
                <w:b w:val="false"/>
                <w:color w:val="231F20"/>
                <w:sz w:val="20"/>
              </w:rPr>
              <w:t>documents incorporated by reference into this prospectus</w:t>
            </w:r>
            <w:r>
              <w:rPr>
                <w:color w:val="000000"/>
              </w:rPr>
              <w:t xml:space="preserve"> </w:t>
            </w:r>
            <w:r>
              <w:rPr>
                <w:rFonts w:ascii="Times New Roman;serif" w:hAnsi="Times New Roman;serif"/>
                <w:b w:val="false"/>
                <w:color w:val="231F20"/>
                <w:sz w:val="20"/>
              </w:rPr>
              <w:t>supplement.</w:t>
            </w:r>
            <w:r>
              <w:rPr>
                <w:color w:val="000000"/>
              </w:rPr>
              <w:t xml:space="preserve"> </w:t>
            </w:r>
          </w:p>
        </w:tc>
      </w:tr>
      <w:tr>
        <w:trPr/>
        <w:tc>
          <w:tcPr>
            <w:tcW w:w="1588"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4"/>
              <w:jc w:val="left"/>
              <w:rPr>
                <w:rFonts w:ascii="Times New Roman;serif" w:hAnsi="Times New Roman;serif"/>
                <w:b w:val="false"/>
                <w:color w:val="000000"/>
                <w:sz w:val="20"/>
              </w:rPr>
            </w:pPr>
            <w:r>
              <w:rPr>
                <w:rFonts w:ascii="Times New Roman;serif" w:hAnsi="Times New Roman;serif"/>
                <w:b w:val="false"/>
                <w:color w:val="000000"/>
                <w:sz w:val="20"/>
              </w:rPr>
              <w:t>The Nasdaq Capital Market symbol</w:t>
            </w:r>
          </w:p>
        </w:tc>
        <w:tc>
          <w:tcPr>
            <w:tcW w:w="861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Capital Market under the symbol “HSDT.” There is no established public trading market for the Common Warrants and we do not expect a market to develop. In addition, we do not intend to apply for listing of the Common Warrants on any securities exchange or recognized trading system. </w:t>
            </w:r>
          </w:p>
        </w:tc>
      </w:tr>
    </w:tbl>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 xml:space="preserve">The number of shares of Class A common stock that will be outstanding after this offering is based on 60,735,218 shares of Class A common stock outstanding as of September 29, 2026, and excludes: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4,377,435 shares of Class A common stock reserved as treasury shares;</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23,811,875 shares of Class A common stock issuable upon the exercise of outstanding pre-funded warrants and advisory warrants;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73,950,096 shares of Class A common stock issuable upon the exercise of other outstanding warrants (including common warrants and preferred warrants);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2 shares of Class A common stock issuable pursuant to outstanding awards granted under our 2021 Inducement Plan; and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1,773,193 shares of Class A common stock issuable pursuant to outstanding awards granted under our 2022 Equity Incentive Plan.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bdr w:val="single" w:sz="4" w:space="30" w:color="000000"/>
        </w:rPr>
      </w:pPr>
      <w:r>
        <w:rPr>
          <w:rFonts w:ascii="Times New Roman;serif" w:hAnsi="Times New Roman;serif"/>
          <w:b w:val="false"/>
          <w:color w:val="000000"/>
          <w:sz w:val="20"/>
          <w:bdr w:val="single" w:sz="4" w:space="30" w:color="000000"/>
        </w:rPr>
        <w:t>Except as otherwise indicated, all information in this prospectus supplement and the accompanying prospectus assumes:</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no exercise of the outstanding warrants referred to above;</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no exercise, vesting and settlement of the outstanding awards referred to above; and</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no exercise of the Common Warrants offered in this offering.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1" w:name="i68871ffbd4eb4ff0b19c9511e242ec2a"/>
      <w:bookmarkStart w:id="12" w:name="i0e10a50cbb8d48debca5b3ea420956e9_1102"/>
      <w:bookmarkEnd w:id="11"/>
      <w:bookmarkEnd w:id="12"/>
      <w:r>
        <w:rPr>
          <w:rFonts w:ascii="Times New Roman;serif" w:hAnsi="Times New Roman;serif"/>
          <w:b/>
          <w:color w:val="000000"/>
          <w:sz w:val="20"/>
        </w:rPr>
        <w:t>RISK FACTORS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Investment in the shares of Class A common stock offered pursuant to this prospectus supplement and the accompanying prospectus involves risks. You should carefully consider the risk factors described below, as well as the risk factors described under the caption “Risk Factors” in our most recent Annual Report on Form 10-K, Quarterly Report on Form 10-Q, and the other information contained or incorporated by reference in this prospectus supplement and the accompanying prospectus, including our financial statements and the related notes, as may be updated by our subsequent filings under the Exchange Act, and in any free writing prospectus that we have authorized for use in connection with this offering before acquiring shares of our Class A common stock. Our business, financial condition, results of operations or prospects could be materially adversely affected by any of these risks. The trading price of our Class A common stock could decline due to any of these risks, and you may lose all or part of your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13" w:name="iae0d779c38f3459f95e6c23f7a100325"/>
      <w:bookmarkEnd w:id="13"/>
      <w:r>
        <w:rPr>
          <w:rFonts w:ascii="Times NR MT Pro;sans-serif" w:hAnsi="Times NR MT Pro;sans-serif"/>
          <w:b/>
          <w:color w:val="231F20"/>
          <w:sz w:val="20"/>
        </w:rPr>
        <w:t>Risks Relating to this Offering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14" w:name="i10a6ba9b36d44d8e90210e9f4ba5c74e"/>
      <w:bookmarkEnd w:id="14"/>
      <w:r>
        <w:rPr>
          <w:rFonts w:ascii="Times NR MT Pro;sans-serif" w:hAnsi="Times NR MT Pro;sans-serif"/>
          <w:b/>
          <w:i/>
          <w:color w:val="231F20"/>
          <w:sz w:val="20"/>
        </w:rPr>
        <w:t>Management will have broad discretion as to the use of the net proceeds from this offering, and may not use</w:t>
      </w:r>
      <w:r>
        <w:rPr>
          <w:color w:val="000000"/>
        </w:rPr>
        <w:t xml:space="preserve"> </w:t>
      </w:r>
      <w:r>
        <w:rPr>
          <w:rFonts w:ascii="Times NR MT Pro;sans-serif" w:hAnsi="Times NR MT Pro;sans-serif"/>
          <w:b/>
          <w:i/>
          <w:color w:val="231F20"/>
          <w:sz w:val="20"/>
        </w:rPr>
        <w:t>the proceeds effectively.</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will have broad discretion in the application of the net proceeds we receive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could spend the proceeds in ways that do not improve our results of operations or enhance the value of our Class A common stock. Our failure to apply these funds effectively could have a material adverse effect on our business, financial condition and results of operations, delay the development of our product candidates and cause the price of our Class A common stock to decline. See the section titled “Use of Proceeds”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15" w:name="i3ab7fb16301741f4bb7bd0817e0d8a7e"/>
      <w:bookmarkEnd w:id="15"/>
      <w:r>
        <w:rPr>
          <w:rFonts w:ascii="Times NR MT Pro;sans-serif" w:hAnsi="Times NR MT Pro;sans-serif"/>
          <w:b/>
          <w:i/>
          <w:color w:val="231F20"/>
          <w:sz w:val="20"/>
        </w:rPr>
        <w:t>We do not currently intend to pay dividends on our Class A common stock, and any return to investors is</w:t>
      </w:r>
      <w:r>
        <w:rPr>
          <w:color w:val="000000"/>
        </w:rPr>
        <w:t xml:space="preserve"> </w:t>
      </w:r>
      <w:r>
        <w:rPr>
          <w:rFonts w:ascii="Times NR MT Pro;sans-serif" w:hAnsi="Times NR MT Pro;sans-serif"/>
          <w:b/>
          <w:i/>
          <w:color w:val="231F20"/>
          <w:sz w:val="20"/>
        </w:rPr>
        <w:t>expected to come, if at all, only from potential increases in the price of our Class A common stock.</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have never declared or paid any cash dividends on our capital stock, and you should not rely on an</w:t>
      </w:r>
      <w:r>
        <w:rPr>
          <w:color w:val="000000"/>
        </w:rPr>
        <w:t xml:space="preserve"> </w:t>
      </w:r>
      <w:r>
        <w:rPr>
          <w:rFonts w:ascii="Times NR MT Pro;sans-serif" w:hAnsi="Times NR MT Pro;sans-serif"/>
          <w:b w:val="false"/>
          <w:color w:val="231F20"/>
          <w:sz w:val="20"/>
        </w:rPr>
        <w:t>investment in our Class A common stock to provide dividend income. We currently intend to retain all of</w:t>
      </w:r>
      <w:r>
        <w:rPr>
          <w:color w:val="000000"/>
        </w:rPr>
        <w:t xml:space="preserve"> </w:t>
      </w:r>
      <w:r>
        <w:rPr>
          <w:rFonts w:ascii="Times NR MT Pro;sans-serif" w:hAnsi="Times NR MT Pro;sans-serif"/>
          <w:b w:val="false"/>
          <w:color w:val="231F20"/>
          <w:sz w:val="20"/>
        </w:rPr>
        <w:t>our future earnings, if any, to finance the growth and development of our business and do not anticipate</w:t>
      </w:r>
      <w:r>
        <w:rPr>
          <w:color w:val="000000"/>
        </w:rPr>
        <w:t xml:space="preserve"> </w:t>
      </w:r>
      <w:r>
        <w:rPr>
          <w:rFonts w:ascii="Times NR MT Pro;sans-serif" w:hAnsi="Times NR MT Pro;sans-serif"/>
          <w:b w:val="false"/>
          <w:color w:val="231F20"/>
          <w:sz w:val="20"/>
        </w:rPr>
        <w:t>declaring or paying any cash dividends for the foreseeable future. As a result, capital appreciation, if any, of</w:t>
      </w:r>
      <w:r>
        <w:rPr>
          <w:color w:val="000000"/>
        </w:rPr>
        <w:t xml:space="preserve"> </w:t>
      </w:r>
      <w:r>
        <w:rPr>
          <w:rFonts w:ascii="Times NR MT Pro;sans-serif" w:hAnsi="Times NR MT Pro;sans-serif"/>
          <w:b w:val="false"/>
          <w:color w:val="231F20"/>
          <w:sz w:val="20"/>
        </w:rPr>
        <w:t>our Class A common stock will be your sole source of gain for the foreseeable future.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16" w:name="ib7a7b50ac79b4495bdf9d3e46c68d206"/>
      <w:bookmarkEnd w:id="16"/>
      <w:r>
        <w:rPr>
          <w:rFonts w:ascii="Times NR MT Pro;sans-serif" w:hAnsi="Times NR MT Pro;sans-serif"/>
          <w:b/>
          <w:i/>
          <w:color w:val="231F20"/>
          <w:sz w:val="20"/>
        </w:rPr>
        <w:t>Future sales of our Class A common stock in the public market, or the perception that such sales could occur,</w:t>
      </w:r>
      <w:r>
        <w:rPr>
          <w:color w:val="000000"/>
        </w:rPr>
        <w:t xml:space="preserve"> </w:t>
      </w:r>
      <w:r>
        <w:rPr>
          <w:rFonts w:ascii="Times NR MT Pro;sans-serif" w:hAnsi="Times NR MT Pro;sans-serif"/>
          <w:b/>
          <w:i/>
          <w:color w:val="231F20"/>
          <w:sz w:val="20"/>
        </w:rPr>
        <w:t>could cause the market price of our Class A common stock to drop significantly, even if our business is doing well.</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Sales of a substantial number of shares of our Class A common stock or other equity-related securities</w:t>
      </w:r>
      <w:r>
        <w:rPr>
          <w:color w:val="000000"/>
        </w:rPr>
        <w:t xml:space="preserve"> </w:t>
      </w:r>
      <w:r>
        <w:rPr>
          <w:rFonts w:ascii="Times NR MT Pro;sans-serif" w:hAnsi="Times NR MT Pro;sans-serif"/>
          <w:b w:val="false"/>
          <w:color w:val="231F20"/>
          <w:sz w:val="20"/>
        </w:rPr>
        <w:t>in the public market could occur at any time. These sales, or the perception in the market that the holders of</w:t>
      </w:r>
      <w:r>
        <w:rPr>
          <w:color w:val="000000"/>
        </w:rPr>
        <w:t xml:space="preserve"> </w:t>
      </w:r>
      <w:r>
        <w:rPr>
          <w:rFonts w:ascii="Times NR MT Pro;sans-serif" w:hAnsi="Times NR MT Pro;sans-serif"/>
          <w:b w:val="false"/>
          <w:color w:val="231F20"/>
          <w:sz w:val="20"/>
        </w:rPr>
        <w:t>a large number of shares intend to sell shares, could reduce the market price of our Class A common</w:t>
      </w:r>
      <w:r>
        <w:rPr>
          <w:color w:val="000000"/>
        </w:rPr>
        <w:t xml:space="preserve"> </w:t>
      </w:r>
      <w:r>
        <w:rPr>
          <w:rFonts w:ascii="Times NR MT Pro;sans-serif" w:hAnsi="Times NR MT Pro;sans-serif"/>
          <w:b w:val="false"/>
          <w:color w:val="231F20"/>
          <w:sz w:val="20"/>
        </w:rPr>
        <w:t>stock or cause it to be highly volatile and impair our ability to raise capital through the sale of additional</w:t>
      </w:r>
      <w:r>
        <w:rPr>
          <w:color w:val="000000"/>
        </w:rPr>
        <w:t xml:space="preserve"> </w:t>
      </w:r>
      <w:r>
        <w:rPr>
          <w:rFonts w:ascii="Times NR MT Pro;sans-serif" w:hAnsi="Times NR MT Pro;sans-serif"/>
          <w:b w:val="false"/>
          <w:color w:val="231F20"/>
          <w:sz w:val="20"/>
        </w:rPr>
        <w:t>equity securities. We cannot predict the effect that future sales of Class A common stock or other equity-</w:t>
      </w:r>
      <w:r>
        <w:rPr>
          <w:color w:val="000000"/>
        </w:rPr>
        <w:t xml:space="preserve"> </w:t>
      </w:r>
      <w:r>
        <w:rPr>
          <w:rFonts w:ascii="Times NR MT Pro;sans-serif" w:hAnsi="Times NR MT Pro;sans-serif"/>
          <w:b w:val="false"/>
          <w:color w:val="231F20"/>
          <w:sz w:val="20"/>
        </w:rPr>
        <w:t>related securities would have on the market price of our Class A common stock.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10302"/>
          <w:sz w:val="20"/>
        </w:rPr>
      </w:pPr>
      <w:bookmarkStart w:id="17" w:name="i77af4e965b9c4df9a46150e19e28cf9c"/>
      <w:bookmarkEnd w:id="17"/>
      <w:r>
        <w:rPr>
          <w:rFonts w:ascii="Times New Roman;serif" w:hAnsi="Times New Roman;serif"/>
          <w:b/>
          <w:i/>
          <w:color w:val="010302"/>
          <w:sz w:val="20"/>
        </w:rPr>
        <w:t>There is no public market for the Common Warrants being offered by us in this offering.</w:t>
      </w:r>
    </w:p>
    <w:p>
      <w:pPr>
        <w:pStyle w:val="TextBody"/>
        <w:bidi w:val="0"/>
        <w:spacing w:lineRule="auto" w:line="288" w:before="0" w:after="240"/>
        <w:ind w:left="0" w:right="0" w:firstLine="360"/>
        <w:jc w:val="both"/>
        <w:rPr>
          <w:rFonts w:ascii="Times New Roman;serif" w:hAnsi="Times New Roman;serif"/>
          <w:b w:val="false"/>
          <w:color w:val="010302"/>
          <w:sz w:val="20"/>
        </w:rPr>
      </w:pPr>
      <w:r>
        <w:rPr>
          <w:rFonts w:ascii="Times New Roman;serif" w:hAnsi="Times New Roman;serif"/>
          <w:b w:val="false"/>
          <w:color w:val="010302"/>
          <w:sz w:val="20"/>
        </w:rPr>
        <w:t>There is no established public trading market for the Common Warrants being sold in this offering, and we do not expect a market to develop. In addition, we do not intend to apply to list the warrants on any securities exchange or recognized trading system. Without an active market, the liquidity of the Common Warrants will be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10302"/>
          <w:sz w:val="20"/>
        </w:rPr>
      </w:pPr>
      <w:bookmarkStart w:id="18" w:name="iae3d5fec98214a79943a5ecac627aeb3"/>
      <w:bookmarkEnd w:id="18"/>
      <w:r>
        <w:rPr>
          <w:rFonts w:ascii="Times New Roman;serif" w:hAnsi="Times New Roman;serif"/>
          <w:b/>
          <w:i/>
          <w:color w:val="010302"/>
          <w:sz w:val="20"/>
        </w:rPr>
        <w:t>If we do not maintain a current and effective registration statement relating to the shares of our Class A common stock issuable upon exercise of the Common Warrants, holders will only be able to exercise such warrants on a “cashless basis.”</w:t>
      </w:r>
    </w:p>
    <w:p>
      <w:pPr>
        <w:pStyle w:val="TextBody"/>
        <w:bidi w:val="0"/>
        <w:spacing w:lineRule="auto" w:line="288" w:before="0" w:after="240"/>
        <w:ind w:left="0" w:right="0" w:firstLine="360"/>
        <w:jc w:val="both"/>
        <w:rPr>
          <w:rFonts w:ascii="Times New Roman;serif" w:hAnsi="Times New Roman;serif"/>
          <w:b w:val="false"/>
          <w:color w:val="010302"/>
          <w:sz w:val="20"/>
        </w:rPr>
      </w:pPr>
      <w:r>
        <w:rPr>
          <w:rFonts w:ascii="Times New Roman;serif" w:hAnsi="Times New Roman;serif"/>
          <w:b w:val="false"/>
          <w:color w:val="010302"/>
          <w:sz w:val="20"/>
        </w:rPr>
        <w:t>If we do not maintain a current and effective registration statement relating to the shares of our Class A common stock issuable upon exercise of the Common Warrants at the time that holders wish to exercise such warrants, they will only be able to exercise them on a “cashless basis” provided that an exemption from registration is available. As a result, the number of shares of our Class A common stock that holders will receive upon exercise of the Common Warrants will be fewer than it would have been had such holder exercised such warrants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warrants for cash if a current and effective registration statement relating to the shares of our Class A common stock issuable upon exercise of the Common Warrants is available.</w:t>
      </w:r>
    </w:p>
    <w:p>
      <w:pPr>
        <w:pStyle w:val="TextBody"/>
        <w:bidi w:val="0"/>
        <w:spacing w:lineRule="auto" w:line="288" w:before="0" w:after="240"/>
        <w:jc w:val="both"/>
        <w:rPr>
          <w:rFonts w:ascii="Times New Roman;serif" w:hAnsi="Times New Roman;serif"/>
          <w:b/>
          <w:i/>
          <w:color w:val="010302"/>
          <w:sz w:val="20"/>
        </w:rPr>
      </w:pPr>
      <w:r>
        <w:rPr>
          <w:rFonts w:ascii="Times New Roman;serif" w:hAnsi="Times New Roman;serif"/>
          <w:b/>
          <w:i/>
          <w:color w:val="010302"/>
          <w:sz w:val="20"/>
        </w:rPr>
        <w:t>The Common Warrants are speculative in nature. You may not be able to recover your investment in the Common Warrants, and the Common Warrants may expire worthless.</w:t>
      </w:r>
    </w:p>
    <w:p>
      <w:pPr>
        <w:pStyle w:val="TextBody"/>
        <w:bidi w:val="0"/>
        <w:spacing w:lineRule="auto" w:line="288" w:before="0" w:after="240"/>
        <w:ind w:left="0" w:right="0" w:firstLine="360"/>
        <w:jc w:val="both"/>
        <w:rPr/>
      </w:pPr>
      <w:r>
        <w:rPr>
          <w:rFonts w:ascii="Times New Roman;serif" w:hAnsi="Times New Roman;serif"/>
          <w:b w:val="false"/>
          <w:color w:val="010302"/>
          <w:sz w:val="20"/>
        </w:rPr>
        <w:t xml:space="preserve">The warrants do not confer any rights of our Class A common stock ownership on their holders, such as voting rights, but rather merely represent the right to acquire shares of our Class A common stock at a fixed price for a limited period of time. Specifically, commencing </w:t>
      </w:r>
      <w:r>
        <w:rPr>
          <w:rFonts w:ascii="Times New Roman;serif" w:hAnsi="Times New Roman;serif"/>
          <w:b w:val="false"/>
          <w:color w:val="000000"/>
          <w:sz w:val="20"/>
        </w:rPr>
        <w:t>immediately</w:t>
      </w:r>
      <w:r>
        <w:rPr>
          <w:color w:val="010302"/>
        </w:rPr>
        <w:t xml:space="preserve"> </w:t>
      </w:r>
      <w:r>
        <w:rPr>
          <w:rFonts w:ascii="Times New Roman;serif" w:hAnsi="Times New Roman;serif"/>
          <w:b w:val="false"/>
          <w:color w:val="010302"/>
          <w:sz w:val="20"/>
        </w:rPr>
        <w:t xml:space="preserve">after the date of issuance, holders of Common Warrants may exercise their right to acquire the underlying Class A common stock and pay an exercise price per share equal to </w:t>
      </w:r>
      <w:r>
        <w:rPr>
          <w:rFonts w:ascii="Times New Roman;serif" w:hAnsi="Times New Roman;serif"/>
          <w:b w:val="false"/>
          <w:color w:val="000000"/>
          <w:sz w:val="20"/>
        </w:rPr>
        <w:t>$3.78</w:t>
      </w:r>
      <w:r>
        <w:rPr>
          <w:rFonts w:ascii="Times New Roman;serif" w:hAnsi="Times New Roman;serif"/>
          <w:b w:val="false"/>
          <w:color w:val="010302"/>
          <w:sz w:val="20"/>
        </w:rPr>
        <w:t xml:space="preserve">, subject to certain adjustments, and the Common Warrants will expire </w:t>
      </w:r>
      <w:r>
        <w:rPr>
          <w:rFonts w:ascii="Times New Roman;serif" w:hAnsi="Times New Roman;serif"/>
          <w:b w:val="false"/>
          <w:color w:val="000000"/>
          <w:sz w:val="20"/>
        </w:rPr>
        <w:t>5.5 years</w:t>
      </w:r>
      <w:r>
        <w:rPr>
          <w:color w:val="010302"/>
        </w:rPr>
        <w:t xml:space="preserve"> </w:t>
      </w:r>
      <w:r>
        <w:rPr>
          <w:rFonts w:ascii="Times New Roman;serif" w:hAnsi="Times New Roman;serif"/>
          <w:b w:val="false"/>
          <w:color w:val="010302"/>
          <w:sz w:val="20"/>
        </w:rPr>
        <w:t>after the date of issuance. Moreover, following this offering, the market value of the Common Warrants, if any, is uncertain and there can be no assurance that the market value of the Common Warrants will equal or exceed their imputed offering price. In addition, there can be no assurance that the market price of our Class A common stock will equal or exceed the exercise price of the Common Warrants for a sustained period of time or at all, and, consequently, it may not ever be profitable for holders of the Common Warrants to exercise the Common Warrants.</w:t>
      </w:r>
    </w:p>
    <w:p>
      <w:pPr>
        <w:pStyle w:val="TextBody"/>
        <w:bidi w:val="0"/>
        <w:spacing w:lineRule="auto" w:line="288" w:before="0" w:after="240"/>
        <w:jc w:val="both"/>
        <w:rPr>
          <w:rFonts w:ascii="Times New Roman;serif" w:hAnsi="Times New Roman;serif"/>
          <w:b/>
          <w:i/>
          <w:color w:val="010302"/>
          <w:sz w:val="20"/>
        </w:rPr>
      </w:pPr>
      <w:r>
        <w:rPr>
          <w:rFonts w:ascii="Times New Roman;serif" w:hAnsi="Times New Roman;serif"/>
          <w:b/>
          <w:i/>
          <w:color w:val="010302"/>
          <w:sz w:val="20"/>
        </w:rPr>
        <w:t>Holders of the purchase Common Warrants will have no rights as common stockholders until they acquire our Class A common stock.</w:t>
      </w:r>
    </w:p>
    <w:p>
      <w:pPr>
        <w:pStyle w:val="TextBody"/>
        <w:bidi w:val="0"/>
        <w:spacing w:lineRule="auto" w:line="288"/>
        <w:ind w:left="0" w:right="0" w:firstLine="360"/>
        <w:jc w:val="left"/>
        <w:rPr>
          <w:rFonts w:ascii="Times New Roman;serif" w:hAnsi="Times New Roman;serif"/>
          <w:b w:val="false"/>
          <w:color w:val="010302"/>
          <w:sz w:val="20"/>
        </w:rPr>
      </w:pPr>
      <w:r>
        <w:rPr>
          <w:rFonts w:ascii="Times New Roman;serif" w:hAnsi="Times New Roman;serif"/>
          <w:b w:val="false"/>
          <w:color w:val="010302"/>
          <w:sz w:val="20"/>
        </w:rPr>
        <w:t>Until you acquire shares of our Class A common stock upon exercise of the purchase Common Warrants, you will have no rights with respect to our Class A common stock issuable upon exercise of the Common Warrants, including the right to receive dividend payments, vote or respond to tender offers. Upon exercise of your Common Warrants, you will be entitled to exercise the rights of a Class A common stockholder only as to matters for which the record date occurs after the exercise date.</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19" w:name="i7ca1f113389a40579b30adba1ca92ad6"/>
      <w:bookmarkStart w:id="20" w:name="ieef1dd931a8b45998f8a54b6b567ff3b_2015"/>
      <w:bookmarkEnd w:id="19"/>
      <w:bookmarkEnd w:id="20"/>
      <w:r>
        <w:rPr>
          <w:rFonts w:ascii="Times New Roman;serif" w:hAnsi="Times New Roman;serif"/>
          <w:b/>
          <w:color w:val="000000"/>
          <w:sz w:val="20"/>
        </w:rPr>
        <w:t xml:space="preserve">USE OF PROCEEDS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estimate that the net proceeds from this offering will be approximately $14.3 million, after deducting</w:t>
      </w:r>
      <w:r>
        <w:rPr>
          <w:color w:val="000000"/>
        </w:rPr>
        <w:t xml:space="preserve"> </w:t>
      </w:r>
      <w:r>
        <w:rPr>
          <w:rFonts w:ascii="Times New Roman;serif" w:hAnsi="Times New Roman;serif"/>
          <w:b w:val="false"/>
          <w:color w:val="000000"/>
          <w:sz w:val="20"/>
        </w:rPr>
        <w:t xml:space="preserve">placement agent fees and </w:t>
      </w:r>
      <w:r>
        <w:rPr>
          <w:rFonts w:ascii="Times NR MT Pro;sans-serif" w:hAnsi="Times NR MT Pro;sans-serif"/>
          <w:b w:val="false"/>
          <w:color w:val="231F20"/>
          <w:sz w:val="20"/>
        </w:rPr>
        <w:t>estimated offering expenses payable by us.</w:t>
      </w:r>
      <w:r>
        <w:rPr>
          <w:color w:val="000000"/>
        </w:rPr>
        <w:t xml:space="preserve"> </w:t>
      </w:r>
      <w:r>
        <w:rPr>
          <w:rFonts w:ascii="Times New Roman;serif" w:hAnsi="Times New Roman;serif"/>
          <w:b w:val="false"/>
          <w:color w:val="000000"/>
          <w:sz w:val="20"/>
        </w:rPr>
        <w:t xml:space="preserve">This estimate excludes the proceeds, if any, from the exercise of the </w:t>
      </w:r>
      <w:r>
        <w:rPr>
          <w:rFonts w:ascii="Times New Roman;serif" w:hAnsi="Times New Roman;serif"/>
          <w:b w:val="false"/>
          <w:color w:val="010302"/>
          <w:sz w:val="20"/>
        </w:rPr>
        <w:t xml:space="preserve">Common Warrants </w:t>
      </w:r>
      <w:r>
        <w:rPr>
          <w:rFonts w:ascii="Times New Roman;serif" w:hAnsi="Times New Roman;serif"/>
          <w:b w:val="false"/>
          <w:color w:val="000000"/>
          <w:sz w:val="20"/>
        </w:rPr>
        <w:t>sold in this offering.</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currently intend to use any net proceeds from the sale of the securities under this prospectus</w:t>
      </w:r>
      <w:r>
        <w:rPr>
          <w:color w:val="000000"/>
        </w:rPr>
        <w:t xml:space="preserve"> </w:t>
      </w:r>
      <w:r>
        <w:rPr>
          <w:rFonts w:ascii="Times NR MT Pro;sans-serif" w:hAnsi="Times NR MT Pro;sans-serif"/>
          <w:b w:val="false"/>
          <w:color w:val="231F20"/>
          <w:sz w:val="20"/>
        </w:rPr>
        <w:t>supplement for accumulating SOL, working capital and general corporate purposes, business expansion</w:t>
      </w:r>
      <w:r>
        <w:rPr>
          <w:color w:val="000000"/>
        </w:rPr>
        <w:t xml:space="preserve"> </w:t>
      </w:r>
      <w:r>
        <w:rPr>
          <w:rFonts w:ascii="Times NR MT Pro;sans-serif" w:hAnsi="Times NR MT Pro;sans-serif"/>
          <w:b w:val="false"/>
          <w:color w:val="231F20"/>
          <w:sz w:val="20"/>
        </w:rPr>
        <w:t>and other strategic initiatives. We will retain broad discretion over the use of the net proceeds from the</w:t>
      </w:r>
      <w:r>
        <w:rPr>
          <w:color w:val="000000"/>
        </w:rPr>
        <w:t xml:space="preserve"> </w:t>
      </w:r>
      <w:r>
        <w:rPr>
          <w:rFonts w:ascii="Times NR MT Pro;sans-serif" w:hAnsi="Times NR MT Pro;sans-serif"/>
          <w:b w:val="false"/>
          <w:color w:val="231F20"/>
          <w:sz w:val="20"/>
        </w:rPr>
        <w:t>sale of the securities offered hereby. Pending any specific application, we may initially invest funds in</w:t>
      </w:r>
      <w:r>
        <w:rPr>
          <w:color w:val="000000"/>
        </w:rPr>
        <w:t xml:space="preserve"> </w:t>
      </w:r>
      <w:r>
        <w:rPr>
          <w:rFonts w:ascii="Times NR MT Pro;sans-serif" w:hAnsi="Times NR MT Pro;sans-serif"/>
          <w:b w:val="false"/>
          <w:color w:val="231F20"/>
          <w:sz w:val="20"/>
        </w:rPr>
        <w:t>short-term marketable securities.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This expected use of the net proceeds from this offering represents our intentions based on our current</w:t>
      </w:r>
      <w:r>
        <w:rPr>
          <w:color w:val="000000"/>
        </w:rPr>
        <w:t xml:space="preserve"> </w:t>
      </w:r>
      <w:r>
        <w:rPr>
          <w:rFonts w:ascii="Times NR MT Pro;sans-serif" w:hAnsi="Times NR MT Pro;sans-serif"/>
          <w:b w:val="false"/>
          <w:color w:val="231F20"/>
          <w:sz w:val="20"/>
        </w:rPr>
        <w:t>plans and business conditions, which could change in the future as our plans and business conditions evolve.</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may find it necessary or advisable to use the net proceeds for other purposes, and we will have broad</w:t>
      </w:r>
      <w:r>
        <w:rPr>
          <w:color w:val="000000"/>
        </w:rPr>
        <w:t xml:space="preserve"> </w:t>
      </w:r>
      <w:r>
        <w:rPr>
          <w:rFonts w:ascii="Times NR MT Pro;sans-serif" w:hAnsi="Times NR MT Pro;sans-serif"/>
          <w:b w:val="false"/>
          <w:color w:val="231F20"/>
          <w:sz w:val="20"/>
        </w:rPr>
        <w:t>discretion in the application of net proceeds. Pending their use as described above, we may initially invest the</w:t>
      </w:r>
      <w:r>
        <w:rPr>
          <w:color w:val="000000"/>
        </w:rPr>
        <w:t xml:space="preserve"> </w:t>
      </w:r>
      <w:r>
        <w:rPr>
          <w:rFonts w:ascii="Times NR MT Pro;sans-serif" w:hAnsi="Times NR MT Pro;sans-serif"/>
          <w:b w:val="false"/>
          <w:color w:val="231F20"/>
          <w:sz w:val="20"/>
        </w:rPr>
        <w:t>net proceeds from this offering in short- and intermediate-term, interest-bearing obligations, investment-</w:t>
      </w:r>
      <w:r>
        <w:rPr>
          <w:color w:val="000000"/>
        </w:rPr>
        <w:t xml:space="preserve"> </w:t>
      </w:r>
      <w:r>
        <w:rPr>
          <w:rFonts w:ascii="Times NR MT Pro;sans-serif" w:hAnsi="Times NR MT Pro;sans-serif"/>
          <w:b w:val="false"/>
          <w:color w:val="231F20"/>
          <w:sz w:val="20"/>
        </w:rPr>
        <w:t>grade instruments, certificates of deposit or direct or guaranteed obligations of the U.S. government.</w:t>
      </w:r>
      <w:r>
        <w:rPr>
          <w:color w:val="000000"/>
        </w:rPr>
        <w:t xml:space="preserve"> </w:t>
      </w:r>
      <w:r>
        <w:rPr>
          <w:rFonts w:ascii="Times NR MT Pro;sans-serif" w:hAnsi="Times NR MT Pro;sans-serif"/>
          <w:b w:val="false"/>
          <w:color w:val="231F20"/>
          <w:sz w:val="20"/>
        </w:rPr>
        <w:t>If all of the Common Warrants sold in this offering were to be exercised in case at an exercise price per share equal to $3.776, we would receive additional proceeds of approximately $16.5 million. We cannot predict when or if the Common Warrants will be exercised.</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21" w:name="iafa37f6ce64e4762ac2cc5c8697f700d"/>
      <w:bookmarkEnd w:id="21"/>
      <w:r>
        <w:rPr>
          <w:rFonts w:ascii="Times New Roman;serif" w:hAnsi="Times New Roman;serif"/>
          <w:b/>
          <w:color w:val="000000"/>
          <w:sz w:val="20"/>
        </w:rPr>
        <w:t xml:space="preserve">PLAN OF DISTRIBUTION </w:t>
      </w:r>
    </w:p>
    <w:p>
      <w:pPr>
        <w:pStyle w:val="TextBody"/>
        <w:bidi w:val="0"/>
        <w:spacing w:lineRule="auto" w:line="26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engaged Clear Street LLC (the "Placement Agent") to act as our exclusive placement agent, on a reasonable best efforts basis, in connection with the sale of securities offered pursuant to this prospectus supplement and the accompanying prospectus, subject to the terms and conditions contained in the Placement Agency Agreement, dated as of September 30, 2026 (the “Placement Agency Agreement”), by and between the Company and the Placement Agent. The Placement Agent has no obligation to purchase any such securities, nor is it required to arrange for the purchase or sale of any specific number or dollar amount of such securities. The securities are being offered to a single institutional investor, through one or more affiliated entities, pursuant to a securities purchase agreement we entered with such investor on September 30, 2026 (the “SPA”). We established the price following negotiations with such investor and with reference to the prevailing market price of our Class A common stock, recent trends in such price and other factors.</w:t>
      </w:r>
    </w:p>
    <w:p>
      <w:pPr>
        <w:pStyle w:val="TextBody"/>
        <w:bidi w:val="0"/>
        <w:spacing w:lineRule="auto" w:line="288" w:before="0" w:after="240"/>
        <w:ind w:left="0" w:right="0" w:firstLine="360"/>
        <w:jc w:val="both"/>
        <w:rPr/>
      </w:pPr>
      <w:r>
        <w:rPr>
          <w:rFonts w:ascii="Times New Roman;serif" w:hAnsi="Times New Roman;serif"/>
          <w:b w:val="false"/>
          <w:color w:val="231F20"/>
          <w:sz w:val="20"/>
        </w:rPr>
        <w:t>We expect to receive</w:t>
      </w:r>
      <w:r>
        <w:rPr>
          <w:color w:val="000000"/>
        </w:rPr>
        <w:t xml:space="preserve"> </w:t>
      </w:r>
      <w:r>
        <w:rPr>
          <w:rFonts w:ascii="Times New Roman;serif" w:hAnsi="Times New Roman;serif"/>
          <w:b w:val="false"/>
          <w:color w:val="231F20"/>
          <w:sz w:val="20"/>
        </w:rPr>
        <w:t>net proceeds from this offering of approximately $14.3 million after deducting P</w:t>
      </w:r>
      <w:r>
        <w:rPr>
          <w:rFonts w:ascii="Times New Roman;serif" w:hAnsi="Times New Roman;serif"/>
          <w:b w:val="false"/>
          <w:color w:val="000000"/>
          <w:sz w:val="20"/>
        </w:rPr>
        <w:t>lacement Agent's fees and</w:t>
      </w:r>
      <w:r>
        <w:rPr>
          <w:color w:val="231F20"/>
        </w:rPr>
        <w:t xml:space="preserve"> </w:t>
      </w:r>
      <w:r>
        <w:rPr>
          <w:rFonts w:ascii="Times New Roman;serif" w:hAnsi="Times New Roman;serif"/>
          <w:b w:val="false"/>
          <w:color w:val="231F20"/>
          <w:sz w:val="20"/>
        </w:rPr>
        <w:t>estimated offering expenses</w:t>
      </w:r>
      <w:r>
        <w:rPr>
          <w:color w:val="000000"/>
        </w:rPr>
        <w:t xml:space="preserve"> </w:t>
      </w:r>
      <w:r>
        <w:rPr>
          <w:rFonts w:ascii="Times New Roman;serif" w:hAnsi="Times New Roman;serif"/>
          <w:b w:val="false"/>
          <w:color w:val="231F20"/>
          <w:sz w:val="20"/>
        </w:rPr>
        <w:t>payable by us.</w:t>
      </w:r>
      <w:r>
        <w:rPr>
          <w:color w:val="000000"/>
        </w:rPr>
        <w:t xml:space="preserve"> </w:t>
      </w:r>
    </w:p>
    <w:p>
      <w:pPr>
        <w:pStyle w:val="TextBody"/>
        <w:bidi w:val="0"/>
        <w:spacing w:lineRule="auto" w:line="240"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agreed to pay the Placement Agent a fee equal to 4.0% of the gross proceeds received by us from the sale of shares of common stock and Common Warrants in this offering, and the Placement Agent has agreed to reimburse us for certain of our fees and expenses in connection with the offering, as reflected in the fee table on the cover of this prospectus supplement. The Placement Agent will also be entitled to a tail fee for a period of three (3) months following the closing or termination of the Placement Agency Agreement. </w:t>
      </w:r>
    </w:p>
    <w:p>
      <w:pPr>
        <w:pStyle w:val="TextBody"/>
        <w:bidi w:val="0"/>
        <w:spacing w:lineRule="auto" w:line="240"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agreed to indemnify the Placement Agent and certain other persons in connection with the transaction. The Placement Agent has informed us that they will not engage in overallotment, stabilizing transactions or syndicate covering transactions in connection with this offering.</w:t>
      </w:r>
    </w:p>
    <w:p>
      <w:pPr>
        <w:pStyle w:val="TextBody"/>
        <w:bidi w:val="0"/>
        <w:spacing w:lineRule="auto" w:line="288" w:before="0" w:after="240"/>
        <w:ind w:left="0" w:right="0" w:firstLine="360"/>
        <w:jc w:val="both"/>
        <w:rPr/>
      </w:pPr>
      <w:r>
        <w:rPr>
          <w:rFonts w:ascii="Times New Roman;serif" w:hAnsi="Times New Roman;serif"/>
          <w:b w:val="false"/>
          <w:color w:val="231F20"/>
          <w:sz w:val="20"/>
        </w:rPr>
        <w:t>The closing of this offering is subject to customary closing conditions. We expect that the sale of the</w:t>
      </w:r>
      <w:r>
        <w:rPr>
          <w:color w:val="000000"/>
        </w:rPr>
        <w:t xml:space="preserve"> </w:t>
      </w:r>
      <w:r>
        <w:rPr>
          <w:rFonts w:ascii="Times New Roman;serif" w:hAnsi="Times New Roman;serif"/>
          <w:b w:val="false"/>
          <w:color w:val="231F20"/>
          <w:sz w:val="20"/>
        </w:rPr>
        <w:t xml:space="preserve">shares of our securities will be completed on or around </w:t>
      </w:r>
      <w:r>
        <w:rPr>
          <w:rFonts w:ascii="Times New Roman;serif" w:hAnsi="Times New Roman;serif"/>
          <w:b w:val="false"/>
          <w:color w:val="000000"/>
          <w:sz w:val="20"/>
        </w:rPr>
        <w:t>October 1, 2026</w:t>
      </w:r>
      <w:r>
        <w:rPr>
          <w:rFonts w:ascii="Times New Roman;serif" w:hAnsi="Times New Roman;serif"/>
          <w:b w:val="false"/>
          <w:color w:val="231F20"/>
          <w:sz w:val="20"/>
        </w:rPr>
        <w:t>.</w:t>
      </w:r>
    </w:p>
    <w:p>
      <w:pPr>
        <w:pStyle w:val="TextBody"/>
        <w:bidi w:val="0"/>
        <w:spacing w:lineRule="auto" w:line="240"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our directors and executive officers has agreed to a 30-day lock-up restricting dispositions and other transactions involving our Common Stock and securities convertible into or exercisable for Class A Common Stock, subject to customary exceptions.</w:t>
      </w:r>
    </w:p>
    <w:p>
      <w:pPr>
        <w:pStyle w:val="TextBody"/>
        <w:bidi w:val="0"/>
        <w:spacing w:lineRule="auto" w:line="288" w:before="0" w:after="240"/>
        <w:ind w:left="0" w:right="0" w:firstLine="360"/>
        <w:jc w:val="both"/>
        <w:rPr/>
      </w:pPr>
      <w:r>
        <w:rPr>
          <w:rFonts w:ascii="Times New Roman;serif" w:hAnsi="Times New Roman;serif"/>
          <w:b w:val="false"/>
          <w:color w:val="231F20"/>
          <w:sz w:val="20"/>
        </w:rPr>
        <w:t>The shares of Class A common stock and Common Warrants offered hereby will be sold pursuant to the SPA and common warrant agreement between us and the purchasers purchasing shares of our Class A common</w:t>
      </w:r>
      <w:r>
        <w:rPr>
          <w:color w:val="000000"/>
        </w:rPr>
        <w:t xml:space="preserve"> </w:t>
      </w:r>
      <w:r>
        <w:rPr>
          <w:rFonts w:ascii="Times New Roman;serif" w:hAnsi="Times New Roman;serif"/>
          <w:b w:val="false"/>
          <w:color w:val="231F20"/>
          <w:sz w:val="20"/>
        </w:rPr>
        <w:t>stock in this offering. For the complete terms of the securities purchase agreement and the common warrant agreement, you should refer to the</w:t>
      </w:r>
      <w:r>
        <w:rPr>
          <w:color w:val="000000"/>
        </w:rPr>
        <w:t xml:space="preserve"> </w:t>
      </w:r>
      <w:r>
        <w:rPr>
          <w:rFonts w:ascii="Times New Roman;serif" w:hAnsi="Times New Roman;serif"/>
          <w:b w:val="false"/>
          <w:color w:val="231F20"/>
          <w:sz w:val="20"/>
        </w:rPr>
        <w:t>form of securities purchase agreement and the</w:t>
      </w:r>
      <w:r>
        <w:rPr>
          <w:color w:val="000000"/>
        </w:rPr>
        <w:t xml:space="preserve"> </w:t>
      </w:r>
      <w:r>
        <w:rPr>
          <w:rFonts w:ascii="Times New Roman;serif" w:hAnsi="Times New Roman;serif"/>
          <w:b w:val="false"/>
          <w:color w:val="231F20"/>
          <w:sz w:val="20"/>
        </w:rPr>
        <w:t>form of common warrant agreement which will be filed as exhibits to the Current Report on Form 8-K to</w:t>
      </w:r>
      <w:r>
        <w:rPr>
          <w:color w:val="000000"/>
        </w:rPr>
        <w:t xml:space="preserve"> </w:t>
      </w:r>
      <w:r>
        <w:rPr>
          <w:rFonts w:ascii="Times New Roman;serif" w:hAnsi="Times New Roman;serif"/>
          <w:b w:val="false"/>
          <w:color w:val="231F20"/>
          <w:sz w:val="20"/>
        </w:rPr>
        <w:t>be filed with the SEC in connection with this offering, and which is incorporated by reference into the</w:t>
      </w:r>
      <w:r>
        <w:rPr>
          <w:color w:val="000000"/>
        </w:rPr>
        <w:t xml:space="preserve"> </w:t>
      </w:r>
      <w:r>
        <w:rPr>
          <w:rFonts w:ascii="Times New Roman;serif" w:hAnsi="Times New Roman;serif"/>
          <w:b w:val="false"/>
          <w:color w:val="231F20"/>
          <w:sz w:val="20"/>
        </w:rPr>
        <w:t>registration statement of which this prospectus supplement is a part.</w:t>
      </w:r>
    </w:p>
    <w:p>
      <w:pPr>
        <w:pStyle w:val="TextBody"/>
        <w:bidi w:val="0"/>
        <w:spacing w:lineRule="auto" w:line="240"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Placement Agent and certain of its affiliates have provided in the past, and may provide from time to time in the future, certain commercial banking, financial advisory, investment banking, and other services for us and our affiliates in the ordinary course of their business, for which they have received and may continue to receive customary fees and commissions. In addition, from time to time, the Placement Agent and certain of their affiliates may effect transactions for their own account or the account of customers, and hold on behalf of themselves or their customers, long or short positions in our debt or equity securities or loans, and may do so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bookmarkStart w:id="22" w:name="i5e06c1082f7c40cfb189ba8fd87b5ab1"/>
      <w:bookmarkEnd w:id="22"/>
      <w:r>
        <w:rPr>
          <w:rFonts w:ascii="Times New Roman;serif" w:hAnsi="Times New Roman;serif"/>
          <w:b/>
          <w:color w:val="000000"/>
          <w:sz w:val="20"/>
        </w:rPr>
        <w:t xml:space="preserve">Transfer Agent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Our transfer agent and the registrar is Equiniti Trust Company, LLC, 6201 15th Avenue, Brooklyn,</w:t>
      </w:r>
      <w:r>
        <w:rPr>
          <w:color w:val="000000"/>
        </w:rPr>
        <w:t xml:space="preserve"> </w:t>
      </w:r>
      <w:r>
        <w:rPr>
          <w:rFonts w:ascii="Times NR MT Pro;sans-serif" w:hAnsi="Times NR MT Pro;sans-serif"/>
          <w:b w:val="false"/>
          <w:color w:val="231F20"/>
          <w:sz w:val="20"/>
        </w:rPr>
        <w:t>New York 11219; Telephone: 800-937-5449.</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bookmarkStart w:id="23" w:name="ide8184627b6f4667bac780b809b98e94"/>
      <w:bookmarkEnd w:id="23"/>
      <w:r>
        <w:rPr>
          <w:rFonts w:ascii="Times New Roman;serif" w:hAnsi="Times New Roman;serif"/>
          <w:b/>
          <w:color w:val="000000"/>
          <w:sz w:val="20"/>
        </w:rPr>
        <w:t xml:space="preserve">Listing </w:t>
      </w:r>
    </w:p>
    <w:p>
      <w:pPr>
        <w:pStyle w:val="TextBody"/>
        <w:bidi w:val="0"/>
        <w:spacing w:lineRule="auto" w:line="288"/>
        <w:ind w:left="0" w:right="0" w:firstLine="360"/>
        <w:jc w:val="left"/>
        <w:rPr/>
      </w:pPr>
      <w:r>
        <w:rPr>
          <w:rFonts w:ascii="Times NR MT Pro;sans-serif" w:hAnsi="Times NR MT Pro;sans-serif"/>
          <w:b w:val="false"/>
          <w:color w:val="231F20"/>
          <w:sz w:val="20"/>
        </w:rPr>
        <w:t>Our Class A common stock is listed on the Nasdaq Capital Market under the symbol “HSDT.” On</w:t>
      </w:r>
      <w:r>
        <w:rPr>
          <w:color w:val="000000"/>
        </w:rPr>
        <w:t xml:space="preserve"> </w:t>
      </w:r>
      <w:r>
        <w:rPr>
          <w:rFonts w:ascii="Times NR MT Pro;sans-serif" w:hAnsi="Times NR MT Pro;sans-serif"/>
          <w:b w:val="false"/>
          <w:color w:val="231F20"/>
          <w:sz w:val="20"/>
        </w:rPr>
        <w:t>September 29, 2026, the last reported sale price of our Class A common stock on the Nasdaq Capital Market</w:t>
      </w:r>
      <w:r>
        <w:rPr>
          <w:color w:val="000000"/>
        </w:rPr>
        <w:t xml:space="preserve"> </w:t>
      </w:r>
      <w:r>
        <w:rPr>
          <w:rFonts w:ascii="Times NR MT Pro;sans-serif" w:hAnsi="Times NR MT Pro;sans-serif"/>
          <w:b w:val="false"/>
          <w:color w:val="231F20"/>
          <w:sz w:val="20"/>
        </w:rPr>
        <w:t>was $2.86 per share.</w:t>
      </w:r>
      <w:r>
        <w:rPr>
          <w:color w:val="000000"/>
        </w:rPr>
        <w:t xml:space="preserve"> </w:t>
      </w:r>
      <w:r>
        <w:rPr>
          <w:rFonts w:ascii="Times New Roman;serif" w:hAnsi="Times New Roman;serif"/>
          <w:b w:val="false"/>
          <w:color w:val="000000"/>
          <w:sz w:val="20"/>
        </w:rPr>
        <w:t>There is no established public trading market for the Common Warrants and we do not expect a market to develop. In addition, we do not intend to apply for listing of the Common Warrants on any securities exchange or recognized trading system.</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24" w:name="ia52f99c193e844e384de7f7d17c29f5b"/>
      <w:bookmarkEnd w:id="24"/>
      <w:r>
        <w:rPr>
          <w:rFonts w:ascii="Times New Roman;serif" w:hAnsi="Times New Roman;serif"/>
          <w:b/>
          <w:color w:val="000000"/>
          <w:sz w:val="20"/>
        </w:rPr>
        <w:t xml:space="preserve">LEGAL MATTERS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Cooley LLP, New York, New York, which has acted as our counsel in connection with this offering, will pass upon the validity of the shares of Class A common stock offered hereby. Winston Talor LLP, Houston, Texas, is acting as counsel to the placement agent in connection with this offering.</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25" w:name="i0d490ef668bd473ba5b9010ff89ee397"/>
      <w:bookmarkEnd w:id="25"/>
      <w:r>
        <w:rPr>
          <w:rFonts w:ascii="Times New Roman;serif" w:hAnsi="Times New Roman;serif"/>
          <w:b/>
          <w:color w:val="000000"/>
          <w:sz w:val="20"/>
        </w:rPr>
        <w:t xml:space="preserve">EXPERTS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The consolidated financial statements of Solana Company as of and for the year ended December 31,</w:t>
      </w:r>
      <w:r>
        <w:rPr>
          <w:color w:val="000000"/>
        </w:rPr>
        <w:t xml:space="preserve"> </w:t>
      </w:r>
      <w:r>
        <w:rPr>
          <w:rFonts w:ascii="Times NR MT Pro;sans-serif" w:hAnsi="Times NR MT Pro;sans-serif"/>
          <w:b w:val="false"/>
          <w:color w:val="231F20"/>
          <w:sz w:val="20"/>
        </w:rPr>
        <w:t>2025, included in the Annual Report on Form 10-K for the year ended December 31, 2025, incorporated by</w:t>
      </w:r>
      <w:r>
        <w:rPr>
          <w:color w:val="000000"/>
        </w:rPr>
        <w:t xml:space="preserve"> </w:t>
      </w:r>
      <w:r>
        <w:rPr>
          <w:rFonts w:ascii="Times NR MT Pro;sans-serif" w:hAnsi="Times NR MT Pro;sans-serif"/>
          <w:b w:val="false"/>
          <w:color w:val="231F20"/>
          <w:sz w:val="20"/>
        </w:rPr>
        <w:t>reference in this preliminary prospectus and registration statement, have been so incorporated in reliance</w:t>
      </w:r>
      <w:r>
        <w:rPr>
          <w:color w:val="000000"/>
        </w:rPr>
        <w:t xml:space="preserve"> </w:t>
      </w:r>
      <w:r>
        <w:rPr>
          <w:rFonts w:ascii="Times NR MT Pro;sans-serif" w:hAnsi="Times NR MT Pro;sans-serif"/>
          <w:b w:val="false"/>
          <w:color w:val="231F20"/>
          <w:sz w:val="20"/>
        </w:rPr>
        <w:t>on the report of CBIZ CPAs P.C., an independent registered public accounting firm, as stated in its report</w:t>
      </w:r>
      <w:r>
        <w:rPr>
          <w:color w:val="000000"/>
        </w:rPr>
        <w:t xml:space="preserve"> </w:t>
      </w:r>
      <w:r>
        <w:rPr>
          <w:rFonts w:ascii="Times NR MT Pro;sans-serif" w:hAnsi="Times NR MT Pro;sans-serif"/>
          <w:b w:val="false"/>
          <w:color w:val="231F20"/>
          <w:sz w:val="20"/>
        </w:rPr>
        <w:t>thereon and are included in reliance upon such report and upon the authority of such firm as experts in</w:t>
      </w:r>
      <w:r>
        <w:rPr>
          <w:color w:val="000000"/>
        </w:rPr>
        <w:t xml:space="preserve"> </w:t>
      </w:r>
      <w:r>
        <w:rPr>
          <w:rFonts w:ascii="Times NR MT Pro;sans-serif" w:hAnsi="Times NR MT Pro;sans-serif"/>
          <w:b w:val="false"/>
          <w:color w:val="231F20"/>
          <w:sz w:val="20"/>
        </w:rPr>
        <w:t>accounting and auditing.</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The consolidated financial statements as of December 31, 2024, and for the year then ended,</w:t>
      </w:r>
      <w:r>
        <w:rPr>
          <w:color w:val="000000"/>
        </w:rPr>
        <w:t xml:space="preserve"> </w:t>
      </w:r>
      <w:r>
        <w:rPr>
          <w:rFonts w:ascii="Times NR MT Pro;sans-serif" w:hAnsi="Times NR MT Pro;sans-serif"/>
          <w:b w:val="false"/>
          <w:color w:val="231F20"/>
          <w:sz w:val="20"/>
        </w:rPr>
        <w:t>incorporated by reference in this prospectus and in the registration statement have been so incorporated in</w:t>
      </w:r>
      <w:r>
        <w:rPr>
          <w:color w:val="000000"/>
        </w:rPr>
        <w:t xml:space="preserve"> </w:t>
      </w:r>
      <w:r>
        <w:rPr>
          <w:rFonts w:ascii="Times NR MT Pro;sans-serif" w:hAnsi="Times NR MT Pro;sans-serif"/>
          <w:b w:val="false"/>
          <w:color w:val="231F20"/>
          <w:sz w:val="20"/>
        </w:rPr>
        <w:t>reliance on the reports of Baker Tilly US, LLP, an independent registered public accounting firm, incorporated</w:t>
      </w:r>
      <w:r>
        <w:rPr>
          <w:color w:val="000000"/>
        </w:rPr>
        <w:t xml:space="preserve"> </w:t>
      </w:r>
      <w:r>
        <w:rPr>
          <w:rFonts w:ascii="Times NR MT Pro;sans-serif" w:hAnsi="Times NR MT Pro;sans-serif"/>
          <w:b w:val="false"/>
          <w:color w:val="231F20"/>
          <w:sz w:val="20"/>
        </w:rPr>
        <w:t>herein by reference, given on the authority of said firm as experts in auditing and accounting.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26" w:name="i8d46f0b4af744873b5f37e86e7a69601"/>
      <w:bookmarkEnd w:id="26"/>
      <w:r>
        <w:rPr>
          <w:rFonts w:ascii="Times New Roman;serif" w:hAnsi="Times New Roman;serif"/>
          <w:b/>
          <w:color w:val="000000"/>
          <w:sz w:val="20"/>
        </w:rPr>
        <w:t xml:space="preserve">WHERE YOU CAN FIND ADDITIONAL INFORMATION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This prospectus supplement is a part of a registration statement on Form S-3 that we have filed with</w:t>
      </w:r>
      <w:r>
        <w:rPr>
          <w:color w:val="000000"/>
        </w:rPr>
        <w:t xml:space="preserve"> </w:t>
      </w:r>
      <w:r>
        <w:rPr>
          <w:rFonts w:ascii="Times NR MT Pro;sans-serif" w:hAnsi="Times NR MT Pro;sans-serif"/>
          <w:b w:val="false"/>
          <w:color w:val="231F20"/>
          <w:sz w:val="20"/>
        </w:rPr>
        <w:t>the SEC under the Securities Act. This prospectus supplement, which constitutes a part of the registration</w:t>
      </w:r>
      <w:r>
        <w:rPr>
          <w:color w:val="000000"/>
        </w:rPr>
        <w:t xml:space="preserve"> </w:t>
      </w:r>
      <w:r>
        <w:rPr>
          <w:rFonts w:ascii="Times NR MT Pro;sans-serif" w:hAnsi="Times NR MT Pro;sans-serif"/>
          <w:b w:val="false"/>
          <w:color w:val="231F20"/>
          <w:sz w:val="20"/>
        </w:rPr>
        <w:t>statement, does not contain all of the information set forth in the registration statement and the exhibits and</w:t>
      </w:r>
      <w:r>
        <w:rPr>
          <w:color w:val="000000"/>
        </w:rPr>
        <w:t xml:space="preserve"> </w:t>
      </w:r>
      <w:r>
        <w:rPr>
          <w:rFonts w:ascii="Times NR MT Pro;sans-serif" w:hAnsi="Times NR MT Pro;sans-serif"/>
          <w:b w:val="false"/>
          <w:color w:val="231F20"/>
          <w:sz w:val="20"/>
        </w:rPr>
        <w:t>schedules filed as part of the registration statement. For further information with respect to us and our</w:t>
      </w:r>
      <w:r>
        <w:rPr>
          <w:color w:val="000000"/>
        </w:rPr>
        <w:t xml:space="preserve"> </w:t>
      </w:r>
      <w:r>
        <w:rPr>
          <w:rFonts w:ascii="Times NR MT Pro;sans-serif" w:hAnsi="Times NR MT Pro;sans-serif"/>
          <w:b w:val="false"/>
          <w:color w:val="231F20"/>
          <w:sz w:val="20"/>
        </w:rPr>
        <w:t>securities, we refer you to the registration statement, including the exhibits filed as a part of the registration</w:t>
      </w:r>
      <w:r>
        <w:rPr>
          <w:color w:val="000000"/>
        </w:rPr>
        <w:t xml:space="preserve"> </w:t>
      </w:r>
      <w:r>
        <w:rPr>
          <w:rFonts w:ascii="Times NR MT Pro;sans-serif" w:hAnsi="Times NR MT Pro;sans-serif"/>
          <w:b w:val="false"/>
          <w:color w:val="231F20"/>
          <w:sz w:val="20"/>
        </w:rPr>
        <w:t>statement. Statements contained in this prospectus supplement concerning the contents of any contract</w:t>
      </w:r>
      <w:r>
        <w:rPr>
          <w:color w:val="000000"/>
        </w:rPr>
        <w:t xml:space="preserve"> </w:t>
      </w:r>
      <w:r>
        <w:rPr>
          <w:rFonts w:ascii="Times NR MT Pro;sans-serif" w:hAnsi="Times NR MT Pro;sans-serif"/>
          <w:b w:val="false"/>
          <w:color w:val="231F20"/>
          <w:sz w:val="20"/>
        </w:rPr>
        <w:t>or any other document are not necessarily complete. If a contract or document has been filed as an exhibit</w:t>
      </w:r>
      <w:r>
        <w:rPr>
          <w:color w:val="000000"/>
        </w:rPr>
        <w:t xml:space="preserve"> </w:t>
      </w:r>
      <w:r>
        <w:rPr>
          <w:rFonts w:ascii="Times NR MT Pro;sans-serif" w:hAnsi="Times NR MT Pro;sans-serif"/>
          <w:b w:val="false"/>
          <w:color w:val="231F20"/>
          <w:sz w:val="20"/>
        </w:rPr>
        <w:t>to the registration statement, we refer you to the copy of the contract or document that has been filed. Each</w:t>
      </w:r>
      <w:r>
        <w:rPr>
          <w:color w:val="000000"/>
        </w:rPr>
        <w:t xml:space="preserve"> </w:t>
      </w:r>
      <w:r>
        <w:rPr>
          <w:rFonts w:ascii="Times NR MT Pro;sans-serif" w:hAnsi="Times NR MT Pro;sans-serif"/>
          <w:b w:val="false"/>
          <w:color w:val="231F20"/>
          <w:sz w:val="20"/>
        </w:rPr>
        <w:t>statement in this prospectus supplement relating to a contract or document filed as an exhibit is qualified</w:t>
      </w:r>
      <w:r>
        <w:rPr>
          <w:color w:val="000000"/>
        </w:rPr>
        <w:t xml:space="preserve"> </w:t>
      </w:r>
      <w:r>
        <w:rPr>
          <w:rFonts w:ascii="Times NR MT Pro;sans-serif" w:hAnsi="Times NR MT Pro;sans-serif"/>
          <w:b w:val="false"/>
          <w:color w:val="231F20"/>
          <w:sz w:val="20"/>
        </w:rPr>
        <w:t>in all respects by the filed exhibit. The SEC maintains a website (www.sec.gov) that contains reports, proxy</w:t>
      </w:r>
      <w:r>
        <w:rPr>
          <w:color w:val="000000"/>
        </w:rPr>
        <w:t xml:space="preserve"> </w:t>
      </w:r>
      <w:r>
        <w:rPr>
          <w:rFonts w:ascii="Times NR MT Pro;sans-serif" w:hAnsi="Times NR MT Pro;sans-serif"/>
          <w:b w:val="false"/>
          <w:color w:val="231F20"/>
          <w:sz w:val="20"/>
        </w:rPr>
        <w:t>and information statements and other information regarding issuers, like us, that file electronically with the</w:t>
      </w:r>
      <w:r>
        <w:rPr>
          <w:color w:val="000000"/>
        </w:rPr>
        <w:t xml:space="preserve"> </w:t>
      </w:r>
      <w:r>
        <w:rPr>
          <w:rFonts w:ascii="Times NR MT Pro;sans-serif" w:hAnsi="Times NR MT Pro;sans-serif"/>
          <w:b w:val="false"/>
          <w:color w:val="231F20"/>
          <w:sz w:val="20"/>
        </w:rPr>
        <w:t>SEC.</w:t>
      </w:r>
      <w:r>
        <w:rPr>
          <w:color w:val="000000"/>
        </w:rPr>
        <w:t xml:space="preserve"> </w:t>
      </w:r>
    </w:p>
    <w:p>
      <w:pPr>
        <w:pStyle w:val="TextBody"/>
        <w:bidi w:val="0"/>
        <w:spacing w:lineRule="auto" w:line="288"/>
        <w:ind w:left="0" w:right="0" w:firstLine="360"/>
        <w:jc w:val="left"/>
        <w:rPr/>
      </w:pPr>
      <w:r>
        <w:rPr>
          <w:rFonts w:ascii="Times NR MT Pro;sans-serif" w:hAnsi="Times NR MT Pro;sans-serif"/>
          <w:b w:val="false"/>
          <w:color w:val="231F20"/>
          <w:sz w:val="20"/>
        </w:rPr>
        <w:t>In addition, we are subject to the informational requirements of the Exchange Act, and, in accordance</w:t>
      </w:r>
      <w:r>
        <w:rPr>
          <w:color w:val="000000"/>
        </w:rPr>
        <w:t xml:space="preserve"> </w:t>
      </w:r>
      <w:r>
        <w:rPr>
          <w:rFonts w:ascii="Times NR MT Pro;sans-serif" w:hAnsi="Times NR MT Pro;sans-serif"/>
          <w:b w:val="false"/>
          <w:color w:val="231F20"/>
          <w:sz w:val="20"/>
        </w:rPr>
        <w:t>with the Exchange Act, file annual, quarterly and current reports, proxy and information statements and</w:t>
      </w:r>
      <w:r>
        <w:rPr>
          <w:color w:val="000000"/>
        </w:rPr>
        <w:t xml:space="preserve"> </w:t>
      </w:r>
      <w:r>
        <w:rPr>
          <w:rFonts w:ascii="Times NR MT Pro;sans-serif" w:hAnsi="Times NR MT Pro;sans-serif"/>
          <w:b w:val="false"/>
          <w:color w:val="231F20"/>
          <w:sz w:val="20"/>
        </w:rPr>
        <w:t>other information with the SEC. These reports, proxy statements and other information will be available for</w:t>
      </w:r>
      <w:r>
        <w:rPr>
          <w:color w:val="000000"/>
        </w:rPr>
        <w:t xml:space="preserve"> </w:t>
      </w:r>
      <w:r>
        <w:rPr>
          <w:rFonts w:ascii="Times NR MT Pro;sans-serif" w:hAnsi="Times NR MT Pro;sans-serif"/>
          <w:b w:val="false"/>
          <w:color w:val="231F20"/>
          <w:sz w:val="20"/>
        </w:rPr>
        <w:t>review on the website of the SEC referred to above. We also maintain a corporate website at</w:t>
      </w:r>
      <w:r>
        <w:rPr>
          <w:color w:val="000000"/>
        </w:rPr>
        <w:t xml:space="preserve"> </w:t>
      </w:r>
      <w:r>
        <w:rPr>
          <w:rFonts w:ascii="Times NR MT Pro;sans-serif" w:hAnsi="Times NR MT Pro;sans-serif"/>
          <w:b w:val="false"/>
          <w:color w:val="231F20"/>
          <w:sz w:val="20"/>
        </w:rPr>
        <w:t>www.solanacompany.co. You may access our Annual Reports on Form 10-K, Quarterly Reports on</w:t>
      </w:r>
      <w:r>
        <w:rPr>
          <w:color w:val="000000"/>
        </w:rPr>
        <w:t xml:space="preserve"> </w:t>
      </w:r>
      <w:r>
        <w:rPr>
          <w:rFonts w:ascii="Times NR MT Pro;sans-serif" w:hAnsi="Times NR MT Pro;sans-serif"/>
          <w:b w:val="false"/>
          <w:color w:val="231F20"/>
          <w:sz w:val="20"/>
        </w:rPr>
        <w:t>Form 10-Q and Current Reports on Form 8-K and amendments to those reports filed or furnished pursuant</w:t>
      </w:r>
      <w:r>
        <w:rPr>
          <w:color w:val="000000"/>
        </w:rPr>
        <w:t xml:space="preserve"> </w:t>
      </w:r>
      <w:r>
        <w:rPr>
          <w:rFonts w:ascii="Times NR MT Pro;sans-serif" w:hAnsi="Times NR MT Pro;sans-serif"/>
          <w:b w:val="false"/>
          <w:color w:val="231F20"/>
          <w:sz w:val="20"/>
        </w:rPr>
        <w:t>to Sections 13(a) or 15(d) of the Exchange Act with the SEC, free of charge, at our corporate website as</w:t>
      </w:r>
      <w:r>
        <w:rPr>
          <w:color w:val="000000"/>
        </w:rPr>
        <w:t xml:space="preserve"> </w:t>
      </w:r>
      <w:r>
        <w:rPr>
          <w:rFonts w:ascii="Times NR MT Pro;sans-serif" w:hAnsi="Times NR MT Pro;sans-serif"/>
          <w:b w:val="false"/>
          <w:color w:val="231F20"/>
          <w:sz w:val="20"/>
        </w:rPr>
        <w:t>soon as reasonably practicable after such material is electronically filed with, or furnished to, the SEC. The</w:t>
      </w:r>
      <w:r>
        <w:rPr>
          <w:color w:val="000000"/>
        </w:rPr>
        <w:t xml:space="preserve"> </w:t>
      </w:r>
      <w:r>
        <w:rPr>
          <w:rFonts w:ascii="Times NR MT Pro;sans-serif" w:hAnsi="Times NR MT Pro;sans-serif"/>
          <w:b w:val="false"/>
          <w:color w:val="231F20"/>
          <w:sz w:val="20"/>
        </w:rPr>
        <w:t>information contained on, or that can be accessed through, our website shall not be deemed incorporated into</w:t>
      </w:r>
      <w:r>
        <w:rPr>
          <w:color w:val="000000"/>
        </w:rPr>
        <w:t xml:space="preserve"> </w:t>
      </w:r>
      <w:r>
        <w:rPr>
          <w:rFonts w:ascii="Times NR MT Pro;sans-serif" w:hAnsi="Times NR MT Pro;sans-serif"/>
          <w:b w:val="false"/>
          <w:color w:val="231F20"/>
          <w:sz w:val="20"/>
        </w:rPr>
        <w:t>and is not part of this prospectus or the registration statement of which it is a part, and the inclusion of</w:t>
      </w:r>
      <w:r>
        <w:rPr>
          <w:color w:val="000000"/>
        </w:rPr>
        <w:t xml:space="preserve"> </w:t>
      </w:r>
      <w:r>
        <w:rPr>
          <w:rFonts w:ascii="Times NR MT Pro;sans-serif" w:hAnsi="Times NR MT Pro;sans-serif"/>
          <w:b w:val="false"/>
          <w:color w:val="231F20"/>
          <w:sz w:val="20"/>
        </w:rPr>
        <w:t>our website address in this prospectus is an inactive textual reference only.</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27" w:name="i8f0b835385394f01b39bfc400adfe7c5"/>
      <w:bookmarkEnd w:id="27"/>
      <w:r>
        <w:rPr>
          <w:rFonts w:ascii="Times New Roman;serif" w:hAnsi="Times New Roman;serif"/>
          <w:b/>
          <w:color w:val="000000"/>
          <w:sz w:val="20"/>
        </w:rPr>
        <w:t xml:space="preserve">INCORPORATION OF CERTAIN INFORMATION BY REFERENCE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The SEC allows us to “incorporate by reference” into this prospectus supplement the information we</w:t>
      </w:r>
      <w:r>
        <w:rPr>
          <w:color w:val="000000"/>
        </w:rPr>
        <w:t xml:space="preserve"> </w:t>
      </w:r>
      <w:r>
        <w:rPr>
          <w:rFonts w:ascii="Times NR MT Pro;sans-serif" w:hAnsi="Times NR MT Pro;sans-serif"/>
          <w:b w:val="false"/>
          <w:color w:val="231F20"/>
          <w:sz w:val="20"/>
        </w:rPr>
        <w:t>file with it, which means that we can disclose important information to you by referring you to those</w:t>
      </w:r>
      <w:r>
        <w:rPr>
          <w:color w:val="000000"/>
        </w:rPr>
        <w:t xml:space="preserve"> </w:t>
      </w:r>
      <w:r>
        <w:rPr>
          <w:rFonts w:ascii="Times NR MT Pro;sans-serif" w:hAnsi="Times NR MT Pro;sans-serif"/>
          <w:b w:val="false"/>
          <w:color w:val="231F20"/>
          <w:sz w:val="20"/>
        </w:rPr>
        <w:t>documents. The information incorporated by reference is considered to be part of this prospectus supplement</w:t>
      </w:r>
      <w:r>
        <w:rPr>
          <w:color w:val="000000"/>
        </w:rPr>
        <w:t xml:space="preserve"> </w:t>
      </w:r>
      <w:r>
        <w:rPr>
          <w:rFonts w:ascii="Times NR MT Pro;sans-serif" w:hAnsi="Times NR MT Pro;sans-serif"/>
          <w:b w:val="false"/>
          <w:color w:val="231F20"/>
          <w:sz w:val="20"/>
        </w:rPr>
        <w:t xml:space="preserve">and the accompany prospectus. Any statement contained in a document incorporated or considered to </w:t>
      </w:r>
      <w:r>
        <w:rPr>
          <w:rFonts w:ascii="Times New Roman;serif" w:hAnsi="Times New Roman;serif"/>
          <w:b w:val="false"/>
          <w:color w:val="010302"/>
          <w:sz w:val="20"/>
        </w:rPr>
        <w:t>be</w:t>
      </w:r>
      <w:r>
        <w:rPr>
          <w:color w:val="000000"/>
        </w:rPr>
        <w:t xml:space="preserve"> </w:t>
      </w:r>
      <w:r>
        <w:rPr>
          <w:rFonts w:ascii="Times NR MT Pro;sans-serif" w:hAnsi="Times NR MT Pro;sans-serif"/>
          <w:b w:val="false"/>
          <w:color w:val="231F20"/>
          <w:sz w:val="20"/>
        </w:rPr>
        <w:t>incorporated by reference in this prospectus supplement and the accompanying prospectus will be considered</w:t>
      </w:r>
      <w:r>
        <w:rPr>
          <w:color w:val="000000"/>
        </w:rPr>
        <w:t xml:space="preserve"> </w:t>
      </w:r>
      <w:r>
        <w:rPr>
          <w:rFonts w:ascii="Times NR MT Pro;sans-serif" w:hAnsi="Times NR MT Pro;sans-serif"/>
          <w:b w:val="false"/>
          <w:color w:val="231F20"/>
          <w:sz w:val="20"/>
        </w:rPr>
        <w:t>to be modified or superseded for purposes of this prospectus supplement and the accompanying prospectus</w:t>
      </w:r>
      <w:r>
        <w:rPr>
          <w:color w:val="000000"/>
        </w:rPr>
        <w:t xml:space="preserve"> </w:t>
      </w:r>
      <w:r>
        <w:rPr>
          <w:rFonts w:ascii="Times NR MT Pro;sans-serif" w:hAnsi="Times NR MT Pro;sans-serif"/>
          <w:b w:val="false"/>
          <w:color w:val="231F20"/>
          <w:sz w:val="20"/>
        </w:rPr>
        <w:t>to the extent a statement contained in this prospectus supplement and the accompanying prospectus or in</w:t>
      </w:r>
      <w:r>
        <w:rPr>
          <w:color w:val="000000"/>
        </w:rPr>
        <w:t xml:space="preserve"> </w:t>
      </w:r>
      <w:r>
        <w:rPr>
          <w:rFonts w:ascii="Times NR MT Pro;sans-serif" w:hAnsi="Times NR MT Pro;sans-serif"/>
          <w:b w:val="false"/>
          <w:color w:val="231F20"/>
          <w:sz w:val="20"/>
        </w:rPr>
        <w:t>any other subsequently filed document that is or is deemed to be incorporated by reference in this prospectus</w:t>
      </w:r>
      <w:r>
        <w:rPr>
          <w:color w:val="000000"/>
        </w:rPr>
        <w:t xml:space="preserve"> </w:t>
      </w:r>
      <w:r>
        <w:rPr>
          <w:rFonts w:ascii="Times NR MT Pro;sans-serif" w:hAnsi="Times NR MT Pro;sans-serif"/>
          <w:b w:val="false"/>
          <w:color w:val="231F20"/>
          <w:sz w:val="20"/>
        </w:rPr>
        <w:t>supplement and accompanying prospectus modifies or supersedes such statement. We incorporate by</w:t>
      </w:r>
      <w:r>
        <w:rPr>
          <w:color w:val="000000"/>
        </w:rPr>
        <w:t xml:space="preserve"> </w:t>
      </w:r>
      <w:r>
        <w:rPr>
          <w:rFonts w:ascii="Times NR MT Pro;sans-serif" w:hAnsi="Times NR MT Pro;sans-serif"/>
          <w:b w:val="false"/>
          <w:color w:val="231F20"/>
          <w:sz w:val="20"/>
        </w:rPr>
        <w:t>reference in this prospectus supplement, the accompanying prospectus and the registration statement of</w:t>
      </w:r>
      <w:r>
        <w:rPr>
          <w:color w:val="000000"/>
        </w:rPr>
        <w:t xml:space="preserve"> </w:t>
      </w:r>
      <w:r>
        <w:rPr>
          <w:rFonts w:ascii="Times NR MT Pro;sans-serif" w:hAnsi="Times NR MT Pro;sans-serif"/>
          <w:b w:val="false"/>
          <w:color w:val="231F20"/>
          <w:sz w:val="20"/>
        </w:rPr>
        <w:t>which this prospectus supplement and the accompanying prospectus are a part the following information</w:t>
      </w:r>
      <w:r>
        <w:rPr>
          <w:color w:val="000000"/>
        </w:rPr>
        <w:t xml:space="preserve"> </w:t>
      </w:r>
      <w:r>
        <w:rPr>
          <w:rFonts w:ascii="Times NR MT Pro;sans-serif" w:hAnsi="Times NR MT Pro;sans-serif"/>
          <w:b w:val="false"/>
          <w:color w:val="231F20"/>
          <w:sz w:val="20"/>
        </w:rPr>
        <w:t>(other than, in each case, documents or information deemed to have been furnished and not filed in accordance</w:t>
      </w:r>
      <w:r>
        <w:rPr>
          <w:color w:val="000000"/>
        </w:rPr>
        <w:t xml:space="preserve"> </w:t>
      </w:r>
      <w:r>
        <w:rPr>
          <w:rFonts w:ascii="Times NR MT Pro;sans-serif" w:hAnsi="Times NR MT Pro;sans-serif"/>
          <w:b w:val="false"/>
          <w:color w:val="231F20"/>
          <w:sz w:val="20"/>
        </w:rPr>
        <w:t>with SEC rules, including any information furnished pursuant to Item 2.02 or Item 7.01 of Form 8-K or</w:t>
      </w:r>
      <w:r>
        <w:rPr>
          <w:color w:val="000000"/>
        </w:rPr>
        <w:t xml:space="preserve"> </w:t>
      </w:r>
      <w:r>
        <w:rPr>
          <w:rFonts w:ascii="Times NR MT Pro;sans-serif" w:hAnsi="Times NR MT Pro;sans-serif"/>
          <w:b w:val="false"/>
          <w:color w:val="231F20"/>
          <w:sz w:val="20"/>
        </w:rPr>
        <w:t>related exhibits furnished pursuant to Item 9.01 of Form 8-K):</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Our Annual Report on Form 10-K for the fiscal year ended December 31, 2025, filed with the SEC on </w:t>
      </w:r>
      <w:hyperlink r:id="rId3">
        <w:r>
          <w:rPr>
            <w:rStyle w:val="InternetLink"/>
            <w:rFonts w:ascii="Times New Roman;serif" w:hAnsi="Times New Roman;serif"/>
            <w:b w:val="false"/>
            <w:color w:val="0563C1"/>
            <w:sz w:val="20"/>
            <w:u w:val="single"/>
          </w:rPr>
          <w:t>March 31, 2026</w:t>
        </w:r>
      </w:hyperlink>
      <w:r>
        <w:rPr>
          <w:rFonts w:ascii="Times New Roman;serif" w:hAnsi="Times New Roman;serif"/>
          <w:b w:val="false"/>
          <w:color w:val="000000"/>
          <w:sz w:val="20"/>
        </w:rPr>
        <w:t>;</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information specifically incorporated by reference into our </w:t>
      </w:r>
      <w:hyperlink r:id="rId4">
        <w:r>
          <w:rPr>
            <w:rStyle w:val="InternetLink"/>
            <w:rFonts w:ascii="Times New Roman;serif" w:hAnsi="Times New Roman;serif"/>
            <w:b w:val="false"/>
            <w:color w:val="0563C1"/>
            <w:sz w:val="20"/>
            <w:u w:val="single"/>
          </w:rPr>
          <w:t>Annual Report on Form 10-K for the fiscal year ended December 31, 2025</w:t>
        </w:r>
      </w:hyperlink>
      <w:r>
        <w:rPr>
          <w:color w:val="000000"/>
        </w:rPr>
        <w:t xml:space="preserve"> </w:t>
      </w:r>
      <w:r>
        <w:rPr>
          <w:rFonts w:ascii="Times New Roman;serif" w:hAnsi="Times New Roman;serif"/>
          <w:b w:val="false"/>
          <w:color w:val="000000"/>
          <w:sz w:val="20"/>
        </w:rPr>
        <w:t xml:space="preserve">from our Definitive Proxy Statement on Schedule 14A, filed with the SEC on </w:t>
      </w:r>
      <w:hyperlink r:id="rId5">
        <w:r>
          <w:rPr>
            <w:rStyle w:val="InternetLink"/>
            <w:rFonts w:ascii="Times New Roman;serif" w:hAnsi="Times New Roman;serif"/>
            <w:b w:val="false"/>
            <w:color w:val="0563C1"/>
            <w:sz w:val="20"/>
            <w:u w:val="single"/>
          </w:rPr>
          <w:t>April 10, 2026</w:t>
        </w:r>
      </w:hyperlink>
      <w:r>
        <w:rPr>
          <w:rFonts w:ascii="Times New Roman;serif" w:hAnsi="Times New Roman;serif"/>
          <w:b w:val="false"/>
          <w:color w:val="000000"/>
          <w:sz w:val="20"/>
        </w:rPr>
        <w:t>;</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Our Quarterly Reports on Form 10-Q for the fiscal quarter ended March 31, 2026, filed with the SEC on </w:t>
      </w:r>
      <w:hyperlink r:id="rId6">
        <w:r>
          <w:rPr>
            <w:rStyle w:val="InternetLink"/>
            <w:rFonts w:ascii="Times New Roman;serif" w:hAnsi="Times New Roman;serif"/>
            <w:b w:val="false"/>
            <w:color w:val="0563C1"/>
            <w:sz w:val="20"/>
            <w:u w:val="single"/>
          </w:rPr>
          <w:t>May 15, 2026</w:t>
        </w:r>
      </w:hyperlink>
      <w:r>
        <w:rPr>
          <w:color w:val="000000"/>
        </w:rPr>
        <w:t xml:space="preserve"> </w:t>
      </w:r>
      <w:r>
        <w:rPr>
          <w:rFonts w:ascii="Times New Roman;serif" w:hAnsi="Times New Roman;serif"/>
          <w:b w:val="false"/>
          <w:color w:val="000000"/>
          <w:sz w:val="20"/>
        </w:rPr>
        <w:t xml:space="preserve">and for the fiscal quarter ended June 30, 2026, filed with the SEC on </w:t>
      </w:r>
      <w:hyperlink r:id="rId7">
        <w:r>
          <w:rPr>
            <w:rStyle w:val="InternetLink"/>
            <w:rFonts w:ascii="Times New Roman;serif" w:hAnsi="Times New Roman;serif"/>
            <w:b w:val="false"/>
            <w:color w:val="0563C1"/>
            <w:sz w:val="20"/>
            <w:u w:val="single"/>
          </w:rPr>
          <w:t>August 14, 2026</w:t>
        </w:r>
      </w:hyperlink>
      <w:r>
        <w:rPr>
          <w:rFonts w:ascii="Times New Roman;serif" w:hAnsi="Times New Roman;serif"/>
          <w:b w:val="false"/>
          <w:color w:val="000000"/>
          <w:sz w:val="20"/>
        </w:rPr>
        <w:t>;</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Our Current Reports on Form 8-K filed with the SEC on </w:t>
      </w:r>
      <w:hyperlink r:id="rId8">
        <w:r>
          <w:rPr>
            <w:rStyle w:val="InternetLink"/>
            <w:rFonts w:ascii="Times New Roman;serif" w:hAnsi="Times New Roman;serif"/>
            <w:b w:val="false"/>
            <w:color w:val="0563C1"/>
            <w:sz w:val="20"/>
            <w:u w:val="single"/>
          </w:rPr>
          <w:t>February 20,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563C1"/>
            <w:sz w:val="20"/>
            <w:u w:val="single"/>
          </w:rPr>
          <w:t>April 9, 2026</w:t>
        </w:r>
      </w:hyperlink>
      <w:r>
        <w:rPr>
          <w:color w:val="000000"/>
        </w:rPr>
        <w:t xml:space="preserve"> </w:t>
      </w:r>
      <w:r>
        <w:rPr>
          <w:rFonts w:ascii="Times New Roman;serif" w:hAnsi="Times New Roman;serif"/>
          <w:b w:val="false"/>
          <w:color w:val="000000"/>
          <w:sz w:val="20"/>
        </w:rPr>
        <w:t xml:space="preserve">(other than Item 7.01), </w:t>
      </w:r>
      <w:hyperlink r:id="rId10">
        <w:r>
          <w:rPr>
            <w:rStyle w:val="InternetLink"/>
            <w:rFonts w:ascii="Times New Roman;serif" w:hAnsi="Times New Roman;serif"/>
            <w:b w:val="false"/>
            <w:color w:val="0563C1"/>
            <w:sz w:val="20"/>
            <w:u w:val="single"/>
          </w:rPr>
          <w:t>April 13, 2026</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563C1"/>
            <w:sz w:val="20"/>
            <w:u w:val="single"/>
          </w:rPr>
          <w:t>April 24, 2026</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563C1"/>
            <w:sz w:val="20"/>
            <w:u w:val="single"/>
          </w:rPr>
          <w:t>April 27, 2026</w:t>
        </w:r>
      </w:hyperlink>
      <w:r>
        <w:rPr>
          <w:color w:val="000000"/>
        </w:rPr>
        <w:t xml:space="preserve"> </w:t>
      </w:r>
      <w:r>
        <w:rPr>
          <w:rFonts w:ascii="Times New Roman;serif" w:hAnsi="Times New Roman;serif"/>
          <w:b w:val="false"/>
          <w:color w:val="000000"/>
          <w:sz w:val="20"/>
        </w:rPr>
        <w:t xml:space="preserve">(other than Item 7.01), </w:t>
      </w:r>
      <w:hyperlink r:id="rId13">
        <w:r>
          <w:rPr>
            <w:rStyle w:val="InternetLink"/>
            <w:rFonts w:ascii="Times New Roman;serif" w:hAnsi="Times New Roman;serif"/>
            <w:b w:val="false"/>
            <w:color w:val="0563C1"/>
            <w:sz w:val="20"/>
            <w:u w:val="single"/>
          </w:rPr>
          <w:t>May 22, 2026</w:t>
        </w:r>
      </w:hyperlink>
      <w:r>
        <w:rPr>
          <w:color w:val="000000"/>
        </w:rPr>
        <w:t xml:space="preserve"> </w:t>
      </w:r>
      <w:r>
        <w:rPr>
          <w:rFonts w:ascii="Times New Roman;serif" w:hAnsi="Times New Roman;serif"/>
          <w:b w:val="false"/>
          <w:color w:val="000000"/>
          <w:sz w:val="20"/>
        </w:rPr>
        <w:t xml:space="preserve">and </w:t>
      </w:r>
      <w:hyperlink r:id="rId14">
        <w:r>
          <w:rPr>
            <w:rStyle w:val="InternetLink"/>
            <w:rFonts w:ascii="Times New Roman;serif" w:hAnsi="Times New Roman;serif"/>
            <w:b w:val="false"/>
            <w:color w:val="0563C1"/>
            <w:sz w:val="20"/>
            <w:u w:val="single"/>
          </w:rPr>
          <w:t>May 29, 2026</w:t>
        </w:r>
      </w:hyperlink>
      <w:r>
        <w:rPr>
          <w:rFonts w:ascii="Times New Roman;serif" w:hAnsi="Times New Roman;serif"/>
          <w:b w:val="false"/>
          <w:color w:val="000000"/>
          <w:sz w:val="20"/>
        </w:rPr>
        <w:t>; and</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description of our Class A common stock in </w:t>
      </w:r>
      <w:hyperlink r:id="rId15">
        <w:r>
          <w:rPr>
            <w:rStyle w:val="InternetLink"/>
            <w:rFonts w:ascii="Times New Roman;serif" w:hAnsi="Times New Roman;serif"/>
            <w:b w:val="false"/>
            <w:color w:val="0563C1"/>
            <w:sz w:val="20"/>
            <w:u w:val="single"/>
          </w:rPr>
          <w:t>Exhibit 4.3</w:t>
        </w:r>
      </w:hyperlink>
      <w:r>
        <w:rPr>
          <w:color w:val="000000"/>
        </w:rPr>
        <w:t xml:space="preserve"> </w:t>
      </w:r>
      <w:r>
        <w:rPr>
          <w:rFonts w:ascii="Times New Roman;serif" w:hAnsi="Times New Roman;serif"/>
          <w:b w:val="false"/>
          <w:color w:val="000000"/>
          <w:sz w:val="20"/>
        </w:rPr>
        <w:t>to our Annual Report on Form 10-K for the fiscal year ended December 31, 2025, filed with the SEC on March 31, 2026, and including any further amendment or report filed or to be filed for the purpose of updating such description.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accompanying prospectus and deemed to be part of this prospectus supplement and accompanying prospectus from the date of the filing of such reports and documents.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You may obtain any of the documents incorporated by reference in this prospectus supplement and accompanying prospectus from the SEC through the SEC’s website at the address provided above. You also may request a copy of any document incorporated by reference in this prospectus supplement and accompanying prospectus (excluding any exhibits to those documents, unless the exhibit is specifically incorporated by reference in this document), at no cost, by writing or telephoning us at the following address and phone number: Solana Company, 1650 Market Street, Suite 3600, PMB 17139084, Philadelphia, Pennsylvania, Attn: Chief Financial Officer or by telephone at (215) 207-2717.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0" w:after="240"/>
        <w:jc w:val="center"/>
        <w:rPr>
          <w:rFonts w:ascii="Times NR MT Pro;sans-serif" w:hAnsi="Times NR MT Pro;sans-serif"/>
          <w:b/>
          <w:color w:val="231F20"/>
          <w:sz w:val="20"/>
        </w:rPr>
      </w:pPr>
      <w:r>
        <w:rPr>
          <w:rFonts w:ascii="Times NR MT Pro;sans-serif" w:hAnsi="Times NR MT Pro;sans-serif"/>
          <w:b/>
          <w:color w:val="231F20"/>
          <w:sz w:val="20"/>
        </w:rPr>
        <w:t>SUBJECT TO COMPLETION, DATED MARCH 31, 2026</w:t>
      </w:r>
    </w:p>
    <w:p>
      <w:pPr>
        <w:pStyle w:val="TextBody"/>
        <w:bidi w:val="0"/>
        <w:spacing w:lineRule="auto" w:line="288" w:before="0" w:after="240"/>
        <w:jc w:val="left"/>
        <w:rPr/>
      </w:pPr>
      <w:r>
        <w:rPr>
          <w:rFonts w:ascii="Times NR MT Pro;sans-serif" w:hAnsi="Times NR MT Pro;sans-serif"/>
          <w:b/>
          <w:color w:val="231F20"/>
          <w:sz w:val="20"/>
        </w:rPr>
        <w:t>PROSPECTUS</w:t>
      </w:r>
      <w:r>
        <w:rPr>
          <w:color w:val="000000"/>
        </w:rPr>
        <w:t xml:space="preserve"> </w:t>
      </w:r>
    </w:p>
    <w:p>
      <w:pPr>
        <w:pStyle w:val="TextBody"/>
        <w:bidi w:val="0"/>
        <w:spacing w:lineRule="auto" w:line="288" w:before="0" w:after="240"/>
        <w:jc w:val="center"/>
        <w:rPr>
          <w:rFonts w:ascii="Times NR MT Pro;sans-serif" w:hAnsi="Times NR MT Pro;sans-serif"/>
          <w:b/>
          <w:color w:val="231F20"/>
          <w:sz w:val="28"/>
        </w:rPr>
      </w:pPr>
      <w:r>
        <w:rPr>
          <w:rFonts w:ascii="Times NR MT Pro;sans-serif" w:hAnsi="Times NR MT Pro;sans-serif"/>
          <w:b/>
          <w:color w:val="231F20"/>
          <w:sz w:val="28"/>
        </w:rPr>
        <w:t>$1,000,000,000</w:t>
      </w:r>
    </w:p>
    <w:p>
      <w:pPr>
        <w:pStyle w:val="TextBody"/>
        <w:bidi w:val="0"/>
        <w:spacing w:before="0" w:after="240"/>
        <w:jc w:val="center"/>
        <w:rPr/>
      </w:pPr>
      <w:r>
        <w:rPr/>
        <w:drawing>
          <wp:inline distT="0" distB="0" distL="0" distR="0">
            <wp:extent cx="2790825" cy="4191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16"/>
                    <a:stretch>
                      <a:fillRect/>
                    </a:stretch>
                  </pic:blipFill>
                  <pic:spPr bwMode="auto">
                    <a:xfrm>
                      <a:off x="0" y="0"/>
                      <a:ext cx="2790825" cy="419100"/>
                    </a:xfrm>
                    <a:prstGeom prst="rect">
                      <a:avLst/>
                    </a:prstGeom>
                  </pic:spPr>
                </pic:pic>
              </a:graphicData>
            </a:graphic>
          </wp:inline>
        </w:drawing>
      </w:r>
    </w:p>
    <w:p>
      <w:pPr>
        <w:pStyle w:val="TextBody"/>
        <w:bidi w:val="0"/>
        <w:spacing w:lineRule="auto" w:line="288" w:before="0" w:after="240"/>
        <w:jc w:val="center"/>
        <w:rPr>
          <w:rFonts w:ascii="Times NR MT Pro;sans-serif" w:hAnsi="Times NR MT Pro;sans-serif"/>
          <w:b/>
          <w:color w:val="231F20"/>
          <w:sz w:val="36"/>
        </w:rPr>
      </w:pPr>
      <w:r>
        <w:rPr>
          <w:rFonts w:ascii="Times NR MT Pro;sans-serif" w:hAnsi="Times NR MT Pro;sans-serif"/>
          <w:b/>
          <w:color w:val="231F20"/>
          <w:sz w:val="36"/>
        </w:rPr>
        <w:t>Solana Company</w:t>
      </w:r>
    </w:p>
    <w:p>
      <w:pPr>
        <w:pStyle w:val="TextBody"/>
        <w:bidi w:val="0"/>
        <w:spacing w:lineRule="auto" w:line="288" w:before="0" w:after="0"/>
        <w:jc w:val="center"/>
        <w:rPr>
          <w:rFonts w:ascii="Times NR MT Pro;sans-serif" w:hAnsi="Times NR MT Pro;sans-serif"/>
          <w:b/>
          <w:color w:val="231F20"/>
          <w:sz w:val="28"/>
        </w:rPr>
      </w:pPr>
      <w:r>
        <w:rPr>
          <w:rFonts w:ascii="Times NR MT Pro;sans-serif" w:hAnsi="Times NR MT Pro;sans-serif"/>
          <w:b/>
          <w:color w:val="231F20"/>
          <w:sz w:val="28"/>
        </w:rPr>
        <w:t>Class A Common Stock</w:t>
      </w:r>
    </w:p>
    <w:p>
      <w:pPr>
        <w:pStyle w:val="TextBody"/>
        <w:bidi w:val="0"/>
        <w:spacing w:lineRule="auto" w:line="288" w:before="0" w:after="0"/>
        <w:jc w:val="center"/>
        <w:rPr>
          <w:rFonts w:ascii="Times NR MT Pro;sans-serif" w:hAnsi="Times NR MT Pro;sans-serif"/>
          <w:b/>
          <w:color w:val="231F20"/>
          <w:sz w:val="28"/>
        </w:rPr>
      </w:pPr>
      <w:r>
        <w:rPr>
          <w:rFonts w:ascii="Times NR MT Pro;sans-serif" w:hAnsi="Times NR MT Pro;sans-serif"/>
          <w:b/>
          <w:color w:val="231F20"/>
          <w:sz w:val="28"/>
        </w:rPr>
        <w:t>Preferred Stock</w:t>
      </w:r>
    </w:p>
    <w:p>
      <w:pPr>
        <w:pStyle w:val="TextBody"/>
        <w:bidi w:val="0"/>
        <w:spacing w:lineRule="auto" w:line="288" w:before="0" w:after="0"/>
        <w:jc w:val="center"/>
        <w:rPr>
          <w:rFonts w:ascii="Times NR MT Pro;sans-serif" w:hAnsi="Times NR MT Pro;sans-serif"/>
          <w:b/>
          <w:color w:val="231F20"/>
          <w:sz w:val="28"/>
        </w:rPr>
      </w:pPr>
      <w:r>
        <w:rPr>
          <w:rFonts w:ascii="Times NR MT Pro;sans-serif" w:hAnsi="Times NR MT Pro;sans-serif"/>
          <w:b/>
          <w:color w:val="231F20"/>
          <w:sz w:val="28"/>
        </w:rPr>
        <w:t>Debt Securities</w:t>
      </w:r>
    </w:p>
    <w:p>
      <w:pPr>
        <w:pStyle w:val="TextBody"/>
        <w:bidi w:val="0"/>
        <w:spacing w:lineRule="auto" w:line="288" w:before="0" w:after="0"/>
        <w:jc w:val="center"/>
        <w:rPr>
          <w:rFonts w:ascii="Times NR MT Pro;sans-serif" w:hAnsi="Times NR MT Pro;sans-serif"/>
          <w:b/>
          <w:color w:val="231F20"/>
          <w:sz w:val="28"/>
        </w:rPr>
      </w:pPr>
      <w:r>
        <w:rPr>
          <w:rFonts w:ascii="Times NR MT Pro;sans-serif" w:hAnsi="Times NR MT Pro;sans-serif"/>
          <w:b/>
          <w:color w:val="231F20"/>
          <w:sz w:val="28"/>
        </w:rPr>
        <w:t>Warrants</w:t>
      </w:r>
    </w:p>
    <w:p>
      <w:pPr>
        <w:pStyle w:val="TextBody"/>
        <w:bidi w:val="0"/>
        <w:spacing w:lineRule="auto" w:line="288" w:before="0" w:after="360"/>
        <w:jc w:val="center"/>
        <w:rPr>
          <w:rFonts w:ascii="Times NR MT Pro;sans-serif" w:hAnsi="Times NR MT Pro;sans-serif"/>
          <w:b/>
          <w:color w:val="231F20"/>
          <w:sz w:val="28"/>
        </w:rPr>
      </w:pPr>
      <w:r>
        <w:rPr>
          <w:rFonts w:ascii="Times NR MT Pro;sans-serif" w:hAnsi="Times NR MT Pro;sans-serif"/>
          <w:b/>
          <w:color w:val="231F20"/>
          <w:sz w:val="28"/>
        </w:rPr>
        <w:t>Units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and sell up to $1,000,000,000 of the securities identified above from time to time in one or more offerings. This prospectus provides you with a general description of the securities.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Investing in our Class A common stock involves significant risks. Before making an investment decision, you should review carefully the risks and uncertainties described under the heading “Risk Factors” beginning on page 4 of this prospectus and any applicable prospectus supplement and in any related free writing prospectus we have authorized for use in connection with a specific offering, and the risk factors that are incorporated by reference into this prospectus from our filings made with the Securities and Exchange Commission (the “SEC”). Our Class A common stock is listed on the Nasdaq Capital Market (“Nasdaq”) under the symbol “HSDT.” On March 30, 2026, the last reported sale price of our Class A common stock on Nasdaq was $1.86 per share. </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6"/>
        <w:jc w:val="center"/>
        <w:rPr>
          <w:rFonts w:ascii="Times NR MT Pro;sans-serif" w:hAnsi="Times NR MT Pro;sans-serif"/>
          <w:b w:val="false"/>
          <w:color w:val="231F20"/>
          <w:sz w:val="20"/>
        </w:rPr>
      </w:pPr>
      <w:r>
        <w:rPr>
          <w:rFonts w:ascii="Times NR MT Pro;sans-serif" w:hAnsi="Times NR MT Pro;sans-serif"/>
          <w:b w:val="false"/>
          <w:color w:val="231F20"/>
          <w:sz w:val="20"/>
        </w:rPr>
        <w:t>The date of this prospectus is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FFFFFF"/>
          <w:sz w:val="2"/>
        </w:rPr>
      </w:pPr>
      <w:bookmarkStart w:id="28" w:name="ib93c8723ede04ecbb80d1258a3e15d3f"/>
      <w:bookmarkEnd w:id="28"/>
      <w:r>
        <w:rPr>
          <w:rFonts w:ascii="Times New Roman;serif" w:hAnsi="Times New Roman;serif"/>
          <w:b w:val="false"/>
          <w:color w:val="FFFFFF"/>
          <w:sz w:val="2"/>
        </w:rPr>
        <w:t>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Page</w:t>
      </w:r>
    </w:p>
    <w:tbl>
      <w:tblPr>
        <w:tblW w:w="7752" w:type="dxa"/>
        <w:jc w:val="left"/>
        <w:tblInd w:w="0" w:type="dxa"/>
        <w:tblLayout w:type="fixed"/>
        <w:tblCellMar>
          <w:top w:w="28" w:type="dxa"/>
          <w:left w:w="28" w:type="dxa"/>
          <w:bottom w:w="28" w:type="dxa"/>
          <w:right w:w="28" w:type="dxa"/>
        </w:tblCellMar>
      </w:tblPr>
      <w:tblGrid>
        <w:gridCol w:w="2669"/>
        <w:gridCol w:w="2353"/>
        <w:gridCol w:w="2358"/>
        <w:gridCol w:w="109"/>
        <w:gridCol w:w="109"/>
        <w:gridCol w:w="154"/>
      </w:tblGrid>
      <w:tr>
        <w:trPr/>
        <w:tc>
          <w:tcPr>
            <w:tcW w:w="266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cf33205b0c4fe5a9d41c23b6d6c618">
              <w:r>
                <w:rPr>
                  <w:rStyle w:val="InternetLink"/>
                  <w:rFonts w:ascii="Times New Roman;serif" w:hAnsi="Times New Roman;serif"/>
                  <w:b w:val="false"/>
                  <w:color w:val="0563C1"/>
                  <w:sz w:val="20"/>
                  <w:u w:val="single"/>
                </w:rPr>
                <w:t xml:space="preserve">ABOUT THIS PROSPECTUS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cf33205b0c4fe5a9d41c23b6d6c618">
              <w:r>
                <w:rPr>
                  <w:rStyle w:val="InternetLink"/>
                  <w:rFonts w:ascii="Times New Roman;serif" w:hAnsi="Times New Roman;serif"/>
                  <w:b w:val="false"/>
                  <w:color w:val="0563C1"/>
                  <w:sz w:val="20"/>
                  <w:u w:val="single"/>
                </w:rPr>
                <w:t>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5d247a19e34bf4a37de4033b3a2488">
              <w:r>
                <w:rPr>
                  <w:rStyle w:val="InternetLink"/>
                  <w:rFonts w:ascii="Times New Roman;serif" w:hAnsi="Times New Roman;serif"/>
                  <w:b w:val="false"/>
                  <w:color w:val="0563C1"/>
                  <w:sz w:val="20"/>
                  <w:u w:val="single"/>
                </w:rPr>
                <w:t xml:space="preserve">SPECIAL NOTE REGARDING FORWARD-LOOKING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5d247a19e34bf4a37de4033b3a2488">
              <w:r>
                <w:rPr>
                  <w:rStyle w:val="InternetLink"/>
                  <w:rFonts w:ascii="Times New Roman;serif" w:hAnsi="Times New Roman;serif"/>
                  <w:b w:val="false"/>
                  <w:color w:val="0563C1"/>
                  <w:sz w:val="20"/>
                  <w:u w:val="single"/>
                </w:rPr>
                <w:t>2</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9276090c184fd9ab15b35ac16781d5">
              <w:r>
                <w:rPr>
                  <w:rStyle w:val="InternetLink"/>
                  <w:rFonts w:ascii="Times New Roman;serif" w:hAnsi="Times New Roman;serif"/>
                  <w:b w:val="false"/>
                  <w:color w:val="0563C1"/>
                  <w:sz w:val="20"/>
                  <w:u w:val="single"/>
                </w:rPr>
                <w:t xml:space="preserve">THE COMPANY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9276090c184fd9ab15b35ac16781d5">
              <w:r>
                <w:rPr>
                  <w:rStyle w:val="InternetLink"/>
                  <w:rFonts w:ascii="Times New Roman;serif" w:hAnsi="Times New Roman;serif"/>
                  <w:b w:val="false"/>
                  <w:color w:val="0563C1"/>
                  <w:sz w:val="20"/>
                  <w:u w:val="single"/>
                </w:rPr>
                <w:t>3</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0973893a814f31bb745c34a55af8a8">
              <w:r>
                <w:rPr>
                  <w:rStyle w:val="InternetLink"/>
                  <w:rFonts w:ascii="Times New Roman;serif" w:hAnsi="Times New Roman;serif"/>
                  <w:b w:val="false"/>
                  <w:color w:val="0563C1"/>
                  <w:sz w:val="20"/>
                  <w:u w:val="single"/>
                </w:rPr>
                <w:t xml:space="preserve">RISK FACTORS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0973893a814f31bb745c34a55af8a8">
              <w:r>
                <w:rPr>
                  <w:rStyle w:val="InternetLink"/>
                  <w:rFonts w:ascii="Times New Roman;serif" w:hAnsi="Times New Roman;serif"/>
                  <w:b w:val="false"/>
                  <w:color w:val="0563C1"/>
                  <w:sz w:val="20"/>
                  <w:u w:val="single"/>
                </w:rPr>
                <w:t>4</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5d79253e3a48cbb4841a3e568d7899">
              <w:r>
                <w:rPr>
                  <w:rStyle w:val="InternetLink"/>
                  <w:rFonts w:ascii="Times New Roman;serif" w:hAnsi="Times New Roman;serif"/>
                  <w:b w:val="false"/>
                  <w:color w:val="0563C1"/>
                  <w:sz w:val="20"/>
                  <w:u w:val="single"/>
                </w:rPr>
                <w:t xml:space="preserve">USE OF PROCEEDS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5d79253e3a48cbb4841a3e568d7899">
              <w:r>
                <w:rPr>
                  <w:rStyle w:val="InternetLink"/>
                  <w:rFonts w:ascii="Times New Roman;serif" w:hAnsi="Times New Roman;serif"/>
                  <w:b w:val="false"/>
                  <w:color w:val="0563C1"/>
                  <w:sz w:val="20"/>
                  <w:u w:val="single"/>
                </w:rPr>
                <w:t>5</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4270b92ffa4a6a96ae8cba70bf69d2">
              <w:r>
                <w:rPr>
                  <w:rStyle w:val="InternetLink"/>
                  <w:rFonts w:ascii="Times New Roman;serif" w:hAnsi="Times New Roman;serif"/>
                  <w:b w:val="false"/>
                  <w:color w:val="0563C1"/>
                  <w:sz w:val="20"/>
                  <w:u w:val="single"/>
                </w:rPr>
                <w:t xml:space="preserve">DESCRIPTION OF CAPITAL STOCK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4270b92ffa4a6a96ae8cba70bf69d2">
              <w:r>
                <w:rPr>
                  <w:rStyle w:val="InternetLink"/>
                  <w:rFonts w:ascii="Times New Roman;serif" w:hAnsi="Times New Roman;serif"/>
                  <w:b w:val="false"/>
                  <w:color w:val="0563C1"/>
                  <w:sz w:val="20"/>
                  <w:u w:val="single"/>
                </w:rPr>
                <w:t>6</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0b9b695e8041f0987ae3f84248d419">
              <w:r>
                <w:rPr>
                  <w:rStyle w:val="InternetLink"/>
                  <w:rFonts w:ascii="Times New Roman;serif" w:hAnsi="Times New Roman;serif"/>
                  <w:b w:val="false"/>
                  <w:color w:val="0563C1"/>
                  <w:sz w:val="20"/>
                  <w:u w:val="single"/>
                </w:rPr>
                <w:t xml:space="preserve">DESCRIPTION OF DEBT SECURITIES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0b9b695e8041f0987ae3f84248d419">
              <w:r>
                <w:rPr>
                  <w:rStyle w:val="InternetLink"/>
                  <w:rFonts w:ascii="Times New Roman;serif" w:hAnsi="Times New Roman;serif"/>
                  <w:b w:val="false"/>
                  <w:color w:val="0563C1"/>
                  <w:sz w:val="20"/>
                  <w:u w:val="single"/>
                </w:rPr>
                <w:t>11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6a443022fe4f4186809c6208902a2f">
              <w:r>
                <w:rPr>
                  <w:rStyle w:val="InternetLink"/>
                  <w:rFonts w:ascii="Times New Roman;serif" w:hAnsi="Times New Roman;serif"/>
                  <w:b w:val="false"/>
                  <w:color w:val="0563C1"/>
                  <w:sz w:val="20"/>
                  <w:u w:val="single"/>
                </w:rPr>
                <w:t xml:space="preserve">DESCRIPTION OF WARRANTS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6a443022fe4f4186809c6208902a2f">
              <w:r>
                <w:rPr>
                  <w:rStyle w:val="InternetLink"/>
                  <w:rFonts w:ascii="Times New Roman;serif" w:hAnsi="Times New Roman;serif"/>
                  <w:b w:val="false"/>
                  <w:color w:val="0563C1"/>
                  <w:sz w:val="20"/>
                  <w:u w:val="single"/>
                </w:rPr>
                <w:t>19</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bde2ca84534f838c150baacf5a7a9b">
              <w:r>
                <w:rPr>
                  <w:rStyle w:val="InternetLink"/>
                  <w:rFonts w:ascii="Times New Roman;serif" w:hAnsi="Times New Roman;serif"/>
                  <w:b w:val="false"/>
                  <w:color w:val="0563C1"/>
                  <w:sz w:val="20"/>
                  <w:u w:val="single"/>
                </w:rPr>
                <w:t xml:space="preserve">DESCRIPTION OF UNITS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bde2ca84534f838c150baacf5a7a9b">
              <w:r>
                <w:rPr>
                  <w:rStyle w:val="InternetLink"/>
                  <w:rFonts w:ascii="Times New Roman;serif" w:hAnsi="Times New Roman;serif"/>
                  <w:b w:val="false"/>
                  <w:color w:val="0563C1"/>
                  <w:sz w:val="20"/>
                  <w:u w:val="single"/>
                </w:rPr>
                <w:t>20</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ecd78d896949f7a0f59e5a50f8cc66">
              <w:r>
                <w:rPr>
                  <w:rStyle w:val="InternetLink"/>
                  <w:rFonts w:ascii="Times New Roman;serif" w:hAnsi="Times New Roman;serif"/>
                  <w:b w:val="false"/>
                  <w:color w:val="0563C1"/>
                  <w:sz w:val="20"/>
                  <w:u w:val="single"/>
                </w:rPr>
                <w:t xml:space="preserve">GLOBAL SECURITIES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ecd78d896949f7a0f59e5a50f8cc66">
              <w:r>
                <w:rPr>
                  <w:rStyle w:val="InternetLink"/>
                  <w:rFonts w:ascii="Times New Roman;serif" w:hAnsi="Times New Roman;serif"/>
                  <w:b w:val="false"/>
                  <w:color w:val="0563C1"/>
                  <w:sz w:val="20"/>
                  <w:u w:val="single"/>
                </w:rPr>
                <w:t>21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53235967f043cdbabd94802f1a4786">
              <w:r>
                <w:rPr>
                  <w:rStyle w:val="InternetLink"/>
                  <w:rFonts w:ascii="Times New Roman;serif" w:hAnsi="Times New Roman;serif"/>
                  <w:b w:val="false"/>
                  <w:color w:val="0563C1"/>
                  <w:sz w:val="20"/>
                  <w:u w:val="single"/>
                </w:rPr>
                <w:t xml:space="preserve">PLAN OF DISTRIBUTION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53235967f043cdbabd94802f1a4786">
              <w:r>
                <w:rPr>
                  <w:rStyle w:val="InternetLink"/>
                  <w:rFonts w:ascii="Times New Roman;serif" w:hAnsi="Times New Roman;serif"/>
                  <w:b w:val="false"/>
                  <w:color w:val="0563C1"/>
                  <w:sz w:val="20"/>
                  <w:u w:val="single"/>
                </w:rPr>
                <w:t>24</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621a1bfdc44b3a9e52f17399faee00">
              <w:r>
                <w:rPr>
                  <w:rStyle w:val="InternetLink"/>
                  <w:rFonts w:ascii="Times New Roman;serif" w:hAnsi="Times New Roman;serif"/>
                  <w:b w:val="false"/>
                  <w:color w:val="0563C1"/>
                  <w:sz w:val="20"/>
                  <w:u w:val="single"/>
                </w:rPr>
                <w:t xml:space="preserve">LEGAL MATTERS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621a1bfdc44b3a9e52f17399faee00">
              <w:r>
                <w:rPr>
                  <w:rStyle w:val="InternetLink"/>
                  <w:rFonts w:ascii="Times New Roman;serif" w:hAnsi="Times New Roman;serif"/>
                  <w:b w:val="false"/>
                  <w:color w:val="0563C1"/>
                  <w:sz w:val="20"/>
                  <w:u w:val="single"/>
                </w:rPr>
                <w:t>26</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d7070a4bb343cbafa675e2a901d98b">
              <w:r>
                <w:rPr>
                  <w:rStyle w:val="InternetLink"/>
                  <w:rFonts w:ascii="Times New Roman;serif" w:hAnsi="Times New Roman;serif"/>
                  <w:b w:val="false"/>
                  <w:color w:val="0563C1"/>
                  <w:sz w:val="20"/>
                  <w:u w:val="single"/>
                </w:rPr>
                <w:t xml:space="preserve">EXPERTS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d7070a4bb343cbafa675e2a901d98b">
              <w:r>
                <w:rPr>
                  <w:rStyle w:val="InternetLink"/>
                  <w:rFonts w:ascii="Times New Roman;serif" w:hAnsi="Times New Roman;serif"/>
                  <w:b w:val="false"/>
                  <w:color w:val="0563C1"/>
                  <w:sz w:val="20"/>
                  <w:u w:val="single"/>
                </w:rPr>
                <w:t>26</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8a867ecf7f4d2ebf41b97d1f31a429">
              <w:r>
                <w:rPr>
                  <w:rStyle w:val="InternetLink"/>
                  <w:rFonts w:ascii="Times New Roman;serif" w:hAnsi="Times New Roman;serif"/>
                  <w:b w:val="false"/>
                  <w:color w:val="0563C1"/>
                  <w:sz w:val="20"/>
                  <w:u w:val="single"/>
                </w:rPr>
                <w:t xml:space="preserve">WHERE YOU CAN FIND MORE INFORMATION; INCORPORATION BY REFERENCE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8a867ecf7f4d2ebf41b97d1f31a429">
              <w:r>
                <w:rPr>
                  <w:rStyle w:val="InternetLink"/>
                  <w:rFonts w:ascii="Times New Roman;serif" w:hAnsi="Times New Roman;serif"/>
                  <w:b w:val="false"/>
                  <w:color w:val="0563C1"/>
                  <w:sz w:val="20"/>
                  <w:u w:val="single"/>
                </w:rPr>
                <w:t>26</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29" w:name="ie0cf33205b0c4fe5a9d41c23b6d6c618"/>
      <w:bookmarkEnd w:id="29"/>
      <w:r>
        <w:rPr>
          <w:rFonts w:ascii="Times New Roman;serif" w:hAnsi="Times New Roman;serif"/>
          <w:b/>
          <w:color w:val="000000"/>
          <w:sz w:val="20"/>
        </w:rPr>
        <w:t xml:space="preserve">ABOUT THIS PROSPECTUS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that we filed with the U.S. Securities and Exchange Commission (the “SEC”) under the Securities Act of 1933, as amended (the “Securities Act”), using a “shelf” registration process. By using a shelf registration statement, we may offer and sell securities from time to time and in one or more offerings as described in this prospectus of up to an aggregate offering price of $1,000,000,000.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When we refer to “Solana,” “we,” “our,” “us” and the “Company” in this prospectus, we mean Solana Company and its wholly owned subsidiaries, unless otherwise specified. When we refer to “you,” we mean the potential holders of the applicable series of securities.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30" w:name="iaa5d247a19e34bf4a37de4033b3a2488"/>
      <w:bookmarkEnd w:id="30"/>
      <w:r>
        <w:rPr>
          <w:rFonts w:ascii="Times New Roman;serif" w:hAnsi="Times New Roman;serif"/>
          <w:b/>
          <w:color w:val="000000"/>
          <w:sz w:val="20"/>
        </w:rPr>
        <w:t xml:space="preserve">SPECIAL NOTE REGARDING FORWARD-LOOKING STATEMENTS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including the documents that we incorporate by reference, contain forward-looking statements that involve risks, uncertainties, including statements regarding the Company’s market, strategy, competition, capital needs, business plans and expectations. Any statements contained herein that are not statements of historical fact may be deemed to be forward-looking statements. In some cases, you can identify forward-looking statements by the words “may,” “will,” “should,” “could,” “anticipates,” “estimates,” “plans,” “projects,” “potential,” “continuing,” “ongoing,” “expects,” “believes,” “intends,” “targets,” “predicts,” “potential” or “continue”, the negative of these terms, or other comparable terminology. Forward-looking statements are made, without limitation, in relation to expected benefits and implementation of our digital asset treasury strategy; expected staking, yield and broader opportunities across the Solana ecosystem; our expected token treasury growth; the potential tokenization of our Class A common stock; the anticipated terms of custody arrangements; prospects and potential benefits of the Solana Foundation; our future growth and operational progress; our compliance with Nasdaq requirements; the impacts of the current global macroeconomic environment on our sufficiency of cash and availability of funds and operating costs; expected enrollment, developments and future plans regarding regulatory entities; receipt of prescriptions and progress of commercialization of the Portable Neuromodulation Stimulator (“PoNS”) device in the United States; our ability to receive adequate reimbursement coverage under Medicare, Medicaid or under other insurance plans, clinical development plans, product development activities, plans for U.S. Food and Drug Administration (“FDA”), filings and their subsequent approvals, other foreign or domestic regulatory filings; the safety and effectiveness of our product;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and any future stock price. While these forward-looking statements, and any assumptions upon which they are based, are made in good faith, based on information available to the Company as of the date hereof, and reflect the Company’s current judgement regarding its business plans, the Company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U.S.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31" w:name="i949276090c184fd9ab15b35ac16781d5"/>
      <w:bookmarkEnd w:id="31"/>
      <w:r>
        <w:rPr>
          <w:rFonts w:ascii="Times New Roman;serif" w:hAnsi="Times New Roman;serif"/>
          <w:b/>
          <w:color w:val="000000"/>
          <w:sz w:val="20"/>
        </w:rPr>
        <w:t xml:space="preserve">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32" w:name="i642e60ac904147b1bf25c064c65b989f"/>
      <w:bookmarkEnd w:id="32"/>
      <w:r>
        <w:rPr>
          <w:rFonts w:ascii="Times NR MT Pro;sans-serif" w:hAnsi="Times NR MT Pro;sans-serif"/>
          <w:b/>
          <w:color w:val="231F20"/>
          <w:sz w:val="20"/>
        </w:rPr>
        <w:t>Overview</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listed digital asset treasury (“DAT”) dedicated to acquiring and holding Solana tokens (“SOL”). Solana Company’s DAT objective is to maximize SOL per share through strategic use of capital markets and onchain opportunities, offering public market investors direct exposure to Solana’s secular growth.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Strategic digital asset reserves like SOL lay the groundwork for a future where global payments,</w:t>
      </w:r>
      <w:r>
        <w:rPr>
          <w:color w:val="000000"/>
        </w:rPr>
        <w:t xml:space="preserve"> </w:t>
      </w:r>
      <w:r>
        <w:rPr>
          <w:rFonts w:ascii="Times NR MT Pro;sans-serif" w:hAnsi="Times NR MT Pro;sans-serif"/>
          <w:b w:val="false"/>
          <w:color w:val="231F20"/>
          <w:sz w:val="20"/>
        </w:rPr>
        <w:t>credentialing, and personalized learning can be powered by decentralized infrastructure, enhancing how we</w:t>
      </w:r>
      <w:r>
        <w:rPr>
          <w:color w:val="000000"/>
        </w:rPr>
        <w:t xml:space="preserve"> </w:t>
      </w:r>
      <w:r>
        <w:rPr>
          <w:rFonts w:ascii="Times NR MT Pro;sans-serif" w:hAnsi="Times NR MT Pro;sans-serif"/>
          <w:b w:val="false"/>
          <w:color w:val="231F20"/>
          <w:sz w:val="20"/>
        </w:rPr>
        <w:t>grow our company. We believe that Solana represents a uniquely scalable, high-performance blockchain</w:t>
      </w:r>
      <w:r>
        <w:rPr>
          <w:color w:val="000000"/>
        </w:rPr>
        <w:t xml:space="preserve"> </w:t>
      </w:r>
      <w:r>
        <w:rPr>
          <w:rFonts w:ascii="Times NR MT Pro;sans-serif" w:hAnsi="Times NR MT Pro;sans-serif"/>
          <w:b w:val="false"/>
          <w:color w:val="231F20"/>
          <w:sz w:val="20"/>
        </w:rPr>
        <w:t>platform that aligns with our long-term vision of integrating innovative technologies into our services. By</w:t>
      </w:r>
      <w:r>
        <w:rPr>
          <w:color w:val="000000"/>
        </w:rPr>
        <w:t xml:space="preserve"> </w:t>
      </w:r>
      <w:r>
        <w:rPr>
          <w:rFonts w:ascii="Times NR MT Pro;sans-serif" w:hAnsi="Times NR MT Pro;sans-serif"/>
          <w:b w:val="false"/>
          <w:color w:val="231F20"/>
          <w:sz w:val="20"/>
        </w:rPr>
        <w:t>investing in and participating in the Solana ecosystem, we aim to both enhance our digital asset treasury</w:t>
      </w:r>
      <w:r>
        <w:rPr>
          <w:color w:val="000000"/>
        </w:rPr>
        <w:t xml:space="preserve"> </w:t>
      </w:r>
      <w:r>
        <w:rPr>
          <w:rFonts w:ascii="Times NR MT Pro;sans-serif" w:hAnsi="Times NR MT Pro;sans-serif"/>
          <w:b w:val="false"/>
          <w:color w:val="231F20"/>
          <w:sz w:val="20"/>
        </w:rPr>
        <w:t>strategy and create strategic optionality for product innovation in our core business.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are also, to a lesser extent, a neurotechnology company focused on neurological wellness.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bookmarkStart w:id="33" w:name="i734437aaa30f4a6f93900ef9e3c0ad9d"/>
      <w:bookmarkEnd w:id="33"/>
      <w:r>
        <w:rPr>
          <w:rFonts w:ascii="Times New Roman;serif" w:hAnsi="Times New Roman;serif"/>
          <w:b/>
          <w:i/>
          <w:color w:val="000000"/>
          <w:sz w:val="20"/>
        </w:rPr>
        <w:t xml:space="preserve">Digital Asset Treasury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In September 2025, we adopted a digital asset treasury strategy centered on acquiring SOL and began</w:t>
      </w:r>
      <w:r>
        <w:rPr>
          <w:color w:val="000000"/>
        </w:rPr>
        <w:t xml:space="preserve"> </w:t>
      </w:r>
      <w:r>
        <w:rPr>
          <w:rFonts w:ascii="Times NR MT Pro;sans-serif" w:hAnsi="Times NR MT Pro;sans-serif"/>
          <w:b w:val="false"/>
          <w:color w:val="231F20"/>
          <w:sz w:val="20"/>
        </w:rPr>
        <w:t>repositioning a substantial portion of our balance sheet around that strategy. We expect the digital asset</w:t>
      </w:r>
      <w:r>
        <w:rPr>
          <w:color w:val="000000"/>
        </w:rPr>
        <w:t xml:space="preserve"> </w:t>
      </w:r>
      <w:r>
        <w:rPr>
          <w:rFonts w:ascii="Times NR MT Pro;sans-serif" w:hAnsi="Times NR MT Pro;sans-serif"/>
          <w:b w:val="false"/>
          <w:color w:val="231F20"/>
          <w:sz w:val="20"/>
        </w:rPr>
        <w:t xml:space="preserve">treasury strategy to be our principal </w:t>
      </w:r>
      <w:r>
        <w:rPr>
          <w:rFonts w:ascii="Times New Roman;serif" w:hAnsi="Times New Roman;serif"/>
          <w:b w:val="false"/>
          <w:color w:val="010302"/>
          <w:sz w:val="20"/>
        </w:rPr>
        <w:t>strategic</w:t>
      </w:r>
      <w:r>
        <w:rPr>
          <w:color w:val="231F20"/>
        </w:rPr>
        <w:t xml:space="preserve"> </w:t>
      </w:r>
      <w:r>
        <w:rPr>
          <w:rFonts w:ascii="Times NR MT Pro;sans-serif" w:hAnsi="Times NR MT Pro;sans-serif"/>
          <w:b w:val="false"/>
          <w:color w:val="231F20"/>
          <w:sz w:val="20"/>
        </w:rPr>
        <w:t>focus. Our assets are expected to remain concentrated primarily</w:t>
      </w:r>
      <w:r>
        <w:rPr>
          <w:color w:val="000000"/>
        </w:rPr>
        <w:t xml:space="preserve"> </w:t>
      </w:r>
      <w:r>
        <w:rPr>
          <w:rFonts w:ascii="Times NR MT Pro;sans-serif" w:hAnsi="Times NR MT Pro;sans-serif"/>
          <w:b w:val="false"/>
          <w:color w:val="231F20"/>
          <w:sz w:val="20"/>
        </w:rPr>
        <w:t>in SOL. Our objective is to increase long-term shareholder value by increasing the amount of SOL</w:t>
      </w:r>
      <w:r>
        <w:rPr>
          <w:color w:val="000000"/>
        </w:rPr>
        <w:t xml:space="preserve"> </w:t>
      </w:r>
      <w:r>
        <w:rPr>
          <w:rFonts w:ascii="Times NR MT Pro;sans-serif" w:hAnsi="Times NR MT Pro;sans-serif"/>
          <w:b w:val="false"/>
          <w:color w:val="231F20"/>
          <w:sz w:val="20"/>
        </w:rPr>
        <w:t>underlying each share, generating yield on treasury assets where appropriate, and using public-market</w:t>
      </w:r>
      <w:r>
        <w:rPr>
          <w:color w:val="000000"/>
        </w:rPr>
        <w:t xml:space="preserve"> </w:t>
      </w:r>
      <w:r>
        <w:rPr>
          <w:rFonts w:ascii="Times NR MT Pro;sans-serif" w:hAnsi="Times NR MT Pro;sans-serif"/>
          <w:b w:val="false"/>
          <w:color w:val="231F20"/>
          <w:sz w:val="20"/>
        </w:rPr>
        <w:t>financing and treasury tools in a disciplined manner to compound net asset value (“NAV”) over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34" w:name="iecdd74e64dba4e07b7c8252334bb4758"/>
      <w:bookmarkEnd w:id="34"/>
      <w:r>
        <w:rPr>
          <w:rFonts w:ascii="Times NR MT Pro;sans-serif" w:hAnsi="Times NR MT Pro;sans-serif"/>
          <w:b/>
          <w:i/>
          <w:color w:val="231F20"/>
          <w:sz w:val="20"/>
        </w:rPr>
        <w:t>Unlocked and Locked SOL</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hold SOL, which consist of both unrestricted tokens (“Unlocked SOL”), which unless qualified</w:t>
      </w:r>
      <w:r>
        <w:rPr>
          <w:color w:val="000000"/>
        </w:rPr>
        <w:t xml:space="preserve"> </w:t>
      </w:r>
      <w:r>
        <w:rPr>
          <w:rFonts w:ascii="Times NR MT Pro;sans-serif" w:hAnsi="Times NR MT Pro;sans-serif"/>
          <w:b w:val="false"/>
          <w:color w:val="231F20"/>
          <w:sz w:val="20"/>
        </w:rPr>
        <w:t>otherwise, Unlocked SOL shall only refer to unrestricted SOL tokens that are readily transferrable onchain</w:t>
      </w:r>
      <w:r>
        <w:rPr>
          <w:color w:val="000000"/>
        </w:rPr>
        <w:t xml:space="preserve"> </w:t>
      </w:r>
      <w:r>
        <w:rPr>
          <w:rFonts w:ascii="Times NR MT Pro;sans-serif" w:hAnsi="Times NR MT Pro;sans-serif"/>
          <w:b w:val="false"/>
          <w:color w:val="231F20"/>
          <w:sz w:val="20"/>
        </w:rPr>
        <w:t>on the Solana network or staked SOL subject to the normal unbonding period, and restricted tokens subject</w:t>
      </w:r>
      <w:r>
        <w:rPr>
          <w:color w:val="000000"/>
        </w:rPr>
        <w:t xml:space="preserve"> </w:t>
      </w:r>
      <w:r>
        <w:rPr>
          <w:rFonts w:ascii="Times NR MT Pro;sans-serif" w:hAnsi="Times NR MT Pro;sans-serif"/>
          <w:b w:val="false"/>
          <w:color w:val="231F20"/>
          <w:sz w:val="20"/>
        </w:rPr>
        <w:t>to contractual lock-up (“Locked SOL”). Locked SOL tokens held in custodial controlled omnibus or</w:t>
      </w:r>
      <w:r>
        <w:rPr>
          <w:color w:val="000000"/>
        </w:rPr>
        <w:t xml:space="preserve"> </w:t>
      </w:r>
      <w:r>
        <w:rPr>
          <w:rFonts w:ascii="Times NR MT Pro;sans-serif" w:hAnsi="Times NR MT Pro;sans-serif"/>
          <w:b w:val="false"/>
          <w:color w:val="231F20"/>
          <w:sz w:val="20"/>
        </w:rPr>
        <w:t>segregated custodial accounts are subject to contractual and onchain restrictions (“Smart Contracts”) that</w:t>
      </w:r>
      <w:r>
        <w:rPr>
          <w:color w:val="000000"/>
        </w:rPr>
        <w:t xml:space="preserve"> </w:t>
      </w:r>
      <w:r>
        <w:rPr>
          <w:rFonts w:ascii="Times NR MT Pro;sans-serif" w:hAnsi="Times NR MT Pro;sans-serif"/>
          <w:b w:val="false"/>
          <w:color w:val="231F20"/>
          <w:sz w:val="20"/>
        </w:rPr>
        <w:t>limit our ability to withdraw, transfer, or otherwise direct the use of the tokens until specified unlock conditions</w:t>
      </w:r>
      <w:r>
        <w:rPr>
          <w:color w:val="000000"/>
        </w:rPr>
        <w:t xml:space="preserve"> </w:t>
      </w:r>
      <w:r>
        <w:rPr>
          <w:rFonts w:ascii="Times NR MT Pro;sans-serif" w:hAnsi="Times NR MT Pro;sans-serif"/>
          <w:b w:val="false"/>
          <w:color w:val="231F20"/>
          <w:sz w:val="20"/>
        </w:rPr>
        <w:t>are met. The Locked SOL are subject to relatively even monthly unlocks through January 2028. We</w:t>
      </w:r>
      <w:r>
        <w:rPr>
          <w:color w:val="000000"/>
        </w:rPr>
        <w:t xml:space="preserve"> </w:t>
      </w:r>
      <w:r>
        <w:rPr>
          <w:rFonts w:ascii="Times NR MT Pro;sans-serif" w:hAnsi="Times NR MT Pro;sans-serif"/>
          <w:b w:val="false"/>
          <w:color w:val="231F20"/>
          <w:sz w:val="20"/>
        </w:rPr>
        <w:t>continue to benefit from staking rewards earned on Locked SOL.</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35" w:name="i795e36e2a8084aec9c4c749c0629f201"/>
      <w:bookmarkEnd w:id="35"/>
      <w:r>
        <w:rPr>
          <w:rFonts w:ascii="Times NR MT Pro;sans-serif" w:hAnsi="Times NR MT Pro;sans-serif"/>
          <w:b/>
          <w:color w:val="231F20"/>
          <w:sz w:val="20"/>
        </w:rPr>
        <w:t>Corporate Information</w:t>
      </w:r>
      <w:r>
        <w:rPr>
          <w:color w:val="000000"/>
        </w:rPr>
        <w:t xml:space="preserve"> </w:t>
      </w:r>
    </w:p>
    <w:p>
      <w:pPr>
        <w:pStyle w:val="TextBody"/>
        <w:bidi w:val="0"/>
        <w:spacing w:lineRule="auto" w:line="288"/>
        <w:jc w:val="left"/>
        <w:rPr/>
      </w:pPr>
      <w:r>
        <w:rPr>
          <w:rFonts w:ascii="Times NR MT Pro;sans-serif" w:hAnsi="Times NR MT Pro;sans-serif"/>
          <w:b w:val="false"/>
          <w:color w:val="231F20"/>
          <w:sz w:val="20"/>
        </w:rPr>
        <w:t>We were originally incorporated in British Columbia, Canada on March 13, 2014 under the British</w:t>
      </w:r>
      <w:r>
        <w:rPr>
          <w:color w:val="000000"/>
        </w:rPr>
        <w:t xml:space="preserve"> </w:t>
      </w:r>
      <w:r>
        <w:rPr>
          <w:rFonts w:ascii="Times NR MT Pro;sans-serif" w:hAnsi="Times NR MT Pro;sans-serif"/>
          <w:b w:val="false"/>
          <w:color w:val="231F20"/>
          <w:sz w:val="20"/>
        </w:rPr>
        <w:t>Columbia Business Corporations Act (the “BCBCA”), as “0996445 B.C. Ltd.” On May 23, 2014, we</w:t>
      </w:r>
      <w:r>
        <w:rPr>
          <w:color w:val="000000"/>
        </w:rPr>
        <w:t xml:space="preserve"> </w:t>
      </w:r>
      <w:r>
        <w:rPr>
          <w:rFonts w:ascii="Times NR MT Pro;sans-serif" w:hAnsi="Times NR MT Pro;sans-serif"/>
          <w:b w:val="false"/>
          <w:color w:val="231F20"/>
          <w:sz w:val="20"/>
        </w:rPr>
        <w:t>changed our name to “Helius Medical Technologies, Inc.” and filed articles of continuation with the</w:t>
      </w:r>
      <w:r>
        <w:rPr>
          <w:color w:val="000000"/>
        </w:rPr>
        <w:t xml:space="preserve"> </w:t>
      </w:r>
      <w:r>
        <w:rPr>
          <w:rFonts w:ascii="Times NR MT Pro;sans-serif" w:hAnsi="Times NR MT Pro;sans-serif"/>
          <w:b w:val="false"/>
          <w:color w:val="231F20"/>
          <w:sz w:val="20"/>
        </w:rPr>
        <w:t>Wyoming Secretary of State office to reincorporate from being a corporation governed by the BCBCA to a</w:t>
      </w:r>
      <w:r>
        <w:rPr>
          <w:color w:val="000000"/>
        </w:rPr>
        <w:t xml:space="preserve"> </w:t>
      </w:r>
      <w:r>
        <w:rPr>
          <w:rFonts w:ascii="Times NR MT Pro;sans-serif" w:hAnsi="Times NR MT Pro;sans-serif"/>
          <w:b w:val="false"/>
          <w:color w:val="231F20"/>
          <w:sz w:val="20"/>
        </w:rPr>
        <w:t>corporation governed by the Wyoming Business Corporation Act. On July 20, 2018, we reincorporated</w:t>
      </w:r>
      <w:r>
        <w:rPr>
          <w:color w:val="000000"/>
        </w:rPr>
        <w:t xml:space="preserve"> </w:t>
      </w:r>
      <w:r>
        <w:rPr>
          <w:rFonts w:ascii="Times NR MT Pro;sans-serif" w:hAnsi="Times NR MT Pro;sans-serif"/>
          <w:b w:val="false"/>
          <w:color w:val="231F20"/>
          <w:sz w:val="20"/>
        </w:rPr>
        <w:t>from the state of Wyoming to the state of Delaware. On September 29, 2025, we changed our name to “Solana</w:t>
      </w:r>
      <w:r>
        <w:rPr>
          <w:color w:val="000000"/>
        </w:rPr>
        <w:t xml:space="preserve"> </w:t>
      </w:r>
      <w:r>
        <w:rPr>
          <w:rFonts w:ascii="Times NR MT Pro;sans-serif" w:hAnsi="Times NR MT Pro;sans-serif"/>
          <w:b w:val="false"/>
          <w:color w:val="231F20"/>
          <w:sz w:val="20"/>
        </w:rPr>
        <w:t>Company.” Our principal executive offices are located at 642 Newtown Yardley Road, Suite 100, Newtown,</w:t>
      </w:r>
      <w:r>
        <w:rPr>
          <w:color w:val="000000"/>
        </w:rPr>
        <w:t xml:space="preserve"> </w:t>
      </w:r>
      <w:r>
        <w:rPr>
          <w:rFonts w:ascii="Times NR MT Pro;sans-serif" w:hAnsi="Times NR MT Pro;sans-serif"/>
          <w:b w:val="false"/>
          <w:color w:val="231F20"/>
          <w:sz w:val="20"/>
        </w:rPr>
        <w:t>PA 18940 and our telephone number is (215) 944-6100. We maintain a corporate website at</w:t>
      </w:r>
      <w:r>
        <w:rPr>
          <w:color w:val="000000"/>
        </w:rPr>
        <w:t xml:space="preserve"> </w:t>
      </w:r>
      <w:r>
        <w:rPr>
          <w:rFonts w:ascii="Times NR MT Pro;sans-serif" w:hAnsi="Times NR MT Pro;sans-serif"/>
          <w:b w:val="false"/>
          <w:color w:val="231F20"/>
          <w:sz w:val="20"/>
        </w:rPr>
        <w:t>www.solanacompany.co. We are not including the information on our website as a part of, nor incorporating</w:t>
      </w:r>
      <w:r>
        <w:rPr>
          <w:color w:val="000000"/>
        </w:rPr>
        <w:t xml:space="preserve"> </w:t>
      </w:r>
      <w:r>
        <w:rPr>
          <w:rFonts w:ascii="Times NR MT Pro;sans-serif" w:hAnsi="Times NR MT Pro;sans-serif"/>
          <w:b w:val="false"/>
          <w:color w:val="231F20"/>
          <w:sz w:val="20"/>
        </w:rPr>
        <w:t>it by reference into this prospectus or the registration statement of which it forms a part.</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36" w:name="i360973893a814f31bb745c34a55af8a8"/>
      <w:bookmarkEnd w:id="36"/>
      <w:r>
        <w:rPr>
          <w:rFonts w:ascii="Times New Roman;serif" w:hAnsi="Times New Roman;serif"/>
          <w:b/>
          <w:color w:val="000000"/>
          <w:sz w:val="20"/>
        </w:rPr>
        <w:t xml:space="preserve">RISK FACTORS </w:t>
      </w:r>
    </w:p>
    <w:p>
      <w:pPr>
        <w:pStyle w:val="TextBody"/>
        <w:bidi w:val="0"/>
        <w:spacing w:lineRule="auto" w:line="288"/>
        <w:jc w:val="left"/>
        <w:rPr/>
      </w:pPr>
      <w:r>
        <w:rPr>
          <w:rFonts w:ascii="Times NR MT Pro;sans-serif" w:hAnsi="Times NR MT Pro;sans-serif"/>
          <w:b w:val="false"/>
          <w:color w:val="231F20"/>
          <w:sz w:val="20"/>
        </w:rPr>
        <w:t xml:space="preserve">Investment in any securities offered pursuant to this prospectus and the applicable </w:t>
      </w:r>
      <w:r>
        <w:rPr>
          <w:rFonts w:ascii="Times New Roman;serif" w:hAnsi="Times New Roman;serif"/>
          <w:b w:val="false"/>
          <w:color w:val="010302"/>
          <w:sz w:val="20"/>
        </w:rPr>
        <w:t>prospectus</w:t>
      </w:r>
      <w:r>
        <w:rPr>
          <w:color w:val="000000"/>
        </w:rPr>
        <w:t xml:space="preserve"> </w:t>
      </w:r>
      <w:r>
        <w:rPr>
          <w:rFonts w:ascii="Times NR MT Pro;sans-serif" w:hAnsi="Times NR MT Pro;sans-serif"/>
          <w:b w:val="false"/>
          <w:color w:val="231F20"/>
          <w:sz w:val="20"/>
        </w:rPr>
        <w:t>supplement involves risks. Before deciding whether to invest in our securities, you should carefully consider</w:t>
      </w:r>
      <w:r>
        <w:rPr>
          <w:color w:val="000000"/>
        </w:rPr>
        <w:t xml:space="preserve"> </w:t>
      </w:r>
      <w:r>
        <w:rPr>
          <w:rFonts w:ascii="Times NR MT Pro;sans-serif" w:hAnsi="Times NR MT Pro;sans-serif"/>
          <w:b w:val="false"/>
          <w:color w:val="231F20"/>
          <w:sz w:val="20"/>
        </w:rPr>
        <w:t>the risk factors incorporated by reference to our most recent Annual Report on Form 10-K and any subsequent</w:t>
      </w:r>
      <w:r>
        <w:rPr>
          <w:color w:val="000000"/>
        </w:rPr>
        <w:t xml:space="preserve"> </w:t>
      </w:r>
      <w:r>
        <w:rPr>
          <w:rFonts w:ascii="Times NR MT Pro;sans-serif" w:hAnsi="Times NR MT Pro;sans-serif"/>
          <w:b w:val="false"/>
          <w:color w:val="231F20"/>
          <w:sz w:val="20"/>
        </w:rPr>
        <w:t>Quarterly Reports on Form 10-Q or Current Reports on Form 8-K, and all other information contained</w:t>
      </w:r>
      <w:r>
        <w:rPr>
          <w:color w:val="000000"/>
        </w:rPr>
        <w:t xml:space="preserve"> </w:t>
      </w:r>
      <w:r>
        <w:rPr>
          <w:rFonts w:ascii="Times NR MT Pro;sans-serif" w:hAnsi="Times NR MT Pro;sans-serif"/>
          <w:b w:val="false"/>
          <w:color w:val="231F20"/>
          <w:sz w:val="20"/>
        </w:rPr>
        <w:t>or incorporated by reference into this prospectus, as updated by our subsequent filings under the Exchange</w:t>
      </w:r>
      <w:r>
        <w:rPr>
          <w:color w:val="000000"/>
        </w:rPr>
        <w:t xml:space="preserve"> </w:t>
      </w:r>
      <w:r>
        <w:rPr>
          <w:rFonts w:ascii="Times NR MT Pro;sans-serif" w:hAnsi="Times NR MT Pro;sans-serif"/>
          <w:b w:val="false"/>
          <w:color w:val="231F20"/>
          <w:sz w:val="20"/>
        </w:rPr>
        <w:t>Act, and the risk factors and other information contained in the applicable prospectus supplement and</w:t>
      </w:r>
      <w:r>
        <w:rPr>
          <w:color w:val="000000"/>
        </w:rPr>
        <w:t xml:space="preserve"> </w:t>
      </w:r>
      <w:r>
        <w:rPr>
          <w:rFonts w:ascii="Times NR MT Pro;sans-serif" w:hAnsi="Times NR MT Pro;sans-serif"/>
          <w:b w:val="false"/>
          <w:color w:val="231F20"/>
          <w:sz w:val="20"/>
        </w:rPr>
        <w:t>any applicable free writing prospectus. The occurrence of any of these risks might cause you to lose all or</w:t>
      </w:r>
      <w:r>
        <w:rPr>
          <w:color w:val="000000"/>
        </w:rPr>
        <w:t xml:space="preserve"> </w:t>
      </w:r>
      <w:r>
        <w:rPr>
          <w:rFonts w:ascii="Times NR MT Pro;sans-serif" w:hAnsi="Times NR MT Pro;sans-serif"/>
          <w:b w:val="false"/>
          <w:color w:val="231F20"/>
          <w:sz w:val="20"/>
        </w:rPr>
        <w:t>part of your investment in the offered securities. There may be other unknown or unpredictable economic,</w:t>
      </w:r>
      <w:r>
        <w:rPr>
          <w:color w:val="000000"/>
        </w:rPr>
        <w:t xml:space="preserve"> </w:t>
      </w:r>
      <w:r>
        <w:rPr>
          <w:rFonts w:ascii="Times NR MT Pro;sans-serif" w:hAnsi="Times NR MT Pro;sans-serif"/>
          <w:b w:val="false"/>
          <w:color w:val="231F20"/>
          <w:sz w:val="20"/>
        </w:rPr>
        <w:t>business, competitive, regulatory or other factors that could have material adverse effects on our future results.</w:t>
      </w:r>
      <w:r>
        <w:rPr>
          <w:color w:val="000000"/>
        </w:rPr>
        <w:t xml:space="preserve"> </w:t>
      </w:r>
      <w:r>
        <w:rPr>
          <w:rFonts w:ascii="Times NR MT Pro;sans-serif" w:hAnsi="Times NR MT Pro;sans-serif"/>
          <w:b w:val="false"/>
          <w:color w:val="231F20"/>
          <w:sz w:val="20"/>
        </w:rPr>
        <w:t>Past financial performance may not be a reliable indicator of future performance, and historical trends</w:t>
      </w:r>
      <w:r>
        <w:rPr>
          <w:color w:val="000000"/>
        </w:rPr>
        <w:t xml:space="preserve"> </w:t>
      </w:r>
      <w:r>
        <w:rPr>
          <w:rFonts w:ascii="Times NR MT Pro;sans-serif" w:hAnsi="Times NR MT Pro;sans-serif"/>
          <w:b w:val="false"/>
          <w:color w:val="231F20"/>
          <w:sz w:val="20"/>
        </w:rPr>
        <w:t>should not be used to anticipate results or trends in future periods. If any of these risks actually occurs, our</w:t>
      </w:r>
      <w:r>
        <w:rPr>
          <w:color w:val="000000"/>
        </w:rPr>
        <w:t xml:space="preserve"> </w:t>
      </w:r>
      <w:r>
        <w:rPr>
          <w:rFonts w:ascii="Times NR MT Pro;sans-serif" w:hAnsi="Times NR MT Pro;sans-serif"/>
          <w:b w:val="false"/>
          <w:color w:val="231F20"/>
          <w:sz w:val="20"/>
        </w:rPr>
        <w:t>business, financial condition, results of operations or cash flow could be seriously harmed. This could</w:t>
      </w:r>
      <w:r>
        <w:rPr>
          <w:color w:val="000000"/>
        </w:rPr>
        <w:t xml:space="preserve"> </w:t>
      </w:r>
      <w:r>
        <w:rPr>
          <w:rFonts w:ascii="Times NR MT Pro;sans-serif" w:hAnsi="Times NR MT Pro;sans-serif"/>
          <w:b w:val="false"/>
          <w:color w:val="231F20"/>
          <w:sz w:val="20"/>
        </w:rPr>
        <w:t>cause the trading price of our securities to decline, resulting in a loss of all or part of your investment. Please</w:t>
      </w:r>
      <w:r>
        <w:rPr>
          <w:color w:val="000000"/>
        </w:rPr>
        <w:t xml:space="preserve"> </w:t>
      </w:r>
      <w:r>
        <w:rPr>
          <w:rFonts w:ascii="Times NR MT Pro;sans-serif" w:hAnsi="Times NR MT Pro;sans-serif"/>
          <w:b w:val="false"/>
          <w:color w:val="231F20"/>
          <w:sz w:val="20"/>
        </w:rPr>
        <w:t>also carefully read the sections entitled “Special Note Regarding Forward-Looking Statements” included</w:t>
      </w:r>
      <w:r>
        <w:rPr>
          <w:color w:val="000000"/>
        </w:rPr>
        <w:t xml:space="preserve"> </w:t>
      </w:r>
      <w:r>
        <w:rPr>
          <w:rFonts w:ascii="Times NR MT Pro;sans-serif" w:hAnsi="Times NR MT Pro;sans-serif"/>
          <w:b w:val="false"/>
          <w:color w:val="231F20"/>
          <w:sz w:val="20"/>
        </w:rPr>
        <w:t>in this prospectus and “Forward-Looking Information” included in our most recent Annual Report on</w:t>
      </w:r>
      <w:r>
        <w:rPr>
          <w:color w:val="000000"/>
        </w:rPr>
        <w:t xml:space="preserve"> </w:t>
      </w:r>
      <w:r>
        <w:rPr>
          <w:rFonts w:ascii="Times NR MT Pro;sans-serif" w:hAnsi="Times NR MT Pro;sans-serif"/>
          <w:b w:val="false"/>
          <w:color w:val="231F20"/>
          <w:sz w:val="20"/>
        </w:rPr>
        <w:t>Form 10-K and any subsequent Quarterly Reports on Form 10-Q or Current Reports on Form 8-K.</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37" w:name="id05d79253e3a48cbb4841a3e568d7899"/>
      <w:bookmarkEnd w:id="37"/>
      <w:r>
        <w:rPr>
          <w:rFonts w:ascii="Times New Roman;serif" w:hAnsi="Times New Roman;serif"/>
          <w:b/>
          <w:color w:val="000000"/>
          <w:sz w:val="20"/>
        </w:rPr>
        <w:t xml:space="preserve">USE OF PROCEEDS </w:t>
      </w:r>
    </w:p>
    <w:p>
      <w:pPr>
        <w:pStyle w:val="TextBody"/>
        <w:bidi w:val="0"/>
        <w:spacing w:lineRule="auto" w:line="288"/>
        <w:jc w:val="left"/>
        <w:rPr/>
      </w:pPr>
      <w:r>
        <w:rPr>
          <w:rFonts w:ascii="Times NR MT Pro;sans-serif" w:hAnsi="Times NR MT Pro;sans-serif"/>
          <w:b w:val="false"/>
          <w:color w:val="231F20"/>
          <w:sz w:val="20"/>
        </w:rPr>
        <w:t>Except as described in any applicable prospectus supplement or in any free writing prospectuses we</w:t>
      </w:r>
      <w:r>
        <w:rPr>
          <w:color w:val="000000"/>
        </w:rPr>
        <w:t xml:space="preserve"> </w:t>
      </w:r>
      <w:r>
        <w:rPr>
          <w:rFonts w:ascii="Times NR MT Pro;sans-serif" w:hAnsi="Times NR MT Pro;sans-serif"/>
          <w:b w:val="false"/>
          <w:color w:val="231F20"/>
          <w:sz w:val="20"/>
        </w:rPr>
        <w:t>have authorized for use in connection with a specific offering, we currently intend to use the net proceeds</w:t>
      </w:r>
      <w:r>
        <w:rPr>
          <w:color w:val="000000"/>
        </w:rPr>
        <w:t xml:space="preserve"> </w:t>
      </w:r>
      <w:r>
        <w:rPr>
          <w:rFonts w:ascii="Times NR MT Pro;sans-serif" w:hAnsi="Times NR MT Pro;sans-serif"/>
          <w:b w:val="false"/>
          <w:color w:val="231F20"/>
          <w:sz w:val="20"/>
        </w:rPr>
        <w:t>from the sale of securities under this prospectus for general corporate purposes, including working capital and</w:t>
      </w:r>
      <w:r>
        <w:rPr>
          <w:color w:val="000000"/>
        </w:rPr>
        <w:t xml:space="preserve"> </w:t>
      </w:r>
      <w:r>
        <w:rPr>
          <w:rFonts w:ascii="Times NR MT Pro;sans-serif" w:hAnsi="Times NR MT Pro;sans-serif"/>
          <w:b w:val="false"/>
          <w:color w:val="231F20"/>
          <w:sz w:val="20"/>
        </w:rPr>
        <w:t xml:space="preserve">capital expenditures. We will set forth in the applicable prospectus supplement </w:t>
      </w:r>
      <w:r>
        <w:rPr>
          <w:rFonts w:ascii="Times New Roman;serif" w:hAnsi="Times New Roman;serif"/>
          <w:b w:val="false"/>
          <w:color w:val="010302"/>
          <w:sz w:val="20"/>
        </w:rPr>
        <w:t>our</w:t>
      </w:r>
      <w:r>
        <w:rPr>
          <w:color w:val="231F20"/>
        </w:rPr>
        <w:t xml:space="preserve"> </w:t>
      </w:r>
      <w:r>
        <w:rPr>
          <w:rFonts w:ascii="Times NR MT Pro;sans-serif" w:hAnsi="Times NR MT Pro;sans-serif"/>
          <w:b w:val="false"/>
          <w:color w:val="231F20"/>
          <w:sz w:val="20"/>
        </w:rPr>
        <w:t>intended use for the net</w:t>
      </w:r>
      <w:r>
        <w:rPr>
          <w:color w:val="000000"/>
        </w:rPr>
        <w:t xml:space="preserve"> </w:t>
      </w:r>
      <w:r>
        <w:rPr>
          <w:rFonts w:ascii="Times NR MT Pro;sans-serif" w:hAnsi="Times NR MT Pro;sans-serif"/>
          <w:b w:val="false"/>
          <w:color w:val="231F20"/>
          <w:sz w:val="20"/>
        </w:rPr>
        <w:t>proceeds received by us for our sale of securities under this prospectus. We will not receive the net proceeds of</w:t>
      </w:r>
      <w:r>
        <w:rPr>
          <w:color w:val="000000"/>
        </w:rPr>
        <w:t xml:space="preserve"> </w:t>
      </w:r>
      <w:r>
        <w:rPr>
          <w:rFonts w:ascii="Times NR MT Pro;sans-serif" w:hAnsi="Times NR MT Pro;sans-serif"/>
          <w:b w:val="false"/>
          <w:color w:val="231F20"/>
          <w:sz w:val="20"/>
        </w:rPr>
        <w:t>any sales by selling security holders.</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38" w:name="i514270b92ffa4a6a96ae8cba70bf69d2"/>
      <w:bookmarkEnd w:id="38"/>
      <w:r>
        <w:rPr>
          <w:rFonts w:ascii="Times New Roman;serif" w:hAnsi="Times New Roman;serif"/>
          <w:b/>
          <w:color w:val="000000"/>
          <w:sz w:val="20"/>
        </w:rPr>
        <w:t xml:space="preserve">DESCRIPTION OF CAPITAL STOCK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The following description of our capital stock and provisions of our Certificate of Incorporation, as</w:t>
      </w:r>
      <w:r>
        <w:rPr>
          <w:color w:val="000000"/>
        </w:rPr>
        <w:t xml:space="preserve"> </w:t>
      </w:r>
      <w:r>
        <w:rPr>
          <w:rFonts w:ascii="Times NR MT Pro;sans-serif" w:hAnsi="Times NR MT Pro;sans-serif"/>
          <w:b w:val="false"/>
          <w:color w:val="231F20"/>
          <w:sz w:val="20"/>
        </w:rPr>
        <w:t>amended (the “Certificate of Incorporation”) and Third Amended and Restated Bylaws (the “Amended</w:t>
      </w:r>
      <w:r>
        <w:rPr>
          <w:color w:val="000000"/>
        </w:rPr>
        <w:t xml:space="preserve"> </w:t>
      </w:r>
      <w:r>
        <w:rPr>
          <w:rFonts w:ascii="Times NR MT Pro;sans-serif" w:hAnsi="Times NR MT Pro;sans-serif"/>
          <w:b w:val="false"/>
          <w:color w:val="231F20"/>
          <w:sz w:val="20"/>
        </w:rPr>
        <w:t>and Restated Bylaws”) are summaries. You should also refer to the Certificate of Incorporation and the</w:t>
      </w:r>
      <w:r>
        <w:rPr>
          <w:color w:val="000000"/>
        </w:rPr>
        <w:t xml:space="preserve"> </w:t>
      </w:r>
      <w:r>
        <w:rPr>
          <w:rFonts w:ascii="Times NR MT Pro;sans-serif" w:hAnsi="Times NR MT Pro;sans-serif"/>
          <w:b w:val="false"/>
          <w:color w:val="231F20"/>
          <w:sz w:val="20"/>
        </w:rPr>
        <w:t>Amended and Restated Bylaws, which are filed as exhibits to the registration statement of which this</w:t>
      </w:r>
      <w:r>
        <w:rPr>
          <w:color w:val="000000"/>
        </w:rPr>
        <w:t xml:space="preserve"> </w:t>
      </w:r>
      <w:r>
        <w:rPr>
          <w:rFonts w:ascii="Times NR MT Pro;sans-serif" w:hAnsi="Times NR MT Pro;sans-serif"/>
          <w:b w:val="false"/>
          <w:color w:val="231F20"/>
          <w:sz w:val="20"/>
        </w:rPr>
        <w:t>prospectus is a part.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39" w:name="i2e6739f5fd804347bc8e3d1db4404098"/>
      <w:bookmarkEnd w:id="39"/>
      <w:r>
        <w:rPr>
          <w:rFonts w:ascii="Times NR MT Pro;sans-serif" w:hAnsi="Times NR MT Pro;sans-serif"/>
          <w:b/>
          <w:color w:val="231F20"/>
          <w:sz w:val="20"/>
        </w:rPr>
        <w:t>General</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Our Certificate of Incorporation authorizes us to issue up to 800,000,000 shares of Class A common</w:t>
      </w:r>
      <w:r>
        <w:rPr>
          <w:color w:val="000000"/>
        </w:rPr>
        <w:t xml:space="preserve"> </w:t>
      </w:r>
      <w:r>
        <w:rPr>
          <w:rFonts w:ascii="Times New Roman;serif" w:hAnsi="Times New Roman;serif"/>
          <w:b w:val="false"/>
          <w:color w:val="010302"/>
          <w:sz w:val="20"/>
        </w:rPr>
        <w:t>stock</w:t>
      </w:r>
      <w:r>
        <w:rPr>
          <w:color w:val="231F20"/>
        </w:rPr>
        <w:t xml:space="preserve"> </w:t>
      </w:r>
      <w:r>
        <w:rPr>
          <w:rFonts w:ascii="Times NR MT Pro;sans-serif" w:hAnsi="Times NR MT Pro;sans-serif"/>
          <w:b w:val="false"/>
          <w:color w:val="231F20"/>
          <w:sz w:val="20"/>
        </w:rPr>
        <w:t>and 10,000,000 shares of preferred stock, par value $0.001 per share, all of which shares of preferred</w:t>
      </w:r>
      <w:r>
        <w:rPr>
          <w:color w:val="000000"/>
        </w:rPr>
        <w:t xml:space="preserve"> </w:t>
      </w:r>
      <w:r>
        <w:rPr>
          <w:rFonts w:ascii="Times NR MT Pro;sans-serif" w:hAnsi="Times NR MT Pro;sans-serif"/>
          <w:b w:val="false"/>
          <w:color w:val="231F20"/>
          <w:sz w:val="20"/>
        </w:rPr>
        <w:t>stock are currently undesignated. Our board of directors may establish the rights and preferences of the</w:t>
      </w:r>
      <w:r>
        <w:rPr>
          <w:color w:val="000000"/>
        </w:rPr>
        <w:t xml:space="preserve"> </w:t>
      </w:r>
      <w:r>
        <w:rPr>
          <w:rFonts w:ascii="Times NR MT Pro;sans-serif" w:hAnsi="Times NR MT Pro;sans-serif"/>
          <w:b w:val="false"/>
          <w:color w:val="231F20"/>
          <w:sz w:val="20"/>
        </w:rPr>
        <w:t xml:space="preserve">preferred stock </w:t>
      </w:r>
      <w:r>
        <w:rPr>
          <w:rFonts w:ascii="Times New Roman;serif" w:hAnsi="Times New Roman;serif"/>
          <w:b w:val="false"/>
          <w:color w:val="010302"/>
          <w:sz w:val="20"/>
        </w:rPr>
        <w:t>from</w:t>
      </w:r>
      <w:r>
        <w:rPr>
          <w:color w:val="231F20"/>
        </w:rPr>
        <w:t xml:space="preserve"> </w:t>
      </w:r>
      <w:r>
        <w:rPr>
          <w:rFonts w:ascii="Times NR MT Pro;sans-serif" w:hAnsi="Times NR MT Pro;sans-serif"/>
          <w:b w:val="false"/>
          <w:color w:val="231F20"/>
          <w:sz w:val="20"/>
        </w:rPr>
        <w:t>time to time.</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As of March 27, 2026, there were 55,034,047 shares of Class A common stock outstanding and no</w:t>
      </w:r>
      <w:r>
        <w:rPr>
          <w:color w:val="000000"/>
        </w:rPr>
        <w:t xml:space="preserve"> </w:t>
      </w:r>
      <w:r>
        <w:rPr>
          <w:rFonts w:ascii="Times NR MT Pro;sans-serif" w:hAnsi="Times NR MT Pro;sans-serif"/>
          <w:b w:val="false"/>
          <w:color w:val="231F20"/>
          <w:sz w:val="20"/>
        </w:rPr>
        <w:t>outstanding shares of preferred stock.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40" w:name="i983c4c76e20b488e8e6acb4687601d29"/>
      <w:bookmarkEnd w:id="40"/>
      <w:r>
        <w:rPr>
          <w:rFonts w:ascii="Times NR MT Pro;sans-serif" w:hAnsi="Times NR MT Pro;sans-serif"/>
          <w:b/>
          <w:color w:val="231F20"/>
          <w:sz w:val="20"/>
        </w:rPr>
        <w:t>Class A common stock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41" w:name="ib65e3e05eabc41d88079a41535e6174b"/>
      <w:bookmarkEnd w:id="41"/>
      <w:r>
        <w:rPr>
          <w:rFonts w:ascii="Times NR MT Pro;sans-serif" w:hAnsi="Times NR MT Pro;sans-serif"/>
          <w:b/>
          <w:i/>
          <w:color w:val="231F20"/>
          <w:sz w:val="20"/>
        </w:rPr>
        <w:t>Voting</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Each holder of our Class A common stock is entitled to one vote for each share on all matters</w:t>
      </w:r>
      <w:r>
        <w:rPr>
          <w:color w:val="000000"/>
        </w:rPr>
        <w:t xml:space="preserve"> </w:t>
      </w:r>
      <w:r>
        <w:rPr>
          <w:rFonts w:ascii="Times NR MT Pro;sans-serif" w:hAnsi="Times NR MT Pro;sans-serif"/>
          <w:b w:val="false"/>
          <w:color w:val="231F20"/>
          <w:sz w:val="20"/>
        </w:rPr>
        <w:t>submitted to a vote of the stockholders, including the election of directors. Our stockholders do not have</w:t>
      </w:r>
      <w:r>
        <w:rPr>
          <w:color w:val="000000"/>
        </w:rPr>
        <w:t xml:space="preserve"> </w:t>
      </w:r>
      <w:r>
        <w:rPr>
          <w:rFonts w:ascii="Times NR MT Pro;sans-serif" w:hAnsi="Times NR MT Pro;sans-serif"/>
          <w:b w:val="false"/>
          <w:color w:val="231F20"/>
          <w:sz w:val="20"/>
        </w:rPr>
        <w:t>cumulative voting rights. The holders of a majority of the voting power of the shares present in person, by</w:t>
      </w:r>
      <w:r>
        <w:rPr>
          <w:color w:val="000000"/>
        </w:rPr>
        <w:t xml:space="preserve"> </w:t>
      </w:r>
      <w:r>
        <w:rPr>
          <w:rFonts w:ascii="Times NR MT Pro;sans-serif" w:hAnsi="Times NR MT Pro;sans-serif"/>
          <w:b w:val="false"/>
          <w:color w:val="231F20"/>
          <w:sz w:val="20"/>
        </w:rPr>
        <w:t>remote communication, if applicable, or represented by proxy duly authorized at the meeting and entitled to</w:t>
      </w:r>
      <w:r>
        <w:rPr>
          <w:color w:val="000000"/>
        </w:rPr>
        <w:t xml:space="preserve"> </w:t>
      </w:r>
      <w:r>
        <w:rPr>
          <w:rFonts w:ascii="Times NR MT Pro;sans-serif" w:hAnsi="Times NR MT Pro;sans-serif"/>
          <w:b w:val="false"/>
          <w:color w:val="231F20"/>
          <w:sz w:val="20"/>
        </w:rPr>
        <w:t>vote on the subject matter shall be the act of the stockholders. Directors shall be elected by a plurality of</w:t>
      </w:r>
      <w:r>
        <w:rPr>
          <w:color w:val="000000"/>
        </w:rPr>
        <w:t xml:space="preserve"> </w:t>
      </w:r>
      <w:r>
        <w:rPr>
          <w:rFonts w:ascii="Times NR MT Pro;sans-serif" w:hAnsi="Times NR MT Pro;sans-serif"/>
          <w:b w:val="false"/>
          <w:color w:val="231F20"/>
          <w:sz w:val="20"/>
        </w:rPr>
        <w:t>the votes of the shares present in person, by remote communication, if applicable, or represented by proxy</w:t>
      </w:r>
      <w:r>
        <w:rPr>
          <w:color w:val="000000"/>
        </w:rPr>
        <w:t xml:space="preserve"> </w:t>
      </w:r>
      <w:r>
        <w:rPr>
          <w:rFonts w:ascii="Times NR MT Pro;sans-serif" w:hAnsi="Times NR MT Pro;sans-serif"/>
          <w:b w:val="false"/>
          <w:color w:val="231F20"/>
          <w:sz w:val="20"/>
        </w:rPr>
        <w:t>duly authorized at the meeting and entitled to vote on the election of directors. The stockholders also shall</w:t>
      </w:r>
      <w:r>
        <w:rPr>
          <w:color w:val="000000"/>
        </w:rPr>
        <w:t xml:space="preserve"> </w:t>
      </w:r>
      <w:r>
        <w:rPr>
          <w:rFonts w:ascii="Times NR MT Pro;sans-serif" w:hAnsi="Times NR MT Pro;sans-serif"/>
          <w:b w:val="false"/>
          <w:color w:val="231F20"/>
          <w:sz w:val="20"/>
        </w:rPr>
        <w:t>have power to adopt, amend or repeal our Amended and Restated Bylaws; provided, however, that, in</w:t>
      </w:r>
      <w:r>
        <w:rPr>
          <w:color w:val="000000"/>
        </w:rPr>
        <w:t xml:space="preserve"> </w:t>
      </w:r>
      <w:r>
        <w:rPr>
          <w:rFonts w:ascii="Times NR MT Pro;sans-serif" w:hAnsi="Times NR MT Pro;sans-serif"/>
          <w:b w:val="false"/>
          <w:color w:val="231F20"/>
          <w:sz w:val="20"/>
        </w:rPr>
        <w:t>addition to any vote of the holders of any class or series of stock of the corporation required by law or by</w:t>
      </w:r>
      <w:r>
        <w:rPr>
          <w:color w:val="000000"/>
        </w:rPr>
        <w:t xml:space="preserve"> </w:t>
      </w:r>
      <w:r>
        <w:rPr>
          <w:rFonts w:ascii="Times NR MT Pro;sans-serif" w:hAnsi="Times NR MT Pro;sans-serif"/>
          <w:b w:val="false"/>
          <w:color w:val="231F20"/>
          <w:sz w:val="20"/>
        </w:rPr>
        <w:t>the Certificate of Incorporation, such action by stockholders shall require the affirmative vote of the holders</w:t>
      </w:r>
      <w:r>
        <w:rPr>
          <w:color w:val="000000"/>
        </w:rPr>
        <w:t xml:space="preserve"> </w:t>
      </w:r>
      <w:r>
        <w:rPr>
          <w:rFonts w:ascii="Times NR MT Pro;sans-serif" w:hAnsi="Times NR MT Pro;sans-serif"/>
          <w:b w:val="false"/>
          <w:color w:val="231F20"/>
          <w:sz w:val="20"/>
        </w:rPr>
        <w:t>of at least sixty-six and two-thirds percent (66-2/3%) of the voting power of all of the then-outstanding</w:t>
      </w:r>
      <w:r>
        <w:rPr>
          <w:color w:val="000000"/>
        </w:rPr>
        <w:t xml:space="preserve"> </w:t>
      </w:r>
      <w:r>
        <w:rPr>
          <w:rFonts w:ascii="Times NR MT Pro;sans-serif" w:hAnsi="Times NR MT Pro;sans-serif"/>
          <w:b w:val="false"/>
          <w:color w:val="231F20"/>
          <w:sz w:val="20"/>
        </w:rPr>
        <w:t>shares of the capital stock of the Company entitled to vote generally in the election of directors, voting</w:t>
      </w:r>
      <w:r>
        <w:rPr>
          <w:color w:val="000000"/>
        </w:rPr>
        <w:t xml:space="preserve"> </w:t>
      </w:r>
      <w:r>
        <w:rPr>
          <w:rFonts w:ascii="Times NR MT Pro;sans-serif" w:hAnsi="Times NR MT Pro;sans-serif"/>
          <w:b w:val="false"/>
          <w:color w:val="231F20"/>
          <w:sz w:val="20"/>
        </w:rPr>
        <w:t>together as a single class.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42" w:name="idbb0268a12014ab7813825feadfacf8a"/>
      <w:bookmarkEnd w:id="42"/>
      <w:r>
        <w:rPr>
          <w:rFonts w:ascii="Times NR MT Pro;sans-serif" w:hAnsi="Times NR MT Pro;sans-serif"/>
          <w:b/>
          <w:i/>
          <w:color w:val="231F20"/>
          <w:sz w:val="20"/>
        </w:rPr>
        <w:t>Dividends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Subject to preferences that may be applicable to any then-outstanding preferred stock, holders of our</w:t>
      </w:r>
      <w:r>
        <w:rPr>
          <w:color w:val="000000"/>
        </w:rPr>
        <w:t xml:space="preserve"> </w:t>
      </w:r>
      <w:r>
        <w:rPr>
          <w:rFonts w:ascii="Times NR MT Pro;sans-serif" w:hAnsi="Times NR MT Pro;sans-serif"/>
          <w:b w:val="false"/>
          <w:color w:val="231F20"/>
          <w:sz w:val="20"/>
        </w:rPr>
        <w:t xml:space="preserve">Class A </w:t>
      </w:r>
      <w:r>
        <w:rPr>
          <w:rFonts w:ascii="Times New Roman;serif" w:hAnsi="Times New Roman;serif"/>
          <w:b w:val="false"/>
          <w:color w:val="010302"/>
          <w:sz w:val="20"/>
        </w:rPr>
        <w:t>common</w:t>
      </w:r>
      <w:r>
        <w:rPr>
          <w:color w:val="231F20"/>
        </w:rPr>
        <w:t xml:space="preserve"> </w:t>
      </w:r>
      <w:r>
        <w:rPr>
          <w:rFonts w:ascii="Times NR MT Pro;sans-serif" w:hAnsi="Times NR MT Pro;sans-serif"/>
          <w:b w:val="false"/>
          <w:color w:val="231F20"/>
          <w:sz w:val="20"/>
        </w:rPr>
        <w:t>stock are entitled to receive ratably those dividends, if any, as may be declared from time</w:t>
      </w:r>
      <w:r>
        <w:rPr>
          <w:color w:val="000000"/>
        </w:rPr>
        <w:t xml:space="preserve"> </w:t>
      </w:r>
      <w:r>
        <w:rPr>
          <w:rFonts w:ascii="Times NR MT Pro;sans-serif" w:hAnsi="Times NR MT Pro;sans-serif"/>
          <w:b w:val="false"/>
          <w:color w:val="231F20"/>
          <w:sz w:val="20"/>
        </w:rPr>
        <w:t>to time by the board of directors out of legally available funds.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43" w:name="i98c9e121057c4563b8f28f5b26c1392c"/>
      <w:bookmarkEnd w:id="43"/>
      <w:r>
        <w:rPr>
          <w:rFonts w:ascii="Times NR MT Pro;sans-serif" w:hAnsi="Times NR MT Pro;sans-serif"/>
          <w:b/>
          <w:i/>
          <w:color w:val="231F20"/>
          <w:sz w:val="20"/>
        </w:rPr>
        <w:t>Liquidation</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In the event of our liquidation, dissolution or winding up, holders of our Class A common stock will</w:t>
      </w:r>
      <w:r>
        <w:rPr>
          <w:color w:val="000000"/>
        </w:rPr>
        <w:t xml:space="preserve"> </w:t>
      </w:r>
      <w:r>
        <w:rPr>
          <w:rFonts w:ascii="Times NR MT Pro;sans-serif" w:hAnsi="Times NR MT Pro;sans-serif"/>
          <w:b w:val="false"/>
          <w:color w:val="231F20"/>
          <w:sz w:val="20"/>
        </w:rPr>
        <w:t xml:space="preserve">be entitled to </w:t>
      </w:r>
      <w:r>
        <w:rPr>
          <w:rFonts w:ascii="Times New Roman;serif" w:hAnsi="Times New Roman;serif"/>
          <w:b w:val="false"/>
          <w:color w:val="010302"/>
          <w:sz w:val="20"/>
        </w:rPr>
        <w:t>share</w:t>
      </w:r>
      <w:r>
        <w:rPr>
          <w:color w:val="231F20"/>
        </w:rPr>
        <w:t xml:space="preserve"> </w:t>
      </w:r>
      <w:r>
        <w:rPr>
          <w:rFonts w:ascii="Times NR MT Pro;sans-serif" w:hAnsi="Times NR MT Pro;sans-serif"/>
          <w:b w:val="false"/>
          <w:color w:val="231F20"/>
          <w:sz w:val="20"/>
        </w:rPr>
        <w:t>ratably in the net assets legally available for distribution to stockholders after the payment</w:t>
      </w:r>
      <w:r>
        <w:rPr>
          <w:color w:val="000000"/>
        </w:rPr>
        <w:t xml:space="preserve"> </w:t>
      </w:r>
      <w:r>
        <w:rPr>
          <w:rFonts w:ascii="Times NR MT Pro;sans-serif" w:hAnsi="Times NR MT Pro;sans-serif"/>
          <w:b w:val="false"/>
          <w:color w:val="231F20"/>
          <w:sz w:val="20"/>
        </w:rPr>
        <w:t>of all of our debts and other liabilities and the satisfaction of any liquidation preference granted to the</w:t>
      </w:r>
      <w:r>
        <w:rPr>
          <w:color w:val="000000"/>
        </w:rPr>
        <w:t xml:space="preserve"> </w:t>
      </w:r>
      <w:r>
        <w:rPr>
          <w:rFonts w:ascii="Times NR MT Pro;sans-serif" w:hAnsi="Times NR MT Pro;sans-serif"/>
          <w:b w:val="false"/>
          <w:color w:val="231F20"/>
          <w:sz w:val="20"/>
        </w:rPr>
        <w:t>holders of any then-outstanding shares of preferred stock.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bookmarkStart w:id="44" w:name="i3c6702d763774c5ba6593d2e8e1495f6"/>
      <w:bookmarkEnd w:id="44"/>
      <w:r>
        <w:rPr>
          <w:rFonts w:ascii="Times NR MT Pro;sans-serif" w:hAnsi="Times NR MT Pro;sans-serif"/>
          <w:b/>
          <w:i/>
          <w:color w:val="231F20"/>
          <w:sz w:val="20"/>
        </w:rPr>
        <w:t>Rights and Preferences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Holders of our Class A common stock have no preemptive, conversion or subscription rights and there</w:t>
      </w:r>
      <w:r>
        <w:rPr>
          <w:color w:val="000000"/>
        </w:rPr>
        <w:t xml:space="preserve"> </w:t>
      </w:r>
      <w:r>
        <w:rPr>
          <w:rFonts w:ascii="Times NR MT Pro;sans-serif" w:hAnsi="Times NR MT Pro;sans-serif"/>
          <w:b w:val="false"/>
          <w:color w:val="231F20"/>
          <w:sz w:val="20"/>
        </w:rPr>
        <w:t>are no redemption or sinking fund provisions applicable to the Class A common stock. The rights, preferences</w:t>
      </w:r>
      <w:r>
        <w:rPr>
          <w:color w:val="000000"/>
        </w:rPr>
        <w:t xml:space="preserve"> </w:t>
      </w:r>
      <w:r>
        <w:rPr>
          <w:rFonts w:ascii="Times NR MT Pro;sans-serif" w:hAnsi="Times NR MT Pro;sans-serif"/>
          <w:b w:val="false"/>
          <w:color w:val="231F20"/>
          <w:sz w:val="20"/>
        </w:rPr>
        <w:t>and privileges of the holders of our Class A common stock are subject to, and may be adversely affected</w:t>
      </w:r>
      <w:r>
        <w:rPr>
          <w:color w:val="000000"/>
        </w:rPr>
        <w:t xml:space="preserve"> </w:t>
      </w:r>
      <w:r>
        <w:rPr>
          <w:rFonts w:ascii="Times NR MT Pro;sans-serif" w:hAnsi="Times NR MT Pro;sans-serif"/>
          <w:b w:val="false"/>
          <w:color w:val="231F20"/>
          <w:sz w:val="20"/>
        </w:rPr>
        <w:t xml:space="preserve">by, the rights of </w:t>
      </w:r>
      <w:r>
        <w:rPr>
          <w:rFonts w:ascii="Times New Roman;serif" w:hAnsi="Times New Roman;serif"/>
          <w:b w:val="false"/>
          <w:color w:val="010302"/>
          <w:sz w:val="20"/>
        </w:rPr>
        <w:t>the</w:t>
      </w:r>
      <w:r>
        <w:rPr>
          <w:color w:val="231F20"/>
        </w:rPr>
        <w:t xml:space="preserve"> </w:t>
      </w:r>
      <w:r>
        <w:rPr>
          <w:rFonts w:ascii="Times NR MT Pro;sans-serif" w:hAnsi="Times NR MT Pro;sans-serif"/>
          <w:b w:val="false"/>
          <w:color w:val="231F20"/>
          <w:sz w:val="20"/>
        </w:rPr>
        <w:t>holders of shares of any series of preferred stock that we may designate in the future.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45" w:name="i0ca869f3f07c4fcf9ce867359bac78f0"/>
      <w:bookmarkEnd w:id="45"/>
      <w:r>
        <w:rPr>
          <w:rFonts w:ascii="Times NR MT Pro;sans-serif" w:hAnsi="Times NR MT Pro;sans-serif"/>
          <w:b/>
          <w:color w:val="231F20"/>
          <w:sz w:val="20"/>
        </w:rPr>
        <w:t>Preferred Stock</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Our board of directors has the authority under our Certificate of Incorporation, without further</w:t>
      </w:r>
      <w:r>
        <w:rPr>
          <w:color w:val="000000"/>
        </w:rPr>
        <w:t xml:space="preserve"> </w:t>
      </w:r>
      <w:r>
        <w:rPr>
          <w:rFonts w:ascii="Times New Roman;serif" w:hAnsi="Times New Roman;serif"/>
          <w:b w:val="false"/>
          <w:color w:val="010302"/>
          <w:sz w:val="20"/>
        </w:rPr>
        <w:t>action</w:t>
      </w:r>
      <w:r>
        <w:rPr>
          <w:color w:val="231F20"/>
        </w:rPr>
        <w:t xml:space="preserve"> </w:t>
      </w:r>
      <w:r>
        <w:rPr>
          <w:rFonts w:ascii="Times NR MT Pro;sans-serif" w:hAnsi="Times NR MT Pro;sans-serif"/>
          <w:b w:val="false"/>
          <w:color w:val="231F20"/>
          <w:sz w:val="20"/>
        </w:rPr>
        <w:t>by our stockholders, to issue up to 10,000,000 shares of preferred stock in one or more series, to</w:t>
      </w:r>
      <w:r>
        <w:rPr>
          <w:color w:val="000000"/>
        </w:rPr>
        <w:t xml:space="preserve"> </w:t>
      </w:r>
      <w:r>
        <w:rPr>
          <w:rFonts w:ascii="Times NR MT Pro;sans-serif" w:hAnsi="Times NR MT Pro;sans-serif"/>
          <w:b w:val="false"/>
          <w:color w:val="231F20"/>
          <w:sz w:val="20"/>
        </w:rPr>
        <w:t>establish from time to time the number of shares to be included in each such series, to fix the rights,</w:t>
      </w:r>
      <w:r>
        <w:rPr>
          <w:color w:val="000000"/>
        </w:rPr>
        <w:t xml:space="preserve"> </w:t>
      </w:r>
      <w:r>
        <w:rPr>
          <w:rFonts w:ascii="Times NR MT Pro;sans-serif" w:hAnsi="Times NR MT Pro;sans-serif"/>
          <w:b w:val="false"/>
          <w:color w:val="231F20"/>
          <w:sz w:val="20"/>
        </w:rPr>
        <w:t>preferences and privileges of the shares of each wholly unissued series and any qualifications, limitations or</w:t>
      </w:r>
      <w:r>
        <w:rPr>
          <w:color w:val="000000"/>
        </w:rPr>
        <w:t xml:space="preserve"> </w:t>
      </w:r>
      <w:r>
        <w:rPr>
          <w:rFonts w:ascii="Times NR MT Pro;sans-serif" w:hAnsi="Times NR MT Pro;sans-serif"/>
          <w:b w:val="false"/>
          <w:color w:val="231F20"/>
          <w:sz w:val="20"/>
        </w:rPr>
        <w:t xml:space="preserve">restrictions thereon, and to increase or decrease the number of shares of any such series, but </w:t>
      </w:r>
      <w:r>
        <w:rPr>
          <w:rFonts w:ascii="Times New Roman;serif" w:hAnsi="Times New Roman;serif"/>
          <w:b w:val="false"/>
          <w:color w:val="010302"/>
          <w:sz w:val="20"/>
        </w:rPr>
        <w:t>not</w:t>
      </w:r>
      <w:r>
        <w:rPr>
          <w:color w:val="231F20"/>
        </w:rPr>
        <w:t xml:space="preserve"> </w:t>
      </w:r>
      <w:r>
        <w:rPr>
          <w:rFonts w:ascii="Times NR MT Pro;sans-serif" w:hAnsi="Times NR MT Pro;sans-serif"/>
          <w:b w:val="false"/>
          <w:color w:val="231F20"/>
          <w:sz w:val="20"/>
        </w:rPr>
        <w:t>below</w:t>
      </w:r>
      <w:r>
        <w:rPr>
          <w:color w:val="000000"/>
        </w:rPr>
        <w:t xml:space="preserve"> </w:t>
      </w:r>
      <w:r>
        <w:rPr>
          <w:rFonts w:ascii="Times NR MT Pro;sans-serif" w:hAnsi="Times NR MT Pro;sans-serif"/>
          <w:b w:val="false"/>
          <w:color w:val="231F20"/>
          <w:sz w:val="20"/>
        </w:rPr>
        <w:t>the number of shares of such series then outstanding.</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Our board of directors may authorize the issuance of preferred stock with voting or conversion rights</w:t>
      </w:r>
      <w:r>
        <w:rPr>
          <w:color w:val="000000"/>
        </w:rPr>
        <w:t xml:space="preserve"> </w:t>
      </w:r>
      <w:r>
        <w:rPr>
          <w:rFonts w:ascii="Times NR MT Pro;sans-serif" w:hAnsi="Times NR MT Pro;sans-serif"/>
          <w:b w:val="false"/>
          <w:color w:val="231F20"/>
          <w:sz w:val="20"/>
        </w:rPr>
        <w:t>that could adversely affect the voting power or other rights of the holders of our Class A common stock.</w:t>
      </w:r>
      <w:r>
        <w:rPr>
          <w:color w:val="000000"/>
        </w:rPr>
        <w:t xml:space="preserve"> </w:t>
      </w:r>
      <w:r>
        <w:rPr>
          <w:rFonts w:ascii="Times NR MT Pro;sans-serif" w:hAnsi="Times NR MT Pro;sans-serif"/>
          <w:b w:val="false"/>
          <w:color w:val="231F20"/>
          <w:sz w:val="20"/>
        </w:rPr>
        <w:t>The purpose of authorizing our board of directors to issue preferred stock and determine its rights and</w:t>
      </w:r>
      <w:r>
        <w:rPr>
          <w:color w:val="000000"/>
        </w:rPr>
        <w:t xml:space="preserve"> </w:t>
      </w:r>
      <w:r>
        <w:rPr>
          <w:rFonts w:ascii="Times NR MT Pro;sans-serif" w:hAnsi="Times NR MT Pro;sans-serif"/>
          <w:b w:val="false"/>
          <w:color w:val="231F20"/>
          <w:sz w:val="20"/>
        </w:rPr>
        <w:t>preferences is to eliminate delays associated with a stockholder vote on specific issuances. The issuance of</w:t>
      </w:r>
      <w:r>
        <w:rPr>
          <w:color w:val="000000"/>
        </w:rPr>
        <w:t xml:space="preserve"> </w:t>
      </w:r>
      <w:r>
        <w:rPr>
          <w:rFonts w:ascii="Times NR MT Pro;sans-serif" w:hAnsi="Times NR MT Pro;sans-serif"/>
          <w:b w:val="false"/>
          <w:color w:val="231F20"/>
          <w:sz w:val="20"/>
        </w:rPr>
        <w:t xml:space="preserve">preferred stock, while providing flexibility in connection </w:t>
      </w:r>
      <w:r>
        <w:rPr>
          <w:rFonts w:ascii="Times New Roman;serif" w:hAnsi="Times New Roman;serif"/>
          <w:b w:val="false"/>
          <w:color w:val="010302"/>
          <w:sz w:val="20"/>
        </w:rPr>
        <w:t>with</w:t>
      </w:r>
      <w:r>
        <w:rPr>
          <w:color w:val="231F20"/>
        </w:rPr>
        <w:t xml:space="preserve"> </w:t>
      </w:r>
      <w:r>
        <w:rPr>
          <w:rFonts w:ascii="Times NR MT Pro;sans-serif" w:hAnsi="Times NR MT Pro;sans-serif"/>
          <w:b w:val="false"/>
          <w:color w:val="231F20"/>
          <w:sz w:val="20"/>
        </w:rPr>
        <w:t>possible acquisitions and other corporate</w:t>
      </w:r>
      <w:r>
        <w:rPr>
          <w:color w:val="000000"/>
        </w:rPr>
        <w:t xml:space="preserve"> </w:t>
      </w:r>
      <w:r>
        <w:rPr>
          <w:rFonts w:ascii="Times NR MT Pro;sans-serif" w:hAnsi="Times NR MT Pro;sans-serif"/>
          <w:b w:val="false"/>
          <w:color w:val="231F20"/>
          <w:sz w:val="20"/>
        </w:rPr>
        <w:t>purposes, could, among other things, have the effect of delaying, deferring or preventing a change in control</w:t>
      </w:r>
      <w:r>
        <w:rPr>
          <w:color w:val="000000"/>
        </w:rPr>
        <w:t xml:space="preserve"> </w:t>
      </w:r>
      <w:r>
        <w:rPr>
          <w:rFonts w:ascii="Times NR MT Pro;sans-serif" w:hAnsi="Times NR MT Pro;sans-serif"/>
          <w:b w:val="false"/>
          <w:color w:val="231F20"/>
          <w:sz w:val="20"/>
        </w:rPr>
        <w:t>of us and may adversely affect the market price of our Class A common stock and the voting and other</w:t>
      </w:r>
      <w:r>
        <w:rPr>
          <w:color w:val="000000"/>
        </w:rPr>
        <w:t xml:space="preserve"> </w:t>
      </w:r>
      <w:r>
        <w:rPr>
          <w:rFonts w:ascii="Times NR MT Pro;sans-serif" w:hAnsi="Times NR MT Pro;sans-serif"/>
          <w:b w:val="false"/>
          <w:color w:val="231F20"/>
          <w:sz w:val="20"/>
        </w:rPr>
        <w:t>rights of the holders of our Class A common stock. It is not possible to state the actual effect of the issuance</w:t>
      </w:r>
      <w:r>
        <w:rPr>
          <w:color w:val="000000"/>
        </w:rPr>
        <w:t xml:space="preserve"> </w:t>
      </w:r>
      <w:r>
        <w:rPr>
          <w:rFonts w:ascii="Times NR MT Pro;sans-serif" w:hAnsi="Times NR MT Pro;sans-serif"/>
          <w:b w:val="false"/>
          <w:color w:val="231F20"/>
          <w:sz w:val="20"/>
        </w:rPr>
        <w:t>of any shares of preferred stock on the rights of holders of Class A common stock until the board of</w:t>
      </w:r>
      <w:r>
        <w:rPr>
          <w:color w:val="000000"/>
        </w:rPr>
        <w:t xml:space="preserve"> </w:t>
      </w:r>
      <w:r>
        <w:rPr>
          <w:rFonts w:ascii="Times NR MT Pro;sans-serif" w:hAnsi="Times NR MT Pro;sans-serif"/>
          <w:b w:val="false"/>
          <w:color w:val="231F20"/>
          <w:sz w:val="20"/>
        </w:rPr>
        <w:t>directors determines the specific rights attached to that preferred stock.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46" w:name="i4878c4d9831f492faf20aaab4c8a56e2"/>
      <w:bookmarkEnd w:id="46"/>
      <w:r>
        <w:rPr>
          <w:rFonts w:ascii="Times NR MT Pro;sans-serif" w:hAnsi="Times NR MT Pro;sans-serif"/>
          <w:b/>
          <w:color w:val="231F20"/>
          <w:sz w:val="20"/>
        </w:rPr>
        <w:t>Warrants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As of March 27, 2026, there were (i) warrants to purchase 619 shares of the Company’s Class A</w:t>
      </w:r>
      <w:r>
        <w:rPr>
          <w:color w:val="000000"/>
        </w:rPr>
        <w:t xml:space="preserve"> </w:t>
      </w:r>
      <w:r>
        <w:rPr>
          <w:rFonts w:ascii="Times NR MT Pro;sans-serif" w:hAnsi="Times NR MT Pro;sans-serif"/>
          <w:b w:val="false"/>
          <w:color w:val="231F20"/>
          <w:sz w:val="20"/>
        </w:rPr>
        <w:t>common stock issued and outstanding at a weighted average price of $6.888 per share, (ii) pre-funded</w:t>
      </w:r>
      <w:r>
        <w:rPr>
          <w:color w:val="000000"/>
        </w:rPr>
        <w:t xml:space="preserve"> </w:t>
      </w:r>
      <w:r>
        <w:rPr>
          <w:rFonts w:ascii="Times NR MT Pro;sans-serif" w:hAnsi="Times NR MT Pro;sans-serif"/>
          <w:b w:val="false"/>
          <w:color w:val="231F20"/>
          <w:sz w:val="20"/>
        </w:rPr>
        <w:t>warrants to purchase 20,166,021 shares of the Company’s Class A common stock issued and outstanding at</w:t>
      </w:r>
      <w:r>
        <w:rPr>
          <w:color w:val="000000"/>
        </w:rPr>
        <w:t xml:space="preserve"> </w:t>
      </w:r>
      <w:r>
        <w:rPr>
          <w:rFonts w:ascii="Times NR MT Pro;sans-serif" w:hAnsi="Times NR MT Pro;sans-serif"/>
          <w:b w:val="false"/>
          <w:color w:val="231F20"/>
          <w:sz w:val="20"/>
        </w:rPr>
        <w:t>a weighted average price of $0.001 per share, (iii) stapled warrants to purchase 73,941,196 shares of the</w:t>
      </w:r>
      <w:r>
        <w:rPr>
          <w:color w:val="000000"/>
        </w:rPr>
        <w:t xml:space="preserve"> </w:t>
      </w:r>
      <w:r>
        <w:rPr>
          <w:rFonts w:ascii="Times NR MT Pro;sans-serif" w:hAnsi="Times NR MT Pro;sans-serif"/>
          <w:b w:val="false"/>
          <w:color w:val="231F20"/>
          <w:sz w:val="20"/>
        </w:rPr>
        <w:t>Company’s Class A common stock issued and outstanding at an exercise price of $10.134 per share,</w:t>
      </w:r>
      <w:r>
        <w:rPr>
          <w:color w:val="000000"/>
        </w:rPr>
        <w:t xml:space="preserve"> </w:t>
      </w:r>
      <w:r>
        <w:rPr>
          <w:rFonts w:ascii="Times NR MT Pro;sans-serif" w:hAnsi="Times NR MT Pro;sans-serif"/>
          <w:b w:val="false"/>
          <w:color w:val="231F20"/>
          <w:sz w:val="20"/>
        </w:rPr>
        <w:t>(iv) advisor warrants to purchase 7,394,119 shares of the Company’s Class A common stock issued and</w:t>
      </w:r>
      <w:r>
        <w:rPr>
          <w:color w:val="000000"/>
        </w:rPr>
        <w:t xml:space="preserve"> </w:t>
      </w:r>
      <w:r>
        <w:rPr>
          <w:rFonts w:ascii="Times NR MT Pro;sans-serif" w:hAnsi="Times NR MT Pro;sans-serif"/>
          <w:b w:val="false"/>
          <w:color w:val="231F20"/>
          <w:sz w:val="20"/>
        </w:rPr>
        <w:t>outstanding at a price of $0.001 per share, (v) Series A warrants to purchase up to 485 shares of the</w:t>
      </w:r>
      <w:r>
        <w:rPr>
          <w:color w:val="000000"/>
        </w:rPr>
        <w:t xml:space="preserve"> </w:t>
      </w:r>
      <w:r>
        <w:rPr>
          <w:rFonts w:ascii="Times NR MT Pro;sans-serif" w:hAnsi="Times NR MT Pro;sans-serif"/>
          <w:b w:val="false"/>
          <w:color w:val="231F20"/>
          <w:sz w:val="20"/>
        </w:rPr>
        <w:t>Company’s Class A common stock at an exercise price of $1,687.50 per share, (vi) Series C warrants to</w:t>
      </w:r>
      <w:r>
        <w:rPr>
          <w:color w:val="000000"/>
        </w:rPr>
        <w:t xml:space="preserve"> </w:t>
      </w:r>
      <w:r>
        <w:rPr>
          <w:rFonts w:ascii="Times NR MT Pro;sans-serif" w:hAnsi="Times NR MT Pro;sans-serif"/>
          <w:b w:val="false"/>
          <w:color w:val="231F20"/>
          <w:sz w:val="20"/>
        </w:rPr>
        <w:t xml:space="preserve">purchase up to 4,969 shares of the Company’s Class A common stock and Series D warrants to </w:t>
      </w:r>
      <w:r>
        <w:rPr>
          <w:rFonts w:ascii="Times New Roman;serif" w:hAnsi="Times New Roman;serif"/>
          <w:b w:val="false"/>
          <w:color w:val="010302"/>
          <w:sz w:val="20"/>
        </w:rPr>
        <w:t>purchase</w:t>
      </w:r>
      <w:r>
        <w:rPr>
          <w:color w:val="231F20"/>
        </w:rPr>
        <w:t xml:space="preserve"> </w:t>
      </w:r>
      <w:r>
        <w:rPr>
          <w:rFonts w:ascii="Times NR MT Pro;sans-serif" w:hAnsi="Times NR MT Pro;sans-serif"/>
          <w:b w:val="false"/>
          <w:color w:val="231F20"/>
          <w:sz w:val="20"/>
        </w:rPr>
        <w:t>up</w:t>
      </w:r>
      <w:r>
        <w:rPr>
          <w:color w:val="000000"/>
        </w:rPr>
        <w:t xml:space="preserve"> </w:t>
      </w:r>
      <w:r>
        <w:rPr>
          <w:rFonts w:ascii="Times NR MT Pro;sans-serif" w:hAnsi="Times NR MT Pro;sans-serif"/>
          <w:b w:val="false"/>
          <w:color w:val="231F20"/>
          <w:sz w:val="20"/>
        </w:rPr>
        <w:t>to 3,312 shares of the Company’s Class A common stock at an exercise price of $563.25 and (vii) inducement</w:t>
      </w:r>
      <w:r>
        <w:rPr>
          <w:color w:val="000000"/>
        </w:rPr>
        <w:t xml:space="preserve"> </w:t>
      </w:r>
      <w:r>
        <w:rPr>
          <w:rFonts w:ascii="Times NR MT Pro;sans-serif" w:hAnsi="Times NR MT Pro;sans-serif"/>
          <w:b w:val="false"/>
          <w:color w:val="231F20"/>
          <w:sz w:val="20"/>
        </w:rPr>
        <w:t>warrants to purchase up to 190 shares of the Company’s Class A common stock at an exercise price of</w:t>
      </w:r>
      <w:r>
        <w:rPr>
          <w:color w:val="000000"/>
        </w:rPr>
        <w:t xml:space="preserve"> </w:t>
      </w:r>
      <w:r>
        <w:rPr>
          <w:rFonts w:ascii="Times NR MT Pro;sans-serif" w:hAnsi="Times NR MT Pro;sans-serif"/>
          <w:b w:val="false"/>
          <w:color w:val="231F20"/>
          <w:sz w:val="20"/>
        </w:rPr>
        <w:t>$1,856.25 per share.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47" w:name="i7d0f148276f94678968e99733e2110d3"/>
      <w:bookmarkEnd w:id="47"/>
      <w:r>
        <w:rPr>
          <w:rFonts w:ascii="Times NR MT Pro;sans-serif" w:hAnsi="Times NR MT Pro;sans-serif"/>
          <w:b/>
          <w:color w:val="231F20"/>
          <w:sz w:val="20"/>
        </w:rPr>
        <w:t>Delaware Anti-Takeover Law and Certain Certificate of Incorporation and By-law Provisions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48" w:name="iec2f662a86754dc58f0a26b22487de14"/>
      <w:bookmarkEnd w:id="48"/>
      <w:r>
        <w:rPr>
          <w:rFonts w:ascii="Times NR MT Pro;sans-serif" w:hAnsi="Times NR MT Pro;sans-serif"/>
          <w:b/>
          <w:i/>
          <w:color w:val="231F20"/>
          <w:sz w:val="20"/>
        </w:rPr>
        <w:t>Section 203 of the Delaware General Corporation Law</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are subject to Section 203 of the Delaware General Corporation Law, which prohibits a Delaware</w:t>
      </w:r>
      <w:r>
        <w:rPr>
          <w:color w:val="000000"/>
        </w:rPr>
        <w:t xml:space="preserve"> </w:t>
      </w:r>
      <w:r>
        <w:rPr>
          <w:rFonts w:ascii="Times New Roman;serif" w:hAnsi="Times New Roman;serif"/>
          <w:b w:val="false"/>
          <w:color w:val="010302"/>
          <w:sz w:val="20"/>
        </w:rPr>
        <w:t>corporation</w:t>
      </w:r>
      <w:r>
        <w:rPr>
          <w:color w:val="231F20"/>
        </w:rPr>
        <w:t xml:space="preserve"> </w:t>
      </w:r>
      <w:r>
        <w:rPr>
          <w:rFonts w:ascii="Times NR MT Pro;sans-serif" w:hAnsi="Times NR MT Pro;sans-serif"/>
          <w:b w:val="false"/>
          <w:color w:val="231F20"/>
          <w:sz w:val="20"/>
        </w:rPr>
        <w:t>from engaging in any business combination with any interested stockholder for a period of</w:t>
      </w:r>
      <w:r>
        <w:rPr>
          <w:color w:val="000000"/>
        </w:rPr>
        <w:t xml:space="preserve"> </w:t>
      </w:r>
      <w:r>
        <w:rPr>
          <w:rFonts w:ascii="Times NR MT Pro;sans-serif" w:hAnsi="Times NR MT Pro;sans-serif"/>
          <w:b w:val="false"/>
          <w:color w:val="231F20"/>
          <w:sz w:val="20"/>
        </w:rPr>
        <w:t>three years after the date that such stockholder became an interested stockholder, with the following</w:t>
      </w:r>
      <w:r>
        <w:rPr>
          <w:color w:val="000000"/>
        </w:rPr>
        <w:t xml:space="preserve"> </w:t>
      </w:r>
      <w:r>
        <w:rPr>
          <w:rFonts w:ascii="Times NR MT Pro;sans-serif" w:hAnsi="Times NR MT Pro;sans-serif"/>
          <w:b w:val="false"/>
          <w:color w:val="231F20"/>
          <w:sz w:val="20"/>
        </w:rPr>
        <w:t>exceptions:</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before such date, the board of directors of the corporation approved either the business combination or the transaction that resulted in the stockholder becoming an interested stockholder;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on or after such date, the business combination is approved by the board of directors and authorized at an annual or special meeting of the stockholders, and not by written consent, by the affirmative vote of at least 66</w:t>
      </w:r>
      <w:r>
        <w:rPr>
          <w:rFonts w:ascii="Times New Roman;serif" w:hAnsi="Times New Roman;serif"/>
          <w:b w:val="false"/>
          <w:color w:val="000000"/>
          <w:sz w:val="8"/>
        </w:rPr>
        <w:t>2</w:t>
      </w:r>
      <w:r>
        <w:rPr>
          <w:color w:val="000000"/>
        </w:rPr>
        <w:t>∕</w:t>
      </w:r>
      <w:r>
        <w:rPr>
          <w:rFonts w:ascii="Times New Roman;serif" w:hAnsi="Times New Roman;serif"/>
          <w:b w:val="false"/>
          <w:color w:val="000000"/>
          <w:sz w:val="12"/>
        </w:rPr>
        <w:t>3</w:t>
      </w:r>
      <w:r>
        <w:rPr>
          <w:rFonts w:ascii="Times New Roman;serif" w:hAnsi="Times New Roman;serif"/>
          <w:b w:val="false"/>
          <w:color w:val="000000"/>
          <w:sz w:val="20"/>
        </w:rPr>
        <w:t xml:space="preserve">% of the outstanding voting stock that is not owned by the interested stockholder.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In general, Section 203 defines a “business combination” to include the following: merger or consolidation involving the corporation or any direct or indirect majority-owned subsidiary of the corporation and the interested stockholder;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sale, transfer, pledge or other disposition of 10% or more of the assets of the corporation involving the interested stockholder (in one transaction or a series of transactions);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subject to certain exceptions, any transaction that results in the issuance or transfer by the corporation or by any direct or indirect majority-owned subsidiary of the corporation of any stock of the corporation or of such subsidiary to the interested stockholder;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transaction involving the corporation or any direct or indirect majority-owned subsidiary of the corporation that has the effect of increasing the proportionate share of the stock or any class or series of the corporation beneficially owned by the interested stockholder; or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receipt by the interested stockholder of the benefit of any loans, advances, guarantees, pledges or other financial benefits by or through the corporation.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49" w:name="i5403cefacfa2484a82b5da96acc0b15a"/>
      <w:bookmarkEnd w:id="49"/>
      <w:r>
        <w:rPr>
          <w:rFonts w:ascii="Times NR MT Pro;sans-serif" w:hAnsi="Times NR MT Pro;sans-serif"/>
          <w:b/>
          <w:i/>
          <w:color w:val="231F20"/>
          <w:sz w:val="20"/>
        </w:rPr>
        <w:t>Certificate of Incorporation and By-Law Provisions</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 that all stockholder actions must be effected at a duly called meeting of stockholders and eliminate the right of stockholders to act by written consent without a meeting. Our Amended and Restated Bylaws also provide that only our chairperson of the board of directors, Chief Executive Officer or the board of directors pursuant to a resolution adopted by a majority of the total number of authorized directors may call a special meeting of stockholders.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Our Amended and Restated Bylaws also provide that stockholders seeking to present proposals before</w:t>
      </w:r>
      <w:r>
        <w:rPr>
          <w:color w:val="000000"/>
        </w:rPr>
        <w:t xml:space="preserve"> </w:t>
      </w:r>
      <w:r>
        <w:rPr>
          <w:rFonts w:ascii="Times NR MT Pro;sans-serif" w:hAnsi="Times NR MT Pro;sans-serif"/>
          <w:b w:val="false"/>
          <w:color w:val="231F20"/>
          <w:sz w:val="20"/>
        </w:rPr>
        <w:t>a meeting of stockholders to nominate candidates for election as directors at a meeting of stockholders must</w:t>
      </w:r>
      <w:r>
        <w:rPr>
          <w:color w:val="000000"/>
        </w:rPr>
        <w:t xml:space="preserve"> </w:t>
      </w:r>
      <w:r>
        <w:rPr>
          <w:rFonts w:ascii="Times NR MT Pro;sans-serif" w:hAnsi="Times NR MT Pro;sans-serif"/>
          <w:b w:val="false"/>
          <w:color w:val="231F20"/>
          <w:sz w:val="20"/>
        </w:rPr>
        <w:t>provide timely advance notice in writing, and specify requirements as to the form and content of a</w:t>
      </w:r>
      <w:r>
        <w:rPr>
          <w:color w:val="000000"/>
        </w:rPr>
        <w:t xml:space="preserve"> </w:t>
      </w:r>
      <w:r>
        <w:rPr>
          <w:rFonts w:ascii="Times NR MT Pro;sans-serif" w:hAnsi="Times NR MT Pro;sans-serif"/>
          <w:b w:val="false"/>
          <w:color w:val="231F20"/>
          <w:sz w:val="20"/>
        </w:rPr>
        <w:t>stockholder’s notice. At any meeting of stockholders for the election of directors at which a quorum is</w:t>
      </w:r>
      <w:r>
        <w:rPr>
          <w:color w:val="000000"/>
        </w:rPr>
        <w:t xml:space="preserve"> </w:t>
      </w:r>
      <w:r>
        <w:rPr>
          <w:rFonts w:ascii="Times NR MT Pro;sans-serif" w:hAnsi="Times NR MT Pro;sans-serif"/>
          <w:b w:val="false"/>
          <w:color w:val="231F20"/>
          <w:sz w:val="20"/>
        </w:rPr>
        <w:t>present, the election will be determined by a plurality of the votes cast by the stockholders entitled to vote</w:t>
      </w:r>
      <w:r>
        <w:rPr>
          <w:color w:val="000000"/>
        </w:rPr>
        <w:t xml:space="preserve"> </w:t>
      </w:r>
      <w:r>
        <w:rPr>
          <w:rFonts w:ascii="Times NR MT Pro;sans-serif" w:hAnsi="Times NR MT Pro;sans-serif"/>
          <w:b w:val="false"/>
          <w:color w:val="231F20"/>
          <w:sz w:val="20"/>
        </w:rPr>
        <w:t>at the election.</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Our Certificate of Incorporation and the Amended and Restated Bylaws provide that the stockholders</w:t>
      </w:r>
      <w:r>
        <w:rPr>
          <w:color w:val="000000"/>
        </w:rPr>
        <w:t xml:space="preserve"> </w:t>
      </w:r>
      <w:r>
        <w:rPr>
          <w:rFonts w:ascii="Times NR MT Pro;sans-serif" w:hAnsi="Times NR MT Pro;sans-serif"/>
          <w:b w:val="false"/>
          <w:color w:val="231F20"/>
          <w:sz w:val="20"/>
        </w:rPr>
        <w:t>cannot amend many of the provisions described above except by a vote of 66</w:t>
      </w:r>
      <w:r>
        <w:rPr>
          <w:rFonts w:ascii="Times NR MT Pro;sans-serif" w:hAnsi="Times NR MT Pro;sans-serif"/>
          <w:b w:val="false"/>
          <w:color w:val="231F20"/>
          <w:sz w:val="8"/>
        </w:rPr>
        <w:t>2</w:t>
      </w:r>
      <w:r>
        <w:rPr>
          <w:color w:val="231F20"/>
        </w:rPr>
        <w:t>∕</w:t>
      </w:r>
      <w:r>
        <w:rPr>
          <w:rFonts w:ascii="Times NR MT Pro;sans-serif" w:hAnsi="Times NR MT Pro;sans-serif"/>
          <w:b w:val="false"/>
          <w:color w:val="231F20"/>
          <w:sz w:val="12"/>
        </w:rPr>
        <w:t>3</w:t>
      </w:r>
      <w:r>
        <w:rPr>
          <w:rFonts w:ascii="Times NR MT Pro;sans-serif" w:hAnsi="Times NR MT Pro;sans-serif"/>
          <w:b w:val="false"/>
          <w:color w:val="231F20"/>
          <w:sz w:val="20"/>
        </w:rPr>
        <w:t>% or more of our outstanding</w:t>
      </w:r>
      <w:r>
        <w:rPr>
          <w:color w:val="000000"/>
        </w:rPr>
        <w:t xml:space="preserve"> </w:t>
      </w:r>
      <w:r>
        <w:rPr>
          <w:rFonts w:ascii="Times NR MT Pro;sans-serif" w:hAnsi="Times NR MT Pro;sans-serif"/>
          <w:b w:val="false"/>
          <w:color w:val="231F20"/>
          <w:sz w:val="20"/>
        </w:rPr>
        <w:t>capital stock of the Company. As described above, our Certificate of Incorporation gives our board of</w:t>
      </w:r>
      <w:r>
        <w:rPr>
          <w:color w:val="000000"/>
        </w:rPr>
        <w:t xml:space="preserve"> </w:t>
      </w:r>
      <w:r>
        <w:rPr>
          <w:rFonts w:ascii="Times NR MT Pro;sans-serif" w:hAnsi="Times NR MT Pro;sans-serif"/>
          <w:b w:val="false"/>
          <w:color w:val="231F20"/>
          <w:sz w:val="20"/>
        </w:rPr>
        <w:t>directors the authority, without further action by our stockholders, to issue up to 10,000,000 shares of</w:t>
      </w:r>
      <w:r>
        <w:rPr>
          <w:color w:val="000000"/>
        </w:rPr>
        <w:t xml:space="preserve"> </w:t>
      </w:r>
      <w:r>
        <w:rPr>
          <w:rFonts w:ascii="Times NR MT Pro;sans-serif" w:hAnsi="Times NR MT Pro;sans-serif"/>
          <w:b w:val="false"/>
          <w:color w:val="231F20"/>
          <w:sz w:val="20"/>
        </w:rPr>
        <w:t>preferred stock in one or more series.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The combination of these provisions will make it more difficult for our existing stockholders to replace</w:t>
      </w:r>
      <w:r>
        <w:rPr>
          <w:color w:val="000000"/>
        </w:rPr>
        <w:t xml:space="preserve"> </w:t>
      </w:r>
      <w:r>
        <w:rPr>
          <w:rFonts w:ascii="Times NR MT Pro;sans-serif" w:hAnsi="Times NR MT Pro;sans-serif"/>
          <w:b w:val="false"/>
          <w:color w:val="231F20"/>
          <w:sz w:val="20"/>
        </w:rPr>
        <w:t>our board of directors as well as for another party to obtain control of us by replacing our board of directors.</w:t>
      </w:r>
      <w:r>
        <w:rPr>
          <w:color w:val="000000"/>
        </w:rPr>
        <w:t xml:space="preserve"> </w:t>
      </w:r>
      <w:r>
        <w:rPr>
          <w:rFonts w:ascii="Times NR MT Pro;sans-serif" w:hAnsi="Times NR MT Pro;sans-serif"/>
          <w:b w:val="false"/>
          <w:color w:val="231F20"/>
          <w:sz w:val="20"/>
        </w:rPr>
        <w:t>Since our board of directors has the power to retain and discharge our officers, these provisions could also</w:t>
      </w:r>
      <w:r>
        <w:rPr>
          <w:color w:val="000000"/>
        </w:rPr>
        <w:t xml:space="preserve"> </w:t>
      </w:r>
      <w:r>
        <w:rPr>
          <w:rFonts w:ascii="Times NR MT Pro;sans-serif" w:hAnsi="Times NR MT Pro;sans-serif"/>
          <w:b w:val="false"/>
          <w:color w:val="231F20"/>
          <w:sz w:val="20"/>
        </w:rPr>
        <w:t>make it more difficult for existing stockholders or another party to effect a change in management. In addition,</w:t>
      </w:r>
      <w:r>
        <w:rPr>
          <w:color w:val="000000"/>
        </w:rPr>
        <w:t xml:space="preserve"> </w:t>
      </w:r>
      <w:r>
        <w:rPr>
          <w:rFonts w:ascii="Times NR MT Pro;sans-serif" w:hAnsi="Times NR MT Pro;sans-serif"/>
          <w:b w:val="false"/>
          <w:color w:val="231F20"/>
          <w:sz w:val="20"/>
        </w:rPr>
        <w:t>the authorization of undesignated preferred stock makes it possible for our board of directors to issue</w:t>
      </w:r>
      <w:r>
        <w:rPr>
          <w:color w:val="000000"/>
        </w:rPr>
        <w:t xml:space="preserve"> </w:t>
      </w:r>
      <w:r>
        <w:rPr>
          <w:rFonts w:ascii="Times NR MT Pro;sans-serif" w:hAnsi="Times NR MT Pro;sans-serif"/>
          <w:b w:val="false"/>
          <w:color w:val="231F20"/>
          <w:sz w:val="20"/>
        </w:rPr>
        <w:t>preferred stock with voting or other rights or preferences that could impede the success of any attempt to</w:t>
      </w:r>
      <w:r>
        <w:rPr>
          <w:color w:val="000000"/>
        </w:rPr>
        <w:t xml:space="preserve"> </w:t>
      </w:r>
      <w:r>
        <w:rPr>
          <w:rFonts w:ascii="Times NR MT Pro;sans-serif" w:hAnsi="Times NR MT Pro;sans-serif"/>
          <w:b w:val="false"/>
          <w:color w:val="231F20"/>
          <w:sz w:val="20"/>
        </w:rPr>
        <w:t>change our control.</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50" w:name="id25c44905c91433394d173755909aa3d"/>
      <w:bookmarkEnd w:id="50"/>
      <w:r>
        <w:rPr>
          <w:rFonts w:ascii="Times NR MT Pro;sans-serif" w:hAnsi="Times NR MT Pro;sans-serif"/>
          <w:b/>
          <w:color w:val="231F20"/>
          <w:sz w:val="20"/>
        </w:rPr>
        <w:t>Exclusive Forum Provisions Applicable to Certain Legal Actions</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the Court of Chancery of the State of Delaware will be the exclusive forum for: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derivative action or proceeding brought on our behalf;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action asserting a breach of fiduciary duty;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action asserting a claim against us arising pursuant to the Delaware General Corporation Law, our Certificate of Incorporation or our Second Amended and Restated Bylaws; or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action asserting a claim against us that is governed by the internal affairs doctrine.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does not apply to suits brought to enforce a duty or liability created by the Exchange Act.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enforceability of similar choice of forum provisions in other companies’ certificates of incorporation has been challenged in legal proceedings, and it is possible that, in connection with any action, a court </w:t>
      </w:r>
      <w:r>
        <w:rPr>
          <w:rFonts w:ascii="Times New Roman;serif" w:hAnsi="Times New Roman;serif"/>
          <w:b w:val="false"/>
          <w:color w:val="010302"/>
          <w:sz w:val="20"/>
        </w:rPr>
        <w:t>could</w:t>
      </w:r>
      <w:r>
        <w:rPr>
          <w:color w:val="000000"/>
        </w:rPr>
        <w:t xml:space="preserve"> </w:t>
      </w:r>
      <w:r>
        <w:rPr>
          <w:rFonts w:ascii="Times New Roman;serif" w:hAnsi="Times New Roman;serif"/>
          <w:b w:val="false"/>
          <w:color w:val="000000"/>
          <w:sz w:val="20"/>
        </w:rPr>
        <w:t xml:space="preserve">find the choice of forum provisions contained in our Certificate of Incorporation to be inapplicable or unenforceable in such action. Our Certificate of Incorporation further provides that the federal district courts of the United States will be the exclusive forum for resolving any complaint asserting a cause of action arising under the </w:t>
      </w:r>
      <w:r>
        <w:rPr>
          <w:rFonts w:ascii="Times New Roman;serif" w:hAnsi="Times New Roman;serif"/>
          <w:b w:val="false"/>
          <w:color w:val="010302"/>
          <w:sz w:val="20"/>
        </w:rPr>
        <w:t>Securities</w:t>
      </w:r>
      <w:r>
        <w:rPr>
          <w:color w:val="000000"/>
        </w:rPr>
        <w:t xml:space="preserve"> </w:t>
      </w:r>
      <w:r>
        <w:rPr>
          <w:rFonts w:ascii="Times New Roman;serif" w:hAnsi="Times New Roman;serif"/>
          <w:b w:val="false"/>
          <w:color w:val="000000"/>
          <w:sz w:val="20"/>
        </w:rPr>
        <w:t xml:space="preserve">Act, subject to and contingent upon a final adjudication in the State of Delaware of the enforceability of such exclusive forum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51" w:name="iab0c1ef3cbbe46f7877e87fab7dfc9b0"/>
      <w:bookmarkEnd w:id="51"/>
      <w:r>
        <w:rPr>
          <w:rFonts w:ascii="Times NR MT Pro;sans-serif" w:hAnsi="Times NR MT Pro;sans-serif"/>
          <w:b/>
          <w:color w:val="231F20"/>
          <w:sz w:val="20"/>
        </w:rPr>
        <w:t>Registration Rights</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those certain subscription agreements, dated September 15, 2025, we agreed to register any shares issued to each subscriber. As of October 17, 2025, subscribers beneficially owned 38,049,663 shares of Class A common stock, pre-funded warrants to purchase 36,261,239 shares of Class A common stock, and stapled warrants to purchase 81,335,315 shares of Class A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both"/>
        <w:rPr/>
      </w:pPr>
      <w:bookmarkStart w:id="52" w:name="iaebea9d2e9eb435c9654ec380605b6fc"/>
      <w:bookmarkEnd w:id="52"/>
      <w:r>
        <w:rPr>
          <w:rFonts w:ascii="Times NR MT Pro;sans-serif" w:hAnsi="Times NR MT Pro;sans-serif"/>
          <w:b/>
          <w:color w:val="231F20"/>
          <w:sz w:val="20"/>
        </w:rPr>
        <w:t>Listing</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under the symbol “HSDT”.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53" w:name="if0fcd07ec56641c287849595d57623b1"/>
      <w:bookmarkEnd w:id="53"/>
      <w:r>
        <w:rPr>
          <w:rFonts w:ascii="Times NR MT Pro;sans-serif" w:hAnsi="Times NR MT Pro;sans-serif"/>
          <w:b/>
          <w:color w:val="231F20"/>
          <w:sz w:val="20"/>
        </w:rPr>
        <w:t>Transfer Agent and Registrar</w:t>
      </w:r>
      <w:r>
        <w:rPr>
          <w:color w:val="000000"/>
        </w:rPr>
        <w:t xml:space="preserve">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Our transfer agent and the registrar is Equiniti Trust Company, LLC, 6201 15th Avenue, Brooklyn, New York 11219; Telephone: 800-937-5449.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54" w:name="i0a0b9b695e8041f0987ae3f84248d419"/>
      <w:bookmarkEnd w:id="54"/>
      <w:r>
        <w:rPr>
          <w:rFonts w:ascii="Times New Roman;serif" w:hAnsi="Times New Roman;serif"/>
          <w:b/>
          <w:color w:val="000000"/>
          <w:sz w:val="20"/>
        </w:rPr>
        <w:t xml:space="preserve">DESCRIPTION OF DEBT SECURITIES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w:t>
      </w:r>
      <w:r>
        <w:rPr>
          <w:rFonts w:ascii="Times New Roman;serif" w:hAnsi="Times New Roman;serif"/>
          <w:b w:val="false"/>
          <w:color w:val="010302"/>
          <w:sz w:val="20"/>
        </w:rPr>
        <w:t>indicate</w:t>
      </w:r>
      <w:r>
        <w:rPr>
          <w:color w:val="000000"/>
        </w:rPr>
        <w:t xml:space="preserve"> </w:t>
      </w:r>
      <w:r>
        <w:rPr>
          <w:rFonts w:ascii="Times New Roman;serif" w:hAnsi="Times New Roman;serif"/>
          <w:b w:val="false"/>
          <w:color w:val="000000"/>
          <w:sz w:val="20"/>
        </w:rPr>
        <w:t xml:space="preserve">in the supplement to what extent the general terms and provisions described in this prospectus apply to a particular series of debt securities.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may issue debt securities either separately, or together with, or upon the conversion or exercise of</w:t>
      </w:r>
      <w:r>
        <w:rPr>
          <w:color w:val="000000"/>
        </w:rPr>
        <w:t xml:space="preserve"> </w:t>
      </w:r>
      <w:r>
        <w:rPr>
          <w:rFonts w:ascii="Times NR MT Pro;sans-serif" w:hAnsi="Times NR MT Pro;sans-serif"/>
          <w:b w:val="false"/>
          <w:color w:val="231F20"/>
          <w:sz w:val="20"/>
        </w:rPr>
        <w:t xml:space="preserve">or in </w:t>
      </w:r>
      <w:r>
        <w:rPr>
          <w:rFonts w:ascii="Times New Roman;serif" w:hAnsi="Times New Roman;serif"/>
          <w:b w:val="false"/>
          <w:color w:val="010302"/>
          <w:sz w:val="20"/>
        </w:rPr>
        <w:t>exchange</w:t>
      </w:r>
      <w:r>
        <w:rPr>
          <w:color w:val="231F20"/>
        </w:rPr>
        <w:t xml:space="preserve"> </w:t>
      </w:r>
      <w:r>
        <w:rPr>
          <w:rFonts w:ascii="Times NR MT Pro;sans-serif" w:hAnsi="Times NR MT Pro;sans-serif"/>
          <w:b w:val="false"/>
          <w:color w:val="231F20"/>
          <w:sz w:val="20"/>
        </w:rPr>
        <w:t>for, other securities described in this prospectus. Debt securities may be our senior, senior</w:t>
      </w:r>
      <w:r>
        <w:rPr>
          <w:color w:val="000000"/>
        </w:rPr>
        <w:t xml:space="preserve"> </w:t>
      </w:r>
      <w:r>
        <w:rPr>
          <w:rFonts w:ascii="Times NR MT Pro;sans-serif" w:hAnsi="Times NR MT Pro;sans-serif"/>
          <w:b w:val="false"/>
          <w:color w:val="231F20"/>
          <w:sz w:val="20"/>
        </w:rPr>
        <w:t>subordinated or subordinated obligations and, unless otherwise specified in a supplement to this prospectus,</w:t>
      </w:r>
      <w:r>
        <w:rPr>
          <w:color w:val="000000"/>
        </w:rPr>
        <w:t xml:space="preserve"> </w:t>
      </w:r>
      <w:r>
        <w:rPr>
          <w:rFonts w:ascii="Times NR MT Pro;sans-serif" w:hAnsi="Times NR MT Pro;sans-serif"/>
          <w:b w:val="false"/>
          <w:color w:val="231F20"/>
          <w:sz w:val="20"/>
        </w:rPr>
        <w:t>the debt securities will be our direct, unsecured obligations and may be issued in one or more series.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The debt securities will be issued under an indenture between us and a trustee named in a prospectus</w:t>
      </w:r>
      <w:r>
        <w:rPr>
          <w:color w:val="000000"/>
        </w:rPr>
        <w:t xml:space="preserve"> </w:t>
      </w:r>
      <w:r>
        <w:rPr>
          <w:rFonts w:ascii="Times NR MT Pro;sans-serif" w:hAnsi="Times NR MT Pro;sans-serif"/>
          <w:b w:val="false"/>
          <w:color w:val="231F20"/>
          <w:sz w:val="20"/>
        </w:rPr>
        <w:t>supplement. We have summarized select portions of the indenture below. The summary is not complete.</w:t>
      </w:r>
      <w:r>
        <w:rPr>
          <w:color w:val="000000"/>
        </w:rPr>
        <w:t xml:space="preserve"> </w:t>
      </w:r>
      <w:r>
        <w:rPr>
          <w:rFonts w:ascii="Times NR MT Pro;sans-serif" w:hAnsi="Times NR MT Pro;sans-serif"/>
          <w:b w:val="false"/>
          <w:color w:val="231F20"/>
          <w:sz w:val="20"/>
        </w:rPr>
        <w:t>The form of the indenture has been filed as an exhibit to the registration statement and you should read the</w:t>
      </w:r>
      <w:r>
        <w:rPr>
          <w:color w:val="000000"/>
        </w:rPr>
        <w:t xml:space="preserve"> </w:t>
      </w:r>
      <w:r>
        <w:rPr>
          <w:rFonts w:ascii="Times NR MT Pro;sans-serif" w:hAnsi="Times NR MT Pro;sans-serif"/>
          <w:b w:val="false"/>
          <w:color w:val="231F20"/>
          <w:sz w:val="20"/>
        </w:rPr>
        <w:t>indenture for provisions that may be important to you. In the summary below, we have included references</w:t>
      </w:r>
      <w:r>
        <w:rPr>
          <w:color w:val="000000"/>
        </w:rPr>
        <w:t xml:space="preserve"> </w:t>
      </w:r>
      <w:r>
        <w:rPr>
          <w:rFonts w:ascii="Times NR MT Pro;sans-serif" w:hAnsi="Times NR MT Pro;sans-serif"/>
          <w:b w:val="false"/>
          <w:color w:val="231F20"/>
          <w:sz w:val="20"/>
        </w:rPr>
        <w:t>to the section numbers of the indenture so that you can easily locate these provisions. Capitalized terms used</w:t>
      </w:r>
      <w:r>
        <w:rPr>
          <w:color w:val="000000"/>
        </w:rPr>
        <w:t xml:space="preserve"> </w:t>
      </w:r>
      <w:r>
        <w:rPr>
          <w:rFonts w:ascii="Times NR MT Pro;sans-serif" w:hAnsi="Times NR MT Pro;sans-serif"/>
          <w:b w:val="false"/>
          <w:color w:val="231F20"/>
          <w:sz w:val="20"/>
        </w:rPr>
        <w:t>in the summary and not defined herein have the meanings specified in the indenture.</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used in this section only, “Solana,” “we,” “our” or “us” refer to Solana Company excluding our subsidiaries, unless expressly stated or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55" w:name="ifdfd4885bb53498c9886b75b8533b60a"/>
      <w:bookmarkEnd w:id="55"/>
      <w:r>
        <w:rPr>
          <w:rFonts w:ascii="Times NR MT Pro;sans-serif" w:hAnsi="Times NR MT Pro;sans-serif"/>
          <w:b/>
          <w:color w:val="231F20"/>
          <w:sz w:val="20"/>
        </w:rPr>
        <w:t>General</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000000"/>
          <w:sz w:val="20"/>
        </w:rPr>
        <w:t>the title and ranking of the debt securities (including the terms of any subordination provisions);</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000000"/>
          <w:sz w:val="20"/>
        </w:rPr>
        <w:t>the price or prices (expressed as a percentage of the principal amount) at which we will sell the debt</w:t>
      </w:r>
      <w:r>
        <w:rPr>
          <w:color w:val="000000"/>
        </w:rPr>
        <w:t xml:space="preserve"> </w:t>
      </w:r>
      <w:r>
        <w:rPr>
          <w:rFonts w:ascii="Times NR MT Pro;sans-serif" w:hAnsi="Times NR MT Pro;sans-serif"/>
          <w:b w:val="false"/>
          <w:color w:val="000000"/>
          <w:sz w:val="20"/>
        </w:rPr>
        <w:t>securities</w:t>
      </w:r>
      <w:r>
        <w:rPr>
          <w:rFonts w:ascii="Times New Roman;serif" w:hAnsi="Times New Roman;serif"/>
          <w:b w:val="false"/>
          <w:color w:val="000000"/>
          <w:sz w:val="20"/>
        </w:rPr>
        <w:t xml:space="preserve">;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any limit on the aggregate principal amount of the debt securities;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the date or dates on which the principal of the securities of the series is payable;</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period or periods within which, the price or prices at which and the terms and conditions upon which we may redeem the debt securities;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dates on which and the price or prices at which we will repurchase debt securities at the option of the holders of debt securities and other detailed terms and provisions of these repurchase obligations;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the denominations in which the debt securities will be issued, if other than denominations of $1,000 and any integral multiple thereof;</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whether the debt securities will be issued in the form of certificated debt securities or global debt securities;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portion of principal amount of the debt securities payable upon declaration of acceleration of the maturity date, if other than the principal amount;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designation of the currency, currencies or currency units in which payment of principal of, premium and interest on the debt securities will be made;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provisions relating to any security provided for the debt securities;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addition to, deletion of or change in the covenants described in this prospectus or in the indenture with respect to the debt securities;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any depositaries, interest rate calculation agents, exchange rate calculation agents or other agents with respect to the debt securities;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whether any of our direct or indirect subsidiaries</w:t>
      </w:r>
      <w:r>
        <w:rPr>
          <w:color w:val="231F20"/>
        </w:rPr>
        <w:t xml:space="preserve"> </w:t>
      </w:r>
      <w:r>
        <w:rPr>
          <w:rFonts w:ascii="Times NR MT Pro;sans-serif" w:hAnsi="Times NR MT Pro;sans-serif"/>
          <w:b w:val="false"/>
          <w:color w:val="231F20"/>
          <w:sz w:val="20"/>
        </w:rPr>
        <w:t>will guarantee the debt securities of that series,</w:t>
      </w:r>
      <w:r>
        <w:rPr>
          <w:color w:val="000000"/>
        </w:rPr>
        <w:t xml:space="preserve"> </w:t>
      </w:r>
      <w:r>
        <w:rPr>
          <w:rFonts w:ascii="Times NR MT Pro;sans-serif" w:hAnsi="Times NR MT Pro;sans-serif"/>
          <w:b w:val="false"/>
          <w:color w:val="231F20"/>
          <w:sz w:val="20"/>
        </w:rPr>
        <w:t>including the terms of subordination, if any, of such guarantees. (Section 2.2)</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provide you with information on the material federal income tax considerations and other special considerations applicable to any of these debt securities in the applicable prospectus supplement.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56" w:name="i041c6f269ade4fe5a7f8e778700aeb2d"/>
      <w:bookmarkEnd w:id="56"/>
      <w:r>
        <w:rPr>
          <w:rFonts w:ascii="Times NR MT Pro;sans-serif" w:hAnsi="Times NR MT Pro;sans-serif"/>
          <w:b/>
          <w:color w:val="231F20"/>
          <w:sz w:val="20"/>
        </w:rPr>
        <w:t>Transfer and Exchange</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Each debt security will be represented by either one or more global securities registered in the name of</w:t>
      </w:r>
      <w:r>
        <w:rPr>
          <w:color w:val="000000"/>
        </w:rPr>
        <w:t xml:space="preserve"> </w:t>
      </w:r>
      <w:r>
        <w:rPr>
          <w:rFonts w:ascii="Times NR MT Pro;sans-serif" w:hAnsi="Times NR MT Pro;sans-serif"/>
          <w:b w:val="false"/>
          <w:color w:val="231F20"/>
          <w:sz w:val="20"/>
        </w:rPr>
        <w:t>The Depository Trust Company (the “Depositary”), or a nominee of the Depositary (we will refer to any</w:t>
      </w:r>
      <w:r>
        <w:rPr>
          <w:color w:val="000000"/>
        </w:rPr>
        <w:t xml:space="preserve"> </w:t>
      </w:r>
      <w:r>
        <w:rPr>
          <w:rFonts w:ascii="Times NR MT Pro;sans-serif" w:hAnsi="Times NR MT Pro;sans-serif"/>
          <w:b w:val="false"/>
          <w:color w:val="231F20"/>
          <w:sz w:val="20"/>
        </w:rPr>
        <w:t>debt security represented by a global debt security as a “book-entry debt security”), or a certificate issued in</w:t>
      </w:r>
      <w:r>
        <w:rPr>
          <w:color w:val="000000"/>
        </w:rPr>
        <w:t xml:space="preserve"> </w:t>
      </w:r>
      <w:r>
        <w:rPr>
          <w:rFonts w:ascii="Times NR MT Pro;sans-serif" w:hAnsi="Times NR MT Pro;sans-serif"/>
          <w:b w:val="false"/>
          <w:color w:val="231F20"/>
          <w:sz w:val="20"/>
        </w:rPr>
        <w:t>definitive registered form (we will refer to any debt security represented by a certificated security as a</w:t>
      </w:r>
      <w:r>
        <w:rPr>
          <w:color w:val="000000"/>
        </w:rPr>
        <w:t xml:space="preserve"> </w:t>
      </w:r>
      <w:r>
        <w:rPr>
          <w:color w:val="231F20"/>
        </w:rPr>
        <w:t>“</w:t>
      </w:r>
      <w:r>
        <w:rPr>
          <w:rFonts w:ascii="Times NR MT Pro;sans-serif" w:hAnsi="Times NR MT Pro;sans-serif"/>
          <w:b w:val="false"/>
          <w:color w:val="231F20"/>
          <w:sz w:val="20"/>
        </w:rPr>
        <w:t>certificated debt security”) as set forth in the applicable prospectus supplement. Except as set forth under</w:t>
      </w:r>
      <w:r>
        <w:rPr>
          <w:color w:val="000000"/>
        </w:rPr>
        <w:t xml:space="preserve"> </w:t>
      </w:r>
      <w:r>
        <w:rPr>
          <w:rFonts w:ascii="Times NR MT Pro;sans-serif" w:hAnsi="Times NR MT Pro;sans-serif"/>
          <w:b w:val="false"/>
          <w:color w:val="231F20"/>
          <w:sz w:val="20"/>
        </w:rPr>
        <w:t>the heading “Global Debt Securities and Book-Entry System” below, book-entry debt securities will not be</w:t>
      </w:r>
      <w:r>
        <w:rPr>
          <w:color w:val="000000"/>
        </w:rPr>
        <w:t xml:space="preserve"> </w:t>
      </w:r>
      <w:r>
        <w:rPr>
          <w:rFonts w:ascii="Times NR MT Pro;sans-serif" w:hAnsi="Times NR MT Pro;sans-serif"/>
          <w:b w:val="false"/>
          <w:color w:val="231F20"/>
          <w:sz w:val="20"/>
        </w:rPr>
        <w:t>issuable in certificated form.</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i/>
          <w:color w:val="231F20"/>
          <w:sz w:val="20"/>
        </w:rPr>
        <w:t xml:space="preserve">Certificated Debt Securities. </w:t>
      </w:r>
      <w:r>
        <w:rPr>
          <w:rFonts w:ascii="Times NR MT Pro;sans-serif" w:hAnsi="Times NR MT Pro;sans-serif"/>
          <w:b w:val="false"/>
          <w:color w:val="231F20"/>
          <w:sz w:val="20"/>
        </w:rPr>
        <w:t>You may transfer or exchange certificated debt securities at any office we</w:t>
      </w:r>
      <w:r>
        <w:rPr>
          <w:color w:val="000000"/>
        </w:rPr>
        <w:t xml:space="preserve"> </w:t>
      </w:r>
      <w:r>
        <w:rPr>
          <w:rFonts w:ascii="Times NR MT Pro;sans-serif" w:hAnsi="Times NR MT Pro;sans-serif"/>
          <w:b w:val="false"/>
          <w:color w:val="231F20"/>
          <w:sz w:val="20"/>
        </w:rPr>
        <w:t>maintain for this purpose in accordance with the terms of the indenture. (Section 2.4) No service charge will</w:t>
      </w:r>
      <w:r>
        <w:rPr>
          <w:color w:val="000000"/>
        </w:rPr>
        <w:t xml:space="preserve"> </w:t>
      </w:r>
      <w:r>
        <w:rPr>
          <w:rFonts w:ascii="Times NR MT Pro;sans-serif" w:hAnsi="Times NR MT Pro;sans-serif"/>
          <w:b w:val="false"/>
          <w:color w:val="231F20"/>
          <w:sz w:val="20"/>
        </w:rPr>
        <w:t>be made for any transfer or exchange of certificated debt securities, but we may require payment of a sum</w:t>
      </w:r>
      <w:r>
        <w:rPr>
          <w:color w:val="000000"/>
        </w:rPr>
        <w:t xml:space="preserve"> </w:t>
      </w:r>
      <w:r>
        <w:rPr>
          <w:rFonts w:ascii="Times NR MT Pro;sans-serif" w:hAnsi="Times NR MT Pro;sans-serif"/>
          <w:b w:val="false"/>
          <w:color w:val="231F20"/>
          <w:sz w:val="20"/>
        </w:rPr>
        <w:t xml:space="preserve">sufficient to cover any tax or </w:t>
      </w:r>
      <w:r>
        <w:rPr>
          <w:rFonts w:ascii="Times New Roman;serif" w:hAnsi="Times New Roman;serif"/>
          <w:b w:val="false"/>
          <w:color w:val="010302"/>
          <w:sz w:val="20"/>
        </w:rPr>
        <w:t xml:space="preserve">other governmental charge payable in connection with a transfer or exchange. (Section 2.7) </w:t>
      </w:r>
    </w:p>
    <w:p>
      <w:pPr>
        <w:pStyle w:val="TextBody"/>
        <w:bidi w:val="0"/>
        <w:spacing w:lineRule="auto" w:line="288" w:before="0" w:after="240"/>
        <w:ind w:left="0" w:right="0" w:firstLine="360"/>
        <w:jc w:val="both"/>
        <w:rPr>
          <w:rFonts w:ascii="Times New Roman;serif" w:hAnsi="Times New Roman;serif"/>
          <w:b w:val="false"/>
          <w:color w:val="010302"/>
          <w:sz w:val="20"/>
        </w:rPr>
      </w:pPr>
      <w:r>
        <w:rPr>
          <w:rFonts w:ascii="Times New Roman;serif" w:hAnsi="Times New Roman;serif"/>
          <w:b w:val="false"/>
          <w:color w:val="010302"/>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0" w:after="240"/>
        <w:ind w:left="0" w:right="0" w:firstLine="360"/>
        <w:jc w:val="both"/>
        <w:rPr/>
      </w:pPr>
      <w:r>
        <w:rPr>
          <w:rFonts w:ascii="Times New Roman;serif" w:hAnsi="Times New Roman;serif"/>
          <w:b w:val="false"/>
          <w:color w:val="010302"/>
          <w:sz w:val="20"/>
        </w:rPr>
        <w:t>Global Debt Securities and Book-Entry System. Each global debt security representing book-entry debt securities will be deposited with, or on behalf of, the Depositary, and registered in the name of the Depositary or</w:t>
      </w:r>
      <w:r>
        <w:rPr>
          <w:color w:val="231F20"/>
        </w:rPr>
        <w:t xml:space="preserve"> </w:t>
      </w:r>
      <w:r>
        <w:rPr>
          <w:rFonts w:ascii="Times NR MT Pro;sans-serif" w:hAnsi="Times NR MT Pro;sans-serif"/>
          <w:b w:val="false"/>
          <w:color w:val="231F20"/>
          <w:sz w:val="20"/>
        </w:rPr>
        <w:t>a nominee of the Depositary. Please see “Global Securities.”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57" w:name="i4fa73b45ca664b859271743d69bf6400"/>
      <w:bookmarkEnd w:id="57"/>
      <w:r>
        <w:rPr>
          <w:rFonts w:ascii="Times NR MT Pro;sans-serif" w:hAnsi="Times NR MT Pro;sans-serif"/>
          <w:b/>
          <w:color w:val="231F20"/>
          <w:sz w:val="20"/>
        </w:rPr>
        <w:t>Covenants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will set forth in the applicable prospectus supplement any restrictive covenants applicable to any</w:t>
      </w:r>
      <w:r>
        <w:rPr>
          <w:color w:val="000000"/>
        </w:rPr>
        <w:t xml:space="preserve"> </w:t>
      </w:r>
      <w:r>
        <w:rPr>
          <w:rFonts w:ascii="Times NR MT Pro;sans-serif" w:hAnsi="Times NR MT Pro;sans-serif"/>
          <w:b w:val="false"/>
          <w:color w:val="231F20"/>
          <w:sz w:val="20"/>
        </w:rPr>
        <w:t>issue of debt securities.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58" w:name="i0e89fb4fcf6d4293a4475f85630f7fb6"/>
      <w:bookmarkEnd w:id="58"/>
      <w:r>
        <w:rPr>
          <w:rFonts w:ascii="Times NR MT Pro;sans-serif" w:hAnsi="Times NR MT Pro;sans-serif"/>
          <w:b/>
          <w:color w:val="231F20"/>
          <w:sz w:val="20"/>
        </w:rPr>
        <w:t>No Protection in the Event of a Change of Control</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59" w:name="i5d36f758c6ad4bde8274d2ecedc7ecde"/>
      <w:bookmarkEnd w:id="59"/>
      <w:r>
        <w:rPr>
          <w:rFonts w:ascii="Times NR MT Pro;sans-serif" w:hAnsi="Times NR MT Pro;sans-serif"/>
          <w:b/>
          <w:color w:val="231F20"/>
          <w:sz w:val="20"/>
        </w:rPr>
        <w:t>Consolidation, Merger and Sale of Assets</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consolidate with or merge with or into, or convey, transfer or lease all or substantially all of our properties and assets to any person (a “successor person”) unless: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we are the surviving entity or the successor person (if other than Solana) is a corporation, partnership, trust or other entity organized and validly existing under the laws of any U.S. domestic jurisdiction and expressly assumes our obligations on the debt securities and under the indenture; and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immediately after giving effect to the transaction, no Default or Event of Default, shall have occurred and be continuing.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the above, any of our subsidiaries may consolidate with, merge into or transfer all or part of its properties to us. (Section 5.1)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60" w:name="iccdcaa5b638c4fbf9f87017ccec0bf89"/>
      <w:bookmarkEnd w:id="60"/>
      <w:r>
        <w:rPr>
          <w:rFonts w:ascii="Times NR MT Pro;sans-serif" w:hAnsi="Times NR MT Pro;sans-serif"/>
          <w:b/>
          <w:color w:val="231F20"/>
          <w:sz w:val="20"/>
        </w:rPr>
        <w:t>Events of Default</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Event of Default” means with respect to any series of debt </w:t>
      </w:r>
      <w:r>
        <w:rPr>
          <w:rFonts w:ascii="Times New Roman;serif" w:hAnsi="Times New Roman;serif"/>
          <w:b w:val="false"/>
          <w:i/>
          <w:color w:val="000000"/>
          <w:sz w:val="20"/>
        </w:rPr>
        <w:t>securities</w:t>
      </w:r>
      <w:r>
        <w:rPr>
          <w:rFonts w:ascii="Times New Roman;serif" w:hAnsi="Times New Roman;serif"/>
          <w:b w:val="false"/>
          <w:color w:val="000000"/>
          <w:sz w:val="20"/>
        </w:rPr>
        <w:t xml:space="preserve">, any of the following: 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default in the payment of principal of any security of that series at its maturity;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Solana and the trustee receive written notice from the holders of not less than 25% in principal amount of the outstanding debt securities of that series as provided in the indenture;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certain voluntary or involuntary events of bankruptcy, insolvency or reorganization of Solana;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other Event of Default provided with respect to debt securities of that series that is described in the applicable prospectus supplement. (Section 6.1)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that holder has previously given to the trustee written notice of a continuing Event of Default with respect to debt securities of that series; and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61" w:name="i18dc19ac94664b038a3ab8803e707622"/>
      <w:bookmarkEnd w:id="61"/>
      <w:r>
        <w:rPr>
          <w:rFonts w:ascii="Times NR MT Pro;sans-serif" w:hAnsi="Times NR MT Pro;sans-serif"/>
          <w:b/>
          <w:color w:val="231F20"/>
          <w:sz w:val="20"/>
        </w:rPr>
        <w:t>Modification and Waiver</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and the trustee may modify, amend or supplement the indenture or the debt securities of any series without the consent of any holder of any debt security: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cure any ambiguity, defect or inconsistency;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comply with covenants in the indenture described above under the heading “Consolidation, Merger and Sale of Assets”;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provide for uncertificated securities in addition to or in place of certificated securities;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add guarantees with respect to debt securities of any series or secure debt securities of any series;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surrender any of our rights or powers under the indenture;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add covenants or events of default for the benefit of the holders of debt securities of any series;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comply with the applicable procedures of the applicable depositary;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make any change that does not adversely affect the rights of any holder of debt securities;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provide for the issuance of and establish the form and terms and conditions of debt securities of any series as permitted by the indenture;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to comply with requirements of the SEC in order to effect or maintain the qualification of the indenture under the Trust Indenture Act. (Section 9.1)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reduce the amount of debt securities whose holders must consent to an amendment, supplement or</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R MT Pro;sans-serif" w:hAnsi="Times NR MT Pro;sans-serif"/>
          <w:b w:val="false"/>
          <w:color w:val="231F20"/>
          <w:sz w:val="20"/>
        </w:rPr>
        <w:t>waiver;</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R MT Pro;sans-serif" w:hAnsi="Times NR MT Pro;sans-serif"/>
          <w:b w:val="false"/>
          <w:color w:val="231F20"/>
          <w:sz w:val="20"/>
        </w:rPr>
        <w:t>reduce the rate of or extend the time for payment of interest (including default interest) on any debt</w:t>
      </w:r>
      <w:r>
        <w:rPr>
          <w:color w:val="000000"/>
        </w:rPr>
        <w:t xml:space="preserve"> </w:t>
      </w:r>
      <w:r>
        <w:rPr>
          <w:rFonts w:ascii="Times New Roman;serif" w:hAnsi="Times New Roman;serif"/>
          <w:b w:val="false"/>
          <w:color w:val="000000"/>
          <w:sz w:val="20"/>
        </w:rPr>
        <w:t>security;</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reduce the principal amount of discount securities payable upon acceleration of maturity; 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p>
      <w:pPr>
        <w:pStyle w:val="TextBody"/>
        <w:bidi w:val="0"/>
        <w:spacing w:lineRule="auto" w:line="240" w:before="0" w:after="240"/>
        <w:ind w:left="0" w:right="0" w:hanging="360"/>
        <w:jc w:val="both"/>
        <w:rPr/>
      </w:pPr>
      <w:r>
        <w:rPr>
          <w:color w:val="010302"/>
        </w:rPr>
        <w:t>•</w:t>
      </w:r>
      <w:r>
        <w:rPr>
          <w:rFonts w:ascii="Times NR MT Pro;sans-serif" w:hAnsi="Times NR MT Pro;sans-serif"/>
          <w:b w:val="false"/>
          <w:color w:val="231F20"/>
          <w:sz w:val="20"/>
        </w:rPr>
        <w:t>make the principal of or premium or interest on any debt security payable in currency other than</w:t>
      </w:r>
      <w:r>
        <w:rPr>
          <w:color w:val="000000"/>
        </w:rPr>
        <w:t xml:space="preserve"> </w:t>
      </w:r>
      <w:r>
        <w:rPr>
          <w:rFonts w:ascii="Times New Roman;serif" w:hAnsi="Times New Roman;serif"/>
          <w:b w:val="false"/>
          <w:color w:val="000000"/>
          <w:sz w:val="20"/>
        </w:rPr>
        <w:t>that stated in the debt security;</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waive a redemption payment with respect to any debt security. (Section 9.3)</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both"/>
        <w:rPr/>
      </w:pPr>
      <w:bookmarkStart w:id="62" w:name="i8e7bde91bdfa4e16bae2529ff98f2546"/>
      <w:bookmarkEnd w:id="62"/>
      <w:r>
        <w:rPr>
          <w:rFonts w:ascii="Times NR MT Pro;sans-serif" w:hAnsi="Times NR MT Pro;sans-serif"/>
          <w:b/>
          <w:color w:val="231F20"/>
          <w:sz w:val="20"/>
        </w:rPr>
        <w:t>Defeasance of Debt Securities and Certain Covenants in Certain Circumstances</w:t>
      </w:r>
      <w:r>
        <w:rPr>
          <w:color w:val="000000"/>
        </w:rPr>
        <w:t xml:space="preserve"> </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Legal Defeasance</w:t>
      </w:r>
      <w:r>
        <w:rPr>
          <w:rFonts w:ascii="Times New Roman;serif" w:hAnsi="Times New Roman;serif"/>
          <w:b w:val="false"/>
          <w:color w:val="000000"/>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Defeasance of Certain Covenants</w:t>
      </w:r>
      <w:r>
        <w:rPr>
          <w:rFonts w:ascii="Times New Roman;serif" w:hAnsi="Times New Roman;serif"/>
          <w:b w:val="false"/>
          <w:color w:val="000000"/>
          <w:sz w:val="20"/>
        </w:rPr>
        <w:t xml:space="preserve">. The indenture provides that, unless otherwise provided by the terms of the applicable series of debt securities, upon compliance with certain conditions: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omission to comply with those covenants will not constitute a Default or an Event of Default with respect to the debt securities of that series (“covenant defeasance”).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conditions include: 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63" w:name="i355026447d894f88a221c00550f64e79"/>
      <w:bookmarkEnd w:id="63"/>
      <w:r>
        <w:rPr>
          <w:rFonts w:ascii="Times NR MT Pro;sans-serif" w:hAnsi="Times NR MT Pro;sans-serif"/>
          <w:b/>
          <w:color w:val="231F20"/>
          <w:sz w:val="20"/>
        </w:rPr>
        <w:t>No Personal Liability of Directors, Officers, Employees or Securityholders</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both"/>
        <w:rPr/>
      </w:pPr>
      <w:bookmarkStart w:id="64" w:name="i20ad073dd7054fe39278c9471dd049d0"/>
      <w:bookmarkEnd w:id="64"/>
      <w:r>
        <w:rPr>
          <w:rFonts w:ascii="Times NR MT Pro;sans-serif" w:hAnsi="Times NR MT Pro;sans-serif"/>
          <w:b/>
          <w:color w:val="231F20"/>
          <w:sz w:val="20"/>
        </w:rPr>
        <w:t>Governing Law</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65" w:name="ia16a443022fe4f4186809c6208902a2f"/>
      <w:bookmarkEnd w:id="65"/>
      <w:r>
        <w:rPr>
          <w:rFonts w:ascii="Times New Roman;serif" w:hAnsi="Times New Roman;serif"/>
          <w:b/>
          <w:color w:val="000000"/>
          <w:sz w:val="20"/>
        </w:rPr>
        <w:t xml:space="preserve">DESCRIPTION OF WARRANTS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specific designation and aggregate number of, and the offering price at which we will issue, the warrants;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currency or currency units in which the offering price, if any, and the exercise price are payable;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whether the warrants are to be sold separately or with other securities as parts of units;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applicable material U.S. federal income tax consequences;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identity of the warrant agent for the warrants and of any other depositaries, execution or paying agents, transfer agents, registrars or other agents;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the proposed listing, if any, of the warrants or any securities purchasable upon exercise of the</w:t>
      </w:r>
      <w:r>
        <w:rPr>
          <w:color w:val="000000"/>
        </w:rPr>
        <w:t xml:space="preserve"> </w:t>
      </w:r>
      <w:r>
        <w:rPr>
          <w:rFonts w:ascii="Times NR MT Pro;sans-serif" w:hAnsi="Times NR MT Pro;sans-serif"/>
          <w:b w:val="false"/>
          <w:color w:val="231F20"/>
          <w:sz w:val="20"/>
        </w:rPr>
        <w:t>warrants on any securities exchange;</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designation and terms of any equity securities purchasable upon exercise of the warrants;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designation, aggregate principal amount, currency and terms of any debt securities that may be purchased upon exercise of the warrants;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if applicable, the designation and terms of the preferred stock with which the warrants are issued and the number of warrants issued with each security;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if applicable, the date from and after which any warrants issued as part of a unit and the related debt securities, preferred stock or common stock will be separately transferable; </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0"/>
        </w:rPr>
        <w:t xml:space="preserve">the number of shares of common stock or preferred stock purchasable upon exercise of a warrant and the price at which those shares may be purchased;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if applicable, the minimum or maximum amount of the warrants that may be exercised at any one time;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information with respect to book-entry procedures, if any;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anti-dilution provisions of, and other provisions for changes to or adjustment in the exercise price of, the warrants, if any;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redemption or call provisions; and </w:t>
      </w:r>
    </w:p>
    <w:p>
      <w:pPr>
        <w:pStyle w:val="TextBody"/>
        <w:bidi w:val="0"/>
        <w:spacing w:lineRule="auto" w:line="288"/>
        <w:jc w:val="left"/>
        <w:rPr/>
      </w:pPr>
      <w:r>
        <w:rPr>
          <w:color w:val="000000"/>
        </w:rPr>
        <w:t>•</w:t>
      </w:r>
      <w:r>
        <w:rPr>
          <w:rFonts w:ascii="Times New Roman;serif" w:hAnsi="Times New Roman;serif"/>
          <w:b w:val="false"/>
          <w:color w:val="000000"/>
          <w:sz w:val="20"/>
        </w:rPr>
        <w:t xml:space="preserve">any additional terms of the warrants, including terms, procedures and limitations relating to the exchange or exercise of the warrants.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66" w:name="i24bde2ca84534f838c150baacf5a7a9b"/>
      <w:bookmarkEnd w:id="66"/>
      <w:r>
        <w:rPr>
          <w:rFonts w:ascii="Times New Roman;serif" w:hAnsi="Times New Roman;serif"/>
          <w:b/>
          <w:color w:val="000000"/>
          <w:sz w:val="20"/>
        </w:rPr>
        <w:t xml:space="preserve">DESCRIPTION OF UNITS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the designation and the terms of the units and of the securities constituting the units, including</w:t>
      </w:r>
      <w:r>
        <w:rPr>
          <w:color w:val="000000"/>
        </w:rPr>
        <w:t xml:space="preserve"> </w:t>
      </w:r>
      <w:r>
        <w:rPr>
          <w:rFonts w:ascii="Times NR MT Pro;sans-serif" w:hAnsi="Times NR MT Pro;sans-serif"/>
          <w:b w:val="false"/>
          <w:color w:val="231F20"/>
          <w:sz w:val="20"/>
        </w:rPr>
        <w:t>whether and under what circumstances the securities comprising the units may be traded separately;</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identity of any unit agent for the units, if applicable, and of any other depositaries, execution or paying agents, transfer agents, registrars or other agents;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additional terms of the governing unit agreement, if applicable;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additional provisions for the issuance, payment, settlement, transfer or exchange of the units or of the debt securities, common stock, preferred stock or warrants constituting the units; and </w:t>
      </w:r>
    </w:p>
    <w:p>
      <w:pPr>
        <w:pStyle w:val="TextBody"/>
        <w:bidi w:val="0"/>
        <w:spacing w:lineRule="auto" w:line="288"/>
        <w:jc w:val="left"/>
        <w:rPr/>
      </w:pPr>
      <w:r>
        <w:rPr>
          <w:color w:val="000000"/>
        </w:rPr>
        <w:t>•</w:t>
      </w:r>
      <w:r>
        <w:rPr>
          <w:rFonts w:ascii="Times NR MT Pro;sans-serif" w:hAnsi="Times NR MT Pro;sans-serif"/>
          <w:b w:val="false"/>
          <w:color w:val="231F20"/>
          <w:sz w:val="20"/>
        </w:rPr>
        <w:t>any applicable material U.S. federal income tax consequences.</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67" w:name="i97ecd78d896949f7a0f59e5a50f8cc66"/>
      <w:bookmarkEnd w:id="67"/>
      <w:r>
        <w:rPr>
          <w:rFonts w:ascii="Times New Roman;serif" w:hAnsi="Times New Roman;serif"/>
          <w:b/>
          <w:color w:val="000000"/>
          <w:sz w:val="20"/>
        </w:rPr>
        <w:t xml:space="preserve">GLOBAL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68" w:name="i76c7e9f953ee4cc6865479050b53e284"/>
      <w:bookmarkEnd w:id="68"/>
      <w:r>
        <w:rPr>
          <w:rFonts w:ascii="Times NR MT Pro;sans-serif" w:hAnsi="Times NR MT Pro;sans-serif"/>
          <w:b/>
          <w:color w:val="231F20"/>
          <w:sz w:val="20"/>
        </w:rPr>
        <w:t>Book-Entry, Delivery and Form</w:t>
      </w:r>
      <w:r>
        <w:rPr>
          <w:color w:val="000000"/>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w:t>
      </w:r>
      <w:r>
        <w:rPr>
          <w:rFonts w:ascii="Times NR MT Pro;sans-serif" w:hAnsi="Times NR MT Pro;sans-serif"/>
          <w:b w:val="false"/>
          <w:color w:val="231F20"/>
          <w:sz w:val="20"/>
        </w:rPr>
        <w:t>Depository Trust Company, New York, New York, as depositary (“DTC”), and registered in the name of</w:t>
      </w:r>
      <w:r>
        <w:rPr>
          <w:color w:val="000000"/>
        </w:rPr>
        <w:t xml:space="preserve"> </w:t>
      </w:r>
      <w:r>
        <w:rPr>
          <w:rFonts w:ascii="Times NR MT Pro;sans-serif" w:hAnsi="Times NR MT Pro;sans-serif"/>
          <w:b w:val="false"/>
          <w:color w:val="231F20"/>
          <w:sz w:val="20"/>
        </w:rPr>
        <w:t>Cede &amp; Co., the nominee of DTC. Unless and until it is exchanged for individual certificates evidencing</w:t>
      </w:r>
      <w:r>
        <w:rPr>
          <w:color w:val="000000"/>
        </w:rPr>
        <w:t xml:space="preserve"> </w:t>
      </w:r>
      <w:r>
        <w:rPr>
          <w:rFonts w:ascii="Times NR MT Pro;sans-serif" w:hAnsi="Times NR MT Pro;sans-serif"/>
          <w:b w:val="false"/>
          <w:color w:val="231F20"/>
          <w:sz w:val="20"/>
        </w:rPr>
        <w:t>securities under the limited circumstances described below, a global security may not be transferred except as</w:t>
      </w:r>
      <w:r>
        <w:rPr>
          <w:color w:val="000000"/>
        </w:rPr>
        <w:t xml:space="preserve"> </w:t>
      </w:r>
      <w:r>
        <w:rPr>
          <w:rFonts w:ascii="Times NR MT Pro;sans-serif" w:hAnsi="Times NR MT Pro;sans-serif"/>
          <w:b w:val="false"/>
          <w:color w:val="231F20"/>
          <w:sz w:val="20"/>
        </w:rPr>
        <w:t>a whole by the depositary to its nominee or by the nominee to the depositary, or by the depositary or its</w:t>
      </w:r>
      <w:r>
        <w:rPr>
          <w:color w:val="000000"/>
        </w:rPr>
        <w:t xml:space="preserve"> </w:t>
      </w:r>
      <w:r>
        <w:rPr>
          <w:rFonts w:ascii="Times NR MT Pro;sans-serif" w:hAnsi="Times NR MT Pro;sans-serif"/>
          <w:b w:val="false"/>
          <w:color w:val="231F20"/>
          <w:sz w:val="20"/>
        </w:rPr>
        <w:t>nominee to a successor depositary or to a nominee of the successor depositary.</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DTC has advised us that it is:</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 limited-purpose trust company organized under the New York Banking Law;</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 “banking organization” within the meaning of the New York Banking Law;</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 member of the Federal Reserve System;</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 “clearing corporation” within the meaning of the New York Uniform Commercial Code; and</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 “clearing agency” registered pursuant to the provisions of Section 17A of the Exchange Act.</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To facilitate subsequent transfers, all global securities deposited by direct participants with DTC will be</w:t>
      </w:r>
      <w:r>
        <w:rPr>
          <w:color w:val="000000"/>
        </w:rPr>
        <w:t xml:space="preserve"> </w:t>
      </w:r>
      <w:r>
        <w:rPr>
          <w:rFonts w:ascii="Times NR MT Pro;sans-serif" w:hAnsi="Times NR MT Pro;sans-serif"/>
          <w:b w:val="false"/>
          <w:color w:val="231F20"/>
          <w:sz w:val="20"/>
        </w:rPr>
        <w:t>registered in the name of DTC’s partnership nominee, Cede &amp; Co., or such other name as may be requested</w:t>
      </w:r>
      <w:r>
        <w:rPr>
          <w:color w:val="000000"/>
        </w:rPr>
        <w:t xml:space="preserve"> </w:t>
      </w:r>
      <w:r>
        <w:rPr>
          <w:rFonts w:ascii="Times NR MT Pro;sans-serif" w:hAnsi="Times NR MT Pro;sans-serif"/>
          <w:b w:val="false"/>
          <w:color w:val="231F20"/>
          <w:sz w:val="20"/>
        </w:rPr>
        <w:t xml:space="preserve">by an </w:t>
      </w:r>
      <w:r>
        <w:rPr>
          <w:rFonts w:ascii="Times New Roman;serif" w:hAnsi="Times New Roman;serif"/>
          <w:b w:val="false"/>
          <w:color w:val="000000"/>
          <w:sz w:val="20"/>
        </w:rPr>
        <w:t>authorized</w:t>
      </w:r>
      <w:r>
        <w:rPr>
          <w:color w:val="231F20"/>
        </w:rPr>
        <w:t xml:space="preserve"> </w:t>
      </w:r>
      <w:r>
        <w:rPr>
          <w:rFonts w:ascii="Times NR MT Pro;sans-serif" w:hAnsi="Times NR MT Pro;sans-serif"/>
          <w:b w:val="false"/>
          <w:color w:val="231F20"/>
          <w:sz w:val="20"/>
        </w:rPr>
        <w:t>representative of DTC. The deposit of securities with DTC and their registration in the</w:t>
      </w:r>
      <w:r>
        <w:rPr>
          <w:color w:val="000000"/>
        </w:rPr>
        <w:t xml:space="preserve"> </w:t>
      </w:r>
      <w:r>
        <w:rPr>
          <w:rFonts w:ascii="Times NR MT Pro;sans-serif" w:hAnsi="Times NR MT Pro;sans-serif"/>
          <w:b w:val="false"/>
          <w:color w:val="231F20"/>
          <w:sz w:val="20"/>
        </w:rPr>
        <w:t>name of Cede &amp; Co. or such other nominee will not change the beneficial ownership of the securities. DTC</w:t>
      </w:r>
      <w:r>
        <w:rPr>
          <w:color w:val="000000"/>
        </w:rPr>
        <w:t xml:space="preserve"> </w:t>
      </w:r>
      <w:r>
        <w:rPr>
          <w:rFonts w:ascii="Times NR MT Pro;sans-serif" w:hAnsi="Times NR MT Pro;sans-serif"/>
          <w:b w:val="false"/>
          <w:color w:val="231F20"/>
          <w:sz w:val="20"/>
        </w:rPr>
        <w:t>has no knowledge of the actual beneficial owners of the securities. DTC’s records reflect only the identity</w:t>
      </w:r>
      <w:r>
        <w:rPr>
          <w:color w:val="000000"/>
        </w:rPr>
        <w:t xml:space="preserve"> </w:t>
      </w:r>
      <w:r>
        <w:rPr>
          <w:rFonts w:ascii="Times NR MT Pro;sans-serif" w:hAnsi="Times NR MT Pro;sans-serif"/>
          <w:b w:val="false"/>
          <w:color w:val="231F20"/>
          <w:sz w:val="20"/>
        </w:rPr>
        <w:t>of the direct participants to whose accounts the securities are credited, which may or may not be the beneficial</w:t>
      </w:r>
      <w:r>
        <w:rPr>
          <w:color w:val="000000"/>
        </w:rPr>
        <w:t xml:space="preserve"> </w:t>
      </w:r>
      <w:r>
        <w:rPr>
          <w:rFonts w:ascii="Times NR MT Pro;sans-serif" w:hAnsi="Times NR MT Pro;sans-serif"/>
          <w:b w:val="false"/>
          <w:color w:val="231F20"/>
          <w:sz w:val="20"/>
        </w:rPr>
        <w:t>owners. The participants are responsible for keeping account of their holdings on behalf of their customers.</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So long as the securities are in book-entry form, you will receive payments and may transfer securities</w:t>
      </w:r>
      <w:r>
        <w:rPr>
          <w:color w:val="000000"/>
        </w:rPr>
        <w:t xml:space="preserve"> </w:t>
      </w:r>
      <w:r>
        <w:rPr>
          <w:rFonts w:ascii="Times NR MT Pro;sans-serif" w:hAnsi="Times NR MT Pro;sans-serif"/>
          <w:b w:val="false"/>
          <w:color w:val="231F20"/>
          <w:sz w:val="20"/>
        </w:rPr>
        <w:t xml:space="preserve">only through </w:t>
      </w:r>
      <w:r>
        <w:rPr>
          <w:rFonts w:ascii="Times New Roman;serif" w:hAnsi="Times New Roman;serif"/>
          <w:b w:val="false"/>
          <w:color w:val="000000"/>
          <w:sz w:val="20"/>
        </w:rPr>
        <w:t xml:space="preserve">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So long as securities are in book-entry form, we will make payments on those securities to the depositary</w:t>
      </w:r>
      <w:r>
        <w:rPr>
          <w:color w:val="000000"/>
        </w:rPr>
        <w:t xml:space="preserve"> </w:t>
      </w:r>
      <w:r>
        <w:rPr>
          <w:rFonts w:ascii="Times NR MT Pro;sans-serif" w:hAnsi="Times NR MT Pro;sans-serif"/>
          <w:b w:val="false"/>
          <w:color w:val="231F20"/>
          <w:sz w:val="20"/>
        </w:rPr>
        <w:t>or its nominee, as the registered owner of such securities, by wire transfer of immediately available funds. If</w:t>
      </w:r>
      <w:r>
        <w:rPr>
          <w:color w:val="000000"/>
        </w:rPr>
        <w:t xml:space="preserve"> </w:t>
      </w:r>
      <w:r>
        <w:rPr>
          <w:rFonts w:ascii="Times New Roman;serif" w:hAnsi="Times New Roman;serif"/>
          <w:b w:val="false"/>
          <w:color w:val="010302"/>
          <w:sz w:val="20"/>
        </w:rPr>
        <w:t>securities</w:t>
      </w:r>
      <w:r>
        <w:rPr>
          <w:color w:val="231F20"/>
        </w:rPr>
        <w:t xml:space="preserve"> </w:t>
      </w:r>
      <w:r>
        <w:rPr>
          <w:rFonts w:ascii="Times NR MT Pro;sans-serif" w:hAnsi="Times NR MT Pro;sans-serif"/>
          <w:b w:val="false"/>
          <w:color w:val="231F20"/>
          <w:sz w:val="20"/>
        </w:rPr>
        <w:t>are issued in definitive certificated form under the limited circumstances described below and</w:t>
      </w:r>
      <w:r>
        <w:rPr>
          <w:color w:val="000000"/>
        </w:rPr>
        <w:t xml:space="preserve"> </w:t>
      </w:r>
      <w:r>
        <w:rPr>
          <w:rFonts w:ascii="Times NR MT Pro;sans-serif" w:hAnsi="Times NR MT Pro;sans-serif"/>
          <w:b w:val="false"/>
          <w:color w:val="231F20"/>
          <w:sz w:val="20"/>
        </w:rPr>
        <w:t>unless if otherwise provided in the description of the applicable securities herein or in the applicable</w:t>
      </w:r>
      <w:r>
        <w:rPr>
          <w:color w:val="000000"/>
        </w:rPr>
        <w:t xml:space="preserve"> </w:t>
      </w:r>
      <w:r>
        <w:rPr>
          <w:rFonts w:ascii="Times NR MT Pro;sans-serif" w:hAnsi="Times NR MT Pro;sans-serif"/>
          <w:b w:val="false"/>
          <w:color w:val="231F20"/>
          <w:sz w:val="20"/>
        </w:rPr>
        <w:t>prospectus supplement, we will have the option of making payments by check mailed to the addresses of the</w:t>
      </w:r>
      <w:r>
        <w:rPr>
          <w:color w:val="000000"/>
        </w:rPr>
        <w:t xml:space="preserve"> </w:t>
      </w:r>
      <w:r>
        <w:rPr>
          <w:rFonts w:ascii="Times NR MT Pro;sans-serif" w:hAnsi="Times NR MT Pro;sans-serif"/>
          <w:b w:val="false"/>
          <w:color w:val="231F20"/>
          <w:sz w:val="20"/>
        </w:rPr>
        <w:t>persons entitled to payment or by wire transfer to bank accounts in the United States designated in writing</w:t>
      </w:r>
      <w:r>
        <w:rPr>
          <w:color w:val="000000"/>
        </w:rPr>
        <w:t xml:space="preserve"> </w:t>
      </w:r>
      <w:r>
        <w:rPr>
          <w:rFonts w:ascii="Times NR MT Pro;sans-serif" w:hAnsi="Times NR MT Pro;sans-serif"/>
          <w:b w:val="false"/>
          <w:color w:val="231F20"/>
          <w:sz w:val="20"/>
        </w:rPr>
        <w:t>to the applicable trustee or other designated party at least 15 days before the applicable payment date by the</w:t>
      </w:r>
      <w:r>
        <w:rPr>
          <w:color w:val="000000"/>
        </w:rPr>
        <w:t xml:space="preserve"> </w:t>
      </w:r>
      <w:r>
        <w:rPr>
          <w:rFonts w:ascii="Times NR MT Pro;sans-serif" w:hAnsi="Times NR MT Pro;sans-serif"/>
          <w:b w:val="false"/>
          <w:color w:val="231F20"/>
          <w:sz w:val="20"/>
        </w:rPr>
        <w:t>persons entitled to payment, unless a shorter period is satisfactory to the applicable trustee or other</w:t>
      </w:r>
      <w:r>
        <w:rPr>
          <w:color w:val="000000"/>
        </w:rPr>
        <w:t xml:space="preserve"> </w:t>
      </w:r>
      <w:r>
        <w:rPr>
          <w:rFonts w:ascii="Times NR MT Pro;sans-serif" w:hAnsi="Times NR MT Pro;sans-serif"/>
          <w:b w:val="false"/>
          <w:color w:val="231F20"/>
          <w:sz w:val="20"/>
        </w:rPr>
        <w:t>designated party.</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Redemption proceeds, distributions and dividend payments on the securities will be made to Cede &amp;</w:t>
      </w:r>
      <w:r>
        <w:rPr>
          <w:color w:val="000000"/>
        </w:rPr>
        <w:t xml:space="preserve"> </w:t>
      </w:r>
      <w:r>
        <w:rPr>
          <w:rFonts w:ascii="Times NR MT Pro;sans-serif" w:hAnsi="Times NR MT Pro;sans-serif"/>
          <w:b w:val="false"/>
          <w:color w:val="231F20"/>
          <w:sz w:val="20"/>
        </w:rPr>
        <w:t>Co., or such other nominee as may be requested by an authorized representative of DTC. DTC’s practice is</w:t>
      </w:r>
      <w:r>
        <w:rPr>
          <w:color w:val="000000"/>
        </w:rPr>
        <w:t xml:space="preserve"> </w:t>
      </w:r>
      <w:r>
        <w:rPr>
          <w:rFonts w:ascii="Times NR MT Pro;sans-serif" w:hAnsi="Times NR MT Pro;sans-serif"/>
          <w:b w:val="false"/>
          <w:color w:val="231F20"/>
          <w:sz w:val="20"/>
        </w:rPr>
        <w:t>to credit direct participants’ accounts upon DTC’s receipt of funds and corresponding detail information</w:t>
      </w:r>
      <w:r>
        <w:rPr>
          <w:color w:val="000000"/>
        </w:rPr>
        <w:t xml:space="preserve"> </w:t>
      </w:r>
      <w:r>
        <w:rPr>
          <w:rFonts w:ascii="Times NR MT Pro;sans-serif" w:hAnsi="Times NR MT Pro;sans-serif"/>
          <w:b w:val="false"/>
          <w:color w:val="231F20"/>
          <w:sz w:val="20"/>
        </w:rPr>
        <w:t>from us on the payment date in accordance with their respective holdings shown on DTC records. Payments</w:t>
      </w:r>
      <w:r>
        <w:rPr>
          <w:color w:val="000000"/>
        </w:rPr>
        <w:t xml:space="preserve"> </w:t>
      </w:r>
      <w:r>
        <w:rPr>
          <w:rFonts w:ascii="Times NR MT Pro;sans-serif" w:hAnsi="Times NR MT Pro;sans-serif"/>
          <w:b w:val="false"/>
          <w:color w:val="231F20"/>
          <w:sz w:val="20"/>
        </w:rPr>
        <w:t>by participants to beneficial owners will be governed by standing instructions and customary practices, as</w:t>
      </w:r>
      <w:r>
        <w:rPr>
          <w:color w:val="000000"/>
        </w:rPr>
        <w:t xml:space="preserve"> </w:t>
      </w:r>
      <w:r>
        <w:rPr>
          <w:rFonts w:ascii="Times NR MT Pro;sans-serif" w:hAnsi="Times NR MT Pro;sans-serif"/>
          <w:b w:val="false"/>
          <w:color w:val="231F20"/>
          <w:sz w:val="20"/>
        </w:rPr>
        <w:t>is the case with securities held for the account of customers in bearer form or registered in “street name.”</w:t>
      </w:r>
      <w:r>
        <w:rPr>
          <w:color w:val="000000"/>
        </w:rPr>
        <w:t xml:space="preserve"> </w:t>
      </w:r>
      <w:r>
        <w:rPr>
          <w:rFonts w:ascii="Times NR MT Pro;sans-serif" w:hAnsi="Times NR MT Pro;sans-serif"/>
          <w:b w:val="false"/>
          <w:color w:val="231F20"/>
          <w:sz w:val="20"/>
        </w:rPr>
        <w:t>Those payments will be the responsibility of participants and not of DTC or us, subject to any statutory or</w:t>
      </w:r>
      <w:r>
        <w:rPr>
          <w:color w:val="000000"/>
        </w:rPr>
        <w:t xml:space="preserve"> </w:t>
      </w:r>
      <w:r>
        <w:rPr>
          <w:rFonts w:ascii="Times NR MT Pro;sans-serif" w:hAnsi="Times NR MT Pro;sans-serif"/>
          <w:b w:val="false"/>
          <w:color w:val="231F20"/>
          <w:sz w:val="20"/>
        </w:rPr>
        <w:t xml:space="preserve">regulatory requirements in effect from time to </w:t>
      </w:r>
      <w:r>
        <w:rPr>
          <w:rFonts w:ascii="Times New Roman;serif" w:hAnsi="Times New Roman;serif"/>
          <w:b w:val="false"/>
          <w:color w:val="010302"/>
          <w:sz w:val="20"/>
        </w:rPr>
        <w:t>time</w:t>
      </w:r>
      <w:r>
        <w:rPr>
          <w:rFonts w:ascii="Times NR MT Pro;sans-serif" w:hAnsi="Times NR MT Pro;sans-serif"/>
          <w:b w:val="false"/>
          <w:color w:val="231F20"/>
          <w:sz w:val="20"/>
        </w:rPr>
        <w:t>. Payment of redemption proceeds, distributions and</w:t>
      </w:r>
      <w:r>
        <w:rPr>
          <w:color w:val="000000"/>
        </w:rPr>
        <w:t xml:space="preserve"> </w:t>
      </w:r>
      <w:r>
        <w:rPr>
          <w:rFonts w:ascii="Times NR MT Pro;sans-serif" w:hAnsi="Times NR MT Pro;sans-serif"/>
          <w:b w:val="false"/>
          <w:color w:val="231F20"/>
          <w:sz w:val="20"/>
        </w:rPr>
        <w:t>dividend payments to Cede &amp; Co., or such other nominee as may be requested by an authorized representative</w:t>
      </w:r>
      <w:r>
        <w:rPr>
          <w:color w:val="000000"/>
        </w:rPr>
        <w:t xml:space="preserve"> </w:t>
      </w:r>
      <w:r>
        <w:rPr>
          <w:rFonts w:ascii="Times NR MT Pro;sans-serif" w:hAnsi="Times NR MT Pro;sans-serif"/>
          <w:b w:val="false"/>
          <w:color w:val="231F20"/>
          <w:sz w:val="20"/>
        </w:rPr>
        <w:t>of DTC, is our responsibility, disbursement of payments to direct participants is the responsibility of</w:t>
      </w:r>
      <w:r>
        <w:rPr>
          <w:color w:val="000000"/>
        </w:rPr>
        <w:t xml:space="preserve"> </w:t>
      </w:r>
      <w:r>
        <w:rPr>
          <w:rFonts w:ascii="Times NR MT Pro;sans-serif" w:hAnsi="Times NR MT Pro;sans-serif"/>
          <w:b w:val="false"/>
          <w:color w:val="231F20"/>
          <w:sz w:val="20"/>
        </w:rPr>
        <w:t>DTC, and disbursement of payments to the beneficial owners is the responsibility of direct and indirect</w:t>
      </w:r>
      <w:r>
        <w:rPr>
          <w:color w:val="000000"/>
        </w:rPr>
        <w:t xml:space="preserve"> </w:t>
      </w:r>
      <w:r>
        <w:rPr>
          <w:rFonts w:ascii="Times NR MT Pro;sans-serif" w:hAnsi="Times NR MT Pro;sans-serif"/>
          <w:b w:val="false"/>
          <w:color w:val="231F20"/>
          <w:sz w:val="20"/>
        </w:rPr>
        <w:t>participants.</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 xml:space="preserve">The laws of some </w:t>
      </w:r>
      <w:r>
        <w:rPr>
          <w:rFonts w:ascii="Times New Roman;serif" w:hAnsi="Times New Roman;serif"/>
          <w:b w:val="false"/>
          <w:color w:val="010302"/>
          <w:sz w:val="20"/>
        </w:rPr>
        <w:t>jurisdictions</w:t>
      </w:r>
      <w:r>
        <w:rPr>
          <w:color w:val="231F20"/>
        </w:rPr>
        <w:t xml:space="preserve"> </w:t>
      </w:r>
      <w:r>
        <w:rPr>
          <w:rFonts w:ascii="Times NR MT Pro;sans-serif" w:hAnsi="Times NR MT Pro;sans-serif"/>
          <w:b w:val="false"/>
          <w:color w:val="231F20"/>
          <w:sz w:val="20"/>
        </w:rPr>
        <w:t>may require that some purchasers of securities take physical delivery of</w:t>
      </w:r>
      <w:r>
        <w:rPr>
          <w:color w:val="000000"/>
        </w:rPr>
        <w:t xml:space="preserve"> </w:t>
      </w:r>
      <w:r>
        <w:rPr>
          <w:rFonts w:ascii="Times NR MT Pro;sans-serif" w:hAnsi="Times NR MT Pro;sans-serif"/>
          <w:b w:val="false"/>
          <w:color w:val="231F20"/>
          <w:sz w:val="20"/>
        </w:rPr>
        <w:t>securities in definitive form. Those laws may impair the ability to transfer or pledge beneficial interests in</w:t>
      </w:r>
      <w:r>
        <w:rPr>
          <w:color w:val="000000"/>
        </w:rPr>
        <w:t xml:space="preserve"> </w:t>
      </w:r>
      <w:r>
        <w:rPr>
          <w:rFonts w:ascii="Times NR MT Pro;sans-serif" w:hAnsi="Times NR MT Pro;sans-serif"/>
          <w:b w:val="false"/>
          <w:color w:val="231F20"/>
          <w:sz w:val="20"/>
        </w:rPr>
        <w:t>securities.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DTC may discontinue providing its services as securities depositary with respect to the securities at any</w:t>
      </w:r>
      <w:r>
        <w:rPr>
          <w:color w:val="000000"/>
        </w:rPr>
        <w:t xml:space="preserve"> </w:t>
      </w:r>
      <w:r>
        <w:rPr>
          <w:rFonts w:ascii="Times NR MT Pro;sans-serif" w:hAnsi="Times NR MT Pro;sans-serif"/>
          <w:b w:val="false"/>
          <w:color w:val="231F20"/>
          <w:sz w:val="20"/>
        </w:rPr>
        <w:t xml:space="preserve">time </w:t>
      </w:r>
      <w:r>
        <w:rPr>
          <w:rFonts w:ascii="Times New Roman;serif" w:hAnsi="Times New Roman;serif"/>
          <w:b w:val="false"/>
          <w:color w:val="010302"/>
          <w:sz w:val="20"/>
        </w:rPr>
        <w:t>by</w:t>
      </w:r>
      <w:r>
        <w:rPr>
          <w:color w:val="231F20"/>
        </w:rPr>
        <w:t xml:space="preserve"> </w:t>
      </w:r>
      <w:r>
        <w:rPr>
          <w:rFonts w:ascii="Times NR MT Pro;sans-serif" w:hAnsi="Times NR MT Pro;sans-serif"/>
          <w:b w:val="false"/>
          <w:color w:val="231F20"/>
          <w:sz w:val="20"/>
        </w:rPr>
        <w:t>giving reasonable notice to us. Under such circumstances, in the event that a successor depositary is</w:t>
      </w:r>
      <w:r>
        <w:rPr>
          <w:color w:val="000000"/>
        </w:rPr>
        <w:t xml:space="preserve"> </w:t>
      </w:r>
      <w:r>
        <w:rPr>
          <w:rFonts w:ascii="Times NR MT Pro;sans-serif" w:hAnsi="Times NR MT Pro;sans-serif"/>
          <w:b w:val="false"/>
          <w:color w:val="231F20"/>
          <w:sz w:val="20"/>
        </w:rPr>
        <w:t>not obtained, securities certificates are required to be printed and delivered.</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As noted above, beneficial owners of a particular series of securities generally will not receive certificates</w:t>
      </w:r>
      <w:r>
        <w:rPr>
          <w:color w:val="000000"/>
        </w:rPr>
        <w:t xml:space="preserve"> </w:t>
      </w:r>
      <w:r>
        <w:rPr>
          <w:rFonts w:ascii="Times NR MT Pro;sans-serif" w:hAnsi="Times NR MT Pro;sans-serif"/>
          <w:b w:val="false"/>
          <w:color w:val="231F20"/>
          <w:sz w:val="20"/>
        </w:rPr>
        <w:t>representing their ownership interests in those securities. However, if:</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we determine, in our sole discretion, not to have such securities represented by one or more global</w:t>
      </w:r>
      <w:r>
        <w:rPr>
          <w:color w:val="000000"/>
        </w:rPr>
        <w:t xml:space="preserve"> </w:t>
      </w:r>
      <w:r>
        <w:rPr>
          <w:rFonts w:ascii="Times NR MT Pro;sans-serif" w:hAnsi="Times NR MT Pro;sans-serif"/>
          <w:b w:val="false"/>
          <w:color w:val="231F20"/>
          <w:sz w:val="20"/>
        </w:rPr>
        <w:t>securities; or</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bookmarkStart w:id="69" w:name="i76a71669a01e40f5863c1f75a5b197b6"/>
      <w:bookmarkEnd w:id="69"/>
      <w:r>
        <w:rPr>
          <w:rFonts w:ascii="Times NR MT Pro;sans-serif" w:hAnsi="Times NR MT Pro;sans-serif"/>
          <w:b/>
          <w:i/>
          <w:color w:val="231F20"/>
          <w:sz w:val="20"/>
        </w:rPr>
        <w:t>Other</w:t>
      </w:r>
      <w:r>
        <w:rPr>
          <w:color w:val="000000"/>
        </w:rPr>
        <w:t xml:space="preserve"> </w:t>
      </w:r>
    </w:p>
    <w:p>
      <w:pPr>
        <w:pStyle w:val="TextBody"/>
        <w:bidi w:val="0"/>
        <w:spacing w:lineRule="auto" w:line="288"/>
        <w:jc w:val="left"/>
        <w:rPr/>
      </w:pPr>
      <w:r>
        <w:rPr>
          <w:rFonts w:ascii="Times NR MT Pro;sans-serif" w:hAnsi="Times NR MT Pro;sans-serif"/>
          <w:b w:val="false"/>
          <w:color w:val="231F20"/>
          <w:sz w:val="20"/>
        </w:rPr>
        <w:t>The information in this section of this prospectus concerning DTC and its respective book-entry</w:t>
      </w:r>
      <w:r>
        <w:rPr>
          <w:color w:val="000000"/>
        </w:rPr>
        <w:t xml:space="preserve"> </w:t>
      </w:r>
      <w:r>
        <w:rPr>
          <w:rFonts w:ascii="Times New Roman;serif" w:hAnsi="Times New Roman;serif"/>
          <w:b w:val="false"/>
          <w:color w:val="010302"/>
          <w:sz w:val="20"/>
        </w:rPr>
        <w:t>systems</w:t>
      </w:r>
      <w:r>
        <w:rPr>
          <w:color w:val="231F20"/>
        </w:rPr>
        <w:t xml:space="preserve"> </w:t>
      </w:r>
      <w:r>
        <w:rPr>
          <w:rFonts w:ascii="Times NR MT Pro;sans-serif" w:hAnsi="Times NR MT Pro;sans-serif"/>
          <w:b w:val="false"/>
          <w:color w:val="231F20"/>
          <w:sz w:val="20"/>
        </w:rPr>
        <w:t>has been obtained from sources that we believe to be reliable, but we do not take responsibility for</w:t>
      </w:r>
      <w:r>
        <w:rPr>
          <w:color w:val="000000"/>
        </w:rPr>
        <w:t xml:space="preserve"> </w:t>
      </w:r>
      <w:r>
        <w:rPr>
          <w:rFonts w:ascii="Times NR MT Pro;sans-serif" w:hAnsi="Times NR MT Pro;sans-serif"/>
          <w:b w:val="false"/>
          <w:color w:val="231F20"/>
          <w:sz w:val="20"/>
        </w:rPr>
        <w:t>this information. This information has been provided solely as a matter of convenience. The rules and</w:t>
      </w:r>
      <w:r>
        <w:rPr>
          <w:color w:val="000000"/>
        </w:rPr>
        <w:t xml:space="preserve"> </w:t>
      </w:r>
      <w:r>
        <w:rPr>
          <w:rFonts w:ascii="Times NR MT Pro;sans-serif" w:hAnsi="Times NR MT Pro;sans-serif"/>
          <w:b w:val="false"/>
          <w:color w:val="231F20"/>
          <w:sz w:val="20"/>
        </w:rPr>
        <w:t>procedures of DTC are solely within the control of DTC and could change at any time. Neither we nor the</w:t>
      </w:r>
      <w:r>
        <w:rPr>
          <w:color w:val="000000"/>
        </w:rPr>
        <w:t xml:space="preserve"> </w:t>
      </w:r>
      <w:r>
        <w:rPr>
          <w:rFonts w:ascii="Times NR MT Pro;sans-serif" w:hAnsi="Times NR MT Pro;sans-serif"/>
          <w:b w:val="false"/>
          <w:color w:val="231F20"/>
          <w:sz w:val="20"/>
        </w:rPr>
        <w:t xml:space="preserve">trustee nor any agent of ours or of the trustee has any control over those entities and none of us </w:t>
      </w:r>
      <w:r>
        <w:rPr>
          <w:rFonts w:ascii="Times New Roman;serif" w:hAnsi="Times New Roman;serif"/>
          <w:b w:val="false"/>
          <w:color w:val="010302"/>
          <w:sz w:val="20"/>
        </w:rPr>
        <w:t>takes</w:t>
      </w:r>
      <w:r>
        <w:rPr>
          <w:color w:val="231F20"/>
        </w:rPr>
        <w:t xml:space="preserve"> </w:t>
      </w:r>
      <w:r>
        <w:rPr>
          <w:rFonts w:ascii="Times NR MT Pro;sans-serif" w:hAnsi="Times NR MT Pro;sans-serif"/>
          <w:b w:val="false"/>
          <w:color w:val="231F20"/>
          <w:sz w:val="20"/>
        </w:rPr>
        <w:t>any</w:t>
      </w:r>
      <w:r>
        <w:rPr>
          <w:color w:val="000000"/>
        </w:rPr>
        <w:t xml:space="preserve"> </w:t>
      </w:r>
      <w:r>
        <w:rPr>
          <w:rFonts w:ascii="Times NR MT Pro;sans-serif" w:hAnsi="Times NR MT Pro;sans-serif"/>
          <w:b w:val="false"/>
          <w:color w:val="231F20"/>
          <w:sz w:val="20"/>
        </w:rPr>
        <w:t>responsibility for their activities. You are urged to contact DTC, or its respective participants directly to</w:t>
      </w:r>
      <w:r>
        <w:rPr>
          <w:color w:val="000000"/>
        </w:rPr>
        <w:t xml:space="preserve"> </w:t>
      </w:r>
      <w:r>
        <w:rPr>
          <w:rFonts w:ascii="Times NR MT Pro;sans-serif" w:hAnsi="Times NR MT Pro;sans-serif"/>
          <w:b w:val="false"/>
          <w:color w:val="231F20"/>
          <w:sz w:val="20"/>
        </w:rPr>
        <w:t>discuss those matters. In addition, although we expect that DTC will perform the foregoing procedures, it is</w:t>
      </w:r>
      <w:r>
        <w:rPr>
          <w:color w:val="000000"/>
        </w:rPr>
        <w:t xml:space="preserve"> </w:t>
      </w:r>
      <w:r>
        <w:rPr>
          <w:rFonts w:ascii="Times NR MT Pro;sans-serif" w:hAnsi="Times NR MT Pro;sans-serif"/>
          <w:b w:val="false"/>
          <w:color w:val="231F20"/>
          <w:sz w:val="20"/>
        </w:rPr>
        <w:t>not under any obligation to perform or continue to perform such procedures and such procedures may be</w:t>
      </w:r>
      <w:r>
        <w:rPr>
          <w:color w:val="000000"/>
        </w:rPr>
        <w:t xml:space="preserve"> </w:t>
      </w:r>
      <w:r>
        <w:rPr>
          <w:rFonts w:ascii="Times NR MT Pro;sans-serif" w:hAnsi="Times NR MT Pro;sans-serif"/>
          <w:b w:val="false"/>
          <w:color w:val="231F20"/>
          <w:sz w:val="20"/>
        </w:rPr>
        <w:t>discontinued at any time. Neither we nor any agent of ours will have any responsibility for the performance</w:t>
      </w:r>
      <w:r>
        <w:rPr>
          <w:color w:val="000000"/>
        </w:rPr>
        <w:t xml:space="preserve"> </w:t>
      </w:r>
      <w:r>
        <w:rPr>
          <w:rFonts w:ascii="Times NR MT Pro;sans-serif" w:hAnsi="Times NR MT Pro;sans-serif"/>
          <w:b w:val="false"/>
          <w:color w:val="231F20"/>
          <w:sz w:val="20"/>
        </w:rPr>
        <w:t>or nonperformance by DTC or its respective participants of these or any other rules or procedures</w:t>
      </w:r>
      <w:r>
        <w:rPr>
          <w:color w:val="000000"/>
        </w:rPr>
        <w:t xml:space="preserve"> </w:t>
      </w:r>
      <w:r>
        <w:rPr>
          <w:rFonts w:ascii="Times NR MT Pro;sans-serif" w:hAnsi="Times NR MT Pro;sans-serif"/>
          <w:b w:val="false"/>
          <w:color w:val="231F20"/>
          <w:sz w:val="20"/>
        </w:rPr>
        <w:t>governing their respective operations.</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70" w:name="i7e53235967f043cdbabd94802f1a4786"/>
      <w:bookmarkEnd w:id="70"/>
      <w:r>
        <w:rPr>
          <w:rFonts w:ascii="Times New Roman;serif" w:hAnsi="Times New Roman;serif"/>
          <w:b/>
          <w:color w:val="000000"/>
          <w:sz w:val="20"/>
        </w:rPr>
        <w:t xml:space="preserve">PLAN OF DISTRIBUTION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We may sell the securities from time to time pursuant to underwritten public offerings, negotiated </w:t>
      </w:r>
      <w:r>
        <w:rPr>
          <w:rFonts w:ascii="Times New Roman;serif" w:hAnsi="Times New Roman;serif"/>
          <w:b w:val="false"/>
          <w:color w:val="010302"/>
          <w:sz w:val="20"/>
        </w:rPr>
        <w:t>transactions</w:t>
      </w:r>
      <w:r>
        <w:rPr>
          <w:rFonts w:ascii="Times New Roman;serif" w:hAnsi="Times New Roman;serif"/>
          <w:b w:val="false"/>
          <w:color w:val="000000"/>
          <w:sz w:val="20"/>
        </w:rPr>
        <w:t xml:space="preserve">,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at a fixed price or prices, which may be changed;</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at market prices prevailing at the time of sale;</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at prices related to such prevailing market prices; or</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at negotiated prices.</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sell equity securities covered by this registration statement in an “at the market offering” as defined in Rule 415 under the Securities Act. Such offering may be made into an existing trading market for such securities in transactions at other than a fixed price, either: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on or through the facilities of Nasdaq or any other securities exchange or quotation or trading</w:t>
      </w:r>
      <w:r>
        <w:rPr>
          <w:color w:val="000000"/>
        </w:rPr>
        <w:t xml:space="preserve"> </w:t>
      </w:r>
      <w:r>
        <w:rPr>
          <w:rFonts w:ascii="Times NR MT Pro;sans-serif" w:hAnsi="Times NR MT Pro;sans-serif"/>
          <w:b w:val="false"/>
          <w:color w:val="231F20"/>
          <w:sz w:val="20"/>
        </w:rPr>
        <w:t>service on which such securities may be listed, quoted or traded at the time of sale; and/or</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to or through a market maker other than on Nasdaq or such other securities exchanges or quotation or trading services.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Such at the market offerings, if any, may be conducted by underwriters acting as principal or agent.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name or names of any underwriters, dealers or agents, if any;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purchase price of the securities and the proceeds we will receive from the sale;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over-allotment options under which underwriters may purchase additional securities from us;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any agency fees or underwriting discounts and other items constituting agents’ or underwriters’ compensation;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any public offering price;</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any discounts or concessions allowed or reallowed or paid to dealers; and</w:t>
      </w:r>
      <w:r>
        <w:rPr>
          <w:color w:val="000000"/>
        </w:rPr>
        <w:t xml:space="preserve">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any securities exchange or market on which the securities may be listed.</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Only underwriters named in the prospectus supplement are underwriters of the securities offered by the prospectus supplement.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All securities we offer, other than common stock, will be new issues of securities with no established trading market. Any underwriters may make a market in these securities, but will not be obligated to </w:t>
      </w:r>
      <w:r>
        <w:rPr>
          <w:rFonts w:ascii="Times New Roman;serif" w:hAnsi="Times New Roman;serif"/>
          <w:b w:val="false"/>
          <w:color w:val="010302"/>
          <w:sz w:val="20"/>
        </w:rPr>
        <w:t>do</w:t>
      </w:r>
      <w:r>
        <w:rPr>
          <w:color w:val="000000"/>
        </w:rPr>
        <w:t xml:space="preserve"> </w:t>
      </w:r>
      <w:r>
        <w:rPr>
          <w:rFonts w:ascii="Times New Roman;serif" w:hAnsi="Times New Roman;serif"/>
          <w:b w:val="false"/>
          <w:color w:val="000000"/>
          <w:sz w:val="20"/>
        </w:rPr>
        <w:t xml:space="preserve">so and may discontinue any market making at any time without notice. We cannot guarantee the liquidity of the trading </w:t>
      </w:r>
      <w:r>
        <w:rPr>
          <w:rFonts w:ascii="Times New Roman;serif" w:hAnsi="Times New Roman;serif"/>
          <w:b w:val="false"/>
          <w:color w:val="010302"/>
          <w:sz w:val="20"/>
        </w:rPr>
        <w:t>markets</w:t>
      </w:r>
      <w:r>
        <w:rPr>
          <w:color w:val="000000"/>
        </w:rPr>
        <w:t xml:space="preserve"> </w:t>
      </w:r>
      <w:r>
        <w:rPr>
          <w:rFonts w:ascii="Times New Roman;serif" w:hAnsi="Times New Roman;serif"/>
          <w:b w:val="false"/>
          <w:color w:val="000000"/>
          <w:sz w:val="20"/>
        </w:rPr>
        <w:t xml:space="preserve">for any securities.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Any underwriter may engage in overallotment, stabilizing transactions, short covering transactions and</w:t>
      </w:r>
      <w:r>
        <w:rPr>
          <w:color w:val="000000"/>
        </w:rPr>
        <w:t xml:space="preserve"> </w:t>
      </w:r>
      <w:r>
        <w:rPr>
          <w:rFonts w:ascii="Times NR MT Pro;sans-serif" w:hAnsi="Times NR MT Pro;sans-serif"/>
          <w:b w:val="false"/>
          <w:color w:val="231F20"/>
          <w:sz w:val="20"/>
        </w:rPr>
        <w:t>penalty bids. Overallotment involves sales in excess of the offering size, which create a short position.</w:t>
      </w:r>
      <w:r>
        <w:rPr>
          <w:color w:val="000000"/>
        </w:rPr>
        <w:t xml:space="preserve"> </w:t>
      </w:r>
      <w:r>
        <w:rPr>
          <w:rFonts w:ascii="Times NR MT Pro;sans-serif" w:hAnsi="Times NR MT Pro;sans-serif"/>
          <w:b w:val="false"/>
          <w:color w:val="231F20"/>
          <w:sz w:val="20"/>
        </w:rPr>
        <w:t>Stabilizing transactions permit bids to purchase the underlying security so long as the stabilizing bids do not</w:t>
      </w:r>
      <w:r>
        <w:rPr>
          <w:color w:val="000000"/>
        </w:rPr>
        <w:t xml:space="preserve"> </w:t>
      </w:r>
      <w:r>
        <w:rPr>
          <w:rFonts w:ascii="Times NR MT Pro;sans-serif" w:hAnsi="Times NR MT Pro;sans-serif"/>
          <w:b w:val="false"/>
          <w:color w:val="231F20"/>
          <w:sz w:val="20"/>
        </w:rPr>
        <w:t>exceed a specified maximum. Short covering transactions involve purchases of the securities in the open</w:t>
      </w:r>
      <w:r>
        <w:rPr>
          <w:color w:val="000000"/>
        </w:rPr>
        <w:t xml:space="preserve"> </w:t>
      </w:r>
      <w:r>
        <w:rPr>
          <w:rFonts w:ascii="Times NR MT Pro;sans-serif" w:hAnsi="Times NR MT Pro;sans-serif"/>
          <w:b w:val="false"/>
          <w:color w:val="231F20"/>
          <w:sz w:val="20"/>
        </w:rPr>
        <w:t>market after the distribution is completed to cover short positions. Penalty bids permit the underwriters to</w:t>
      </w:r>
      <w:r>
        <w:rPr>
          <w:color w:val="000000"/>
        </w:rPr>
        <w:t xml:space="preserve"> </w:t>
      </w:r>
      <w:r>
        <w:rPr>
          <w:rFonts w:ascii="Times NR MT Pro;sans-serif" w:hAnsi="Times NR MT Pro;sans-serif"/>
          <w:b w:val="false"/>
          <w:color w:val="231F20"/>
          <w:sz w:val="20"/>
        </w:rPr>
        <w:t>reclaim a selling concession from a dealer when the securities originally sold by the dealer are purchased in a</w:t>
      </w:r>
      <w:r>
        <w:rPr>
          <w:color w:val="000000"/>
        </w:rPr>
        <w:t xml:space="preserve"> </w:t>
      </w:r>
      <w:r>
        <w:rPr>
          <w:rFonts w:ascii="Times NR MT Pro;sans-serif" w:hAnsi="Times NR MT Pro;sans-serif"/>
          <w:b w:val="false"/>
          <w:color w:val="231F20"/>
          <w:sz w:val="20"/>
        </w:rPr>
        <w:t>stabilizing or covering transaction to cover short positions. Those activities may cause the price of the</w:t>
      </w:r>
      <w:r>
        <w:rPr>
          <w:color w:val="000000"/>
        </w:rPr>
        <w:t xml:space="preserve"> </w:t>
      </w:r>
      <w:r>
        <w:rPr>
          <w:rFonts w:ascii="Times NR MT Pro;sans-serif" w:hAnsi="Times NR MT Pro;sans-serif"/>
          <w:b w:val="false"/>
          <w:color w:val="231F20"/>
          <w:sz w:val="20"/>
        </w:rPr>
        <w:t>securities to be higher than it would otherwise be. If commenced, the underwriters may discontinue any of</w:t>
      </w:r>
      <w:r>
        <w:rPr>
          <w:color w:val="000000"/>
        </w:rPr>
        <w:t xml:space="preserve"> </w:t>
      </w:r>
      <w:r>
        <w:rPr>
          <w:rFonts w:ascii="Times NR MT Pro;sans-serif" w:hAnsi="Times NR MT Pro;sans-serif"/>
          <w:b w:val="false"/>
          <w:color w:val="231F20"/>
          <w:sz w:val="20"/>
        </w:rPr>
        <w:t>the activities at any time. These transactions may be effected on any exchange or over-the-counter market or</w:t>
      </w:r>
      <w:r>
        <w:rPr>
          <w:color w:val="000000"/>
        </w:rPr>
        <w:t xml:space="preserve"> </w:t>
      </w:r>
      <w:r>
        <w:rPr>
          <w:rFonts w:ascii="Times NR MT Pro;sans-serif" w:hAnsi="Times NR MT Pro;sans-serif"/>
          <w:b w:val="false"/>
          <w:color w:val="231F20"/>
          <w:sz w:val="20"/>
        </w:rPr>
        <w:t>otherwise.</w:t>
      </w:r>
      <w:r>
        <w:rPr>
          <w:color w:val="000000"/>
        </w:rPr>
        <w:t xml:space="preserve"> </w:t>
      </w:r>
    </w:p>
    <w:p>
      <w:pPr>
        <w:pStyle w:val="TextBody"/>
        <w:bidi w:val="0"/>
        <w:spacing w:lineRule="auto" w:line="288"/>
        <w:jc w:val="left"/>
        <w:rPr/>
      </w:pPr>
      <w:r>
        <w:rPr>
          <w:rFonts w:ascii="Times New Roman;serif" w:hAnsi="Times New Roman;serif"/>
          <w:b w:val="false"/>
          <w:color w:val="000000"/>
          <w:sz w:val="20"/>
        </w:rPr>
        <w:t xml:space="preserve">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w:t>
      </w:r>
      <w:r>
        <w:rPr>
          <w:rFonts w:ascii="Times New Roman;serif" w:hAnsi="Times New Roman;serif"/>
          <w:b w:val="false"/>
          <w:color w:val="010302"/>
          <w:sz w:val="20"/>
        </w:rPr>
        <w:t>are</w:t>
      </w:r>
      <w:r>
        <w:rPr>
          <w:color w:val="000000"/>
        </w:rPr>
        <w:t xml:space="preserve"> </w:t>
      </w:r>
      <w:r>
        <w:rPr>
          <w:rFonts w:ascii="Times New Roman;serif" w:hAnsi="Times New Roman;serif"/>
          <w:b w:val="false"/>
          <w:color w:val="000000"/>
          <w:sz w:val="20"/>
        </w:rPr>
        <w:t xml:space="preserve">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71" w:name="if7621a1bfdc44b3a9e52f17399faee00"/>
      <w:bookmarkEnd w:id="71"/>
      <w:r>
        <w:rPr>
          <w:rFonts w:ascii="Times New Roman;serif" w:hAnsi="Times New Roman;serif"/>
          <w:b/>
          <w:color w:val="000000"/>
          <w:sz w:val="20"/>
        </w:rPr>
        <w:t xml:space="preserve">LEGAL MATTERS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Cooley LLP, New York, New York will pass upon certain legal matters relating to the issuance and sale of the securities offered hereby on behalf of Solana Company. Additional legal matters may be passed </w:t>
      </w:r>
      <w:r>
        <w:rPr>
          <w:rFonts w:ascii="Times New Roman;serif" w:hAnsi="Times New Roman;serif"/>
          <w:b w:val="false"/>
          <w:color w:val="010302"/>
          <w:sz w:val="20"/>
        </w:rPr>
        <w:t>upon</w:t>
      </w:r>
      <w:r>
        <w:rPr>
          <w:color w:val="000000"/>
        </w:rPr>
        <w:t xml:space="preserve"> </w:t>
      </w:r>
      <w:r>
        <w:rPr>
          <w:rFonts w:ascii="Times New Roman;serif" w:hAnsi="Times New Roman;serif"/>
          <w:b w:val="false"/>
          <w:color w:val="000000"/>
          <w:sz w:val="20"/>
        </w:rPr>
        <w:t xml:space="preserve">for us or any underwriters, dealers or agents, by counsel that we will name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72" w:name="ic2d7070a4bb343cbafa675e2a901d98b"/>
      <w:bookmarkEnd w:id="72"/>
      <w:r>
        <w:rPr>
          <w:rFonts w:ascii="Times New Roman;serif" w:hAnsi="Times New Roman;serif"/>
          <w:b/>
          <w:color w:val="000000"/>
          <w:sz w:val="20"/>
        </w:rPr>
        <w:t xml:space="preserve">EXPERTS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Solana Company as of and for the year ended December 31, 2025, included in the Annual Report on Form 10-K for the year ended December 31, 2025, incorporated by reference in this preliminary prospectus and registration statement, have been so incorporated in reliance on the report of CBIZ CPAs P.C., an independent registered public accounting firm, as stated in its report thereon and are included in reliance upon such report and upon the authority of such firm as experts in accounting and auditing.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as of December 31, 2024, and for the year then ended, incorporated by reference in this prospectus and in the registration statement have been so incorporated in reliance on the reports of Baker Tilly US, LLP, an independent registered public accounting firm, incorporated herein by reference,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0"/>
        </w:rPr>
      </w:pPr>
      <w:bookmarkStart w:id="73" w:name="i5e8a867ecf7f4d2ebf41b97d1f31a429"/>
      <w:bookmarkEnd w:id="73"/>
      <w:r>
        <w:rPr>
          <w:rFonts w:ascii="Times New Roman;serif" w:hAnsi="Times New Roman;serif"/>
          <w:b/>
          <w:color w:val="000000"/>
          <w:sz w:val="20"/>
        </w:rPr>
        <w:t xml:space="preserve">WHERE YOU CAN FIND MORE INFORMATION; INCORPORATION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74" w:name="i62eeeeb26e3b4da2b8919e585b352ce0"/>
      <w:bookmarkEnd w:id="74"/>
      <w:r>
        <w:rPr>
          <w:rFonts w:ascii="Times NR MT Pro;sans-serif" w:hAnsi="Times NR MT Pro;sans-serif"/>
          <w:b/>
          <w:color w:val="231F20"/>
          <w:sz w:val="20"/>
        </w:rPr>
        <w:t>Available Information</w:t>
      </w:r>
      <w:r>
        <w:rPr>
          <w:color w:val="000000"/>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We file reports, proxy statements and other information with the SEC. The SEC maintains a website that contains </w:t>
      </w:r>
      <w:r>
        <w:rPr>
          <w:rFonts w:ascii="Times New Roman;serif" w:hAnsi="Times New Roman;serif"/>
          <w:b w:val="false"/>
          <w:color w:val="010302"/>
          <w:sz w:val="20"/>
        </w:rPr>
        <w:t>reports</w:t>
      </w:r>
      <w:r>
        <w:rPr>
          <w:rFonts w:ascii="Times New Roman;serif" w:hAnsi="Times New Roman;serif"/>
          <w:b w:val="false"/>
          <w:color w:val="000000"/>
          <w:sz w:val="20"/>
        </w:rPr>
        <w:t xml:space="preserve">, proxy and information statements and other information about issuers, such as us, who file electronically with the SEC. The address of that website is http://www.sec.gov.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Our website address is www.solanacompany.co. The information on our website, however, is not, and </w:t>
      </w:r>
      <w:r>
        <w:rPr>
          <w:rFonts w:ascii="Times New Roman;serif" w:hAnsi="Times New Roman;serif"/>
          <w:b w:val="false"/>
          <w:color w:val="010302"/>
          <w:sz w:val="20"/>
        </w:rPr>
        <w:t>should</w:t>
      </w:r>
      <w:r>
        <w:rPr>
          <w:color w:val="000000"/>
        </w:rPr>
        <w:t xml:space="preserve"> </w:t>
      </w:r>
      <w:r>
        <w:rPr>
          <w:rFonts w:ascii="Times New Roman;serif" w:hAnsi="Times New Roman;serif"/>
          <w:b w:val="false"/>
          <w:color w:val="000000"/>
          <w:sz w:val="20"/>
        </w:rPr>
        <w:t xml:space="preserve">not be deemed to be, a part of this prospectus.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 xml:space="preserve">This prospectus </w:t>
      </w:r>
      <w:r>
        <w:rPr>
          <w:rFonts w:ascii="Times New Roman;serif" w:hAnsi="Times New Roman;serif"/>
          <w:b w:val="false"/>
          <w:color w:val="010302"/>
          <w:sz w:val="20"/>
        </w:rPr>
        <w:t>and</w:t>
      </w:r>
      <w:r>
        <w:rPr>
          <w:color w:val="231F20"/>
        </w:rPr>
        <w:t xml:space="preserve"> </w:t>
      </w:r>
      <w:r>
        <w:rPr>
          <w:rFonts w:ascii="Times NR MT Pro;sans-serif" w:hAnsi="Times NR MT Pro;sans-serif"/>
          <w:b w:val="false"/>
          <w:color w:val="231F20"/>
          <w:sz w:val="20"/>
        </w:rPr>
        <w:t>any applicable prospectus supplement are part of a registration statement that we</w:t>
      </w:r>
      <w:r>
        <w:rPr>
          <w:color w:val="000000"/>
        </w:rPr>
        <w:t xml:space="preserve"> </w:t>
      </w:r>
      <w:r>
        <w:rPr>
          <w:rFonts w:ascii="Times NR MT Pro;sans-serif" w:hAnsi="Times NR MT Pro;sans-serif"/>
          <w:b w:val="false"/>
          <w:color w:val="231F20"/>
          <w:sz w:val="20"/>
        </w:rPr>
        <w:t>filed with the SEC and do not contain all of the information in the registration statement. The full registration</w:t>
      </w:r>
      <w:r>
        <w:rPr>
          <w:color w:val="000000"/>
        </w:rPr>
        <w:t xml:space="preserve"> </w:t>
      </w:r>
      <w:r>
        <w:rPr>
          <w:rFonts w:ascii="Times NR MT Pro;sans-serif" w:hAnsi="Times NR MT Pro;sans-serif"/>
          <w:b w:val="false"/>
          <w:color w:val="231F20"/>
          <w:sz w:val="20"/>
        </w:rPr>
        <w:t>statement may be obtained from the SEC or us, as provided below. Forms of the indenture and other</w:t>
      </w:r>
      <w:r>
        <w:rPr>
          <w:color w:val="000000"/>
        </w:rPr>
        <w:t xml:space="preserve"> </w:t>
      </w:r>
      <w:r>
        <w:rPr>
          <w:rFonts w:ascii="Times NR MT Pro;sans-serif" w:hAnsi="Times NR MT Pro;sans-serif"/>
          <w:b w:val="false"/>
          <w:color w:val="231F20"/>
          <w:sz w:val="20"/>
        </w:rPr>
        <w:t>documents establishing the terms of the offered securities are or may be filed as exhibits to the registration</w:t>
      </w:r>
      <w:r>
        <w:rPr>
          <w:color w:val="000000"/>
        </w:rPr>
        <w:t xml:space="preserve"> </w:t>
      </w:r>
      <w:r>
        <w:rPr>
          <w:rFonts w:ascii="Times NR MT Pro;sans-serif" w:hAnsi="Times NR MT Pro;sans-serif"/>
          <w:b w:val="false"/>
          <w:color w:val="231F20"/>
          <w:sz w:val="20"/>
        </w:rPr>
        <w:t xml:space="preserve">statement or documents incorporated by reference in the registration statement. Statements in this </w:t>
      </w:r>
      <w:r>
        <w:rPr>
          <w:rFonts w:ascii="Times New Roman;serif" w:hAnsi="Times New Roman;serif"/>
          <w:b w:val="false"/>
          <w:color w:val="010302"/>
          <w:sz w:val="20"/>
        </w:rPr>
        <w:t>prospectus</w:t>
      </w:r>
      <w:r>
        <w:rPr>
          <w:color w:val="000000"/>
        </w:rPr>
        <w:t xml:space="preserve"> </w:t>
      </w:r>
      <w:r>
        <w:rPr>
          <w:rFonts w:ascii="Times NR MT Pro;sans-serif" w:hAnsi="Times NR MT Pro;sans-serif"/>
          <w:b w:val="false"/>
          <w:color w:val="231F20"/>
          <w:sz w:val="20"/>
        </w:rPr>
        <w:t>or any applicable prospectus supplement about these documents are summaries and each statement is</w:t>
      </w:r>
      <w:r>
        <w:rPr>
          <w:color w:val="000000"/>
        </w:rPr>
        <w:t xml:space="preserve"> </w:t>
      </w:r>
      <w:r>
        <w:rPr>
          <w:rFonts w:ascii="Times NR MT Pro;sans-serif" w:hAnsi="Times NR MT Pro;sans-serif"/>
          <w:b w:val="false"/>
          <w:color w:val="231F20"/>
          <w:sz w:val="20"/>
        </w:rPr>
        <w:t>qualified in all respects by reference to the document to which it refers. You should refer to the actual</w:t>
      </w:r>
      <w:r>
        <w:rPr>
          <w:color w:val="000000"/>
        </w:rPr>
        <w:t xml:space="preserve"> </w:t>
      </w:r>
      <w:r>
        <w:rPr>
          <w:rFonts w:ascii="Times NR MT Pro;sans-serif" w:hAnsi="Times NR MT Pro;sans-serif"/>
          <w:b w:val="false"/>
          <w:color w:val="231F20"/>
          <w:sz w:val="20"/>
        </w:rPr>
        <w:t>documents for a more complete description of the relevant matters. You may inspect a copy of the registration</w:t>
      </w:r>
      <w:r>
        <w:rPr>
          <w:color w:val="000000"/>
        </w:rPr>
        <w:t xml:space="preserve"> </w:t>
      </w:r>
      <w:r>
        <w:rPr>
          <w:rFonts w:ascii="Times NR MT Pro;sans-serif" w:hAnsi="Times NR MT Pro;sans-serif"/>
          <w:b w:val="false"/>
          <w:color w:val="231F20"/>
          <w:sz w:val="20"/>
        </w:rPr>
        <w:t>statement through the SEC’s website, as provided above.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bookmarkStart w:id="75" w:name="i06fc0711b9b1464f8584908fc85181e3"/>
      <w:bookmarkEnd w:id="75"/>
      <w:r>
        <w:rPr>
          <w:rFonts w:ascii="Times NR MT Pro;sans-serif" w:hAnsi="Times NR MT Pro;sans-serif"/>
          <w:b/>
          <w:color w:val="231F20"/>
          <w:sz w:val="20"/>
        </w:rPr>
        <w:t>Incorporation by Reference</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The SEC allows us to “incorporate by reference” into this prospectus the information in other documents</w:t>
      </w:r>
      <w:r>
        <w:rPr>
          <w:color w:val="000000"/>
        </w:rPr>
        <w:t xml:space="preserve"> </w:t>
      </w:r>
      <w:r>
        <w:rPr>
          <w:rFonts w:ascii="Times NR MT Pro;sans-serif" w:hAnsi="Times NR MT Pro;sans-serif"/>
          <w:b w:val="false"/>
          <w:color w:val="231F20"/>
          <w:sz w:val="20"/>
        </w:rPr>
        <w:t xml:space="preserve">that we file </w:t>
      </w:r>
      <w:r>
        <w:rPr>
          <w:rFonts w:ascii="Times New Roman;serif" w:hAnsi="Times New Roman;serif"/>
          <w:b w:val="false"/>
          <w:color w:val="010302"/>
          <w:sz w:val="20"/>
        </w:rPr>
        <w:t>with</w:t>
      </w:r>
      <w:r>
        <w:rPr>
          <w:color w:val="231F20"/>
        </w:rPr>
        <w:t xml:space="preserve"> </w:t>
      </w:r>
      <w:r>
        <w:rPr>
          <w:rFonts w:ascii="Times NR MT Pro;sans-serif" w:hAnsi="Times NR MT Pro;sans-serif"/>
          <w:b w:val="false"/>
          <w:color w:val="231F20"/>
          <w:sz w:val="20"/>
        </w:rPr>
        <w:t>it. This means that we can disclose important information to you by referring you to those</w:t>
      </w:r>
      <w:r>
        <w:rPr>
          <w:color w:val="000000"/>
        </w:rPr>
        <w:t xml:space="preserve"> </w:t>
      </w:r>
      <w:r>
        <w:rPr>
          <w:rFonts w:ascii="Times NR MT Pro;sans-serif" w:hAnsi="Times NR MT Pro;sans-serif"/>
          <w:b w:val="false"/>
          <w:color w:val="231F20"/>
          <w:sz w:val="20"/>
        </w:rPr>
        <w:t>documents. The information incorporated by reference is considered to be a part of this prospectus, and</w:t>
      </w:r>
      <w:r>
        <w:rPr>
          <w:color w:val="000000"/>
        </w:rPr>
        <w:t xml:space="preserve"> </w:t>
      </w:r>
      <w:r>
        <w:rPr>
          <w:rFonts w:ascii="Times NR MT Pro;sans-serif" w:hAnsi="Times NR MT Pro;sans-serif"/>
          <w:b w:val="false"/>
          <w:color w:val="231F20"/>
          <w:sz w:val="20"/>
        </w:rPr>
        <w:t>information in documents that we file later with the SEC will automatically update and supersede</w:t>
      </w:r>
      <w:r>
        <w:rPr>
          <w:color w:val="000000"/>
        </w:rPr>
        <w:t xml:space="preserve"> </w:t>
      </w:r>
      <w:r>
        <w:rPr>
          <w:rFonts w:ascii="Times NR MT Pro;sans-serif" w:hAnsi="Times NR MT Pro;sans-serif"/>
          <w:b w:val="false"/>
          <w:color w:val="231F20"/>
          <w:sz w:val="20"/>
        </w:rPr>
        <w:t>information contained in documents filed earlier with the SEC or contained in this prospectus.</w:t>
      </w:r>
      <w:r>
        <w:rPr>
          <w:color w:val="000000"/>
        </w:rPr>
        <w:t xml:space="preserve"> </w:t>
      </w:r>
    </w:p>
    <w:p>
      <w:pPr>
        <w:pStyle w:val="TextBody"/>
        <w:bidi w:val="0"/>
        <w:spacing w:lineRule="auto" w:line="288" w:before="0" w:after="240"/>
        <w:ind w:left="0" w:right="0" w:firstLine="360"/>
        <w:jc w:val="both"/>
        <w:rPr/>
      </w:pPr>
      <w:r>
        <w:rPr>
          <w:rFonts w:ascii="Times NR MT Pro;sans-serif" w:hAnsi="Times NR MT Pro;sans-serif"/>
          <w:b w:val="false"/>
          <w:color w:val="231F20"/>
          <w:sz w:val="20"/>
        </w:rPr>
        <w:t>We incorporate by reference in this prospectus (i) the documents listed below, and (ii) all documents</w:t>
      </w:r>
      <w:r>
        <w:rPr>
          <w:color w:val="000000"/>
        </w:rPr>
        <w:t xml:space="preserve"> </w:t>
      </w:r>
      <w:r>
        <w:rPr>
          <w:rFonts w:ascii="Times NR MT Pro;sans-serif" w:hAnsi="Times NR MT Pro;sans-serif"/>
          <w:b w:val="false"/>
          <w:color w:val="231F20"/>
          <w:sz w:val="20"/>
        </w:rPr>
        <w:t xml:space="preserve">that </w:t>
      </w:r>
      <w:r>
        <w:rPr>
          <w:rFonts w:ascii="Times New Roman;serif" w:hAnsi="Times New Roman;serif"/>
          <w:b w:val="false"/>
          <w:color w:val="010302"/>
          <w:sz w:val="20"/>
        </w:rPr>
        <w:t>we</w:t>
      </w:r>
      <w:r>
        <w:rPr>
          <w:color w:val="231F20"/>
        </w:rPr>
        <w:t xml:space="preserve"> </w:t>
      </w:r>
      <w:r>
        <w:rPr>
          <w:rFonts w:ascii="Times NR MT Pro;sans-serif" w:hAnsi="Times NR MT Pro;sans-serif"/>
          <w:b w:val="false"/>
          <w:color w:val="231F20"/>
          <w:sz w:val="20"/>
        </w:rPr>
        <w:t>file with the SEC under Section 13(a), 13(c), 14 or 15(d) of the Exchange Act after the date of this</w:t>
      </w:r>
      <w:r>
        <w:rPr>
          <w:color w:val="000000"/>
        </w:rPr>
        <w:t xml:space="preserve"> </w:t>
      </w:r>
      <w:r>
        <w:rPr>
          <w:rFonts w:ascii="Times NR MT Pro;sans-serif" w:hAnsi="Times NR MT Pro;sans-serif"/>
          <w:b w:val="false"/>
          <w:color w:val="231F20"/>
          <w:sz w:val="20"/>
        </w:rPr>
        <w:t>prospectus and prior to the termination of the offering under this prospectus; provided, however, that we are</w:t>
      </w:r>
      <w:r>
        <w:rPr>
          <w:color w:val="000000"/>
        </w:rPr>
        <w:t xml:space="preserve"> </w:t>
      </w:r>
      <w:r>
        <w:rPr>
          <w:rFonts w:ascii="Times NR MT Pro;sans-serif" w:hAnsi="Times NR MT Pro;sans-serif"/>
          <w:b w:val="false"/>
          <w:color w:val="231F20"/>
          <w:sz w:val="20"/>
        </w:rPr>
        <w:t>not incorporating, in each case, any documents or information deemed to have been furnished and not</w:t>
      </w:r>
      <w:r>
        <w:rPr>
          <w:color w:val="000000"/>
        </w:rPr>
        <w:t xml:space="preserve"> </w:t>
      </w:r>
      <w:r>
        <w:rPr>
          <w:rFonts w:ascii="Times NR MT Pro;sans-serif" w:hAnsi="Times NR MT Pro;sans-serif"/>
          <w:b w:val="false"/>
          <w:color w:val="231F20"/>
          <w:sz w:val="20"/>
        </w:rPr>
        <w:t>filed in accordance with SEC rules (including Items 2.02 and 7.01 of Form 8-K):</w:t>
      </w:r>
      <w:r>
        <w:rPr>
          <w:color w:val="000000"/>
        </w:rPr>
        <w:t xml:space="preserve"> </w:t>
      </w:r>
    </w:p>
    <w:p>
      <w:pPr>
        <w:pStyle w:val="TextBody"/>
        <w:bidi w:val="0"/>
        <w:spacing w:lineRule="auto" w:line="240" w:before="0" w:after="0"/>
        <w:jc w:val="left"/>
        <w:rPr/>
      </w:pPr>
      <w:hyperlink w:anchor="i6ab06f45abdc45eca2b4a3c855bb50c2_4">
        <w:r>
          <w:rPr>
            <w:rStyle w:val="InternetLink"/>
            <w:rFonts w:ascii="Times New Roman;serif" w:hAnsi="Times New Roman;serif"/>
            <w:b w:val="false"/>
            <w:color w:val="0563C1"/>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Our Annual Report on Form 10-K for the fiscal year ended December 31, 2025, filed with the SEC on March 31, 2026; </w:t>
      </w:r>
    </w:p>
    <w:p>
      <w:pPr>
        <w:pStyle w:val="TextBody"/>
        <w:bidi w:val="0"/>
        <w:spacing w:lineRule="auto" w:line="240" w:before="0" w:after="240"/>
        <w:ind w:left="0" w:right="0" w:hanging="360"/>
        <w:jc w:val="both"/>
        <w:rPr/>
      </w:pPr>
      <w:r>
        <w:rPr>
          <w:color w:val="000000"/>
        </w:rPr>
        <w:t>•</w:t>
      </w:r>
      <w:r>
        <w:rPr>
          <w:rFonts w:ascii="Times NR MT Pro;sans-serif" w:hAnsi="Times NR MT Pro;sans-serif"/>
          <w:b w:val="false"/>
          <w:color w:val="231F20"/>
          <w:sz w:val="20"/>
        </w:rPr>
        <w:t>Our Current Report on Form 8-K filed with the SEC on February 20, 2026; and</w:t>
      </w:r>
      <w:r>
        <w:rPr>
          <w:color w:val="000000"/>
        </w:rPr>
        <w:t xml:space="preserve"> </w:t>
      </w:r>
    </w:p>
    <w:p>
      <w:pPr>
        <w:pStyle w:val="TextBody"/>
        <w:bidi w:val="0"/>
        <w:spacing w:lineRule="auto" w:line="240" w:before="0" w:after="240"/>
        <w:ind w:left="0" w:right="0" w:hanging="360"/>
        <w:jc w:val="both"/>
        <w:rPr/>
      </w:pPr>
      <w:r>
        <w:rPr>
          <w:color w:val="010302"/>
        </w:rPr>
        <w:t>•</w:t>
      </w:r>
      <w:r>
        <w:rPr>
          <w:rFonts w:ascii="Times New Roman;serif" w:hAnsi="Times New Roman;serif"/>
          <w:b w:val="false"/>
          <w:color w:val="000000"/>
          <w:sz w:val="20"/>
        </w:rPr>
        <w:t xml:space="preserve">The description of our Class A common stock in Exhibit 4.3 to our Annual Report on Form 10-K for the fiscal year ended December 31, 2025, filed with the SEC on March 31, 2026, and including any further amendment or report filed or to be filed for the purpose of updating such description.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All reports and other documents we subsequently file pursuant to Section 13(a), 13(c), 14 or 15(d) of the Exchange Act in this prospectus, prior to the termination of this offering but excluding any information furnished to, rather than filed with, the SEC, </w:t>
      </w:r>
      <w:r>
        <w:rPr>
          <w:rFonts w:ascii="Times New Roman;serif" w:hAnsi="Times New Roman;serif"/>
          <w:b w:val="false"/>
          <w:color w:val="010302"/>
          <w:sz w:val="20"/>
        </w:rPr>
        <w:t>will</w:t>
      </w:r>
      <w:r>
        <w:rPr>
          <w:color w:val="000000"/>
        </w:rPr>
        <w:t xml:space="preserve"> </w:t>
      </w:r>
      <w:r>
        <w:rPr>
          <w:rFonts w:ascii="Times New Roman;serif" w:hAnsi="Times New Roman;serif"/>
          <w:b w:val="false"/>
          <w:color w:val="000000"/>
          <w:sz w:val="20"/>
        </w:rPr>
        <w:t xml:space="preserve">also be incorporated by reference into this prospectus and deemed to be part of this prospectus from the date of the filing of such reports and documents.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Upon request, we will provide, without charge, to each person, including any beneficial owner, to whom a copy of this prospectus is delivered, a copy of the documents incorporated by reference into this prospectus but not delivered with the prospectus </w:t>
      </w:r>
      <w:r>
        <w:rPr>
          <w:rFonts w:ascii="Times New Roman;serif" w:hAnsi="Times New Roman;serif"/>
          <w:b w:val="false"/>
          <w:color w:val="010302"/>
          <w:sz w:val="20"/>
        </w:rPr>
        <w:t>supplement</w:t>
      </w:r>
      <w:r>
        <w:rPr>
          <w:rFonts w:ascii="Times New Roman;serif" w:hAnsi="Times New Roman;serif"/>
          <w:b w:val="false"/>
          <w:color w:val="000000"/>
          <w:sz w:val="20"/>
        </w:rPr>
        <w:t xml:space="preserve">. You may make a request for copies of these filings, and any exhibits we have specifically incorporated by reference as an exhibit in this prospectus, at no cost by writing or by telephone. Requests should be directed to: Solana Company, Attn: Chief Financial Officer, 642 Newtown Yardley Road, Suite 100, Newtown, PA 18940, or via e-mail at ir@solanacompany.co. Our phone number is (215) 944-6104. You also may </w:t>
      </w:r>
      <w:r>
        <w:rPr>
          <w:rFonts w:ascii="Times New Roman;serif" w:hAnsi="Times New Roman;serif"/>
          <w:b w:val="false"/>
          <w:color w:val="010302"/>
          <w:sz w:val="20"/>
        </w:rPr>
        <w:t>access</w:t>
      </w:r>
      <w:r>
        <w:rPr>
          <w:color w:val="000000"/>
        </w:rPr>
        <w:t xml:space="preserve"> </w:t>
      </w:r>
      <w:r>
        <w:rPr>
          <w:rFonts w:ascii="Times New Roman;serif" w:hAnsi="Times New Roman;serif"/>
          <w:b w:val="false"/>
          <w:color w:val="000000"/>
          <w:sz w:val="20"/>
        </w:rPr>
        <w:t xml:space="preserve">these filings on our website at https://www.solanacompany.co/.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 We have included our website address in this prospectus solely as an inactive textual reference.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You should rely only on the information contained in, or incorporated by reference into, this prospectus, in any accompanying prospectus </w:t>
      </w:r>
      <w:r>
        <w:rPr>
          <w:rFonts w:ascii="Times New Roman;serif" w:hAnsi="Times New Roman;serif"/>
          <w:b w:val="false"/>
          <w:color w:val="010302"/>
          <w:sz w:val="20"/>
        </w:rPr>
        <w:t>supplement</w:t>
      </w:r>
      <w:r>
        <w:rPr>
          <w:rFonts w:ascii="Times New Roman;serif" w:hAnsi="Times New Roman;serif"/>
          <w:b w:val="false"/>
          <w:color w:val="000000"/>
          <w:sz w:val="20"/>
        </w:rPr>
        <w:t xml:space="preserve">, or in any free writing prospectus filed by us with the SEC. We have not authorized anyone to provide you with different or additional information. We are not offering to sell or soliciting any offer to buy any securities in any jurisdiction where the offer or sale is not permitted. You should not assume that the information in this prospectus or in any document incorporated by reference is accurate as of any date other than the date on the front cover of the applicable document. </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ind w:left="0" w:right="0" w:firstLine="36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320"/>
        <w:jc w:val="center"/>
        <w:rPr/>
      </w:pPr>
      <w:r>
        <w:rPr/>
        <w:drawing>
          <wp:inline distT="0" distB="0" distL="0" distR="0">
            <wp:extent cx="2790825" cy="419100"/>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17"/>
                    <a:stretch>
                      <a:fillRect/>
                    </a:stretch>
                  </pic:blipFill>
                  <pic:spPr bwMode="auto">
                    <a:xfrm>
                      <a:off x="0" y="0"/>
                      <a:ext cx="2790825" cy="419100"/>
                    </a:xfrm>
                    <a:prstGeom prst="rect">
                      <a:avLst/>
                    </a:prstGeom>
                  </pic:spPr>
                </pic:pic>
              </a:graphicData>
            </a:graphic>
          </wp:inline>
        </w:drawing>
      </w:r>
    </w:p>
    <w:p>
      <w:pPr>
        <w:pStyle w:val="TextBody"/>
        <w:bidi w:val="0"/>
        <w:spacing w:lineRule="auto" w:line="288" w:before="0" w:after="0"/>
        <w:jc w:val="center"/>
        <w:rPr/>
      </w:pPr>
      <w:r>
        <w:rPr>
          <w:rFonts w:ascii="Times NR MT Pro;sans-serif" w:hAnsi="Times NR MT Pro;sans-serif"/>
          <w:b/>
          <w:color w:val="231F20"/>
          <w:sz w:val="28"/>
        </w:rPr>
        <w:t>4,369,356 Shares</w:t>
      </w:r>
      <w:r>
        <w:rPr>
          <w:color w:val="000000"/>
        </w:rPr>
        <w:t xml:space="preserve"> </w:t>
      </w:r>
      <w:r>
        <w:rPr>
          <w:rFonts w:ascii="Times New Roman;serif" w:hAnsi="Times New Roman;serif"/>
          <w:b/>
          <w:color w:val="000000"/>
          <w:sz w:val="28"/>
        </w:rPr>
        <w:t>of</w:t>
      </w:r>
      <w:r>
        <w:rPr>
          <w:color w:val="010302"/>
        </w:rPr>
        <w:t xml:space="preserve"> </w:t>
      </w:r>
      <w:r>
        <w:rPr>
          <w:rFonts w:ascii="Times NR MT Pro;sans-serif" w:hAnsi="Times NR MT Pro;sans-serif"/>
          <w:b/>
          <w:color w:val="231F20"/>
          <w:sz w:val="28"/>
        </w:rPr>
        <w:t>Class A Common Stock</w:t>
      </w:r>
    </w:p>
    <w:p>
      <w:pPr>
        <w:pStyle w:val="TextBody"/>
        <w:bidi w:val="0"/>
        <w:spacing w:lineRule="auto" w:line="288" w:before="0" w:after="0"/>
        <w:jc w:val="center"/>
        <w:rPr/>
      </w:pPr>
      <w:r>
        <w:rPr>
          <w:rFonts w:ascii="Times New Roman;serif" w:hAnsi="Times New Roman;serif"/>
          <w:b/>
          <w:color w:val="000000"/>
          <w:sz w:val="28"/>
        </w:rPr>
        <w:t xml:space="preserve">Warrants to Purchase Up to </w:t>
      </w:r>
      <w:r>
        <w:rPr>
          <w:rFonts w:ascii="Times NR MT Pro;sans-serif" w:hAnsi="Times NR MT Pro;sans-serif"/>
          <w:b/>
          <w:color w:val="231F20"/>
          <w:sz w:val="28"/>
        </w:rPr>
        <w:t>4,369,356 Shares of Class A Common Stock</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R MT Pro;sans-serif" w:hAnsi="Times NR MT Pro;sans-serif"/>
          <w:b/>
          <w:color w:val="231F20"/>
          <w:sz w:val="24"/>
        </w:rPr>
      </w:pPr>
      <w:r>
        <w:rPr>
          <w:rFonts w:ascii="Times NR MT Pro;sans-serif" w:hAnsi="Times NR MT Pro;sans-serif"/>
          <w:b/>
          <w:color w:val="231F20"/>
          <w:sz w:val="24"/>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231F20"/>
          <w:sz w:val="32"/>
        </w:rPr>
      </w:pPr>
      <w:r>
        <w:rPr>
          <w:rFonts w:ascii="Times New Roman;serif" w:hAnsi="Times New Roman;serif"/>
          <w:b/>
          <w:color w:val="231F20"/>
          <w:sz w:val="32"/>
        </w:rPr>
        <w:t>Clear Street</w:t>
      </w:r>
    </w:p>
    <w:p>
      <w:pPr>
        <w:pStyle w:val="TextBody"/>
        <w:bidi w:val="0"/>
        <w:spacing w:lineRule="auto" w:line="288" w:before="0" w:after="240"/>
        <w:jc w:val="center"/>
        <w:rPr>
          <w:rFonts w:ascii="Times NR MT Pro;sans-serif" w:hAnsi="Times NR MT Pro;sans-serif"/>
          <w:b/>
          <w:i/>
          <w:color w:val="231F20"/>
          <w:sz w:val="20"/>
        </w:rPr>
      </w:pPr>
      <w:r>
        <w:rPr>
          <w:rFonts w:ascii="Times NR MT Pro;sans-serif" w:hAnsi="Times NR MT Pro;sans-serif"/>
          <w:b/>
          <w:i/>
          <w:color w:val="231F20"/>
          <w:sz w:val="20"/>
        </w:rPr>
        <w:t>Placement Agent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R MT Pro;sans-serif" w:hAnsi="Times NR MT Pro;sans-serif"/>
          <w:b w:val="false"/>
          <w:color w:val="231F20"/>
          <w:sz w:val="20"/>
        </w:rPr>
      </w:pPr>
      <w:r>
        <w:rPr>
          <w:rFonts w:ascii="Times NR MT Pro;sans-serif" w:hAnsi="Times NR MT Pro;sans-serif"/>
          <w:b w:val="false"/>
          <w:color w:val="231F20"/>
          <w:sz w:val="20"/>
        </w:rPr>
        <w:t>September 30, 2026</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911225"/>
                <wp:effectExtent l="0" t="0" r="0" b="0"/>
                <wp:wrapNone/>
                <wp:docPr id="50" name="Frame47"/>
                <a:graphic xmlns:a="http://schemas.openxmlformats.org/drawingml/2006/main">
                  <a:graphicData uri="http://schemas.microsoft.com/office/word/2010/wordprocessingShape">
                    <wps:wsp>
                      <wps:cNvSpPr txBox="1"/>
                      <wps:spPr>
                        <a:xfrm>
                          <a:off x="0" y="0"/>
                          <a:ext cx="6480175" cy="9112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R M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ix?doc=/Archives/edgar/data/1610853/000110465926037194/hsdt-20251231x10k.htm" TargetMode="External"/><Relationship Id="rId4" Type="http://schemas.openxmlformats.org/officeDocument/2006/relationships/hyperlink" Target="https://www.sec.gov/ix?doc=/Archives/edgar/data/1610853/000110465926037194/hsdt-20251231x10k.htm" TargetMode="External"/><Relationship Id="rId5" Type="http://schemas.openxmlformats.org/officeDocument/2006/relationships/hyperlink" Target="https://www.sec.gov/ix?doc=/Archives/edgar/data/1610853/000110465926041970/hsdt-20260521xdef14a.htm" TargetMode="External"/><Relationship Id="rId6" Type="http://schemas.openxmlformats.org/officeDocument/2006/relationships/hyperlink" Target="https://www.sec.gov/ix?doc=/Archives/edgar/data/1610853/000110465926062611/hsdt-20260331x10q.htm" TargetMode="External"/><Relationship Id="rId7" Type="http://schemas.openxmlformats.org/officeDocument/2006/relationships/hyperlink" Target="https://www.sec.gov/ix?doc=/Archives/edgar/data/0001610853/000161085326000007/hsdt-20260630.htm" TargetMode="External"/><Relationship Id="rId8" Type="http://schemas.openxmlformats.org/officeDocument/2006/relationships/hyperlink" Target="https://www.sec.gov/ix?doc=/Archives/edgar/data/1610853/000110465926018212/hsdt-20260220x8k.htm" TargetMode="External"/><Relationship Id="rId9" Type="http://schemas.openxmlformats.org/officeDocument/2006/relationships/hyperlink" Target="https://www.sec.gov/ix?doc=/Archives/edgar/data/1610853/000110465926041571/hsdt-20260409x8k.htm" TargetMode="External"/><Relationship Id="rId10" Type="http://schemas.openxmlformats.org/officeDocument/2006/relationships/hyperlink" Target="https://www.sec.gov/ix?doc=/Archives/edgar/data/1610853/000110465926042666/hsdt-20260408x8k.htm" TargetMode="External"/><Relationship Id="rId11" Type="http://schemas.openxmlformats.org/officeDocument/2006/relationships/hyperlink" Target="https://www.sec.gov/ix?doc=/Archives/edgar/data/1610853/000110465926048625/hsdt-20260422x8k.htm" TargetMode="External"/><Relationship Id="rId12" Type="http://schemas.openxmlformats.org/officeDocument/2006/relationships/hyperlink" Target="https://www.sec.gov/ix?doc=/Archives/edgar/data/1610853/000110465926049070/tm2612791d1_8k.htm" TargetMode="External"/><Relationship Id="rId13" Type="http://schemas.openxmlformats.org/officeDocument/2006/relationships/hyperlink" Target="https://www.sec.gov/ix?doc=/Archives/edgar/data/1610853/000110465926065815/hsdt-20260521x8k.htm" TargetMode="External"/><Relationship Id="rId14" Type="http://schemas.openxmlformats.org/officeDocument/2006/relationships/hyperlink" Target="https://www.sec.gov/ix?doc=/Archives/edgar/data/0001610853/000110465926068370/tm2615718d2_8k.htm" TargetMode="External"/><Relationship Id="rId15" Type="http://schemas.openxmlformats.org/officeDocument/2006/relationships/hyperlink" Target="https://www.sec.gov/Archives/edgar/data/1610853/000110465926037194/hsdt-20251231xex4d3.htm" TargetMode="External"/><Relationship Id="rId16" Type="http://schemas.openxmlformats.org/officeDocument/2006/relationships/image" Target="media/image1.png"/><Relationship Id="rId17" Type="http://schemas.openxmlformats.org/officeDocument/2006/relationships/image" Target="media/image1.pn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21358</Words>
  <Characters>113193</Characters>
  <CharactersWithSpaces>134342</CharactersWithSpaces>
  <Paragraphs>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