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 w:lineRule="exact"/>
        <w:rPr>
          <w:sz w:val="24"/>
          <w:szCs w:val="24"/>
          <w:color w:val="auto"/>
        </w:rPr>
      </w:pPr>
    </w:p>
    <w:p>
      <w:pPr>
        <w:jc w:val="center"/>
        <w:ind w:right="100"/>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ind w:right="100"/>
        <w:spacing w:after="0"/>
        <w:rPr>
          <w:sz w:val="20"/>
          <w:szCs w:val="20"/>
          <w:color w:val="auto"/>
        </w:rPr>
      </w:pPr>
      <w:r>
        <w:rPr>
          <w:rFonts w:ascii="Arial" w:cs="Arial" w:eastAsia="Arial" w:hAnsi="Arial"/>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225425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00"/>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108585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45" w:lineRule="exact"/>
        <w:rPr>
          <w:sz w:val="24"/>
          <w:szCs w:val="24"/>
          <w:color w:val="auto"/>
        </w:rPr>
      </w:pPr>
    </w:p>
    <w:p>
      <w:pPr>
        <w:ind w:left="480" w:right="360" w:hanging="472"/>
        <w:spacing w:after="0" w:line="256" w:lineRule="auto"/>
        <w:tabs>
          <w:tab w:leader="none" w:pos="4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77"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117"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480" w:right="360" w:hanging="472"/>
        <w:spacing w:after="0" w:line="256" w:lineRule="auto"/>
        <w:tabs>
          <w:tab w:leader="none" w:pos="4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63"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For the transition period from  to</w:t>
      </w:r>
    </w:p>
    <w:p>
      <w:pPr>
        <w:spacing w:after="0" w:line="117"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 xml:space="preserve">Commission File No. </w:t>
      </w:r>
      <w:r>
        <w:rPr>
          <w:rFonts w:ascii="Arial" w:cs="Arial" w:eastAsia="Arial" w:hAnsi="Arial"/>
          <w:sz w:val="18"/>
          <w:szCs w:val="18"/>
          <w:b w:val="1"/>
          <w:bCs w:val="1"/>
          <w:u w:val="single" w:color="auto"/>
          <w:color w:val="auto"/>
        </w:rPr>
        <w:t>001-38445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111760</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9" w:lineRule="exact"/>
        <w:rPr>
          <w:sz w:val="24"/>
          <w:szCs w:val="24"/>
          <w:color w:val="auto"/>
        </w:rPr>
      </w:pPr>
    </w:p>
    <w:p>
      <w:pPr>
        <w:jc w:val="center"/>
        <w:ind w:right="100"/>
        <w:spacing w:after="0"/>
        <w:rPr>
          <w:sz w:val="20"/>
          <w:szCs w:val="20"/>
          <w:color w:val="auto"/>
        </w:rPr>
      </w:pPr>
      <w:r>
        <w:rPr>
          <w:rFonts w:ascii="Arial" w:cs="Arial" w:eastAsia="Arial" w:hAnsi="Arial"/>
          <w:sz w:val="36"/>
          <w:szCs w:val="36"/>
          <w:b w:val="1"/>
          <w:bCs w:val="1"/>
          <w:u w:val="single" w:color="auto"/>
          <w:color w:val="auto"/>
        </w:rPr>
        <w:t>HELIUS MEDICAL TECHNOLOGIES, INC.</w:t>
      </w:r>
    </w:p>
    <w:p>
      <w:pPr>
        <w:spacing w:after="0" w:line="45"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90170</wp:posOffset>
            </wp:positionV>
            <wp:extent cx="1783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4220" w:type="dxa"/>
            <w:vAlign w:val="bottom"/>
          </w:tcPr>
          <w:p>
            <w:pPr>
              <w:jc w:val="center"/>
              <w:ind w:left="1243"/>
              <w:spacing w:after="0"/>
              <w:rPr>
                <w:sz w:val="20"/>
                <w:szCs w:val="20"/>
                <w:color w:val="auto"/>
              </w:rPr>
            </w:pPr>
            <w:r>
              <w:rPr>
                <w:rFonts w:ascii="Arial" w:cs="Arial" w:eastAsia="Arial" w:hAnsi="Arial"/>
                <w:sz w:val="14"/>
                <w:szCs w:val="14"/>
                <w:b w:val="1"/>
                <w:bCs w:val="1"/>
                <w:color w:val="auto"/>
                <w:w w:val="94"/>
              </w:rPr>
              <w:t>Delaware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320" w:type="dxa"/>
            <w:vAlign w:val="bottom"/>
          </w:tcPr>
          <w:p>
            <w:pPr>
              <w:jc w:val="right"/>
              <w:ind w:right="2423"/>
              <w:spacing w:after="0"/>
              <w:rPr>
                <w:sz w:val="20"/>
                <w:szCs w:val="20"/>
                <w:color w:val="auto"/>
              </w:rPr>
            </w:pPr>
            <w:r>
              <w:rPr>
                <w:rFonts w:ascii="Arial" w:cs="Arial" w:eastAsia="Arial" w:hAnsi="Arial"/>
                <w:sz w:val="14"/>
                <w:szCs w:val="14"/>
                <w:b w:val="1"/>
                <w:bCs w:val="1"/>
                <w:color w:val="auto"/>
              </w:rPr>
              <w:t>36-4787690</w:t>
            </w:r>
          </w:p>
        </w:tc>
        <w:tc>
          <w:tcPr>
            <w:tcW w:w="0" w:type="dxa"/>
            <w:vAlign w:val="bottom"/>
          </w:tcPr>
          <w:p>
            <w:pPr>
              <w:spacing w:after="0"/>
              <w:rPr>
                <w:sz w:val="1"/>
                <w:szCs w:val="1"/>
                <w:color w:val="auto"/>
              </w:rPr>
            </w:pPr>
          </w:p>
        </w:tc>
      </w:tr>
      <w:tr>
        <w:trPr>
          <w:trHeight w:val="259"/>
        </w:trPr>
        <w:tc>
          <w:tcPr>
            <w:tcW w:w="4220" w:type="dxa"/>
            <w:vAlign w:val="bottom"/>
          </w:tcPr>
          <w:p>
            <w:pPr>
              <w:jc w:val="center"/>
              <w:ind w:left="1223"/>
              <w:spacing w:after="0"/>
              <w:rPr>
                <w:sz w:val="20"/>
                <w:szCs w:val="20"/>
                <w:color w:val="auto"/>
              </w:rPr>
            </w:pPr>
            <w:r>
              <w:rPr>
                <w:rFonts w:ascii="Arial" w:cs="Arial" w:eastAsia="Arial" w:hAnsi="Arial"/>
                <w:sz w:val="14"/>
                <w:szCs w:val="14"/>
                <w:b w:val="1"/>
                <w:bCs w:val="1"/>
                <w:color w:val="auto"/>
                <w:w w:val="93"/>
              </w:rPr>
              <w:t>(State or other jurisdiction of</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320" w:type="dxa"/>
            <w:vAlign w:val="bottom"/>
          </w:tcPr>
          <w:p>
            <w:pPr>
              <w:jc w:val="center"/>
              <w:ind w:right="1283"/>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4220" w:type="dxa"/>
            <w:vAlign w:val="bottom"/>
          </w:tcPr>
          <w:p>
            <w:pPr>
              <w:jc w:val="center"/>
              <w:ind w:left="1223"/>
              <w:spacing w:after="0"/>
              <w:rPr>
                <w:sz w:val="20"/>
                <w:szCs w:val="20"/>
                <w:color w:val="auto"/>
              </w:rPr>
            </w:pPr>
            <w:r>
              <w:rPr>
                <w:rFonts w:ascii="Arial" w:cs="Arial" w:eastAsia="Arial" w:hAnsi="Arial"/>
                <w:sz w:val="14"/>
                <w:szCs w:val="14"/>
                <w:b w:val="1"/>
                <w:bCs w:val="1"/>
                <w:color w:val="auto"/>
                <w:w w:val="94"/>
              </w:rPr>
              <w:t>incorporation or organization)</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320" w:type="dxa"/>
            <w:vAlign w:val="bottom"/>
          </w:tcPr>
          <w:p>
            <w:pPr>
              <w:jc w:val="center"/>
              <w:ind w:right="1303"/>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259"/>
        </w:trPr>
        <w:tc>
          <w:tcPr>
            <w:tcW w:w="4220" w:type="dxa"/>
            <w:vAlign w:val="bottom"/>
          </w:tcPr>
          <w:p>
            <w:pPr>
              <w:jc w:val="center"/>
              <w:ind w:left="1243"/>
              <w:spacing w:after="0"/>
              <w:rPr>
                <w:sz w:val="20"/>
                <w:szCs w:val="20"/>
                <w:color w:val="auto"/>
              </w:rPr>
            </w:pPr>
            <w:r>
              <w:rPr>
                <w:rFonts w:ascii="Arial" w:cs="Arial" w:eastAsia="Arial" w:hAnsi="Arial"/>
                <w:sz w:val="14"/>
                <w:szCs w:val="14"/>
                <w:b w:val="1"/>
                <w:bCs w:val="1"/>
                <w:color w:val="auto"/>
                <w:w w:val="93"/>
              </w:rPr>
              <w:t>642 Newtown Yardley Road, Suite 100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320" w:type="dxa"/>
            <w:vAlign w:val="bottom"/>
          </w:tcPr>
          <w:p>
            <w:pPr>
              <w:jc w:val="right"/>
              <w:ind w:right="2583"/>
              <w:spacing w:after="0"/>
              <w:rPr>
                <w:sz w:val="20"/>
                <w:szCs w:val="20"/>
                <w:color w:val="auto"/>
              </w:rPr>
            </w:pPr>
            <w:r>
              <w:rPr>
                <w:rFonts w:ascii="Arial" w:cs="Arial" w:eastAsia="Arial" w:hAnsi="Arial"/>
                <w:sz w:val="14"/>
                <w:szCs w:val="14"/>
                <w:b w:val="1"/>
                <w:bCs w:val="1"/>
                <w:color w:val="auto"/>
              </w:rPr>
              <w:t>18940</w:t>
            </w:r>
          </w:p>
        </w:tc>
        <w:tc>
          <w:tcPr>
            <w:tcW w:w="0" w:type="dxa"/>
            <w:vAlign w:val="bottom"/>
          </w:tcPr>
          <w:p>
            <w:pPr>
              <w:spacing w:after="0"/>
              <w:rPr>
                <w:sz w:val="1"/>
                <w:szCs w:val="1"/>
                <w:color w:val="auto"/>
              </w:rPr>
            </w:pPr>
          </w:p>
        </w:tc>
      </w:tr>
      <w:tr>
        <w:trPr>
          <w:trHeight w:val="149"/>
        </w:trPr>
        <w:tc>
          <w:tcPr>
            <w:tcW w:w="4220" w:type="dxa"/>
            <w:vAlign w:val="bottom"/>
          </w:tcPr>
          <w:p>
            <w:pPr>
              <w:jc w:val="center"/>
              <w:ind w:left="1243"/>
              <w:spacing w:after="0" w:line="149" w:lineRule="exact"/>
              <w:rPr>
                <w:sz w:val="20"/>
                <w:szCs w:val="20"/>
                <w:color w:val="auto"/>
              </w:rPr>
            </w:pPr>
            <w:r>
              <w:rPr>
                <w:rFonts w:ascii="Arial" w:cs="Arial" w:eastAsia="Arial" w:hAnsi="Arial"/>
                <w:sz w:val="14"/>
                <w:szCs w:val="14"/>
                <w:b w:val="1"/>
                <w:bCs w:val="1"/>
                <w:color w:val="auto"/>
                <w:w w:val="91"/>
              </w:rPr>
              <w:t>Newtown, Pennsylvania</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320" w:type="dxa"/>
            <w:vAlign w:val="bottom"/>
            <w:vMerge w:val="restart"/>
          </w:tcPr>
          <w:p>
            <w:pPr>
              <w:jc w:val="center"/>
              <w:ind w:right="1303"/>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186"/>
        </w:trPr>
        <w:tc>
          <w:tcPr>
            <w:tcW w:w="4220" w:type="dxa"/>
            <w:vAlign w:val="bottom"/>
          </w:tcPr>
          <w:p>
            <w:pPr>
              <w:jc w:val="center"/>
              <w:ind w:left="1243"/>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87"/>
        </w:trPr>
        <w:tc>
          <w:tcPr>
            <w:tcW w:w="4220" w:type="dxa"/>
            <w:vAlign w:val="bottom"/>
          </w:tcPr>
          <w:p>
            <w:pPr>
              <w:spacing w:after="0"/>
              <w:rPr>
                <w:sz w:val="24"/>
                <w:szCs w:val="24"/>
                <w:color w:val="auto"/>
              </w:rPr>
            </w:pPr>
          </w:p>
        </w:tc>
        <w:tc>
          <w:tcPr>
            <w:tcW w:w="1860" w:type="dxa"/>
            <w:vAlign w:val="bottom"/>
            <w:gridSpan w:val="4"/>
          </w:tcPr>
          <w:p>
            <w:pPr>
              <w:jc w:val="right"/>
              <w:spacing w:after="0"/>
              <w:rPr>
                <w:sz w:val="20"/>
                <w:szCs w:val="20"/>
                <w:color w:val="auto"/>
              </w:rPr>
            </w:pPr>
            <w:r>
              <w:rPr>
                <w:rFonts w:ascii="Arial" w:cs="Arial" w:eastAsia="Arial" w:hAnsi="Arial"/>
                <w:sz w:val="14"/>
                <w:szCs w:val="14"/>
                <w:b w:val="1"/>
                <w:bCs w:val="1"/>
                <w:color w:val="auto"/>
              </w:rPr>
              <w:t>(215) 944-6100</w:t>
            </w:r>
          </w:p>
        </w:tc>
        <w:tc>
          <w:tcPr>
            <w:tcW w:w="52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including area code)</w:t>
            </w:r>
          </w:p>
        </w:tc>
        <w:tc>
          <w:tcPr>
            <w:tcW w:w="0" w:type="dxa"/>
            <w:vAlign w:val="bottom"/>
          </w:tcPr>
          <w:p>
            <w:pPr>
              <w:spacing w:after="0"/>
              <w:rPr>
                <w:sz w:val="1"/>
                <w:szCs w:val="1"/>
                <w:color w:val="auto"/>
              </w:rPr>
            </w:pPr>
          </w:p>
        </w:tc>
      </w:tr>
      <w:tr>
        <w:trPr>
          <w:trHeight w:val="20"/>
        </w:trPr>
        <w:tc>
          <w:tcPr>
            <w:tcW w:w="5180" w:type="dxa"/>
            <w:vAlign w:val="bottom"/>
            <w:gridSpan w:val="4"/>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08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rPr>
              <w:t>(Registrant’s telephone number,</w:t>
            </w:r>
          </w:p>
        </w:tc>
        <w:tc>
          <w:tcPr>
            <w:tcW w:w="526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4220" w:type="dxa"/>
            <w:vAlign w:val="bottom"/>
            <w:vMerge w:val="restart"/>
          </w:tcPr>
          <w:p>
            <w:pPr>
              <w:spacing w:after="0"/>
              <w:rPr>
                <w:sz w:val="20"/>
                <w:szCs w:val="20"/>
                <w:color w:val="auto"/>
              </w:rPr>
            </w:pPr>
            <w:r>
              <w:rPr>
                <w:rFonts w:ascii="Arial" w:cs="Arial" w:eastAsia="Arial" w:hAnsi="Arial"/>
                <w:sz w:val="18"/>
                <w:szCs w:val="18"/>
                <w:color w:val="auto"/>
                <w:w w:val="91"/>
              </w:rPr>
              <w:t>Securities registered pursuant to Section 12(b) of the Act:</w:t>
            </w: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42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22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gridSpan w:val="5"/>
          </w:tcPr>
          <w:p>
            <w:pPr>
              <w:jc w:val="center"/>
              <w:ind w:right="840"/>
              <w:spacing w:after="0"/>
              <w:rPr>
                <w:sz w:val="20"/>
                <w:szCs w:val="20"/>
                <w:color w:val="auto"/>
              </w:rPr>
            </w:pPr>
            <w:r>
              <w:rPr>
                <w:rFonts w:ascii="Arial" w:cs="Arial" w:eastAsia="Arial" w:hAnsi="Arial"/>
                <w:sz w:val="18"/>
                <w:szCs w:val="18"/>
                <w:b w:val="1"/>
                <w:bCs w:val="1"/>
                <w:color w:val="auto"/>
                <w:w w:val="91"/>
              </w:rPr>
              <w:t>Trading Symbol(s)</w:t>
            </w:r>
          </w:p>
        </w:tc>
        <w:tc>
          <w:tcPr>
            <w:tcW w:w="4320" w:type="dxa"/>
            <w:vAlign w:val="bottom"/>
          </w:tcPr>
          <w:p>
            <w:pPr>
              <w:jc w:val="center"/>
              <w:ind w:right="663"/>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148"/>
        </w:trPr>
        <w:tc>
          <w:tcPr>
            <w:tcW w:w="42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vMerge w:val="restart"/>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vMerge w:val="restart"/>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43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4220" w:type="dxa"/>
            <w:vAlign w:val="bottom"/>
          </w:tcPr>
          <w:p>
            <w:pPr>
              <w:jc w:val="center"/>
              <w:spacing w:after="0"/>
              <w:rPr>
                <w:sz w:val="20"/>
                <w:szCs w:val="20"/>
                <w:color w:val="auto"/>
              </w:rPr>
            </w:pPr>
            <w:r>
              <w:rPr>
                <w:rFonts w:ascii="Arial" w:cs="Arial" w:eastAsia="Arial" w:hAnsi="Arial"/>
                <w:sz w:val="18"/>
                <w:szCs w:val="18"/>
                <w:color w:val="auto"/>
                <w:w w:val="89"/>
              </w:rPr>
              <w:t>Class A Common Stock, $0.001 par value per share</w:t>
            </w:r>
          </w:p>
        </w:tc>
        <w:tc>
          <w:tcPr>
            <w:tcW w:w="6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1800" w:type="dxa"/>
            <w:vAlign w:val="bottom"/>
            <w:gridSpan w:val="3"/>
          </w:tcPr>
          <w:p>
            <w:pPr>
              <w:jc w:val="center"/>
              <w:spacing w:after="0"/>
              <w:rPr>
                <w:sz w:val="20"/>
                <w:szCs w:val="20"/>
                <w:color w:val="auto"/>
              </w:rPr>
            </w:pPr>
            <w:r>
              <w:rPr>
                <w:rFonts w:ascii="Arial" w:cs="Arial" w:eastAsia="Arial" w:hAnsi="Arial"/>
                <w:sz w:val="18"/>
                <w:szCs w:val="18"/>
                <w:color w:val="auto"/>
                <w:w w:val="97"/>
              </w:rPr>
              <w:t>HSDT</w:t>
            </w:r>
          </w:p>
        </w:tc>
        <w:tc>
          <w:tcPr>
            <w:tcW w:w="100" w:type="dxa"/>
            <w:vAlign w:val="bottom"/>
            <w:vMerge w:val="continue"/>
          </w:tcPr>
          <w:p>
            <w:pPr>
              <w:spacing w:after="0"/>
              <w:rPr>
                <w:sz w:val="19"/>
                <w:szCs w:val="19"/>
                <w:color w:val="auto"/>
              </w:rPr>
            </w:pPr>
          </w:p>
        </w:tc>
        <w:tc>
          <w:tcPr>
            <w:tcW w:w="740" w:type="dxa"/>
            <w:vAlign w:val="bottom"/>
          </w:tcPr>
          <w:p>
            <w:pPr>
              <w:spacing w:after="0"/>
              <w:rPr>
                <w:sz w:val="19"/>
                <w:szCs w:val="19"/>
                <w:color w:val="auto"/>
              </w:rPr>
            </w:pPr>
          </w:p>
        </w:tc>
        <w:tc>
          <w:tcPr>
            <w:tcW w:w="4320" w:type="dxa"/>
            <w:vAlign w:val="bottom"/>
          </w:tcPr>
          <w:p>
            <w:pPr>
              <w:jc w:val="center"/>
              <w:ind w:right="643"/>
              <w:spacing w:after="0"/>
              <w:rPr>
                <w:sz w:val="20"/>
                <w:szCs w:val="20"/>
                <w:color w:val="auto"/>
              </w:rPr>
            </w:pPr>
            <w:r>
              <w:rPr>
                <w:rFonts w:ascii="Arial" w:cs="Arial" w:eastAsia="Arial" w:hAnsi="Arial"/>
                <w:sz w:val="18"/>
                <w:szCs w:val="18"/>
                <w:color w:val="auto"/>
                <w:w w:val="92"/>
              </w:rPr>
              <w:t>The Nasdaq Stock Market LLC</w:t>
            </w:r>
          </w:p>
        </w:tc>
        <w:tc>
          <w:tcPr>
            <w:tcW w:w="0" w:type="dxa"/>
            <w:vAlign w:val="bottom"/>
          </w:tcPr>
          <w:p>
            <w:pPr>
              <w:spacing w:after="0"/>
              <w:rPr>
                <w:sz w:val="1"/>
                <w:szCs w:val="1"/>
                <w:color w:val="auto"/>
              </w:rPr>
            </w:pPr>
          </w:p>
        </w:tc>
      </w:tr>
    </w:tbl>
    <w:p>
      <w:pPr>
        <w:spacing w:after="0" w:line="232" w:lineRule="exact"/>
        <w:rPr>
          <w:sz w:val="24"/>
          <w:szCs w:val="24"/>
          <w:color w:val="auto"/>
        </w:rPr>
      </w:pPr>
    </w:p>
    <w:p>
      <w:pPr>
        <w:jc w:val="both"/>
        <w:ind w:right="10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jc w:val="both"/>
        <w:ind w:right="100"/>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8" w:lineRule="exact"/>
        <w:rPr>
          <w:sz w:val="24"/>
          <w:szCs w:val="24"/>
          <w:color w:val="auto"/>
        </w:rPr>
      </w:pPr>
    </w:p>
    <w:p>
      <w:pPr>
        <w:jc w:val="both"/>
        <w:ind w:right="12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1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8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100" w:type="dxa"/>
            <w:vAlign w:val="bottom"/>
          </w:tcPr>
          <w:p>
            <w:pPr>
              <w:ind w:left="3000"/>
              <w:spacing w:after="0"/>
              <w:rPr>
                <w:sz w:val="20"/>
                <w:szCs w:val="20"/>
                <w:color w:val="auto"/>
              </w:rPr>
            </w:pPr>
            <w:r>
              <w:rPr>
                <w:rFonts w:ascii="Arial" w:cs="Arial" w:eastAsia="Arial" w:hAnsi="Arial"/>
                <w:sz w:val="16"/>
                <w:szCs w:val="16"/>
                <w:color w:val="auto"/>
              </w:rPr>
              <w:t>Accelerated filer</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120" w:type="dxa"/>
            <w:vAlign w:val="bottom"/>
          </w:tcPr>
          <w:p>
            <w:pPr>
              <w:spacing w:after="0"/>
              <w:rPr>
                <w:sz w:val="20"/>
                <w:szCs w:val="20"/>
                <w:color w:val="auto"/>
              </w:rPr>
            </w:pPr>
            <w:r>
              <w:rPr>
                <w:rFonts w:ascii="Arial" w:cs="Arial" w:eastAsia="Arial" w:hAnsi="Arial"/>
                <w:sz w:val="16"/>
                <w:szCs w:val="16"/>
                <w:color w:val="auto"/>
              </w:rPr>
              <w:t>Non-accelerated filer</w:t>
            </w:r>
          </w:p>
        </w:tc>
        <w:tc>
          <w:tcPr>
            <w:tcW w:w="348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100" w:type="dxa"/>
            <w:vAlign w:val="bottom"/>
          </w:tcPr>
          <w:p>
            <w:pPr>
              <w:ind w:left="3000"/>
              <w:spacing w:after="0"/>
              <w:rPr>
                <w:sz w:val="20"/>
                <w:szCs w:val="20"/>
                <w:color w:val="auto"/>
              </w:rPr>
            </w:pPr>
            <w:r>
              <w:rPr>
                <w:rFonts w:ascii="Arial" w:cs="Arial" w:eastAsia="Arial" w:hAnsi="Arial"/>
                <w:sz w:val="16"/>
                <w:szCs w:val="16"/>
                <w:color w:val="auto"/>
              </w:rPr>
              <w:t>Smaller reporting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1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48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100" w:type="dxa"/>
            <w:vAlign w:val="bottom"/>
          </w:tcPr>
          <w:p>
            <w:pPr>
              <w:spacing w:after="0"/>
              <w:rPr>
                <w:sz w:val="22"/>
                <w:szCs w:val="22"/>
                <w:color w:val="auto"/>
              </w:rPr>
            </w:pPr>
          </w:p>
        </w:tc>
        <w:tc>
          <w:tcPr>
            <w:tcW w:w="500" w:type="dxa"/>
            <w:vAlign w:val="bottom"/>
          </w:tcPr>
          <w:p>
            <w:pPr>
              <w:spacing w:after="0"/>
              <w:rPr>
                <w:sz w:val="22"/>
                <w:szCs w:val="22"/>
                <w:color w:val="auto"/>
              </w:rPr>
            </w:pPr>
          </w:p>
        </w:tc>
      </w:tr>
    </w:tbl>
    <w:p>
      <w:pPr>
        <w:spacing w:after="0" w:line="181" w:lineRule="exact"/>
        <w:rPr>
          <w:sz w:val="24"/>
          <w:szCs w:val="24"/>
          <w:color w:val="auto"/>
        </w:rPr>
      </w:pPr>
    </w:p>
    <w:p>
      <w:pPr>
        <w:ind w:right="6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2760"/>
        <w:spacing w:after="0" w:line="241"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May 10, 2021, the registrant had 2,317,358 shares of Class A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728345</wp:posOffset>
            </wp:positionV>
            <wp:extent cx="71748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340"/>
          </w:cols>
          <w:pgMar w:left="320" w:top="715" w:right="2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9920" w:type="dxa"/>
            <w:vAlign w:val="bottom"/>
            <w:gridSpan w:val="18"/>
          </w:tcPr>
          <w:p>
            <w:pPr>
              <w:spacing w:after="0"/>
              <w:rPr>
                <w:sz w:val="20"/>
                <w:szCs w:val="20"/>
                <w:color w:val="auto"/>
              </w:rPr>
            </w:pPr>
            <w:r>
              <w:rPr>
                <w:rFonts w:ascii="Arial" w:cs="Arial" w:eastAsia="Arial" w:hAnsi="Arial"/>
                <w:sz w:val="18"/>
                <w:szCs w:val="18"/>
                <w:b w:val="1"/>
                <w:bCs w:val="1"/>
                <w:color w:val="auto"/>
              </w:rPr>
              <w:t>Financial Information</w:t>
            </w:r>
          </w:p>
        </w:tc>
        <w:tc>
          <w:tcPr>
            <w:tcW w:w="320" w:type="dxa"/>
            <w:vAlign w:val="bottom"/>
          </w:tcPr>
          <w:p>
            <w:pPr>
              <w:spacing w:after="0"/>
              <w:rPr>
                <w:sz w:val="20"/>
                <w:szCs w:val="20"/>
                <w:color w:val="auto"/>
              </w:rPr>
            </w:pPr>
          </w:p>
        </w:tc>
      </w:tr>
      <w:tr>
        <w:trPr>
          <w:trHeight w:val="338"/>
        </w:trPr>
        <w:tc>
          <w:tcPr>
            <w:tcW w:w="10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920" w:type="dxa"/>
            <w:vAlign w:val="bottom"/>
            <w:gridSpan w:val="18"/>
          </w:tcPr>
          <w:p>
            <w:pPr>
              <w:spacing w:after="0"/>
              <w:rPr>
                <w:sz w:val="20"/>
                <w:szCs w:val="20"/>
                <w:color w:val="auto"/>
              </w:rPr>
            </w:pPr>
            <w:r>
              <w:rPr>
                <w:rFonts w:ascii="Arial" w:cs="Arial" w:eastAsia="Arial" w:hAnsi="Arial"/>
                <w:sz w:val="18"/>
                <w:szCs w:val="18"/>
                <w:color w:val="auto"/>
              </w:rPr>
              <w:t>Condensed Consolidated Financial Statements</w:t>
            </w:r>
          </w:p>
        </w:tc>
        <w:tc>
          <w:tcPr>
            <w:tcW w:w="320" w:type="dxa"/>
            <w:vAlign w:val="bottom"/>
          </w:tcPr>
          <w:p>
            <w:pPr>
              <w:spacing w:after="0"/>
              <w:rPr>
                <w:sz w:val="24"/>
                <w:szCs w:val="24"/>
                <w:color w:val="auto"/>
              </w:rPr>
            </w:pPr>
          </w:p>
        </w:tc>
      </w:tr>
      <w:tr>
        <w:trPr>
          <w:trHeight w:val="297"/>
        </w:trPr>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8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Unaudited Condensed Consolidated Balance Sheets as of March 31, 2021 and December 31, 2020</w:t>
              </w:r>
            </w:hyperlink>
          </w:p>
        </w:tc>
        <w:tc>
          <w:tcPr>
            <w:tcW w:w="2840" w:type="dxa"/>
            <w:vAlign w:val="bottom"/>
            <w:gridSpan w:val="4"/>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920" w:type="dxa"/>
            <w:vAlign w:val="bottom"/>
            <w:gridSpan w:val="18"/>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Unaudited Condensed Consolidated Statements of Operations and Comprehensive Loss for the three months ended March 31, 2021 and</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196"/>
        </w:trPr>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2020</w:t>
              </w:r>
            </w:hyperlink>
          </w:p>
        </w:tc>
        <w:tc>
          <w:tcPr>
            <w:tcW w:w="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20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68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317"/>
        </w:trPr>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920" w:type="dxa"/>
            <w:vAlign w:val="bottom"/>
            <w:gridSpan w:val="18"/>
          </w:tcPr>
          <w:p>
            <w:pPr>
              <w:spacing w:after="0"/>
              <w:rPr>
                <w:rFonts w:ascii="Arial" w:cs="Arial" w:eastAsia="Arial" w:hAnsi="Arial"/>
                <w:sz w:val="18"/>
                <w:szCs w:val="18"/>
                <w:color w:val="0000EE"/>
                <w:w w:val="98"/>
              </w:rPr>
            </w:pPr>
            <w:hyperlink w:anchor="page5">
              <w:r>
                <w:rPr>
                  <w:rFonts w:ascii="Arial" w:cs="Arial" w:eastAsia="Arial" w:hAnsi="Arial"/>
                  <w:sz w:val="18"/>
                  <w:szCs w:val="18"/>
                  <w:color w:val="0000EE"/>
                  <w:w w:val="98"/>
                </w:rPr>
                <w:t>Unaudited Condensed Consolidated Statements of Stockholders’ Equity for the three months ended March 31, 2021 and 2020</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31"/>
        </w:trPr>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60" w:type="dxa"/>
            <w:vAlign w:val="bottom"/>
            <w:tcBorders>
              <w:top w:val="single" w:sz="8" w:color="0000EE"/>
            </w:tcBorders>
            <w:gridSpan w:val="16"/>
          </w:tcPr>
          <w:p>
            <w:pPr>
              <w:spacing w:after="0"/>
              <w:rPr>
                <w:rFonts w:ascii="Arial" w:cs="Arial" w:eastAsia="Arial" w:hAnsi="Arial"/>
                <w:sz w:val="18"/>
                <w:szCs w:val="18"/>
                <w:color w:val="0000EE"/>
                <w:w w:val="96"/>
              </w:rPr>
            </w:pPr>
            <w:hyperlink w:anchor="page6">
              <w:r>
                <w:rPr>
                  <w:rFonts w:ascii="Arial" w:cs="Arial" w:eastAsia="Arial" w:hAnsi="Arial"/>
                  <w:sz w:val="18"/>
                  <w:szCs w:val="18"/>
                  <w:color w:val="0000EE"/>
                  <w:w w:val="96"/>
                </w:rPr>
                <w:t>Unaudited Condensed Consolidated Statements of Cash Flows for the three months ended March 31, 2021 and 2020</w:t>
              </w:r>
            </w:hyperlink>
          </w:p>
        </w:tc>
        <w:tc>
          <w:tcPr>
            <w:tcW w:w="860" w:type="dxa"/>
            <w:vAlign w:val="bottom"/>
            <w:gridSpan w:val="2"/>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31"/>
        </w:trPr>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380" w:type="dxa"/>
            <w:vAlign w:val="bottom"/>
            <w:tcBorders>
              <w:top w:val="single" w:sz="8" w:color="0000EE"/>
            </w:tcBorders>
            <w:gridSpan w:val="1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Unaudited Condensed Consolidated Financial Statements</w:t>
              </w:r>
            </w:hyperlink>
          </w:p>
        </w:tc>
        <w:tc>
          <w:tcPr>
            <w:tcW w:w="1540" w:type="dxa"/>
            <w:vAlign w:val="bottom"/>
            <w:gridSpan w:val="3"/>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45"/>
        </w:trPr>
        <w:tc>
          <w:tcPr>
            <w:tcW w:w="10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Management’s Discussion and Analysis of Financial Condition and Results of Operations</w:t>
              </w:r>
            </w:hyperlink>
          </w:p>
        </w:tc>
        <w:tc>
          <w:tcPr>
            <w:tcW w:w="3460" w:type="dxa"/>
            <w:vAlign w:val="bottom"/>
            <w:gridSpan w:val="5"/>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1"/>
          </w:tcPr>
          <w:p>
            <w:pPr>
              <w:spacing w:after="0"/>
              <w:rPr>
                <w:rFonts w:ascii="Arial" w:cs="Arial" w:eastAsia="Arial" w:hAnsi="Arial"/>
                <w:sz w:val="18"/>
                <w:szCs w:val="18"/>
                <w:color w:val="0000EE"/>
                <w:w w:val="92"/>
              </w:rPr>
            </w:pPr>
            <w:hyperlink w:anchor="page29">
              <w:r>
                <w:rPr>
                  <w:rFonts w:ascii="Arial" w:cs="Arial" w:eastAsia="Arial" w:hAnsi="Arial"/>
                  <w:sz w:val="18"/>
                  <w:szCs w:val="18"/>
                  <w:color w:val="0000EE"/>
                  <w:w w:val="92"/>
                </w:rPr>
                <w:t>Quantitative and Qualitative Disclosures About Market Risk</w:t>
              </w:r>
            </w:hyperlink>
          </w:p>
        </w:tc>
        <w:tc>
          <w:tcPr>
            <w:tcW w:w="5560" w:type="dxa"/>
            <w:vAlign w:val="bottom"/>
            <w:gridSpan w:val="7"/>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920" w:type="dxa"/>
            <w:vAlign w:val="bottom"/>
            <w:gridSpan w:val="18"/>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Controls and Procedures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760" w:type="dxa"/>
            <w:vAlign w:val="bottom"/>
            <w:tcBorders>
              <w:top w:val="single" w:sz="8" w:color="0000EE"/>
            </w:tcBorders>
            <w:gridSpan w:val="8"/>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Other Information</w:t>
              </w:r>
            </w:hyperlink>
          </w:p>
        </w:tc>
        <w:tc>
          <w:tcPr>
            <w:tcW w:w="8160" w:type="dxa"/>
            <w:vAlign w:val="bottom"/>
            <w:gridSpan w:val="10"/>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31">
              <w:r>
                <w:rPr>
                  <w:rFonts w:ascii="Arial" w:cs="Arial" w:eastAsia="Arial" w:hAnsi="Arial"/>
                  <w:sz w:val="18"/>
                  <w:szCs w:val="18"/>
                  <w:color w:val="0000EE"/>
                  <w:w w:val="88"/>
                </w:rPr>
                <w:t>Legal Proceedings</w:t>
              </w:r>
            </w:hyperlink>
          </w:p>
        </w:tc>
        <w:tc>
          <w:tcPr>
            <w:tcW w:w="100" w:type="dxa"/>
            <w:vAlign w:val="bottom"/>
            <w:tcBorders>
              <w:top w:val="single" w:sz="8" w:color="0000EE"/>
            </w:tcBorders>
          </w:tcPr>
          <w:p>
            <w:pPr>
              <w:spacing w:after="0"/>
              <w:rPr>
                <w:sz w:val="24"/>
                <w:szCs w:val="24"/>
                <w:color w:val="auto"/>
              </w:rPr>
            </w:pPr>
          </w:p>
        </w:tc>
        <w:tc>
          <w:tcPr>
            <w:tcW w:w="8480" w:type="dxa"/>
            <w:vAlign w:val="bottom"/>
            <w:gridSpan w:val="11"/>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920" w:type="dxa"/>
            <w:vAlign w:val="bottom"/>
            <w:gridSpan w:val="18"/>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Risk Factors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58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920" w:type="dxa"/>
            <w:vAlign w:val="bottom"/>
            <w:gridSpan w:val="18"/>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Unregistered Sales of Equity Securities and Use of Proceeds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Defaults Upon Senior Securities</w:t>
              </w:r>
            </w:hyperlink>
          </w:p>
        </w:tc>
        <w:tc>
          <w:tcPr>
            <w:tcW w:w="5580" w:type="dxa"/>
            <w:vAlign w:val="bottom"/>
            <w:gridSpan w:val="8"/>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17"/>
        </w:trPr>
        <w:tc>
          <w:tcPr>
            <w:tcW w:w="10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320" w:type="dxa"/>
            <w:vAlign w:val="bottom"/>
            <w:tcBorders>
              <w:top w:val="single" w:sz="8" w:color="0000EE"/>
            </w:tcBorders>
            <w:gridSpan w:val="9"/>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Mine Safety Disclosures</w:t>
              </w:r>
            </w:hyperlink>
          </w:p>
        </w:tc>
        <w:tc>
          <w:tcPr>
            <w:tcW w:w="7600" w:type="dxa"/>
            <w:vAlign w:val="bottom"/>
            <w:gridSpan w:val="9"/>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3"/>
          </w:tcPr>
          <w:p>
            <w:pPr>
              <w:spacing w:after="0"/>
              <w:rPr>
                <w:sz w:val="24"/>
                <w:szCs w:val="24"/>
                <w:color w:val="auto"/>
              </w:rPr>
            </w:pPr>
          </w:p>
        </w:tc>
        <w:tc>
          <w:tcPr>
            <w:tcW w:w="8160" w:type="dxa"/>
            <w:vAlign w:val="bottom"/>
            <w:gridSpan w:val="10"/>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920" w:type="dxa"/>
            <w:vAlign w:val="bottom"/>
            <w:gridSpan w:val="18"/>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Exhibits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18"/>
        </w:trPr>
        <w:tc>
          <w:tcPr>
            <w:tcW w:w="1020" w:type="dxa"/>
            <w:vAlign w:val="bottom"/>
            <w:gridSpan w:val="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Signatures</w:t>
              </w:r>
            </w:hyperlink>
          </w:p>
        </w:tc>
        <w:tc>
          <w:tcPr>
            <w:tcW w:w="2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53"/>
        </w:trPr>
        <w:tc>
          <w:tcPr>
            <w:tcW w:w="76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4780" w:type="dxa"/>
            <w:vAlign w:val="bottom"/>
            <w:gridSpan w:val="12"/>
          </w:tcPr>
          <w:p>
            <w:pPr>
              <w:ind w:left="4560"/>
              <w:spacing w:after="0"/>
              <w:rPr>
                <w:sz w:val="20"/>
                <w:szCs w:val="20"/>
                <w:color w:val="auto"/>
              </w:rPr>
            </w:pPr>
            <w:r>
              <w:rPr>
                <w:rFonts w:ascii="Arial" w:cs="Arial" w:eastAsia="Arial" w:hAnsi="Arial"/>
                <w:sz w:val="18"/>
                <w:szCs w:val="18"/>
                <w:color w:val="auto"/>
              </w:rPr>
              <w:t>2</w:t>
            </w:r>
          </w:p>
        </w:tc>
        <w:tc>
          <w:tcPr>
            <w:tcW w:w="1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15"/>
        </w:trPr>
        <w:tc>
          <w:tcPr>
            <w:tcW w:w="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67" w:right="3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(Except for share data, amounts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March 31, 2021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December 31, 2020</w:t>
            </w:r>
          </w:p>
        </w:tc>
        <w:tc>
          <w:tcPr>
            <w:tcW w:w="0" w:type="dxa"/>
            <w:vAlign w:val="bottom"/>
          </w:tcPr>
          <w:p>
            <w:pPr>
              <w:spacing w:after="0"/>
              <w:rPr>
                <w:sz w:val="1"/>
                <w:szCs w:val="1"/>
                <w:color w:val="auto"/>
              </w:rPr>
            </w:pPr>
          </w:p>
        </w:tc>
      </w:tr>
      <w:tr>
        <w:trPr>
          <w:trHeight w:val="223"/>
        </w:trPr>
        <w:tc>
          <w:tcPr>
            <w:tcW w:w="7600" w:type="dxa"/>
            <w:vAlign w:val="bottom"/>
            <w:tcBorders>
              <w:top w:val="single" w:sz="8" w:color="CFF0FC"/>
            </w:tcBorders>
            <w:shd w:val="clear" w:color="auto" w:fill="CFF0FC"/>
          </w:tcPr>
          <w:p>
            <w:pPr>
              <w:ind w:left="344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w:t>
            </w:r>
          </w:p>
        </w:tc>
        <w:tc>
          <w:tcPr>
            <w:tcW w:w="3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11,397</w:t>
            </w:r>
          </w:p>
        </w:tc>
        <w:tc>
          <w:tcPr>
            <w:tcW w:w="1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receivables</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60"/>
              <w:spacing w:after="0"/>
              <w:rPr>
                <w:sz w:val="20"/>
                <w:szCs w:val="20"/>
                <w:color w:val="auto"/>
              </w:rPr>
            </w:pPr>
            <w:r>
              <w:rPr>
                <w:rFonts w:ascii="Arial" w:cs="Arial" w:eastAsia="Arial" w:hAnsi="Arial"/>
                <w:sz w:val="18"/>
                <w:szCs w:val="18"/>
                <w:color w:val="auto"/>
              </w:rPr>
              <w:t>Inventory, net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12,863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260"/>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right-of-use asset, net</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assets</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14,664</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6,547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0" w:type="dxa"/>
            <w:vAlign w:val="bottom"/>
            <w:vMerge w:val="restart"/>
          </w:tcPr>
          <w:p>
            <w:pPr>
              <w:ind w:left="182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1,093</w:t>
            </w:r>
          </w:p>
        </w:tc>
        <w:tc>
          <w:tcPr>
            <w:tcW w:w="18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liabilities</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260"/>
              <w:spacing w:after="0"/>
              <w:rPr>
                <w:sz w:val="20"/>
                <w:szCs w:val="20"/>
                <w:color w:val="auto"/>
              </w:rPr>
            </w:pPr>
            <w:r>
              <w:rPr>
                <w:rFonts w:ascii="Arial" w:cs="Arial" w:eastAsia="Arial" w:hAnsi="Arial"/>
                <w:sz w:val="18"/>
                <w:szCs w:val="18"/>
                <w:color w:val="auto"/>
              </w:rPr>
              <w:t>Operating lease liability</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2,534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Non-current liabilities</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60"/>
              <w:spacing w:after="0"/>
              <w:rPr>
                <w:sz w:val="20"/>
                <w:szCs w:val="20"/>
                <w:color w:val="auto"/>
              </w:rPr>
            </w:pPr>
            <w:r>
              <w:rPr>
                <w:rFonts w:ascii="Arial" w:cs="Arial" w:eastAsia="Arial" w:hAnsi="Arial"/>
                <w:sz w:val="18"/>
                <w:szCs w:val="18"/>
                <w:color w:val="auto"/>
              </w:rPr>
              <w:t>Operating lease liability</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2,766</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2,676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6)</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89"/>
              </w:rPr>
              <w:t>Preferred stock, $0.001 par value; 10,000,000 shares authorized; no shares issued and outstanding as</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of March 31, 2021 and December 31, 2020</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600" w:type="dxa"/>
            <w:vAlign w:val="bottom"/>
          </w:tcPr>
          <w:p>
            <w:pPr>
              <w:ind w:left="260"/>
              <w:spacing w:after="0"/>
              <w:rPr>
                <w:sz w:val="20"/>
                <w:szCs w:val="20"/>
                <w:color w:val="auto"/>
              </w:rPr>
            </w:pPr>
            <w:r>
              <w:rPr>
                <w:rFonts w:ascii="Arial" w:cs="Arial" w:eastAsia="Arial" w:hAnsi="Arial"/>
                <w:sz w:val="18"/>
                <w:szCs w:val="18"/>
                <w:color w:val="auto"/>
                <w:w w:val="92"/>
              </w:rPr>
              <w:t>Class A common stock, $0.001 par value; 150,000,000 shares authorized; 2,311,868 and 1,484,362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60"/>
              <w:spacing w:after="0"/>
              <w:rPr>
                <w:sz w:val="20"/>
                <w:szCs w:val="20"/>
                <w:color w:val="auto"/>
              </w:rPr>
            </w:pPr>
            <w:r>
              <w:rPr>
                <w:rFonts w:ascii="Arial" w:cs="Arial" w:eastAsia="Arial" w:hAnsi="Arial"/>
                <w:sz w:val="18"/>
                <w:szCs w:val="18"/>
                <w:color w:val="auto"/>
              </w:rPr>
              <w:t>shares issued and outstanding as of March 31, 2021 and December 31, 2020, respectively</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135,388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123,872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(1,227)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(122,265)</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(118,903)</w:t>
            </w:r>
          </w:p>
        </w:tc>
        <w:tc>
          <w:tcPr>
            <w:tcW w:w="0" w:type="dxa"/>
            <w:vAlign w:val="bottom"/>
          </w:tcPr>
          <w:p>
            <w:pPr>
              <w:spacing w:after="0"/>
              <w:rPr>
                <w:sz w:val="1"/>
                <w:szCs w:val="1"/>
                <w:color w:val="auto"/>
              </w:rPr>
            </w:pPr>
          </w:p>
        </w:tc>
      </w:tr>
      <w:tr>
        <w:trPr>
          <w:trHeight w:val="223"/>
        </w:trPr>
        <w:tc>
          <w:tcPr>
            <w:tcW w:w="76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1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11,898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3,871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14,664</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6,547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ind w:right="4500"/>
        <w:spacing w:after="0" w:line="260" w:lineRule="auto"/>
        <w:rPr>
          <w:sz w:val="20"/>
          <w:szCs w:val="20"/>
          <w:color w:val="auto"/>
        </w:rPr>
      </w:pPr>
      <w:r>
        <w:rPr>
          <w:rFonts w:ascii="Arial" w:cs="Arial" w:eastAsia="Arial" w:hAnsi="Arial"/>
          <w:sz w:val="18"/>
          <w:szCs w:val="18"/>
          <w:b w:val="1"/>
          <w:bCs w:val="1"/>
          <w:color w:val="auto"/>
        </w:rPr>
        <w:t xml:space="preserve">Unaudited Condensed Consolidated Statements of Operations and Comprehensive Loss </w:t>
      </w:r>
      <w:r>
        <w:rPr>
          <w:rFonts w:ascii="Arial" w:cs="Arial" w:eastAsia="Arial" w:hAnsi="Arial"/>
          <w:sz w:val="18"/>
          <w:szCs w:val="18"/>
          <w:color w:val="auto"/>
        </w:rPr>
        <w:t>(Amounts in thousands except shares and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327"/>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20" w:type="dxa"/>
            <w:vAlign w:val="bottom"/>
            <w:vMerge w:val="restart"/>
          </w:tcPr>
          <w:p>
            <w:pPr>
              <w:spacing w:after="0"/>
              <w:rPr>
                <w:sz w:val="20"/>
                <w:szCs w:val="20"/>
                <w:color w:val="auto"/>
              </w:rPr>
            </w:pPr>
            <w:r>
              <w:rPr>
                <w:rFonts w:ascii="Arial" w:cs="Arial" w:eastAsia="Arial" w:hAnsi="Arial"/>
                <w:sz w:val="18"/>
                <w:szCs w:val="18"/>
                <w:b w:val="1"/>
                <w:bCs w:val="1"/>
                <w:color w:val="auto"/>
              </w:rPr>
              <w:t>Revenue:</w:t>
            </w:r>
          </w:p>
        </w:tc>
        <w:tc>
          <w:tcPr>
            <w:tcW w:w="17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12"/>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3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020" w:type="dxa"/>
            <w:vAlign w:val="bottom"/>
            <w:vMerge w:val="continue"/>
          </w:tcPr>
          <w:p>
            <w:pPr>
              <w:spacing w:after="0"/>
              <w:rPr>
                <w:sz w:val="19"/>
                <w:szCs w:val="19"/>
                <w:color w:val="auto"/>
              </w:rPr>
            </w:pPr>
          </w:p>
        </w:tc>
        <w:tc>
          <w:tcPr>
            <w:tcW w:w="1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Product sales</w:t>
            </w:r>
          </w:p>
        </w:tc>
        <w:tc>
          <w:tcPr>
            <w:tcW w:w="212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260"/>
              <w:spacing w:after="0"/>
              <w:rPr>
                <w:sz w:val="20"/>
                <w:szCs w:val="20"/>
                <w:color w:val="auto"/>
              </w:rPr>
            </w:pPr>
            <w:r>
              <w:rPr>
                <w:rFonts w:ascii="Arial" w:cs="Arial" w:eastAsia="Arial" w:hAnsi="Arial"/>
                <w:sz w:val="18"/>
                <w:szCs w:val="18"/>
                <w:color w:val="auto"/>
              </w:rPr>
              <w:t>Fee revenue</w:t>
            </w:r>
          </w:p>
        </w:tc>
        <w:tc>
          <w:tcPr>
            <w:tcW w:w="1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License revenue</w:t>
            </w:r>
          </w:p>
        </w:tc>
        <w:tc>
          <w:tcPr>
            <w:tcW w:w="17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0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tcPr>
          <w:p>
            <w:pPr>
              <w:spacing w:after="0"/>
              <w:rPr>
                <w:sz w:val="20"/>
                <w:szCs w:val="20"/>
                <w:color w:val="auto"/>
              </w:rPr>
            </w:pPr>
            <w:r>
              <w:rPr>
                <w:rFonts w:ascii="Arial" w:cs="Arial" w:eastAsia="Arial" w:hAnsi="Arial"/>
                <w:sz w:val="18"/>
                <w:szCs w:val="18"/>
                <w:b w:val="1"/>
                <w:bCs w:val="1"/>
                <w:color w:val="auto"/>
              </w:rPr>
              <w:t>Total operating revenue</w:t>
            </w:r>
          </w:p>
        </w:tc>
        <w:tc>
          <w:tcPr>
            <w:tcW w:w="1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84</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Cost of sales:</w:t>
            </w:r>
          </w:p>
        </w:tc>
        <w:tc>
          <w:tcPr>
            <w:tcW w:w="1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Cost of product sales</w:t>
            </w:r>
          </w:p>
        </w:tc>
        <w:tc>
          <w:tcPr>
            <w:tcW w:w="17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30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Gross profit</w:t>
            </w:r>
          </w:p>
        </w:tc>
        <w:tc>
          <w:tcPr>
            <w:tcW w:w="1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69</w:t>
            </w: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1,316</w:t>
            </w: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1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2,197</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expense</w:t>
            </w:r>
          </w:p>
        </w:tc>
        <w:tc>
          <w:tcPr>
            <w:tcW w:w="17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30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tcBorders>
              <w:bottom w:val="single" w:sz="8" w:color="CFF0FC"/>
            </w:tcBorders>
          </w:tcPr>
          <w:p>
            <w:pPr>
              <w:ind w:left="380"/>
              <w:spacing w:after="0"/>
              <w:rPr>
                <w:sz w:val="20"/>
                <w:szCs w:val="20"/>
                <w:color w:val="auto"/>
              </w:rPr>
            </w:pPr>
            <w:r>
              <w:rPr>
                <w:rFonts w:ascii="Arial" w:cs="Arial" w:eastAsia="Arial" w:hAnsi="Arial"/>
                <w:sz w:val="18"/>
                <w:szCs w:val="18"/>
                <w:b w:val="1"/>
                <w:bCs w:val="1"/>
                <w:color w:val="auto"/>
              </w:rPr>
              <w:t>Total operating expenses</w:t>
            </w:r>
          </w:p>
        </w:tc>
        <w:tc>
          <w:tcPr>
            <w:tcW w:w="17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3,570</w:t>
            </w:r>
          </w:p>
        </w:tc>
        <w:tc>
          <w:tcPr>
            <w:tcW w:w="30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4,108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loss</w:t>
            </w:r>
          </w:p>
        </w:tc>
        <w:tc>
          <w:tcPr>
            <w:tcW w:w="1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(3,501)</w:t>
            </w: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(4,002)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1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w:t>
            </w:r>
          </w:p>
        </w:tc>
        <w:tc>
          <w:tcPr>
            <w:tcW w:w="1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260"/>
              <w:spacing w:after="0"/>
              <w:rPr>
                <w:sz w:val="20"/>
                <w:szCs w:val="20"/>
                <w:color w:val="auto"/>
              </w:rPr>
            </w:pPr>
            <w:r>
              <w:rPr>
                <w:rFonts w:ascii="Arial" w:cs="Arial" w:eastAsia="Arial" w:hAnsi="Arial"/>
                <w:sz w:val="18"/>
                <w:szCs w:val="18"/>
                <w:color w:val="auto"/>
              </w:rPr>
              <w:t>Change in fair value of derivative financial instruments</w:t>
            </w:r>
          </w:p>
        </w:tc>
        <w:tc>
          <w:tcPr>
            <w:tcW w:w="1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exchange gain (loss)</w:t>
            </w:r>
          </w:p>
        </w:tc>
        <w:tc>
          <w:tcPr>
            <w:tcW w:w="1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other income (expense)</w:t>
            </w:r>
          </w:p>
        </w:tc>
        <w:tc>
          <w:tcPr>
            <w:tcW w:w="178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w:t>
            </w:r>
          </w:p>
        </w:tc>
        <w:tc>
          <w:tcPr>
            <w:tcW w:w="300" w:type="dxa"/>
            <w:vAlign w:val="bottom"/>
            <w:tcBorders>
              <w:bottom w:val="single" w:sz="8" w:color="CFF0FC"/>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17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(3,362)</w:t>
            </w:r>
          </w:p>
        </w:tc>
        <w:tc>
          <w:tcPr>
            <w:tcW w:w="30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(4,757)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tcPr>
          <w:p>
            <w:pPr>
              <w:spacing w:after="0"/>
              <w:rPr>
                <w:sz w:val="20"/>
                <w:szCs w:val="20"/>
                <w:color w:val="auto"/>
              </w:rPr>
            </w:pPr>
            <w:r>
              <w:rPr>
                <w:rFonts w:ascii="Arial" w:cs="Arial" w:eastAsia="Arial" w:hAnsi="Arial"/>
                <w:sz w:val="18"/>
                <w:szCs w:val="18"/>
                <w:b w:val="1"/>
                <w:bCs w:val="1"/>
                <w:color w:val="auto"/>
              </w:rPr>
              <w:t>Other comprehensive loss:</w:t>
            </w:r>
          </w:p>
        </w:tc>
        <w:tc>
          <w:tcPr>
            <w:tcW w:w="1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1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(128)</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0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Comprehensive loss</w:t>
            </w:r>
          </w:p>
        </w:tc>
        <w:tc>
          <w:tcPr>
            <w:tcW w:w="1780" w:type="dxa"/>
            <w:vAlign w:val="bottom"/>
            <w:tcBorders>
              <w:bottom w:val="single" w:sz="8" w:color="CFF0FC"/>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(3,490)</w:t>
            </w:r>
          </w:p>
        </w:tc>
        <w:tc>
          <w:tcPr>
            <w:tcW w:w="300" w:type="dxa"/>
            <w:vAlign w:val="bottom"/>
            <w:tcBorders>
              <w:bottom w:val="single" w:sz="8" w:color="CFF0FC"/>
            </w:tcBorders>
          </w:tcPr>
          <w:p>
            <w:pPr>
              <w:spacing w:after="0"/>
              <w:rPr>
                <w:sz w:val="22"/>
                <w:szCs w:val="22"/>
                <w:color w:val="auto"/>
              </w:rPr>
            </w:pPr>
          </w:p>
        </w:tc>
        <w:tc>
          <w:tcPr>
            <w:tcW w:w="560" w:type="dxa"/>
            <w:vAlign w:val="bottom"/>
            <w:tcBorders>
              <w:top w:val="single" w:sz="8" w:color="auto"/>
              <w:bottom w:val="single" w:sz="8" w:color="auto"/>
            </w:tcBorders>
          </w:tcPr>
          <w:p>
            <w:pPr>
              <w:jc w:val="right"/>
              <w:ind w:right="40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(4,121)</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 per share</w:t>
            </w:r>
          </w:p>
        </w:tc>
        <w:tc>
          <w:tcPr>
            <w:tcW w:w="17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380"/>
              <w:spacing w:after="0"/>
              <w:rPr>
                <w:sz w:val="20"/>
                <w:szCs w:val="20"/>
                <w:color w:val="auto"/>
              </w:rPr>
            </w:pPr>
            <w:r>
              <w:rPr>
                <w:rFonts w:ascii="Arial" w:cs="Arial" w:eastAsia="Arial" w:hAnsi="Arial"/>
                <w:sz w:val="18"/>
                <w:szCs w:val="18"/>
                <w:color w:val="auto"/>
              </w:rPr>
              <w:t>Basic</w:t>
            </w:r>
          </w:p>
        </w:tc>
        <w:tc>
          <w:tcPr>
            <w:tcW w:w="2120" w:type="dxa"/>
            <w:vAlign w:val="bottom"/>
            <w:gridSpan w:val="2"/>
          </w:tcPr>
          <w:p>
            <w:pPr>
              <w:jc w:val="right"/>
              <w:ind w:right="187"/>
              <w:spacing w:after="0"/>
              <w:rPr>
                <w:sz w:val="20"/>
                <w:szCs w:val="20"/>
                <w:color w:val="auto"/>
              </w:rPr>
            </w:pPr>
            <w:r>
              <w:rPr>
                <w:rFonts w:ascii="Arial" w:cs="Arial" w:eastAsia="Arial" w:hAnsi="Arial"/>
                <w:sz w:val="18"/>
                <w:szCs w:val="18"/>
                <w:b w:val="1"/>
                <w:bCs w:val="1"/>
                <w:color w:val="auto"/>
              </w:rPr>
              <w:t>$</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(1.65)</w:t>
            </w:r>
          </w:p>
        </w:tc>
        <w:tc>
          <w:tcPr>
            <w:tcW w:w="560" w:type="dxa"/>
            <w:vAlign w:val="bottom"/>
          </w:tcPr>
          <w:p>
            <w:pPr>
              <w:jc w:val="right"/>
              <w:ind w:right="407"/>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(5.38)</w:t>
            </w:r>
          </w:p>
        </w:tc>
        <w:tc>
          <w:tcPr>
            <w:tcW w:w="0" w:type="dxa"/>
            <w:vAlign w:val="bottom"/>
          </w:tcPr>
          <w:p>
            <w:pPr>
              <w:spacing w:after="0"/>
              <w:rPr>
                <w:sz w:val="1"/>
                <w:szCs w:val="1"/>
                <w:color w:val="auto"/>
              </w:rPr>
            </w:pPr>
          </w:p>
        </w:tc>
      </w:tr>
      <w:tr>
        <w:trPr>
          <w:trHeight w:val="210"/>
        </w:trPr>
        <w:tc>
          <w:tcPr>
            <w:tcW w:w="6020" w:type="dxa"/>
            <w:vAlign w:val="bottom"/>
            <w:tcBorders>
              <w:top w:val="single" w:sz="8" w:color="CFF0FC"/>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Diluted</w:t>
            </w:r>
          </w:p>
        </w:tc>
        <w:tc>
          <w:tcPr>
            <w:tcW w:w="178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(1.65)</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ind w:right="40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(5.38)</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1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20" w:type="dxa"/>
            <w:vAlign w:val="bottom"/>
            <w:vMerge w:val="continue"/>
          </w:tcPr>
          <w:p>
            <w:pPr>
              <w:spacing w:after="0"/>
              <w:rPr>
                <w:sz w:val="18"/>
                <w:szCs w:val="18"/>
                <w:color w:val="auto"/>
              </w:rPr>
            </w:pPr>
          </w:p>
        </w:tc>
        <w:tc>
          <w:tcPr>
            <w:tcW w:w="1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Basic</w:t>
            </w:r>
          </w:p>
        </w:tc>
        <w:tc>
          <w:tcPr>
            <w:tcW w:w="17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2,040,839</w:t>
            </w:r>
          </w:p>
        </w:tc>
        <w:tc>
          <w:tcPr>
            <w:tcW w:w="30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884,915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ind w:left="380"/>
              <w:spacing w:after="0"/>
              <w:rPr>
                <w:sz w:val="20"/>
                <w:szCs w:val="20"/>
                <w:color w:val="auto"/>
              </w:rPr>
            </w:pPr>
            <w:r>
              <w:rPr>
                <w:rFonts w:ascii="Arial" w:cs="Arial" w:eastAsia="Arial" w:hAnsi="Arial"/>
                <w:sz w:val="18"/>
                <w:szCs w:val="18"/>
                <w:color w:val="auto"/>
              </w:rPr>
              <w:t>Diluted</w:t>
            </w:r>
          </w:p>
        </w:tc>
        <w:tc>
          <w:tcPr>
            <w:tcW w:w="1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20" w:type="dxa"/>
            <w:vAlign w:val="bottom"/>
            <w:vMerge w:val="continue"/>
          </w:tcPr>
          <w:p>
            <w:pPr>
              <w:spacing w:after="0"/>
              <w:rPr>
                <w:sz w:val="18"/>
                <w:szCs w:val="18"/>
                <w:color w:val="auto"/>
              </w:rPr>
            </w:pPr>
          </w:p>
        </w:tc>
        <w:tc>
          <w:tcPr>
            <w:tcW w:w="17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2,040,839</w:t>
            </w:r>
          </w:p>
        </w:tc>
        <w:tc>
          <w:tcPr>
            <w:tcW w:w="3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884,915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ind w:right="940"/>
        <w:spacing w:after="0" w:line="250" w:lineRule="auto"/>
        <w:rPr>
          <w:sz w:val="20"/>
          <w:szCs w:val="20"/>
          <w:color w:val="auto"/>
        </w:rPr>
      </w:pPr>
      <w:r>
        <w:rPr>
          <w:rFonts w:ascii="Arial" w:cs="Arial" w:eastAsia="Arial" w:hAnsi="Arial"/>
          <w:sz w:val="18"/>
          <w:szCs w:val="18"/>
          <w:b w:val="1"/>
          <w:bCs w:val="1"/>
          <w:color w:val="auto"/>
        </w:rPr>
        <w:t xml:space="preserve">Unaudited Condensed Consolidated Statements of Stockholders’ Equity for the Three Months Ended March 31, 2021 and 2020 </w:t>
      </w:r>
      <w:r>
        <w:rPr>
          <w:rFonts w:ascii="Arial" w:cs="Arial" w:eastAsia="Arial" w:hAnsi="Arial"/>
          <w:sz w:val="18"/>
          <w:szCs w:val="18"/>
          <w:color w:val="auto"/>
        </w:rPr>
        <w:t>(Except share data, amounts in thousands)</w:t>
      </w:r>
    </w:p>
    <w:tbl>
      <w:tblPr>
        <w:tblLayout w:type="fixed"/>
        <w:tblInd w:w="580" w:type="dxa"/>
        <w:tblCellMar>
          <w:top w:w="0" w:type="dxa"/>
          <w:left w:w="0" w:type="dxa"/>
          <w:bottom w:w="0" w:type="dxa"/>
          <w:right w:w="0" w:type="dxa"/>
        </w:tblCellMar>
      </w:tblPr>
      <w:tr>
        <w:trPr>
          <w:trHeight w:val="140"/>
        </w:trPr>
        <w:tc>
          <w:tcPr>
            <w:tcW w:w="3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6"/>
            <w:vMerge w:val="restart"/>
          </w:tcPr>
          <w:p>
            <w:pPr>
              <w:jc w:val="center"/>
              <w:ind w:right="120"/>
              <w:spacing w:after="0"/>
              <w:rPr>
                <w:sz w:val="20"/>
                <w:szCs w:val="20"/>
                <w:color w:val="auto"/>
              </w:rPr>
            </w:pPr>
            <w:r>
              <w:rPr>
                <w:rFonts w:ascii="Arial" w:cs="Arial" w:eastAsia="Arial" w:hAnsi="Arial"/>
                <w:sz w:val="14"/>
                <w:szCs w:val="14"/>
                <w:b w:val="1"/>
                <w:bCs w:val="1"/>
                <w:color w:val="auto"/>
                <w:w w:val="92"/>
              </w:rPr>
              <w:t>Common Stock, $0.001 par</w:t>
            </w:r>
          </w:p>
        </w:tc>
        <w:tc>
          <w:tcPr>
            <w:tcW w:w="100" w:type="dxa"/>
            <w:vAlign w:val="bottom"/>
          </w:tcPr>
          <w:p>
            <w:pPr>
              <w:spacing w:after="0"/>
              <w:rPr>
                <w:sz w:val="12"/>
                <w:szCs w:val="12"/>
                <w:color w:val="auto"/>
              </w:rPr>
            </w:pPr>
          </w:p>
        </w:tc>
        <w:tc>
          <w:tcPr>
            <w:tcW w:w="9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2"/>
                <w:szCs w:val="12"/>
                <w:color w:val="auto"/>
              </w:rPr>
            </w:pPr>
          </w:p>
        </w:tc>
        <w:tc>
          <w:tcPr>
            <w:tcW w:w="1060" w:type="dxa"/>
            <w:vAlign w:val="bottom"/>
            <w:gridSpan w:val="3"/>
          </w:tcPr>
          <w:p>
            <w:pPr>
              <w:jc w:val="center"/>
              <w:ind w:right="100"/>
              <w:spacing w:after="0" w:line="140" w:lineRule="exact"/>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bottom w:val="single" w:sz="8" w:color="auto"/>
            </w:tcBorders>
            <w:gridSpan w:val="4"/>
          </w:tcPr>
          <w:p>
            <w:pPr>
              <w:jc w:val="center"/>
              <w:ind w:left="576"/>
              <w:spacing w:after="0"/>
              <w:rPr>
                <w:sz w:val="20"/>
                <w:szCs w:val="20"/>
                <w:color w:val="auto"/>
              </w:rPr>
            </w:pPr>
            <w:r>
              <w:rPr>
                <w:rFonts w:ascii="Arial" w:cs="Arial" w:eastAsia="Arial" w:hAnsi="Arial"/>
                <w:sz w:val="14"/>
                <w:szCs w:val="14"/>
                <w:b w:val="1"/>
                <w:bCs w:val="1"/>
                <w:color w:val="auto"/>
                <w:w w:val="89"/>
              </w:rPr>
              <w:t>value</w:t>
            </w: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Paid-In</w:t>
            </w:r>
          </w:p>
        </w:tc>
        <w:tc>
          <w:tcPr>
            <w:tcW w:w="1140" w:type="dxa"/>
            <w:vAlign w:val="bottom"/>
            <w:gridSpan w:val="4"/>
          </w:tcPr>
          <w:p>
            <w:pPr>
              <w:ind w:left="80"/>
              <w:spacing w:after="0"/>
              <w:rPr>
                <w:sz w:val="20"/>
                <w:szCs w:val="20"/>
                <w:color w:val="auto"/>
              </w:rPr>
            </w:pPr>
            <w:r>
              <w:rPr>
                <w:rFonts w:ascii="Arial" w:cs="Arial" w:eastAsia="Arial" w:hAnsi="Arial"/>
                <w:sz w:val="14"/>
                <w:szCs w:val="14"/>
                <w:b w:val="1"/>
                <w:bCs w:val="1"/>
                <w:color w:val="auto"/>
                <w:w w:val="98"/>
              </w:rPr>
              <w:t>Comprehensive</w:t>
            </w: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72"/>
              <w:spacing w:after="0" w:line="155" w:lineRule="exact"/>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3"/>
                <w:szCs w:val="13"/>
                <w:color w:val="auto"/>
              </w:rPr>
            </w:pPr>
          </w:p>
        </w:tc>
        <w:tc>
          <w:tcPr>
            <w:tcW w:w="92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98"/>
              </w:rPr>
              <w:t>Deficit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3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2019</w:t>
            </w:r>
          </w:p>
        </w:tc>
        <w:tc>
          <w:tcPr>
            <w:tcW w:w="10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877,672</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8"/>
              </w:rPr>
              <w:t>111,509</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(902)</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9"/>
              </w:rPr>
              <w:t>$ (104,773)</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5,835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940" w:type="dxa"/>
            <w:vAlign w:val="bottom"/>
          </w:tcPr>
          <w:p>
            <w:pPr>
              <w:spacing w:after="0"/>
              <w:rPr>
                <w:sz w:val="20"/>
                <w:szCs w:val="20"/>
                <w:color w:val="auto"/>
              </w:rPr>
            </w:pPr>
            <w:r>
              <w:rPr>
                <w:rFonts w:ascii="Arial" w:cs="Arial" w:eastAsia="Arial" w:hAnsi="Arial"/>
                <w:sz w:val="18"/>
                <w:szCs w:val="18"/>
                <w:color w:val="auto"/>
                <w:w w:val="96"/>
              </w:rPr>
              <w:t>Proceeds from the issuance of common stock from</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At-the-Market program</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30,454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w w:val="90"/>
              </w:rPr>
              <w:t>Proceeds from the issuance of common stock from the</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March 2020 Offering</w:t>
            </w:r>
          </w:p>
        </w:tc>
        <w:tc>
          <w:tcPr>
            <w:tcW w:w="1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1,348</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940" w:type="dxa"/>
            <w:vAlign w:val="bottom"/>
          </w:tcPr>
          <w:p>
            <w:pPr>
              <w:spacing w:after="0"/>
              <w:rPr>
                <w:sz w:val="20"/>
                <w:szCs w:val="20"/>
                <w:color w:val="auto"/>
              </w:rPr>
            </w:pPr>
            <w:r>
              <w:rPr>
                <w:rFonts w:ascii="Arial" w:cs="Arial" w:eastAsia="Arial" w:hAnsi="Arial"/>
                <w:sz w:val="18"/>
                <w:szCs w:val="18"/>
                <w:color w:val="auto"/>
              </w:rPr>
              <w:t>Warrant issuance from the March 2020 Offering</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178,776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Share issuance costs</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(340)</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(4,757)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(4,757)</w:t>
            </w:r>
          </w:p>
        </w:tc>
        <w:tc>
          <w:tcPr>
            <w:tcW w:w="0" w:type="dxa"/>
            <w:vAlign w:val="bottom"/>
          </w:tcPr>
          <w:p>
            <w:pPr>
              <w:spacing w:after="0"/>
              <w:rPr>
                <w:sz w:val="1"/>
                <w:szCs w:val="1"/>
                <w:color w:val="auto"/>
              </w:rPr>
            </w:pPr>
          </w:p>
        </w:tc>
      </w:tr>
      <w:tr>
        <w:trPr>
          <w:trHeight w:val="223"/>
        </w:trPr>
        <w:tc>
          <w:tcPr>
            <w:tcW w:w="3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March 31, 2020</w:t>
            </w:r>
          </w:p>
        </w:tc>
        <w:tc>
          <w:tcPr>
            <w:tcW w:w="9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1,086,902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8"/>
              </w:rPr>
              <w:t>115,004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gridSpan w:val="2"/>
            <w:shd w:val="clear" w:color="auto" w:fill="CFF0FC"/>
          </w:tcPr>
          <w:p>
            <w:pPr>
              <w:ind w:left="80"/>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 (109,530)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5,209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3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gridSpan w:val="6"/>
            <w:vMerge w:val="restart"/>
          </w:tcPr>
          <w:p>
            <w:pPr>
              <w:jc w:val="center"/>
              <w:ind w:right="120"/>
              <w:spacing w:after="0"/>
              <w:rPr>
                <w:sz w:val="20"/>
                <w:szCs w:val="20"/>
                <w:color w:val="auto"/>
              </w:rPr>
            </w:pPr>
            <w:r>
              <w:rPr>
                <w:rFonts w:ascii="Arial" w:cs="Arial" w:eastAsia="Arial" w:hAnsi="Arial"/>
                <w:sz w:val="14"/>
                <w:szCs w:val="14"/>
                <w:b w:val="1"/>
                <w:bCs w:val="1"/>
                <w:color w:val="auto"/>
                <w:w w:val="92"/>
              </w:rPr>
              <w:t>Common Stock, $0.001 par</w:t>
            </w:r>
          </w:p>
        </w:tc>
        <w:tc>
          <w:tcPr>
            <w:tcW w:w="100" w:type="dxa"/>
            <w:vAlign w:val="bottom"/>
          </w:tcPr>
          <w:p>
            <w:pPr>
              <w:spacing w:after="0"/>
              <w:rPr>
                <w:sz w:val="24"/>
                <w:szCs w:val="24"/>
                <w:color w:val="auto"/>
              </w:rPr>
            </w:pPr>
          </w:p>
        </w:tc>
        <w:tc>
          <w:tcPr>
            <w:tcW w:w="9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24"/>
                <w:szCs w:val="24"/>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bottom w:val="single" w:sz="8" w:color="auto"/>
            </w:tcBorders>
            <w:gridSpan w:val="4"/>
          </w:tcPr>
          <w:p>
            <w:pPr>
              <w:jc w:val="center"/>
              <w:ind w:left="576"/>
              <w:spacing w:after="0"/>
              <w:rPr>
                <w:sz w:val="20"/>
                <w:szCs w:val="20"/>
                <w:color w:val="auto"/>
              </w:rPr>
            </w:pPr>
            <w:r>
              <w:rPr>
                <w:rFonts w:ascii="Arial" w:cs="Arial" w:eastAsia="Arial" w:hAnsi="Arial"/>
                <w:sz w:val="14"/>
                <w:szCs w:val="14"/>
                <w:b w:val="1"/>
                <w:bCs w:val="1"/>
                <w:color w:val="auto"/>
                <w:w w:val="89"/>
              </w:rPr>
              <w:t>value</w:t>
            </w: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Paid-In</w:t>
            </w:r>
          </w:p>
        </w:tc>
        <w:tc>
          <w:tcPr>
            <w:tcW w:w="1140" w:type="dxa"/>
            <w:vAlign w:val="bottom"/>
            <w:gridSpan w:val="4"/>
          </w:tcPr>
          <w:p>
            <w:pPr>
              <w:ind w:left="80"/>
              <w:spacing w:after="0"/>
              <w:rPr>
                <w:sz w:val="20"/>
                <w:szCs w:val="20"/>
                <w:color w:val="auto"/>
              </w:rPr>
            </w:pPr>
            <w:r>
              <w:rPr>
                <w:rFonts w:ascii="Arial" w:cs="Arial" w:eastAsia="Arial" w:hAnsi="Arial"/>
                <w:sz w:val="14"/>
                <w:szCs w:val="14"/>
                <w:b w:val="1"/>
                <w:bCs w:val="1"/>
                <w:color w:val="auto"/>
                <w:w w:val="98"/>
              </w:rPr>
              <w:t>Comprehensive</w:t>
            </w: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72"/>
              <w:spacing w:after="0" w:line="155" w:lineRule="exact"/>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3"/>
                <w:szCs w:val="13"/>
                <w:color w:val="auto"/>
              </w:rPr>
            </w:pPr>
          </w:p>
        </w:tc>
        <w:tc>
          <w:tcPr>
            <w:tcW w:w="92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98"/>
              </w:rPr>
              <w:t>Deficit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3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2020</w:t>
            </w:r>
          </w:p>
        </w:tc>
        <w:tc>
          <w:tcPr>
            <w:tcW w:w="10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1,484,362</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8"/>
              </w:rPr>
              <w:t>123,872</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(1,099)</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9"/>
              </w:rPr>
              <w:t>$ (118,903)</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3,871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940" w:type="dxa"/>
            <w:vAlign w:val="bottom"/>
          </w:tcPr>
          <w:p>
            <w:pPr>
              <w:spacing w:after="0"/>
              <w:rPr>
                <w:sz w:val="20"/>
                <w:szCs w:val="20"/>
                <w:color w:val="auto"/>
              </w:rPr>
            </w:pPr>
            <w:r>
              <w:rPr>
                <w:rFonts w:ascii="Arial" w:cs="Arial" w:eastAsia="Arial" w:hAnsi="Arial"/>
                <w:sz w:val="18"/>
                <w:szCs w:val="18"/>
                <w:color w:val="auto"/>
                <w:w w:val="90"/>
              </w:rPr>
              <w:t>Proceeds from the issuance of common stock from the</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February 2021 Offering</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744,936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8,398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w w:val="97"/>
              </w:rPr>
              <w:t>Warrant issuance from the February 2021 Offering</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2,638</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Pr>
          <w:p>
            <w:pPr>
              <w:spacing w:after="0"/>
              <w:rPr>
                <w:sz w:val="20"/>
                <w:szCs w:val="20"/>
                <w:color w:val="auto"/>
              </w:rPr>
            </w:pPr>
            <w:r>
              <w:rPr>
                <w:rFonts w:ascii="Arial" w:cs="Arial" w:eastAsia="Arial" w:hAnsi="Arial"/>
                <w:sz w:val="18"/>
                <w:szCs w:val="18"/>
                <w:color w:val="auto"/>
              </w:rPr>
              <w:t>Share issuance costs</w:t>
            </w: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(1,361)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Proceeds from the exercise of warrants</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81,633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1,314</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Settlement of restricted stock units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9"/>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(3,362)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(3,362)</w:t>
            </w:r>
          </w:p>
        </w:tc>
        <w:tc>
          <w:tcPr>
            <w:tcW w:w="0" w:type="dxa"/>
            <w:vAlign w:val="bottom"/>
          </w:tcPr>
          <w:p>
            <w:pPr>
              <w:spacing w:after="0"/>
              <w:rPr>
                <w:sz w:val="1"/>
                <w:szCs w:val="1"/>
                <w:color w:val="auto"/>
              </w:rPr>
            </w:pPr>
          </w:p>
        </w:tc>
      </w:tr>
      <w:tr>
        <w:trPr>
          <w:trHeight w:val="223"/>
        </w:trPr>
        <w:tc>
          <w:tcPr>
            <w:tcW w:w="3940" w:type="dxa"/>
            <w:vAlign w:val="bottom"/>
          </w:tcPr>
          <w:p>
            <w:pPr>
              <w:spacing w:after="0"/>
              <w:rPr>
                <w:sz w:val="20"/>
                <w:szCs w:val="20"/>
                <w:color w:val="auto"/>
              </w:rPr>
            </w:pPr>
            <w:r>
              <w:rPr>
                <w:rFonts w:ascii="Arial" w:cs="Arial" w:eastAsia="Arial" w:hAnsi="Arial"/>
                <w:sz w:val="18"/>
                <w:szCs w:val="18"/>
                <w:b w:val="1"/>
                <w:bCs w:val="1"/>
                <w:color w:val="auto"/>
              </w:rPr>
              <w:t>Balance as of March 31, 2021</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2,311,868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135,388</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(1,227)</w:t>
            </w:r>
          </w:p>
        </w:tc>
        <w:tc>
          <w:tcPr>
            <w:tcW w:w="100" w:type="dxa"/>
            <w:vAlign w:val="bottom"/>
          </w:tcPr>
          <w:p>
            <w:pPr>
              <w:spacing w:after="0"/>
              <w:rPr>
                <w:sz w:val="19"/>
                <w:szCs w:val="19"/>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 (122,265)</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680"/>
          </w:cols>
          <w:pgMar w:left="320" w:top="567" w:right="8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(Amounts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20" w:type="dxa"/>
            <w:vAlign w:val="bottom"/>
            <w:gridSpan w:val="4"/>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6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327"/>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480" w:type="dxa"/>
            <w:vAlign w:val="bottom"/>
            <w:tcBorders>
              <w:bottom w:val="single" w:sz="8" w:color="CFF0FC"/>
            </w:tcBorders>
          </w:tcPr>
          <w:p>
            <w:pPr>
              <w:spacing w:after="0"/>
              <w:rPr>
                <w:sz w:val="13"/>
                <w:szCs w:val="13"/>
                <w:color w:val="auto"/>
              </w:rPr>
            </w:pPr>
          </w:p>
        </w:tc>
        <w:tc>
          <w:tcPr>
            <w:tcW w:w="124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ind w:right="7"/>
              <w:spacing w:after="0" w:line="155" w:lineRule="exact"/>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6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Net loss</w:t>
            </w:r>
          </w:p>
        </w:tc>
        <w:tc>
          <w:tcPr>
            <w:tcW w:w="2220" w:type="dxa"/>
            <w:vAlign w:val="bottom"/>
            <w:gridSpan w:val="2"/>
          </w:tcPr>
          <w:p>
            <w:pPr>
              <w:jc w:val="right"/>
              <w:ind w:right="827"/>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(3,362)</w:t>
            </w:r>
          </w:p>
        </w:tc>
        <w:tc>
          <w:tcPr>
            <w:tcW w:w="680" w:type="dxa"/>
            <w:vAlign w:val="bottom"/>
            <w:gridSpan w:val="2"/>
          </w:tcPr>
          <w:p>
            <w:pPr>
              <w:jc w:val="right"/>
              <w:ind w:right="407"/>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(4,757)</w:t>
            </w:r>
          </w:p>
        </w:tc>
      </w:tr>
      <w:tr>
        <w:trPr>
          <w:trHeight w:val="229"/>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480" w:type="dxa"/>
            <w:vAlign w:val="bottom"/>
          </w:tcPr>
          <w:p>
            <w:pPr>
              <w:ind w:left="260"/>
              <w:spacing w:after="0"/>
              <w:rPr>
                <w:sz w:val="20"/>
                <w:szCs w:val="20"/>
                <w:color w:val="auto"/>
              </w:rPr>
            </w:pPr>
            <w:r>
              <w:rPr>
                <w:rFonts w:ascii="Arial" w:cs="Arial" w:eastAsia="Arial" w:hAnsi="Arial"/>
                <w:sz w:val="18"/>
                <w:szCs w:val="18"/>
                <w:color w:val="auto"/>
              </w:rPr>
              <w:t>Change in fair value of derivative financial instruments</w:t>
            </w:r>
          </w:p>
        </w:tc>
        <w:tc>
          <w:tcPr>
            <w:tcW w:w="1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r>
      <w:tr>
        <w:trPr>
          <w:trHeight w:val="230"/>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1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842</w:t>
            </w:r>
          </w:p>
        </w:tc>
        <w:tc>
          <w:tcPr>
            <w:tcW w:w="120" w:type="dxa"/>
            <w:vAlign w:val="bottom"/>
            <w:shd w:val="clear" w:color="auto" w:fill="CFF0FC"/>
          </w:tcPr>
          <w:p>
            <w:pPr>
              <w:spacing w:after="0"/>
              <w:rPr>
                <w:sz w:val="19"/>
                <w:szCs w:val="19"/>
                <w:color w:val="auto"/>
              </w:rPr>
            </w:pPr>
          </w:p>
        </w:tc>
      </w:tr>
      <w:tr>
        <w:trPr>
          <w:trHeight w:val="229"/>
        </w:trPr>
        <w:tc>
          <w:tcPr>
            <w:tcW w:w="6480" w:type="dxa"/>
            <w:vAlign w:val="bottom"/>
          </w:tcPr>
          <w:p>
            <w:pPr>
              <w:ind w:left="260"/>
              <w:spacing w:after="0"/>
              <w:rPr>
                <w:sz w:val="20"/>
                <w:szCs w:val="20"/>
                <w:color w:val="auto"/>
              </w:rPr>
            </w:pPr>
            <w:r>
              <w:rPr>
                <w:rFonts w:ascii="Arial" w:cs="Arial" w:eastAsia="Arial" w:hAnsi="Arial"/>
                <w:sz w:val="18"/>
                <w:szCs w:val="18"/>
                <w:color w:val="auto"/>
              </w:rPr>
              <w:t>Unrealized foreign exchange (gain) loss</w:t>
            </w:r>
          </w:p>
        </w:tc>
        <w:tc>
          <w:tcPr>
            <w:tcW w:w="1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738</w:t>
            </w:r>
          </w:p>
        </w:tc>
        <w:tc>
          <w:tcPr>
            <w:tcW w:w="120" w:type="dxa"/>
            <w:vAlign w:val="bottom"/>
          </w:tcPr>
          <w:p>
            <w:pPr>
              <w:spacing w:after="0"/>
              <w:rPr>
                <w:sz w:val="19"/>
                <w:szCs w:val="19"/>
                <w:color w:val="auto"/>
              </w:rPr>
            </w:pPr>
          </w:p>
        </w:tc>
      </w:tr>
      <w:tr>
        <w:trPr>
          <w:trHeight w:val="230"/>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expense</w:t>
            </w:r>
          </w:p>
        </w:tc>
        <w:tc>
          <w:tcPr>
            <w:tcW w:w="1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FF0FC"/>
          </w:tcPr>
          <w:p>
            <w:pPr>
              <w:spacing w:after="0"/>
              <w:rPr>
                <w:sz w:val="19"/>
                <w:szCs w:val="19"/>
                <w:color w:val="auto"/>
              </w:rPr>
            </w:pPr>
          </w:p>
        </w:tc>
      </w:tr>
      <w:tr>
        <w:trPr>
          <w:trHeight w:val="229"/>
        </w:trPr>
        <w:tc>
          <w:tcPr>
            <w:tcW w:w="6480" w:type="dxa"/>
            <w:vAlign w:val="bottom"/>
          </w:tcPr>
          <w:p>
            <w:pPr>
              <w:ind w:left="260"/>
              <w:spacing w:after="0"/>
              <w:rPr>
                <w:sz w:val="20"/>
                <w:szCs w:val="20"/>
                <w:color w:val="auto"/>
              </w:rPr>
            </w:pPr>
            <w:r>
              <w:rPr>
                <w:rFonts w:ascii="Arial" w:cs="Arial" w:eastAsia="Arial" w:hAnsi="Arial"/>
                <w:sz w:val="18"/>
                <w:szCs w:val="18"/>
                <w:color w:val="auto"/>
              </w:rPr>
              <w:t>Amortization expense</w:t>
            </w:r>
          </w:p>
        </w:tc>
        <w:tc>
          <w:tcPr>
            <w:tcW w:w="1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9"/>
                <w:szCs w:val="19"/>
                <w:color w:val="auto"/>
              </w:rPr>
            </w:pPr>
          </w:p>
        </w:tc>
      </w:tr>
      <w:tr>
        <w:trPr>
          <w:trHeight w:val="229"/>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(Recovery of) provision for doubtful accounts</w:t>
            </w:r>
          </w:p>
        </w:tc>
        <w:tc>
          <w:tcPr>
            <w:tcW w:w="1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FF0FC"/>
          </w:tcPr>
          <w:p>
            <w:pPr>
              <w:spacing w:after="0"/>
              <w:rPr>
                <w:sz w:val="19"/>
                <w:szCs w:val="19"/>
                <w:color w:val="auto"/>
              </w:rPr>
            </w:pPr>
          </w:p>
        </w:tc>
      </w:tr>
      <w:tr>
        <w:trPr>
          <w:trHeight w:val="230"/>
        </w:trPr>
        <w:tc>
          <w:tcPr>
            <w:tcW w:w="6480" w:type="dxa"/>
            <w:vAlign w:val="bottom"/>
          </w:tcPr>
          <w:p>
            <w:pPr>
              <w:ind w:left="260"/>
              <w:spacing w:after="0"/>
              <w:rPr>
                <w:sz w:val="20"/>
                <w:szCs w:val="20"/>
                <w:color w:val="auto"/>
              </w:rPr>
            </w:pPr>
            <w:r>
              <w:rPr>
                <w:rFonts w:ascii="Arial" w:cs="Arial" w:eastAsia="Arial" w:hAnsi="Arial"/>
                <w:sz w:val="18"/>
                <w:szCs w:val="18"/>
                <w:color w:val="auto"/>
              </w:rPr>
              <w:t>Amortization of ROU asset</w:t>
            </w:r>
          </w:p>
        </w:tc>
        <w:tc>
          <w:tcPr>
            <w:tcW w:w="1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r>
      <w:tr>
        <w:trPr>
          <w:trHeight w:val="229"/>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Intangible asset impairment</w:t>
            </w:r>
          </w:p>
        </w:tc>
        <w:tc>
          <w:tcPr>
            <w:tcW w:w="1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FF0FC"/>
          </w:tcPr>
          <w:p>
            <w:pPr>
              <w:spacing w:after="0"/>
              <w:rPr>
                <w:sz w:val="19"/>
                <w:szCs w:val="19"/>
                <w:color w:val="auto"/>
              </w:rPr>
            </w:pPr>
          </w:p>
        </w:tc>
      </w:tr>
      <w:tr>
        <w:trPr>
          <w:trHeight w:val="229"/>
        </w:trPr>
        <w:tc>
          <w:tcPr>
            <w:tcW w:w="648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w:t>
            </w:r>
          </w:p>
        </w:tc>
        <w:tc>
          <w:tcPr>
            <w:tcW w:w="1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(39)</w:t>
            </w:r>
          </w:p>
        </w:tc>
      </w:tr>
      <w:tr>
        <w:trPr>
          <w:trHeight w:val="229"/>
        </w:trPr>
        <w:tc>
          <w:tcPr>
            <w:tcW w:w="6480" w:type="dxa"/>
            <w:vAlign w:val="bottom"/>
          </w:tcPr>
          <w:p>
            <w:pPr>
              <w:ind w:left="260"/>
              <w:spacing w:after="0"/>
              <w:rPr>
                <w:sz w:val="20"/>
                <w:szCs w:val="20"/>
                <w:color w:val="auto"/>
              </w:rPr>
            </w:pPr>
            <w:r>
              <w:rPr>
                <w:rFonts w:ascii="Arial" w:cs="Arial" w:eastAsia="Arial" w:hAnsi="Arial"/>
                <w:sz w:val="18"/>
                <w:szCs w:val="18"/>
                <w:color w:val="auto"/>
              </w:rPr>
              <w:t>Other receivables</w:t>
            </w:r>
          </w:p>
        </w:tc>
        <w:tc>
          <w:tcPr>
            <w:tcW w:w="1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19"/>
                <w:szCs w:val="19"/>
                <w:color w:val="auto"/>
              </w:rPr>
            </w:pPr>
          </w:p>
        </w:tc>
      </w:tr>
      <w:tr>
        <w:trPr>
          <w:trHeight w:val="230"/>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Inventory</w:t>
            </w:r>
          </w:p>
        </w:tc>
        <w:tc>
          <w:tcPr>
            <w:tcW w:w="1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r>
      <w:tr>
        <w:trPr>
          <w:trHeight w:val="229"/>
        </w:trPr>
        <w:tc>
          <w:tcPr>
            <w:tcW w:w="6480" w:type="dxa"/>
            <w:vAlign w:val="bottom"/>
          </w:tcPr>
          <w:p>
            <w:pPr>
              <w:ind w:left="260"/>
              <w:spacing w:after="0"/>
              <w:rPr>
                <w:sz w:val="20"/>
                <w:szCs w:val="20"/>
                <w:color w:val="auto"/>
              </w:rPr>
            </w:pPr>
            <w:r>
              <w:rPr>
                <w:rFonts w:ascii="Arial" w:cs="Arial" w:eastAsia="Arial" w:hAnsi="Arial"/>
                <w:sz w:val="18"/>
                <w:szCs w:val="18"/>
                <w:color w:val="auto"/>
              </w:rPr>
              <w:t>Prepaid expenses</w:t>
            </w:r>
          </w:p>
        </w:tc>
        <w:tc>
          <w:tcPr>
            <w:tcW w:w="1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(77)</w:t>
            </w:r>
          </w:p>
        </w:tc>
      </w:tr>
      <w:tr>
        <w:trPr>
          <w:trHeight w:val="229"/>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liability</w:t>
            </w:r>
          </w:p>
        </w:tc>
        <w:tc>
          <w:tcPr>
            <w:tcW w:w="1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w:t>
            </w:r>
          </w:p>
        </w:tc>
      </w:tr>
      <w:tr>
        <w:trPr>
          <w:trHeight w:val="230"/>
        </w:trPr>
        <w:tc>
          <w:tcPr>
            <w:tcW w:w="648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(626)</w:t>
            </w:r>
          </w:p>
        </w:tc>
      </w:tr>
      <w:tr>
        <w:trPr>
          <w:trHeight w:val="229"/>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liabilities</w:t>
            </w:r>
          </w:p>
        </w:tc>
        <w:tc>
          <w:tcPr>
            <w:tcW w:w="1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(459)</w:t>
            </w:r>
          </w:p>
        </w:tc>
      </w:tr>
      <w:tr>
        <w:trPr>
          <w:trHeight w:val="229"/>
        </w:trPr>
        <w:tc>
          <w:tcPr>
            <w:tcW w:w="648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1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r>
      <w:tr>
        <w:trPr>
          <w:trHeight w:val="223"/>
        </w:trPr>
        <w:tc>
          <w:tcPr>
            <w:tcW w:w="6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24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4"/>
              </w:rPr>
              <w:t>(2,921)</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(3,751)</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4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Purchase of property and equipment</w:t>
            </w:r>
          </w:p>
        </w:tc>
        <w:tc>
          <w:tcPr>
            <w:tcW w:w="1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w:t>
            </w: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Internally developed software</w:t>
            </w:r>
          </w:p>
        </w:tc>
        <w:tc>
          <w:tcPr>
            <w:tcW w:w="1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r>
      <w:tr>
        <w:trPr>
          <w:trHeight w:val="223"/>
        </w:trPr>
        <w:tc>
          <w:tcPr>
            <w:tcW w:w="6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24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4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Proceeds from the issuances of common stock and warrants</w:t>
            </w:r>
          </w:p>
        </w:tc>
        <w:tc>
          <w:tcPr>
            <w:tcW w:w="1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11,037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2,992</w:t>
            </w:r>
          </w:p>
        </w:tc>
        <w:tc>
          <w:tcPr>
            <w:tcW w:w="120" w:type="dxa"/>
            <w:vAlign w:val="bottom"/>
            <w:shd w:val="clear" w:color="auto" w:fill="CFF0FC"/>
          </w:tcPr>
          <w:p>
            <w:pPr>
              <w:spacing w:after="0"/>
              <w:rPr>
                <w:sz w:val="19"/>
                <w:szCs w:val="19"/>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Share issuance costs</w:t>
            </w:r>
          </w:p>
        </w:tc>
        <w:tc>
          <w:tcPr>
            <w:tcW w:w="1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(1,331)</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(340)</w:t>
            </w:r>
          </w:p>
        </w:tc>
      </w:tr>
      <w:tr>
        <w:trPr>
          <w:trHeight w:val="229"/>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Proceeds from the exercise of warrants</w:t>
            </w:r>
          </w:p>
        </w:tc>
        <w:tc>
          <w:tcPr>
            <w:tcW w:w="1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64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240" w:type="dxa"/>
            <w:vAlign w:val="bottom"/>
            <w:tcBorders>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11,020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2,652</w:t>
            </w:r>
          </w:p>
        </w:tc>
        <w:tc>
          <w:tcPr>
            <w:tcW w:w="120" w:type="dxa"/>
            <w:vAlign w:val="bottom"/>
            <w:tcBorders>
              <w:bottom w:val="single" w:sz="8" w:color="CFF0FC"/>
            </w:tcBorders>
          </w:tcPr>
          <w:p>
            <w:pPr>
              <w:spacing w:after="0"/>
              <w:rPr>
                <w:sz w:val="19"/>
                <w:szCs w:val="19"/>
                <w:color w:val="auto"/>
              </w:rPr>
            </w:pPr>
          </w:p>
        </w:tc>
      </w:tr>
      <w:tr>
        <w:trPr>
          <w:trHeight w:val="223"/>
        </w:trPr>
        <w:tc>
          <w:tcPr>
            <w:tcW w:w="6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Effect of foreign exchange rate changes on cash</w:t>
            </w:r>
          </w:p>
        </w:tc>
        <w:tc>
          <w:tcPr>
            <w:tcW w:w="1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r>
      <w:tr>
        <w:trPr>
          <w:trHeight w:val="229"/>
        </w:trPr>
        <w:tc>
          <w:tcPr>
            <w:tcW w:w="6480" w:type="dxa"/>
            <w:vAlign w:val="bottom"/>
          </w:tcPr>
          <w:p>
            <w:pPr>
              <w:spacing w:after="0"/>
              <w:rPr>
                <w:sz w:val="20"/>
                <w:szCs w:val="20"/>
                <w:color w:val="auto"/>
              </w:rPr>
            </w:pPr>
            <w:r>
              <w:rPr>
                <w:rFonts w:ascii="Arial" w:cs="Arial" w:eastAsia="Arial" w:hAnsi="Arial"/>
                <w:sz w:val="18"/>
                <w:szCs w:val="18"/>
                <w:b w:val="1"/>
                <w:bCs w:val="1"/>
                <w:color w:val="auto"/>
              </w:rPr>
              <w:t>Net increase (decrease) in cash</w:t>
            </w:r>
          </w:p>
        </w:tc>
        <w:tc>
          <w:tcPr>
            <w:tcW w:w="1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8,066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(1,099)</w:t>
            </w:r>
          </w:p>
        </w:tc>
      </w:tr>
      <w:tr>
        <w:trPr>
          <w:trHeight w:val="230"/>
        </w:trPr>
        <w:tc>
          <w:tcPr>
            <w:tcW w:w="6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at beginning of period</w:t>
            </w:r>
          </w:p>
        </w:tc>
        <w:tc>
          <w:tcPr>
            <w:tcW w:w="124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5,459</w:t>
            </w:r>
          </w:p>
        </w:tc>
        <w:tc>
          <w:tcPr>
            <w:tcW w:w="120" w:type="dxa"/>
            <w:vAlign w:val="bottom"/>
            <w:shd w:val="clear" w:color="auto" w:fill="CFF0FC"/>
          </w:tcPr>
          <w:p>
            <w:pPr>
              <w:spacing w:after="0"/>
              <w:rPr>
                <w:sz w:val="19"/>
                <w:szCs w:val="19"/>
                <w:color w:val="auto"/>
              </w:rPr>
            </w:pPr>
          </w:p>
        </w:tc>
      </w:tr>
      <w:tr>
        <w:trPr>
          <w:trHeight w:val="263"/>
        </w:trPr>
        <w:tc>
          <w:tcPr>
            <w:tcW w:w="64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at end of period</w:t>
            </w:r>
          </w:p>
        </w:tc>
        <w:tc>
          <w:tcPr>
            <w:tcW w:w="1240" w:type="dxa"/>
            <w:vAlign w:val="bottom"/>
            <w:tcBorders>
              <w:bottom w:val="single" w:sz="8" w:color="CFF0FC"/>
            </w:tcBorders>
          </w:tcPr>
          <w:p>
            <w:pPr>
              <w:spacing w:after="0"/>
              <w:rPr>
                <w:sz w:val="22"/>
                <w:szCs w:val="22"/>
                <w:color w:val="auto"/>
              </w:rPr>
            </w:pPr>
          </w:p>
        </w:tc>
        <w:tc>
          <w:tcPr>
            <w:tcW w:w="980" w:type="dxa"/>
            <w:vAlign w:val="bottom"/>
            <w:tcBorders>
              <w:bottom w:val="single" w:sz="8" w:color="auto"/>
            </w:tcBorders>
          </w:tcPr>
          <w:p>
            <w:pPr>
              <w:jc w:val="right"/>
              <w:ind w:right="827"/>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11,397</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560" w:type="dxa"/>
            <w:vAlign w:val="bottom"/>
            <w:tcBorders>
              <w:bottom w:val="single" w:sz="8" w:color="auto"/>
            </w:tcBorders>
          </w:tcPr>
          <w:p>
            <w:pPr>
              <w:jc w:val="right"/>
              <w:ind w:right="40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4,360</w:t>
            </w:r>
          </w:p>
        </w:tc>
        <w:tc>
          <w:tcPr>
            <w:tcW w:w="120" w:type="dxa"/>
            <w:vAlign w:val="bottom"/>
            <w:tcBorders>
              <w:bottom w:val="single" w:sz="8" w:color="CFF0FC"/>
            </w:tcBorders>
          </w:tcPr>
          <w:p>
            <w:pPr>
              <w:spacing w:after="0"/>
              <w:rPr>
                <w:sz w:val="22"/>
                <w:szCs w:val="22"/>
                <w:color w:val="auto"/>
              </w:rPr>
            </w:pPr>
          </w:p>
        </w:tc>
      </w:tr>
      <w:tr>
        <w:trPr>
          <w:trHeight w:val="210"/>
        </w:trPr>
        <w:tc>
          <w:tcPr>
            <w:tcW w:w="6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schedule of non-cash financing activities</w:t>
            </w:r>
          </w:p>
        </w:tc>
        <w:tc>
          <w:tcPr>
            <w:tcW w:w="1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Share issuance costs included in accounts payable and accrued liabilities</w:t>
            </w:r>
          </w:p>
        </w:tc>
        <w:tc>
          <w:tcPr>
            <w:tcW w:w="1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0"/>
                <w:szCs w:val="20"/>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DESCRIPTION OF BUSINESS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Helius Medical Technologies, Inc. (the “Company”), is a neurotech company focused on neurological wellness. The Company’s purpose is to develop, license or acquire unique and non-invasive technologies targeted at reducing symptoms of neurological disease or trauma.</w:t>
      </w:r>
    </w:p>
    <w:p>
      <w:pPr>
        <w:spacing w:after="0" w:line="6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Company’s first product, known as the Portable Neuromodulation Stimulator (“PoNS</w:t>
      </w:r>
      <w:r>
        <w:rPr>
          <w:rFonts w:ascii="Arial" w:cs="Arial" w:eastAsia="Arial" w:hAnsi="Arial"/>
          <w:sz w:val="14"/>
          <w:szCs w:val="14"/>
          <w:color w:val="auto"/>
        </w:rPr>
        <w:t>TM</w:t>
      </w:r>
      <w:r>
        <w:rPr>
          <w:rFonts w:ascii="Arial" w:cs="Arial" w:eastAsia="Arial" w:hAnsi="Arial"/>
          <w:sz w:val="17"/>
          <w:szCs w:val="17"/>
          <w:color w:val="auto"/>
        </w:rPr>
        <w:t>”), is an innovative non-surgical medical device, inclusive of a controller and mouthpiece, which delivers mild electrical stimulation to the surface of the tongue to provide treatment of gait deficit and is indicated for use in the United States as a short term treatment of gait deficit due to mild-to-moderate symptoms from multiple sclerosis (“MS”), and is to be used as an adjunct to a supervised therapeutic exercise program in patients 22 years of age and over by prescription only. It is not expected to be commercially available in the United States until the first quarter of 2022. The PoNS device is authorized for sale in Canada as a class II, non-implantable, medical device intended as a short term treatment (14 weeks) of gait deficit due to mild and moderate symptoms from MS, and chronic balance deficit due to mild-to-moderate traumatic brain injury (“mmTBI”) and is to be used in conjunction with physical therapy (“PoNS Treatment</w:t>
      </w:r>
      <w:r>
        <w:rPr>
          <w:rFonts w:ascii="Arial" w:cs="Arial" w:eastAsia="Arial" w:hAnsi="Arial"/>
          <w:sz w:val="14"/>
          <w:szCs w:val="14"/>
          <w:color w:val="auto"/>
        </w:rPr>
        <w:t>TM</w:t>
      </w:r>
      <w:r>
        <w:rPr>
          <w:rFonts w:ascii="Arial" w:cs="Arial" w:eastAsia="Arial" w:hAnsi="Arial"/>
          <w:sz w:val="17"/>
          <w:szCs w:val="17"/>
          <w:color w:val="auto"/>
        </w:rPr>
        <w:t>”). It has been commercially available in Canada since March 2019. The PoNS device is an investigational medical device in the European Union (“EU”), and Australia (“AUS”). It is under premarket review by the AUS Therapeutic Goods Administration.</w:t>
      </w:r>
    </w:p>
    <w:p>
      <w:pPr>
        <w:spacing w:after="0" w:line="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was incorporated in British Columbia, Canada on March 13, 2014. On May 28, 2014, the Company was reincorporated from British Columbia to the State of Wyoming, and on July 20, 2018, it was reincorporated from the State of Wyoming to the State of Delaware. The Company is headquartered in Newtown, Pennsylvania. On December 21, 2018, the Company’s wholly owned subsidiary, NeuroHabilitation Corporation, changed its name to Helius Medical, Inc (“HMI”). On January 31, 2019, the Company formed another wholly owned subsidiary, Helius NeuroRehab, Inc., (“HNR”), a Delaware corporation. On October 10, 2019, the Company formed Helius Canada Acquisition Ltd. (“HCA”), a company incorporated under the federal laws of Canada and a wholly owned subsidiary of Helius Medical Technologies (Canada), Inc. (“HMC”), a company incorporated under the federal laws of Canada, which acquired Heuro Canada, Inc. (“Heuro”) from Health Tech Connex Inc. (“HTC”) on October 30,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Reverse Stock Split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31F20"/>
        </w:rPr>
        <w:t xml:space="preserve">Effective after the close of business on December 31, 2020, the Company completed a 1-for-35 reverse stock split of its common stock. </w:t>
      </w:r>
      <w:r>
        <w:rPr>
          <w:rFonts w:ascii="Arial" w:cs="Arial" w:eastAsia="Arial" w:hAnsi="Arial"/>
          <w:sz w:val="18"/>
          <w:szCs w:val="18"/>
          <w:color w:val="000000"/>
        </w:rPr>
        <w:t>All share and per</w:t>
      </w:r>
      <w:r>
        <w:rPr>
          <w:rFonts w:ascii="Arial" w:cs="Arial" w:eastAsia="Arial" w:hAnsi="Arial"/>
          <w:sz w:val="18"/>
          <w:szCs w:val="18"/>
          <w:color w:val="231F20"/>
        </w:rPr>
        <w:t xml:space="preserve"> </w:t>
      </w:r>
      <w:r>
        <w:rPr>
          <w:rFonts w:ascii="Arial" w:cs="Arial" w:eastAsia="Arial" w:hAnsi="Arial"/>
          <w:sz w:val="18"/>
          <w:szCs w:val="18"/>
          <w:color w:val="000000"/>
        </w:rPr>
        <w:t>share amounts in this Quarterly Report have been reflected on a post-split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 Uncertainty</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of March 31, 2021, the Company had cash of $11.4 million. For the three months ended March 31, 2021, the Company had an operating loss of $3.5 million, and as of March 31, 2021, its accumulated deficit was $122.3 million. For the three months ended March 31, 2021, the Company had $0.1 million of revenue from the commercial sale of products or services. The Company expects to continue to incur operating losses and net cash outflows until such time as it generates a level of revenue to support its cost structure. There is no assurance that the Company will achieve profitable operations, and, if achieved, whether it will be sustained on a continued basis. These factors indicate substantial doubt about the Company’s ability to continue as a going concern within one year after the date the financial statements are filed. The Company’s condensed consolidated financial statements have been prepared on the basis of continuity of operations, realization of assets and satisfaction of liabilities in the ordinary course of business; no adjustments have been made relating to the recoverability and classification of recorded asset amounts and classification of liabilities that might be necessary should the Company not continue as a going concern.</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intends to fund ongoing activities by utilizing its current cash on hand, cash received from the sale of its PoNS™ device in Canada and by raising additional capital through equity or debt financings. There can be no assurance that the Company will be successful in raising that additional capital or that such capital, if available, will be on terms that are acceptable to the Company. If the Company is unable to raise sufficient additional capital, the Company may be compelled to reduce the scope of its operations and planned capital expenditures.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March 11, 2020, the World Health Organization declared the outbreak of a novel coronavirus (“COVID-19”) as a global pandemic, which continues to spread throughout the United States and around the world. The Company’s business, results of operations and financial condition have been and may continue to be adversely impacted by the COVID-19 pandemic and global economic conditions. The outbreak and spread of COVID-19 has significantly increased economic uncertainty. Authorities implemented, and continue to implement, numerous measures to try to contain COVID-19, such as travel bans and restrictions, quarantines, shelter in place orders, and business shutdowns. The COVID-19 pandemic initially led to the closure of PoNS Authorized clinic locations across Canada. While all clinics have re-opened, they are all currently operating at reduced capacity, and patients have been and may continue to be less willing to return to these clinics, impacting our commercial activities and our customer engagement efforts. In addition, the resurgence of COVID-19 cases across Canada in the fourth quarter of 2020 and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both"/>
        <w:spacing w:after="0" w:line="272" w:lineRule="auto"/>
        <w:rPr>
          <w:sz w:val="20"/>
          <w:szCs w:val="20"/>
          <w:color w:val="auto"/>
        </w:rPr>
      </w:pPr>
      <w:r>
        <w:rPr>
          <w:rFonts w:ascii="Arial" w:cs="Arial" w:eastAsia="Arial" w:hAnsi="Arial"/>
          <w:sz w:val="17"/>
          <w:szCs w:val="17"/>
          <w:color w:val="auto"/>
        </w:rPr>
        <w:t>first quarter of 2021 has led to further restrictions in clinic activities. While COVID-19 vaccinations in Canada are starting to be administered, the COVID-19 pandemic has continued to impact the Company. Moreover, the Company’s ability to conduct its ongoing clinical experience programs in Canada has been and may continue to be impaired due to trial participants’ attendance being adversely affected by COVID-19. In addition, the COVID-19 pandemic has and may continue to cause delays in the Company’s suppliers’ ability to ship materials that the Company relies upon, and disruptions in business or governmental operations due to COVID-19 may delay the timing for the submission and approval of the Company’s marketing applications with regulatory agencies. Further, the economic impact of the COVID-19 pandemic could affect the Company’s ability to access the public markets and obtain necessary capital in order to properly capitalize and continue its operations.</w:t>
      </w:r>
    </w:p>
    <w:p>
      <w:pPr>
        <w:spacing w:after="0" w:line="17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 the extent the COVID-19 pandemic impacts the Company’s ability to complete the necessary pre-commercialization activities, the Company’s commercial launch in the U.S. could be impeded or delayed. The extent to which the COVID-19 pandemic will continue to impact the Company’s business, results of operations and financial condition will depend on future developments, which are highly uncertain and cannot be predicted. The Company does not know yet the full extent of the impact of COVID-19 on its future business, operations or the global economy as a whole.</w:t>
      </w:r>
    </w:p>
    <w:p>
      <w:pPr>
        <w:spacing w:after="0" w:line="275" w:lineRule="exact"/>
        <w:rPr>
          <w:sz w:val="20"/>
          <w:szCs w:val="20"/>
          <w:color w:val="auto"/>
        </w:rPr>
      </w:pPr>
    </w:p>
    <w:p>
      <w:pPr>
        <w:ind w:right="6220" w:firstLine="8"/>
        <w:spacing w:after="0" w:line="377" w:lineRule="auto"/>
        <w:tabs>
          <w:tab w:leader="none" w:pos="31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(“GAAP”). The condensed consolidated financial statements have also been prepared on a basis substantially consistent with, and should be read in conjunction with the Company’s audited consolidated financial statements for the year ended December 31, 2020, included in its Annual Report on Form 10-K that was filed with the Securities and Exchange Commission on March 10, 2021. The Company’s reporting currency is the U.S. Dollar (“USD$”).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preparation of the condensed consolidated financial statements in accordance with GAAP requires management to make estimates and assumptions that affect the amounts reported in the condensed consolidated financial statements and disclosure of contingent assets and liabilities. Significant estimates include the assumptions used in the fair value pricing model for stock-based compensation, derivative financial instruments and deferred income tax asset valuation allowance. Financial statements include estimates which, by their nature, are uncertain. Actual outcomes could differ from these estimates.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accompanying unaudited condensed consolidated financial statements reflect the operations of Helius Medical Technologies, Inc. and its wholly owned subsidiaries. The usual condition for a controlling financial interest is ownership of a majority of the voting interests of an entity. However, a controlling financial interest may also exist through arrangements that do not involve controlling voting interests. As such, the Company applies the guidance of the Financial Accounting Standards Board (“FASB”) Accounting Standards Codification (“ASC”) 810 – </w:t>
      </w:r>
      <w:r>
        <w:rPr>
          <w:rFonts w:ascii="Arial" w:cs="Arial" w:eastAsia="Arial" w:hAnsi="Arial"/>
          <w:sz w:val="18"/>
          <w:szCs w:val="18"/>
          <w:i w:val="1"/>
          <w:iCs w:val="1"/>
          <w:color w:val="auto"/>
        </w:rPr>
        <w:t>Consolidation</w:t>
      </w:r>
      <w:r>
        <w:rPr>
          <w:rFonts w:ascii="Arial" w:cs="Arial" w:eastAsia="Arial" w:hAnsi="Arial"/>
          <w:sz w:val="18"/>
          <w:szCs w:val="18"/>
          <w:color w:val="auto"/>
        </w:rPr>
        <w:t xml:space="preserve"> (“ASC 810”)</w:t>
      </w:r>
      <w:r>
        <w:rPr>
          <w:rFonts w:ascii="Arial" w:cs="Arial" w:eastAsia="Arial" w:hAnsi="Arial"/>
          <w:sz w:val="18"/>
          <w:szCs w:val="18"/>
          <w:i w:val="1"/>
          <w:iCs w:val="1"/>
          <w:color w:val="auto"/>
        </w:rPr>
        <w:t>,</w:t>
      </w:r>
      <w:r>
        <w:rPr>
          <w:rFonts w:ascii="Arial" w:cs="Arial" w:eastAsia="Arial" w:hAnsi="Arial"/>
          <w:sz w:val="18"/>
          <w:szCs w:val="18"/>
          <w:color w:val="auto"/>
        </w:rPr>
        <w:t xml:space="preserve"> to determine when an entity that is insufficiently capitalized or not controlled through its voting interests, referred to as a variable interest entity should be consolidated. All intercompany balances and transactions have been eliminated.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subject to credit risk with respect to its cash. Amounts invested in such instruments are limited by credit rating, maturity, industry group, investment type and issuer. The Company is not currently exposed to any significant concentrations of credit risk from these financial instruments. The Company seeks to maintain safety and preservation of principal and diversification of risk, liquidity of investments sufficient to meet cash flow requirements and a competitive after-tax rate of return.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Accounts receivables are stated at their net realizable value. In determining the appropriate allowance for doubtful accounts, the Company considers a combination of factors, such as the aging of trade receivables, its customers’ financial strength, and payment history. Changes in these factors, among others, may lead to adjustments in the Company’s allowance for doubtful accounts. The calculation of the allowance required judgment by Company management. As of March 31, 2021, the Company’s accounts receivable of $49 thousand, is net of an allowance for doubtful accounts of $0.4 million and is the result of revenue from product sales. As of December 31, 2020, the Company’s accounts receivable of $0.1 million, is net of an allowance for doubtful accounts of $0.4 million and is the result of revenue from product sales.</w:t>
      </w:r>
    </w:p>
    <w:p>
      <w:pPr>
        <w:spacing w:after="0" w:line="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Other receivables as of March 31, 2021 and December 31, 2020 included refunds from research and development (“R&amp;D”) tax credits of $1 thousand and $1 thousand, respectively, and Goods and Services Tax (“GST”) and Quebec Sales Tax (“QST”) refunds of $0.2 million and $0.1 million, respectively, related to the Company’s Canadian expenditures. As of December 31, 2020, there was also a receivable from rent deposits of $18 thousand.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Company’s inventory consists of raw materials, work in progress and finished goods of the PoNS device. Inventory is stated at the lower of cost (average cost method) or net realizable value. Adjustments to reduce the cost of inventory to its net realizable value are made if required. The Company calculates provisions for excess inventory based on inventory on hand compared to anticipated sales or usage. Management uses its judgment to forecast sales or usage and to determine what constitutes a reasonable period. There can be no assurance that the amount ultimately realized for inventories will not be materially different than that assumed in the calculation of the reserves. No inventory markdowns to net realizable value were recorded during the three months ended March 31, 2021. Inventory markdowns to net realizable value of $2 thousand were recorded during the three months ended March 31, 2020.</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and December 31, 2020, inventory consisted of the following (amounts in thousands):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As of</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71"/>
        </w:trPr>
        <w:tc>
          <w:tcPr>
            <w:tcW w:w="6940" w:type="dxa"/>
            <w:vAlign w:val="bottom"/>
            <w:vMerge w:val="restart"/>
          </w:tcPr>
          <w:p>
            <w:pPr>
              <w:spacing w:after="0"/>
              <w:rPr>
                <w:sz w:val="20"/>
                <w:szCs w:val="20"/>
                <w:color w:val="auto"/>
              </w:rPr>
            </w:pPr>
            <w:r>
              <w:rPr>
                <w:rFonts w:ascii="Arial" w:cs="Arial" w:eastAsia="Arial" w:hAnsi="Arial"/>
                <w:sz w:val="18"/>
                <w:szCs w:val="18"/>
                <w:color w:val="auto"/>
              </w:rPr>
              <w:t>Raw materials</w:t>
            </w:r>
          </w:p>
        </w:tc>
        <w:tc>
          <w:tcPr>
            <w:tcW w:w="14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March 31, 2021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223"/>
        </w:trPr>
        <w:tc>
          <w:tcPr>
            <w:tcW w:w="6940" w:type="dxa"/>
            <w:vAlign w:val="bottom"/>
            <w:vMerge w:val="continue"/>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Work-in-process</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Finished goods</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Inventory</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739</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644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Inventory reserve</w:t>
            </w:r>
          </w:p>
        </w:tc>
        <w:tc>
          <w:tcPr>
            <w:tcW w:w="1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tcBorders>
              <w:bottom w:val="single" w:sz="8" w:color="CFF0FC"/>
            </w:tcBorders>
            <w:vMerge w:val="continue"/>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inventory, net of reserve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484</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Property and equipment are carried at cost, less accumulated depreciation. Depreciation is recognized using the straight-line method over the useful lives of the related asset or the term of the related lease. Expenditures for maintenance and repairs, which do not improve or extend the expected useful life of the assets, are expensed to operations while major repairs are capitalized. The estimated useful life of the Company’s leasehold improvements is over the shorter of its lease term or useful life of 5 years; the estimated useful life for the Company’s furniture and fixtures is 7 years; and equipment has an estimated useful life of 15 years, while computer software and hardware has an estimated useful life of 3 to 5 years.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and December 31, 2020, property and equipment consisted of the following (amounts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As of</w:t>
            </w:r>
          </w:p>
        </w:tc>
        <w:tc>
          <w:tcPr>
            <w:tcW w:w="140" w:type="dxa"/>
            <w:vAlign w:val="bottom"/>
          </w:tcPr>
          <w:p>
            <w:pPr>
              <w:spacing w:after="0"/>
              <w:rPr>
                <w:sz w:val="14"/>
                <w:szCs w:val="14"/>
                <w:color w:val="auto"/>
              </w:rPr>
            </w:pPr>
          </w:p>
        </w:tc>
        <w:tc>
          <w:tcPr>
            <w:tcW w:w="15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8"/>
                <w:szCs w:val="18"/>
                <w:color w:val="auto"/>
              </w:rPr>
              <w:t>Leasehold improvement</w:t>
            </w:r>
          </w:p>
        </w:tc>
        <w:tc>
          <w:tcPr>
            <w:tcW w:w="200" w:type="dxa"/>
            <w:vAlign w:val="bottom"/>
          </w:tcPr>
          <w:p>
            <w:pPr>
              <w:spacing w:after="0"/>
              <w:rPr>
                <w:sz w:val="14"/>
                <w:szCs w:val="14"/>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23"/>
        </w:trPr>
        <w:tc>
          <w:tcPr>
            <w:tcW w:w="7720" w:type="dxa"/>
            <w:vAlign w:val="bottom"/>
            <w:vMerge w:val="continue"/>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Equipment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354</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Computer software and hardware</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Property and equipment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708</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689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2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(231)</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Property and equipment, net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477</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$28 thousand and $37 thousand for the three months ended March 31, 2021 and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Intangible Assets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Goodwill represents the excess of purchase price over the fair values underlying net assets acquired in an acquisition. All of the Company’s goodwill as of March 31, 2021 is the result of the Heuro acquisition completed in October 2019. Goodwill is not amortized, but rather will be tested annually for impairment or more frequently if events or changes in circumstances indicate that the carrying amount of the asset may not be recoverable. The Company will test goodwill for impairment annually in the fourth quarter of each year using data as of October 1 of that year.</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Goodwill is allocated to and evaluated for impairment at the Company’s one identified reporting unit. Goodwill is tested for impairment by either performing a qualitative evaluation or a quantitative test. The qualitative evaluation is an assessment of factors to determine whether it is more likely than not that a reporting unit’s fair value is less than its carrying amount. The Company may elect not to perform the qualitative assessment for its reporting unit and perform the quantitative impairment test. The quantitative goodwill impairment test requires the Company to compare the carrying value of the reporting unit’s net assets to the estimated fair value of the reporting unit.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9" w:name="page10"/>
    <w:bookmarkEnd w:id="9"/>
    <w:p>
      <w:pPr>
        <w:jc w:val="both"/>
        <w:spacing w:after="0" w:line="263" w:lineRule="auto"/>
        <w:rPr>
          <w:sz w:val="20"/>
          <w:szCs w:val="20"/>
          <w:color w:val="auto"/>
        </w:rPr>
      </w:pPr>
      <w:r>
        <w:rPr>
          <w:rFonts w:ascii="Arial" w:cs="Arial" w:eastAsia="Arial" w:hAnsi="Arial"/>
          <w:sz w:val="18"/>
          <w:szCs w:val="18"/>
          <w:color w:val="auto"/>
        </w:rPr>
        <w:t>If the estimated fair value exceeds the carrying value, no further evaluation is required, and no impairment loss is recognized. If the carrying amount of a reporting unit, including goodwill, exceeds the estimated fair value, the excess of the carrying value over the estimated fair value is recorded as an impairment loss, the amount of which is not to exceed the total amount of goodwill allocated to the reporting unit.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ongoing effects of the COVID-19 pandemic was considered a triggering event for testing whether goodwill is impaired at March 31, 2021. As a result of the Company’s quantitative assessment, the Company determined that the estimated fair value of the reporting unit exceeded the carrying value of the reporting unit. Therefore, the Company concluded that goodwill was not impaired as of any of the aforementioned periods. The Company will continue to monitor the impacts of the COVID-19 pandemic in future periods.</w:t>
      </w:r>
    </w:p>
    <w:p>
      <w:pPr>
        <w:sectPr>
          <w:pgSz w:w="11900" w:h="16838" w:orient="portrait"/>
          <w:cols w:equalWidth="0" w:num="1">
            <w:col w:w="11240"/>
          </w:cols>
          <w:pgMar w:left="320" w:top="5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the activity for the period ended March 31, 2021 for goodwill:</w:t>
      </w:r>
    </w:p>
    <w:p>
      <w:pPr>
        <w:spacing w:after="0" w:line="19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Carrying amount at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641223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12230" cy="14605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Foreign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641223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Carrying amount at March 31,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759</w:t>
            </w:r>
          </w:p>
        </w:tc>
      </w:tr>
      <w:tr>
        <w:trPr>
          <w:trHeight w:val="230"/>
        </w:trPr>
        <w:tc>
          <w:tcPr>
            <w:tcW w:w="9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w:t>
            </w: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680" w:space="720"/>
            <w:col w:w="2840"/>
          </w:cols>
          <w:pgMar w:left="320" w:top="557" w:right="339" w:bottom="1440" w:gutter="0" w:footer="0" w:header="0"/>
          <w:type w:val="continuous"/>
        </w:sectPr>
      </w:pPr>
    </w:p>
    <w:p>
      <w:pPr>
        <w:spacing w:after="0" w:line="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Definite-lived intangibles consist principally of acquired customer relationships, proprietary software and reacquired rights as well as internally developed software. All are amortized straight-line over their estimated useful lives. Amortization expense related to intangible assets was $0.1 million during the three months ended March 31, 2021. Amortization expense related to intangible assets was $0.1 million during the three months ended March 31, 2020. During the three months ended March 31, 2020, the Company incurred an intangible asset impairment loss of $0.2 million related to the customer relationships, which is included in selling, general and administrative expenses in the accompanying condensed consolidated statement of operations and comprehensive loss. During the three months ended March 31, 2021, the Company wrote-off $0.2 million of fully amortized customer relationships.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March 31, 2021 and December 31, 2020 consist of the following:</w:t>
      </w:r>
    </w:p>
    <w:p>
      <w:pPr>
        <w:spacing w:after="0" w:line="31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5"/>
              </w:rPr>
              <w:t>As of March 31, 2021</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7"/>
          </w:tcPr>
          <w:p>
            <w:pPr>
              <w:jc w:val="right"/>
              <w:ind w:right="67"/>
              <w:spacing w:after="0"/>
              <w:rPr>
                <w:sz w:val="20"/>
                <w:szCs w:val="20"/>
                <w:color w:val="auto"/>
              </w:rPr>
            </w:pPr>
            <w:r>
              <w:rPr>
                <w:rFonts w:ascii="Arial" w:cs="Arial" w:eastAsia="Arial" w:hAnsi="Arial"/>
                <w:sz w:val="14"/>
                <w:szCs w:val="14"/>
                <w:b w:val="1"/>
                <w:bCs w:val="1"/>
                <w:color w:val="auto"/>
              </w:rPr>
              <w:t>As of December 31, 2020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8"/>
              </w:rPr>
              <w:t>Useful</w:t>
            </w:r>
          </w:p>
        </w:tc>
        <w:tc>
          <w:tcPr>
            <w:tcW w:w="140" w:type="dxa"/>
            <w:vAlign w:val="bottom"/>
          </w:tcPr>
          <w:p>
            <w:pPr>
              <w:spacing w:after="0"/>
              <w:rPr>
                <w:sz w:val="11"/>
                <w:szCs w:val="11"/>
                <w:color w:val="auto"/>
              </w:rPr>
            </w:pPr>
          </w:p>
        </w:tc>
        <w:tc>
          <w:tcPr>
            <w:tcW w:w="820" w:type="dxa"/>
            <w:vAlign w:val="bottom"/>
          </w:tcPr>
          <w:p>
            <w:pPr>
              <w:jc w:val="center"/>
              <w:ind w:right="97"/>
              <w:spacing w:after="0" w:line="133"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1"/>
                <w:szCs w:val="11"/>
                <w:color w:val="auto"/>
              </w:rPr>
            </w:pPr>
          </w:p>
        </w:tc>
        <w:tc>
          <w:tcPr>
            <w:tcW w:w="118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1"/>
                <w:szCs w:val="11"/>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Net Carrying</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ind w:right="78"/>
              <w:spacing w:after="0" w:line="13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110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7"/>
              </w:rPr>
              <w:t>Accumulated</w:t>
            </w:r>
          </w:p>
        </w:tc>
        <w:tc>
          <w:tcPr>
            <w:tcW w:w="80" w:type="dxa"/>
            <w:vAlign w:val="bottom"/>
          </w:tcPr>
          <w:p>
            <w:pPr>
              <w:spacing w:after="0"/>
              <w:rPr>
                <w:sz w:val="11"/>
                <w:szCs w:val="11"/>
                <w:color w:val="auto"/>
              </w:rPr>
            </w:pPr>
          </w:p>
        </w:tc>
        <w:tc>
          <w:tcPr>
            <w:tcW w:w="11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Life</w:t>
            </w:r>
          </w:p>
        </w:tc>
        <w:tc>
          <w:tcPr>
            <w:tcW w:w="140" w:type="dxa"/>
            <w:vAlign w:val="bottom"/>
          </w:tcPr>
          <w:p>
            <w:pPr>
              <w:spacing w:after="0"/>
              <w:rPr>
                <w:sz w:val="14"/>
                <w:szCs w:val="14"/>
                <w:color w:val="auto"/>
              </w:rPr>
            </w:pPr>
          </w:p>
        </w:tc>
        <w:tc>
          <w:tcPr>
            <w:tcW w:w="820" w:type="dxa"/>
            <w:vAlign w:val="bottom"/>
          </w:tcPr>
          <w:p>
            <w:pPr>
              <w:jc w:val="center"/>
              <w:ind w:right="77"/>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11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233"/>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ind w:right="58"/>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9"/>
        </w:trPr>
        <w:tc>
          <w:tcPr>
            <w:tcW w:w="2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Customer relationships (1)</w:t>
            </w:r>
          </w:p>
        </w:tc>
        <w:tc>
          <w:tcPr>
            <w:tcW w:w="6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1.25</w:t>
            </w: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6"/>
              </w:rPr>
              <w:t>years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182"/>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58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(228)</w:t>
            </w:r>
          </w:p>
        </w:tc>
        <w:tc>
          <w:tcPr>
            <w:tcW w:w="28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280" w:type="dxa"/>
            <w:vAlign w:val="bottom"/>
          </w:tcPr>
          <w:p>
            <w:pPr>
              <w:spacing w:after="0"/>
              <w:rPr>
                <w:sz w:val="20"/>
                <w:szCs w:val="20"/>
                <w:color w:val="auto"/>
              </w:rPr>
            </w:pPr>
            <w:r>
              <w:rPr>
                <w:rFonts w:ascii="Arial" w:cs="Arial" w:eastAsia="Arial" w:hAnsi="Arial"/>
                <w:sz w:val="18"/>
                <w:szCs w:val="18"/>
                <w:color w:val="auto"/>
              </w:rPr>
              <w:t>Acquired proprietary</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software</w:t>
            </w: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84"/>
              </w:rPr>
              <w:t>5 years</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rPr>
              <w:t>Reacquired rights</w:t>
            </w:r>
          </w:p>
        </w:tc>
        <w:tc>
          <w:tcPr>
            <w:tcW w:w="6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3.87</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6"/>
              </w:rPr>
              <w:t>years</w:t>
            </w: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w:t>
            </w:r>
          </w:p>
        </w:tc>
        <w:tc>
          <w:tcPr>
            <w:tcW w:w="2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(186)</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w:t>
            </w: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(152)</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280" w:type="dxa"/>
            <w:vAlign w:val="bottom"/>
          </w:tcPr>
          <w:p>
            <w:pPr>
              <w:spacing w:after="0"/>
              <w:rPr>
                <w:sz w:val="20"/>
                <w:szCs w:val="20"/>
                <w:color w:val="auto"/>
              </w:rPr>
            </w:pPr>
            <w:r>
              <w:rPr>
                <w:rFonts w:ascii="Arial" w:cs="Arial" w:eastAsia="Arial" w:hAnsi="Arial"/>
                <w:sz w:val="18"/>
                <w:szCs w:val="18"/>
                <w:color w:val="auto"/>
              </w:rPr>
              <w:t>Internally developed</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software</w:t>
            </w: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84"/>
              </w:rPr>
              <w:t>3 years</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intangible assets</w:t>
            </w:r>
          </w:p>
        </w:tc>
        <w:tc>
          <w:tcPr>
            <w:tcW w:w="6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82"/>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8"/>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1400" w:firstLine="345"/>
        <w:spacing w:after="0" w:line="516" w:lineRule="auto"/>
        <w:tabs>
          <w:tab w:leader="none" w:pos="675"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the three months ended March 31, 2021, the Company wrote off $0.2 million of fully amortized customer relationships. Amortization expense is anticipated to be as follows in future years:</w:t>
      </w:r>
    </w:p>
    <w:tbl>
      <w:tblPr>
        <w:tblLayout w:type="fixed"/>
        <w:tblInd w:w="580" w:type="dxa"/>
        <w:tblCellMar>
          <w:top w:w="0" w:type="dxa"/>
          <w:left w:w="0" w:type="dxa"/>
          <w:bottom w:w="0" w:type="dxa"/>
          <w:right w:w="0" w:type="dxa"/>
        </w:tblCellMar>
      </w:tblPr>
      <w:tr>
        <w:trPr>
          <w:trHeight w:val="210"/>
        </w:trPr>
        <w:tc>
          <w:tcPr>
            <w:tcW w:w="8860" w:type="dxa"/>
            <w:vAlign w:val="bottom"/>
            <w:gridSpan w:val="2"/>
            <w:shd w:val="clear" w:color="auto" w:fill="CFF0FC"/>
          </w:tcPr>
          <w:p>
            <w:pPr>
              <w:spacing w:after="0" w:line="190" w:lineRule="exact"/>
              <w:rPr>
                <w:sz w:val="20"/>
                <w:szCs w:val="20"/>
                <w:color w:val="auto"/>
              </w:rPr>
            </w:pPr>
            <w:r>
              <w:rPr>
                <w:rFonts w:ascii="Arial" w:cs="Arial" w:eastAsia="Arial" w:hAnsi="Arial"/>
                <w:sz w:val="18"/>
                <w:szCs w:val="18"/>
                <w:b w:val="1"/>
                <w:bCs w:val="1"/>
                <w:color w:val="auto"/>
              </w:rPr>
              <w:t>For the Year Ending December 31,</w:t>
            </w:r>
          </w:p>
        </w:tc>
        <w:tc>
          <w:tcPr>
            <w:tcW w:w="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2021 (remaining 9 months)</w:t>
            </w:r>
          </w:p>
        </w:tc>
        <w:tc>
          <w:tcPr>
            <w:tcW w:w="6200" w:type="dxa"/>
            <w:vAlign w:val="bottom"/>
            <w:tcBorders>
              <w:top w:val="single" w:sz="8" w:color="CFF0FC"/>
            </w:tcBorders>
          </w:tcPr>
          <w:p>
            <w:pPr>
              <w:spacing w:after="0"/>
              <w:rPr>
                <w:sz w:val="19"/>
                <w:szCs w:val="19"/>
                <w:color w:val="auto"/>
              </w:rPr>
            </w:pPr>
          </w:p>
        </w:tc>
        <w:tc>
          <w:tcPr>
            <w:tcW w:w="480" w:type="dxa"/>
            <w:vAlign w:val="bottom"/>
            <w:tcBorders>
              <w:top w:val="single" w:sz="8" w:color="CFF0FC"/>
            </w:tcBorders>
            <w:gridSpan w:val="2"/>
          </w:tcPr>
          <w:p>
            <w:pPr>
              <w:jc w:val="right"/>
              <w:ind w:right="307"/>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top w:val="single" w:sz="8" w:color="CFF0FC"/>
            </w:tcBorders>
          </w:tcPr>
          <w:p>
            <w:pPr>
              <w:spacing w:after="0"/>
              <w:rPr>
                <w:sz w:val="19"/>
                <w:szCs w:val="19"/>
                <w:color w:val="auto"/>
              </w:rPr>
            </w:pPr>
          </w:p>
        </w:tc>
      </w:tr>
      <w:tr>
        <w:trPr>
          <w:trHeight w:val="230"/>
        </w:trPr>
        <w:tc>
          <w:tcPr>
            <w:tcW w:w="26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6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FF0FC"/>
          </w:tcPr>
          <w:p>
            <w:pPr>
              <w:spacing w:after="0"/>
              <w:rPr>
                <w:sz w:val="19"/>
                <w:szCs w:val="19"/>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2023</w:t>
            </w:r>
          </w:p>
        </w:tc>
        <w:tc>
          <w:tcPr>
            <w:tcW w:w="6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r>
      <w:tr>
        <w:trPr>
          <w:trHeight w:val="229"/>
        </w:trPr>
        <w:tc>
          <w:tcPr>
            <w:tcW w:w="266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6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FF0FC"/>
          </w:tcPr>
          <w:p>
            <w:pPr>
              <w:spacing w:after="0"/>
              <w:rPr>
                <w:sz w:val="19"/>
                <w:szCs w:val="19"/>
                <w:color w:val="auto"/>
              </w:rPr>
            </w:pPr>
          </w:p>
        </w:tc>
      </w:tr>
      <w:tr>
        <w:trPr>
          <w:trHeight w:val="223"/>
        </w:trPr>
        <w:tc>
          <w:tcPr>
            <w:tcW w:w="2660" w:type="dxa"/>
            <w:vAlign w:val="bottom"/>
          </w:tcPr>
          <w:p>
            <w:pPr>
              <w:spacing w:after="0"/>
              <w:rPr>
                <w:sz w:val="19"/>
                <w:szCs w:val="19"/>
                <w:color w:val="auto"/>
              </w:rPr>
            </w:pPr>
          </w:p>
        </w:tc>
        <w:tc>
          <w:tcPr>
            <w:tcW w:w="6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19"/>
                <w:szCs w:val="19"/>
                <w:color w:val="auto"/>
              </w:rPr>
            </w:pPr>
          </w:p>
        </w:tc>
      </w:tr>
      <w:tr>
        <w:trPr>
          <w:trHeight w:val="20"/>
        </w:trPr>
        <w:tc>
          <w:tcPr>
            <w:tcW w:w="266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January 1, 2019, the Company adopted ASU No. 2016-02, </w:t>
      </w:r>
      <w:r>
        <w:rPr>
          <w:rFonts w:ascii="Arial" w:cs="Arial" w:eastAsia="Arial" w:hAnsi="Arial"/>
          <w:sz w:val="18"/>
          <w:szCs w:val="18"/>
          <w:i w:val="1"/>
          <w:iCs w:val="1"/>
          <w:color w:val="auto"/>
        </w:rPr>
        <w:t>Leases</w:t>
      </w:r>
      <w:r>
        <w:rPr>
          <w:rFonts w:ascii="Arial" w:cs="Arial" w:eastAsia="Arial" w:hAnsi="Arial"/>
          <w:sz w:val="18"/>
          <w:szCs w:val="18"/>
          <w:color w:val="auto"/>
        </w:rPr>
        <w:t>, using the modified retrospective method. The Company elected the package of practical expedients permitted under the transition guidance within the new standard which allowed the Company to carry forward the historical lease classification. Adoption of this standard resulted in the recording of an operating lease right-of-use (“ROU”) asset and corresponding operating lease liabilities of $0.7 million on January 1, 2019.</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does not record an operating lease ROU asset and corresponding lease liability for leases with an initial term of twelve months or less and recognizes lease expense for these leases as incurred over the lease term. The Company had only one operating lease, which was for its headquarters office in Newtown, Pennsylvania upon the adoption date. As of March 31, 2021, the Company has not entered into any additional lease arrangements, but did modify the existing lease arrangement. Operating lease ROU assets and operating lease liabilities are recognized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type w:val="continuous"/>
        </w:sectPr>
      </w:pPr>
    </w:p>
    <w:bookmarkStart w:id="10" w:name="page11"/>
    <w:bookmarkEnd w:id="10"/>
    <w:p>
      <w:pPr>
        <w:jc w:val="both"/>
        <w:spacing w:after="0" w:line="279" w:lineRule="auto"/>
        <w:rPr>
          <w:sz w:val="20"/>
          <w:szCs w:val="20"/>
          <w:color w:val="auto"/>
        </w:rPr>
      </w:pPr>
      <w:r>
        <w:rPr>
          <w:rFonts w:ascii="Arial" w:cs="Arial" w:eastAsia="Arial" w:hAnsi="Arial"/>
          <w:sz w:val="17"/>
          <w:szCs w:val="17"/>
          <w:color w:val="auto"/>
        </w:rPr>
        <w:t>upon the adoption date based on the present value of lease payments over the lease term. The Company does not have a public credit rating and as such used a corporate yield with a “CCC” rating by S&amp;P Capital IQ with a term commensurate with the term of its lease as its incremental borrowing rate in determining the present value of lease payments. Lease expense is recognized on a straight-line basis over the lease term. The Company’s lease arrangement does not have lease and non-lease components which are to be accounted for separately (see Note 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Company’s functional currency is the U.S. dollar. Monetary assets and liabilities denominated in foreign currencies are translated into U.S. dollars using exchange rates in effect at the balance sheet date. Opening balances related to non-monetary assets and liabilities are based on prior period translated amounts, and non-monetary assets acquired, and non-monetary liabilities incurred are translated at the approximate exchange rate prevailing at the date of the transaction. Revenue and expense transactions are translated at the approximate exchange rate in effect at the time of the transaction. Foreign exchange gains and losses are included in the condensed consolidated statement of operations and comprehensive loss as foreign exchange gain (loss).</w:t>
      </w:r>
    </w:p>
    <w:p>
      <w:pPr>
        <w:spacing w:after="0" w:line="9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functional currency of HMC and HCA, the Company’s Canadian subsidiaries, is the CAD$ and the functional currency of HMI and HNR is the USD$. Transactions in foreign currencies are recorded into the functional currency of the relevant subsidiary at the exchange rate in effect at the date of the transaction. Any monetary assets and liabilities arising from these transactions are translated into the functional currency at exchange rates in effect at the balance sheet date or on settlement. Revenues, expenses and cash flows are translated at the weighted-average rates of exchanges for the reporting period. The resulting currency translation adjustments are not included in the Company’s condensed consolidated statements of operations and comprehensive loss for the reporting period, but rather are accumulated and gains and losses are recorded in foreign exchange gain (loss), as a component of comprehensive loss, within the condensed consolidated statements of operations and comprehensive loss.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accounts for all stock-based payments and awards under the fair value-based method. The Company recognizes its stock-based compensation expense using the straight-line method. Compensation cost is not adjusted for estimated forfeitures, but instead is adjusted upon an actual forfeiture of a stock option.</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accounts for the granting of stock options to employees and non-employees using the fair value method whereby all awards are measured at fair value on the date of the grant. The fair value of all employee-related stock options is expensed over the requisite service period with a corresponding increase to additional paid-in capital. Upon exercise of stock options, the consideration paid by the option holder, together with the amount previously recognized in additional paid-in capital is recorded as an increase to common stock, while the par value of the shares received is reclassified from additional paid in capital. Stock options granted to employees are accounted for as liabilities when they contain conditions or other features that are indexed to other than a market, performance or service condition.</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In accordance with ASU 2018-07, </w:t>
      </w:r>
      <w:r>
        <w:rPr>
          <w:rFonts w:ascii="Arial" w:cs="Arial" w:eastAsia="Arial" w:hAnsi="Arial"/>
          <w:sz w:val="17"/>
          <w:szCs w:val="17"/>
          <w:i w:val="1"/>
          <w:iCs w:val="1"/>
          <w:color w:val="auto"/>
        </w:rPr>
        <w:t>Improvements to Nonemployee Share-Based Payment Accounting</w:t>
      </w:r>
      <w:r>
        <w:rPr>
          <w:rFonts w:ascii="Arial" w:cs="Arial" w:eastAsia="Arial" w:hAnsi="Arial"/>
          <w:sz w:val="17"/>
          <w:szCs w:val="17"/>
          <w:color w:val="auto"/>
        </w:rPr>
        <w:t xml:space="preserve"> (“ASU 2018-07”), stock-based payments to non-employees are measured based on the fair value of the equity instrument issued. Compensation expense for non-employee stock awards is recognized over the requisite service period following the measurement of the fair value on the grant date over the vesting period of the award.</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uses the Black-Scholes option pricing model to calculate the fair value of stock options. The use of the Black-Scholes option pricing model requires management to make assumptions with respect to the expected term of the option, the expected volatility of the common stock consistent with the expected term of the option, risk-free interest rates, the value of the common stock and expected dividend yield of the common stock. Changes in these assumptions can materially affect the fair value estimate.</w:t>
      </w:r>
    </w:p>
    <w:p>
      <w:pPr>
        <w:spacing w:after="0" w:line="1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Awards of options that provide for an exercise price that is not denominated in: (a) the currency of a market in which a substantial portion of the Company's equity securities trades, (b) the currency in which the employee's pay is denominated, or (c) the Company's functional currency, are required to be classified as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accordance with the FASB’s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the Company recognizes revenue when its customer obtains control of promised goods or services, in an amount that reflects the consideration which the Company expects to be entitled in exchange for those goods or services. To determine revenue recognition for arrangements that the Company determines are within the scope of ASC 606, it performs the following five steps:</w:t>
      </w:r>
    </w:p>
    <w:p>
      <w:pPr>
        <w:spacing w:after="0" w:line="119" w:lineRule="exact"/>
        <w:rPr>
          <w:sz w:val="20"/>
          <w:szCs w:val="20"/>
          <w:color w:val="auto"/>
        </w:rPr>
      </w:pPr>
    </w:p>
    <w:p>
      <w:pPr>
        <w:ind w:left="1040" w:hanging="695"/>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23" w:lineRule="exact"/>
        <w:rPr>
          <w:rFonts w:ascii="Arial" w:cs="Arial" w:eastAsia="Arial" w:hAnsi="Arial"/>
          <w:sz w:val="18"/>
          <w:szCs w:val="18"/>
          <w:color w:val="auto"/>
        </w:rPr>
      </w:pPr>
    </w:p>
    <w:p>
      <w:pPr>
        <w:ind w:left="1040" w:hanging="695"/>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22" w:lineRule="exact"/>
        <w:rPr>
          <w:rFonts w:ascii="Arial" w:cs="Arial" w:eastAsia="Arial" w:hAnsi="Arial"/>
          <w:sz w:val="18"/>
          <w:szCs w:val="18"/>
          <w:color w:val="auto"/>
        </w:rPr>
      </w:pPr>
    </w:p>
    <w:p>
      <w:pPr>
        <w:ind w:left="1040" w:hanging="695"/>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22" w:lineRule="exact"/>
        <w:rPr>
          <w:rFonts w:ascii="Arial" w:cs="Arial" w:eastAsia="Arial" w:hAnsi="Arial"/>
          <w:sz w:val="18"/>
          <w:szCs w:val="18"/>
          <w:color w:val="auto"/>
        </w:rPr>
      </w:pPr>
    </w:p>
    <w:p>
      <w:pPr>
        <w:ind w:left="1040" w:hanging="695"/>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22" w:lineRule="exact"/>
        <w:rPr>
          <w:rFonts w:ascii="Arial" w:cs="Arial" w:eastAsia="Arial" w:hAnsi="Arial"/>
          <w:sz w:val="18"/>
          <w:szCs w:val="18"/>
          <w:color w:val="auto"/>
        </w:rPr>
      </w:pPr>
    </w:p>
    <w:p>
      <w:pPr>
        <w:ind w:left="1040" w:hanging="695"/>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 w:name="page12"/>
    <w:bookmarkEnd w:id="11"/>
    <w:p>
      <w:pPr>
        <w:jc w:val="both"/>
        <w:spacing w:after="0" w:line="296" w:lineRule="auto"/>
        <w:rPr>
          <w:sz w:val="20"/>
          <w:szCs w:val="20"/>
          <w:color w:val="auto"/>
        </w:rPr>
      </w:pPr>
      <w:r>
        <w:rPr>
          <w:rFonts w:ascii="Arial" w:cs="Arial" w:eastAsia="Arial" w:hAnsi="Arial"/>
          <w:sz w:val="16"/>
          <w:szCs w:val="16"/>
          <w:color w:val="auto"/>
        </w:rPr>
        <w:t>The Company applies the five-step model to contracts when it determines that it is probable it will collect substantially all of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after consideration of variability and constraints, if any, that is allocated to the respective performance obligation when the performance obligation is satisfied.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net</w:t>
      </w:r>
    </w:p>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Product sales are derived from the sale of the PoNS device to clinics. According to the supply agreement with each of these clinics, the Company’s performance obligation was met when it delivered the PoNS device to the clinic’s facility and the clinic assumed title of the PoNS device upon acceptance. As such, revenue is recognized at a point in time. Shipping and handling costs associated with outbound freight before control of a product has been transferred to a customer is accounted for as a fulfillment cost and are included in cost of sales. For the three months ended March 31, 2020, the Company recorded $191 thousand in product sales. As of March 31, 2020, the control of 11 of the 55 PoNS devices included as consideration in the Heuro acquisition had been transferred resulting in revenue of $0.1 million being recognized which is included in the aforementioned $191 thousand in product sales for the three months ended March 31, 2020. For the three months ended March 31, 2021, the Company recorded $77 thousand in product sales. There were no PoNS devices, included as consideration in the Heuro acquisition, transferred during the three months ended March 31, 2021. As of March 31, 2021, there were 34 devices remaining to be transferred. The fair value of the remaining devices is recorded as deferred revenue of $0.3 million on the condensed consolidated balance sheet. The returns during the three months ended March 31, 2021 were the result of warranty returns for defective products. These returns were insignificant and any future replacements are expected to be insignificant.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Fee Revenue</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March 31, 2020, the Company recognized $9 thousand of fee revenue related to engaging new neuroplasticity clinics to provide the PoNS Treatment. These agreements were terminated in the second quarter of 2020. As a result, during the three months ended March 31, 2021, the Company did not recognize any fee revenue.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Revenue</w:t>
      </w:r>
    </w:p>
    <w:p>
      <w:pPr>
        <w:spacing w:after="0" w:line="15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connection with the Heuro acquisition, the Company entered into a Clinical Research and Co-Promotion Agreement with HTC (the “Co-Promotion Agreement”). The Co-Promotion Agreement had a fair value of CAD$360 thousand at the time of acquisition and a ten-year term. License revenue is recognized ratably over the ten-year term of the Co-Promotion Agreement as the performance obligation is met. During the three months ended March 31, 2021 and 2020, the Company recognized revenues of $7 thousand in license fees for both periods associated with the Co-Promotion Agreement. Revenue not yet recognized of $0.2 million is recorded as deferred revenue on the condensed consolidated balance sheet as of March 31, 2021.</w:t>
      </w:r>
    </w:p>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March 31, 2021 and December 31, 2020, the Company had no contract assets or liabilities on its condensed consolidated balance sheets related to the supply agreements with each clinic.</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Cost of product sales includes the cost to manufacture the PoNS device, inventory markdowns to net realizable value, royalty expenses, freight charges, customs duties, wages and salaries of employees involved in the management of the supply chain and logistics of fulfilling the Company’s sales orders.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accounts for income taxes using the asset and liability method. The asset and liability method provide that deferred tax assets and liabilities are recognized for the expected future tax consequences of temporary differences between the financial reporting and tax bases of assets and liabilities, and for operating loss and tax credit carryforwards. Deferred tax assets and liabilities are measured using the currently enacted tax rates and laws that will be in effect when the differences are expected to reverse. The Company records a valuation allowance to reduce deferred tax assets to the amount that is believed more likely than not to be realized.</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 Company has adopted the provisions of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regarding accounting for uncertainty in income taxes. The Company initially recognizes tax positions in the condensed consolidated financial statements when it is more likely than not the position will be sustained upon examination by the tax authorities. Such tax positions are initially and subsequently measured as the largest amount of the tax benefit that is greater than 50% likely of being realized upon ultimate settlement with the tax authority, assuming full knowledge of the position and all relevant facts. Application requires numerous estimates based on available information. The Company considers many factors when evaluating and estimating its tax positions and tax benefits. These periodic adjustments may have a material impact on the condensed consolidated statements of operations and comprehensive loss. When applicable, the Company classifies penalties and interest associated with uncertain tax positions as a component of income tax expense in its condensed consolidated statements of operations and comprehensive loss.</w:t>
      </w:r>
    </w:p>
    <w:p>
      <w:pPr>
        <w:spacing w:after="0" w:line="1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March 27, 2020, President Trump signed into law the Coronavirus Aid, Relief, and Economic Security Act (“CARES Act”). The CARES Act, among other things, includes provisions relating to refundable payroll tax credits, deferment of employer side social security payments, net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2" w:name="page13"/>
    <w:bookmarkEnd w:id="12"/>
    <w:p>
      <w:pPr>
        <w:jc w:val="both"/>
        <w:spacing w:after="0" w:line="311" w:lineRule="auto"/>
        <w:rPr>
          <w:sz w:val="20"/>
          <w:szCs w:val="20"/>
          <w:color w:val="auto"/>
        </w:rPr>
      </w:pPr>
      <w:r>
        <w:rPr>
          <w:rFonts w:ascii="Arial" w:cs="Arial" w:eastAsia="Arial" w:hAnsi="Arial"/>
          <w:sz w:val="16"/>
          <w:szCs w:val="16"/>
          <w:color w:val="auto"/>
        </w:rPr>
        <w:t>operating loss carryback periods, alternative minimum tax credit refunds, modifications to the net interest deduction limitations, increased limitations on qualified charitable contributions, and technical corrections to tax depreciation methods for qualified improvement property. We continue to examine the impact that the CARES Act may have on our business. The CARES Act has not had a material impact on our accounting for income taxes.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(“R&amp;D”) expenses consist primarily of personnel costs, including salaries, benefits and stock-based compensation, clinical studies performed by contract research organizations, development and manufacturing of clinical trial devices and devices for manufacturing testing and materials and supplies as well as regulatory costs related to post market surveillance, quality assurance complaint handling and adverse event reporting. R&amp;D costs are charged to operations when they are incurred.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operates and manages its business within one operating and reportable segment. Accordingly, the Company reports the accompanying condensed consolidated financial statements in the aggregate in one reportable segment.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Company evaluates its financial instruments and other contracts to determine if those contracts or embedded components of those contracts qualify as derivatives to be separately accounted for in accordance with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(“ASC 815”). The result of this accounting treatment is that the fair value of the derivative is re-measured at each balance sheet date and recorded as a liability or asset and the change in fair value is recorded in the condensed consolidated statements of operations and comprehensive loss. As of March 31, 2021 and December 31, 2020, the Company’s derivative financial instruments accounted for in accordance with ASC 815 were comprised of warrants issued in connection with both public and/or private securities offerings. Upon settlement of a derivative financial instrument, the instrument is re-measured at the settlement date and the fair value of the underlying instrument is reclassified to equity.</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classification of derivative financial instruments, including whether such instruments should be recorded as liabilities/assets or as equity, is reassessed at the end of each reporting period. Derivative financial instruments that become subject to reclassification are reclassified at the fair value of the instrument on the reclassification date. Derivative financial instruments will be classified in the condensed consolidated balance sheet as current if the right to exercise or settle the derivative financial instrument lies with the holder.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Company accounts for financial instruments in accordance with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ASC 820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Level 1 – Unadjusted quoted prices in active markets that are accessible at the measurement date for identical, unrestricted assets or liabilities;</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2 – Quoted prices in markets that are not active or financial instruments for which all significant inputs are observable, either directly or indirectly; and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Level 3 – Prices or valuations that require inputs that are both significant to the fair value measurement and unobservable.</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financial instruments recorded in its condensed consolidated balance sheets consist primarily of cash, accounts receivable, other current receivables, operating lease ROU asset, accounts payable, accrued liabilities, operating lease liability and derivative financial instruments. The book values of these instruments, with the exception of derivative financial instruments, non-current lease liability and operating lease ROU asset approximate their fair values due to the immediate or short-term nature of these instruments.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 w:name="page14"/>
    <w:bookmarkEnd w:id="13"/>
    <w:p>
      <w:pPr>
        <w:jc w:val="both"/>
        <w:spacing w:after="0" w:line="257" w:lineRule="auto"/>
        <w:rPr>
          <w:sz w:val="20"/>
          <w:szCs w:val="20"/>
          <w:color w:val="auto"/>
        </w:rPr>
      </w:pPr>
      <w:r>
        <w:rPr>
          <w:rFonts w:ascii="Arial" w:cs="Arial" w:eastAsia="Arial" w:hAnsi="Arial"/>
          <w:sz w:val="18"/>
          <w:szCs w:val="18"/>
          <w:color w:val="auto"/>
        </w:rPr>
        <w:t>The Company’s derivative financial instruments are classified as Level 3 within the fair value hierarchy. Unobservable inputs used in the valuation of these financial instruments include volatility of the underlying share price and the expected term. See Note 3 for the inputs used in the Black-Scholes option pricing model as of March 31, 2021 and December 31, 2020 and the roll forward of the Company’s derivative financial instruments. The Company’s derivative financial instruments are comprised of warrants which are classified as liabilities. The fair value of the derivative financial instruments as of March 31, 2021 and December 31, 2020 was zero.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any levels for any of the periods presented.</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assets and liabilities that are recorded at fair value on a recurring basis, the Company's assets and liabilities are also subject to nonrecurring fair value measurements. Generally, assets are recorded at fair value on a nonrecurring basis as a result of impairment charges. Due to the COVID-19 pandemic and the related risks and uncertainties, the Company’s customer relationship intangible asset incurred an impairment loss during the three months ended March 31, 2020 of $0.2 million. The fair value of this intangible asset was determined based on Level 3 measurements within the fair value hierarchy. Inputs to these fair value measurements included estimates of the amount and timing of the asset’s net future discounted cash flows based on historical data, current trends and market conditions. As of March 31, 2021, the Company’s customer relationship intangible asset had been fully amortized and written off.</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Net Loss per Share</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Earnings or loss per share (“EPS”) is computed by dividing net income (loss) by the weighted average number of common shares outstanding during the period. Diluted EPS is computed by dividing net income (loss) by the weighted average of all potentially dilutive shares of common stock that were outstanding during the periods presented.</w:t>
      </w:r>
    </w:p>
    <w:p>
      <w:pPr>
        <w:spacing w:after="0" w:line="18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treasury stock method is used in calculating diluted EPS for potentially dilutive stock options and share purchase warrants, which assumes that any proceeds received from the exercise of in-the-money stock options and share purchase warrants, would be used to purchase common shares at the average market price for the period, unless including the effects of these potentially dilutive securities would be anti-dilutive.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basic and diluted loss per share for the periods noted below is as follows (amounts in thousands except shares and per share data):</w:t>
      </w:r>
    </w:p>
    <w:p>
      <w:pPr>
        <w:spacing w:after="0" w:line="200" w:lineRule="exact"/>
        <w:rPr>
          <w:sz w:val="20"/>
          <w:szCs w:val="20"/>
          <w:color w:val="auto"/>
        </w:rPr>
      </w:pPr>
    </w:p>
    <w:p>
      <w:pPr>
        <w:spacing w:after="0" w:line="327"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5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3"/>
          </w:tcPr>
          <w:p>
            <w:pPr>
              <w:jc w:val="right"/>
              <w:ind w:right="270"/>
              <w:spacing w:after="0"/>
              <w:rPr>
                <w:sz w:val="20"/>
                <w:szCs w:val="20"/>
                <w:color w:val="auto"/>
              </w:rPr>
            </w:pPr>
            <w:r>
              <w:rPr>
                <w:rFonts w:ascii="Arial" w:cs="Arial" w:eastAsia="Arial" w:hAnsi="Arial"/>
                <w:sz w:val="14"/>
                <w:szCs w:val="14"/>
                <w:b w:val="1"/>
                <w:bCs w:val="1"/>
                <w:color w:val="auto"/>
              </w:rPr>
              <w:t>March 31,</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5120" w:type="dxa"/>
            <w:vAlign w:val="bottom"/>
            <w:tcBorders>
              <w:bottom w:val="single" w:sz="8" w:color="CFF0FC"/>
            </w:tcBorders>
          </w:tcPr>
          <w:p>
            <w:pPr>
              <w:spacing w:after="0"/>
              <w:rPr>
                <w:sz w:val="14"/>
                <w:szCs w:val="14"/>
                <w:color w:val="auto"/>
              </w:rPr>
            </w:pPr>
          </w:p>
        </w:tc>
        <w:tc>
          <w:tcPr>
            <w:tcW w:w="180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FF0FC"/>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FF0FC"/>
            </w:tcBorders>
          </w:tcPr>
          <w:p>
            <w:pPr>
              <w:spacing w:after="0"/>
              <w:rPr>
                <w:sz w:val="14"/>
                <w:szCs w:val="14"/>
                <w:color w:val="auto"/>
              </w:rPr>
            </w:pPr>
          </w:p>
        </w:tc>
      </w:tr>
      <w:tr>
        <w:trPr>
          <w:trHeight w:val="223"/>
        </w:trPr>
        <w:tc>
          <w:tcPr>
            <w:tcW w:w="5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Basic and Diluted</w:t>
            </w:r>
          </w:p>
        </w:tc>
        <w:tc>
          <w:tcPr>
            <w:tcW w:w="1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Numerator:</w:t>
            </w:r>
          </w:p>
        </w:tc>
        <w:tc>
          <w:tcPr>
            <w:tcW w:w="1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1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(3,362)</w:t>
            </w: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(4,757)</w:t>
            </w: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Denominator:</w:t>
            </w:r>
          </w:p>
        </w:tc>
        <w:tc>
          <w:tcPr>
            <w:tcW w:w="18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outstanding</w:t>
            </w:r>
          </w:p>
        </w:tc>
        <w:tc>
          <w:tcPr>
            <w:tcW w:w="18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2,040,839</w:t>
            </w:r>
          </w:p>
        </w:tc>
        <w:tc>
          <w:tcPr>
            <w:tcW w:w="26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884,915</w:t>
            </w:r>
          </w:p>
        </w:tc>
        <w:tc>
          <w:tcPr>
            <w:tcW w:w="120" w:type="dxa"/>
            <w:vAlign w:val="bottom"/>
            <w:shd w:val="clear" w:color="auto" w:fill="CFF0FC"/>
          </w:tcPr>
          <w:p>
            <w:pPr>
              <w:spacing w:after="0"/>
              <w:rPr>
                <w:sz w:val="19"/>
                <w:szCs w:val="19"/>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b w:val="1"/>
                <w:bCs w:val="1"/>
                <w:color w:val="auto"/>
              </w:rPr>
              <w:t>Basic and diluted net loss per share</w:t>
            </w:r>
          </w:p>
        </w:tc>
        <w:tc>
          <w:tcPr>
            <w:tcW w:w="18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w:t>
            </w:r>
          </w:p>
        </w:tc>
        <w:tc>
          <w:tcPr>
            <w:tcW w:w="26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(5.38)</w:t>
            </w:r>
          </w:p>
        </w:tc>
        <w:tc>
          <w:tcPr>
            <w:tcW w:w="120" w:type="dxa"/>
            <w:vAlign w:val="bottom"/>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 incremental common stock equivalents, consisting of outstanding stock options, warrants and restricted stock units, were included in calculating diluted loss per share because such inclusion would be anti-dilutive due to the Company’s losses for the three months ended March 31, 2021 and 2020. Common stock equivalents excluded from the computation of diluted weighted average shares outstanding were 812,173 and 377,698 for the three months ended March 31, 2021 and 2020,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 (Topic 326): Measurement of Credit Losses on Financial Instruments</w:t>
      </w:r>
      <w:r>
        <w:rPr>
          <w:rFonts w:ascii="Arial" w:cs="Arial" w:eastAsia="Arial" w:hAnsi="Arial"/>
          <w:sz w:val="17"/>
          <w:szCs w:val="17"/>
          <w:color w:val="auto"/>
        </w:rPr>
        <w:t xml:space="preserve">, which requires measurement and recognition of expected credit losses for financial assets held and requires enhanced disclosures regarding significant estimates and judgments used in estimating credit losses. In November 2019, the FASB issued ASU 2019-10, </w:t>
      </w:r>
      <w:r>
        <w:rPr>
          <w:rFonts w:ascii="Arial" w:cs="Arial" w:eastAsia="Arial" w:hAnsi="Arial"/>
          <w:sz w:val="17"/>
          <w:szCs w:val="17"/>
          <w:i w:val="1"/>
          <w:iCs w:val="1"/>
          <w:color w:val="auto"/>
        </w:rPr>
        <w:t>Financial Instruments – Credit Losses (Topic</w:t>
      </w:r>
      <w:r>
        <w:rPr>
          <w:rFonts w:ascii="Arial" w:cs="Arial" w:eastAsia="Arial" w:hAnsi="Arial"/>
          <w:sz w:val="17"/>
          <w:szCs w:val="17"/>
          <w:color w:val="auto"/>
        </w:rPr>
        <w:t xml:space="preserve"> </w:t>
      </w:r>
      <w:r>
        <w:rPr>
          <w:rFonts w:ascii="Arial" w:cs="Arial" w:eastAsia="Arial" w:hAnsi="Arial"/>
          <w:sz w:val="17"/>
          <w:szCs w:val="17"/>
          <w:i w:val="1"/>
          <w:iCs w:val="1"/>
          <w:color w:val="auto"/>
        </w:rPr>
        <w:t>326), Derivatives and Hedging (Topic 815) and Leases (Topic 842): Effective Dates</w:t>
      </w:r>
      <w:r>
        <w:rPr>
          <w:rFonts w:ascii="Arial" w:cs="Arial" w:eastAsia="Arial" w:hAnsi="Arial"/>
          <w:sz w:val="17"/>
          <w:szCs w:val="17"/>
          <w:color w:val="auto"/>
        </w:rPr>
        <w:t>, which amends the effective date of ASU 2016-13. Public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entities that meeting the definition of an SEC filer, excluding entities eligible to be a Smaller Reporting Company (“SRC”) as defined by the SEC, are required to adopt the standard for fiscal years beginning after December 15, 2019, including interim periods within those fiscal years. All other entities are required to adopt the standard for fiscal years beginning after December 15, 2022, including interim periods within those fiscal years. The Company meets the definition of an SRC and therefore the standard will not be effective until the beginning of 2023. The Company is evaluating the effect that ASU 2016-13 will have on its consolidated financial statements.</w:t>
      </w:r>
    </w:p>
    <w:p>
      <w:pPr>
        <w:spacing w:after="0" w:line="18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 August 2020, FASB issued ASU 2020-06, </w:t>
      </w:r>
      <w:r>
        <w:rPr>
          <w:rFonts w:ascii="Arial" w:cs="Arial" w:eastAsia="Arial" w:hAnsi="Arial"/>
          <w:sz w:val="16"/>
          <w:szCs w:val="16"/>
          <w:i w:val="1"/>
          <w:iCs w:val="1"/>
          <w:color w:val="auto"/>
        </w:rPr>
        <w:t>Debt with Conversion and Other Options (Subtopic 470-20) and Derivatives and Hedging – Contracts in</w:t>
      </w:r>
      <w:r>
        <w:rPr>
          <w:rFonts w:ascii="Arial" w:cs="Arial" w:eastAsia="Arial" w:hAnsi="Arial"/>
          <w:sz w:val="16"/>
          <w:szCs w:val="16"/>
          <w:color w:val="auto"/>
        </w:rPr>
        <w:t xml:space="preserve"> </w:t>
      </w:r>
      <w:r>
        <w:rPr>
          <w:rFonts w:ascii="Arial" w:cs="Arial" w:eastAsia="Arial" w:hAnsi="Arial"/>
          <w:sz w:val="16"/>
          <w:szCs w:val="16"/>
          <w:i w:val="1"/>
          <w:iCs w:val="1"/>
          <w:color w:val="auto"/>
        </w:rPr>
        <w:t>Entity’s Own Equity (Subtopic 815-40)</w:t>
      </w:r>
      <w:r>
        <w:rPr>
          <w:rFonts w:ascii="Arial" w:cs="Arial" w:eastAsia="Arial" w:hAnsi="Arial"/>
          <w:sz w:val="16"/>
          <w:szCs w:val="16"/>
          <w:color w:val="auto"/>
        </w:rPr>
        <w:t>, which simplifies accounting for convertible instruments by removing major separation models required under</w:t>
      </w:r>
      <w:r>
        <w:rPr>
          <w:rFonts w:ascii="Arial" w:cs="Arial" w:eastAsia="Arial" w:hAnsi="Arial"/>
          <w:sz w:val="16"/>
          <w:szCs w:val="16"/>
          <w:i w:val="1"/>
          <w:iCs w:val="1"/>
          <w:color w:val="auto"/>
        </w:rPr>
        <w:t xml:space="preserve"> </w:t>
      </w:r>
      <w:r>
        <w:rPr>
          <w:rFonts w:ascii="Arial" w:cs="Arial" w:eastAsia="Arial" w:hAnsi="Arial"/>
          <w:sz w:val="16"/>
          <w:szCs w:val="16"/>
          <w:color w:val="auto"/>
        </w:rPr>
        <w:t>current GAAP. The ASU removes certain settlement conditions that are required for equity contracts to qualify for the derivative scope exception and it also simplifies the diluted earnings per share calculation in certain areas. The guidance is effective for interim and annual periods beginning after December 15, 2021. Early adoption is permitted, but no earlier than fiscal years beginning after December 15, 2020, including interim periods within those fiscal years. FASB has specified that an entity should adopt the guidance as of the beginning of its annual fiscal year. The guidance is to be applied using either a full retrospective or modified retrospective method. In applying the full retrospective method, the cumulative effect of the accounting change should be recognized as an adjustment to the opening balance of retained earnings in the first comparative period presented. In applying the modified retrospective method, the cumulative effect of the accounting change should be recognized as an adjustment to the opening balance of retained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 w:name="page15"/>
    <w:bookmarkEnd w:id="14"/>
    <w:p>
      <w:pPr>
        <w:jc w:val="both"/>
        <w:spacing w:after="0" w:line="277" w:lineRule="auto"/>
        <w:rPr>
          <w:sz w:val="20"/>
          <w:szCs w:val="20"/>
          <w:color w:val="auto"/>
        </w:rPr>
      </w:pPr>
      <w:r>
        <w:rPr>
          <w:rFonts w:ascii="Arial" w:cs="Arial" w:eastAsia="Arial" w:hAnsi="Arial"/>
          <w:sz w:val="18"/>
          <w:szCs w:val="18"/>
          <w:color w:val="auto"/>
        </w:rPr>
        <w:t>earnings at the date of adoption. The Company early adopted ASU 2020-06 effective January 1, 2021 under the modified retrospective approach. The adoption of this guidance did not have a material impact on the Company’s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COMMON STOCK AND WARRANTS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authorized capital stock pursuant to its Delaware charter consists of 150,000,000 authorized shares of common stock, at a par value per share of $0.001 and 10,000,000 authorized shares of preferred stock at a par value per share of $0.001. Holders of common stock are entitled to vote at any meeting of the Company’s stockholders on the basis of one vote per share of common stock owned as of the record date of such meeting. Each share of common stock entitles the holder to receive dividends, if any, as declared by the Company’s Board of Directors.</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 dividends have been declared since inception of the Company through March 31, 2021. In the event of a liquidation, dissolution or winding-up of the Company, other distribution of assets of the Company among its stockholders for the purposes of winding-up its affairs or upon a reduction of capital, the stockholders shall, share equally, share for share, in the remaining assets and property of the Company.</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13, 2018, the Company issued 61,197 shares of its common stock and warrants to purchase 61,197 shares of the Company’s common stock in an underwritten public offering at a price of $261.45 per share and accompanying warrant. On April 24, 2018, the Company closed on the sale of an additional 9,179 shares of its common stock and warrants to purchase 9,179 shares of the Company’s common stock pursuant to the exercise of the underwriters’ over-allotment option (collectively the “April 2018 Offering”). The Company received net proceeds of $16.3 million from the April 2018 Offering. The fair value of these warrants at issuance was approximately $7.4 million.</w:t>
      </w:r>
    </w:p>
    <w:p>
      <w:pPr>
        <w:spacing w:after="0" w:line="12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Each warrant issued in connection with the April 2018 Offering entitled the holder to acquire one additional share of common stock at an exercise price of CAD$428.75 per share on or before April 10, 2021. Pursuant to the guidance of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the Company has determined that warrants issued in connection with the April 2018 Offering should be accounted for as liabilities as the ability to maintain an effective registration is outside of the Company’s control and that it may be required to settle the exercise of the warrants in cash and because the exercise prices of these warrants are in a currency other than the Company’s functional currency. Consequently, the Company determined the fair value of each warrant issuance using the Black-Scholes option pricing model, with the remainder of the proceeds allocated to the common shares. As of March 31, 2021, 2,025 warrants had been exercised, all during 2018, for gross proceeds of CAD$0.9 million.</w:t>
      </w:r>
    </w:p>
    <w:p>
      <w:pPr>
        <w:spacing w:after="0" w:line="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summarizes the weighted average assumptions used in estimating the fair value of the warrants issued in the April 2018 Offering using the Black-Scholes option pricing model as of the date of the initial closing of the offering and the date of the closing of the over-allotment option and March 31, 2021.</w:t>
      </w:r>
    </w:p>
    <w:p>
      <w:pPr>
        <w:spacing w:after="0" w:line="378" w:lineRule="exact"/>
        <w:rPr>
          <w:sz w:val="20"/>
          <w:szCs w:val="20"/>
          <w:color w:val="auto"/>
        </w:rPr>
      </w:pPr>
    </w:p>
    <w:tbl>
      <w:tblPr>
        <w:tblLayout w:type="fixed"/>
        <w:tblInd w:w="8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16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March 31, 2021</w:t>
            </w:r>
          </w:p>
        </w:tc>
        <w:tc>
          <w:tcPr>
            <w:tcW w:w="16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April 24, 2018</w:t>
            </w:r>
          </w:p>
        </w:tc>
        <w:tc>
          <w:tcPr>
            <w:tcW w:w="14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April 13, 2018</w:t>
            </w:r>
          </w:p>
        </w:tc>
      </w:tr>
      <w:tr>
        <w:trPr>
          <w:trHeight w:val="223"/>
        </w:trPr>
        <w:tc>
          <w:tcPr>
            <w:tcW w:w="6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price</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CAD$ 22.20</w:t>
            </w:r>
          </w:p>
        </w:tc>
        <w:tc>
          <w:tcPr>
            <w:tcW w:w="30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CAD$ 376.60</w:t>
            </w:r>
          </w:p>
        </w:tc>
        <w:tc>
          <w:tcPr>
            <w:tcW w:w="32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CAD$ 344.75</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Exercise price</w:t>
            </w: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CAD$ 428.75</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CAD$ 428.75</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CAD$ 428.75</w:t>
            </w: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Warrant term</w:t>
            </w:r>
          </w:p>
        </w:tc>
        <w:tc>
          <w:tcPr>
            <w:tcW w:w="16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0.03 years</w:t>
            </w:r>
          </w:p>
        </w:tc>
        <w:tc>
          <w:tcPr>
            <w:tcW w:w="16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3.00 years</w:t>
            </w: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3.00 years</w:t>
            </w:r>
          </w:p>
        </w:tc>
      </w:tr>
      <w:tr>
        <w:trPr>
          <w:trHeight w:val="229"/>
        </w:trPr>
        <w:tc>
          <w:tcPr>
            <w:tcW w:w="6400" w:type="dxa"/>
            <w:vAlign w:val="bottom"/>
          </w:tcPr>
          <w:p>
            <w:pPr>
              <w:spacing w:after="0"/>
              <w:rPr>
                <w:sz w:val="20"/>
                <w:szCs w:val="20"/>
                <w:color w:val="auto"/>
              </w:rPr>
            </w:pPr>
            <w:r>
              <w:rPr>
                <w:rFonts w:ascii="Arial" w:cs="Arial" w:eastAsia="Arial" w:hAnsi="Arial"/>
                <w:sz w:val="18"/>
                <w:szCs w:val="18"/>
                <w:color w:val="auto"/>
              </w:rPr>
              <w:t>Expected volatility</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73.01%</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64.49%</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64.20%</w:t>
            </w: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6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0.01%</w:t>
            </w: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2.02%</w:t>
            </w: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1.99%</w:t>
            </w: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Dividend rate</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0.00%</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0.00%</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r>
    </w:tbl>
    <w:p>
      <w:pPr>
        <w:spacing w:after="0" w:line="20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January 27, 2020, the Company filed a Form S-3 shelf registration under the Securities Act which was declared effective by the SEC on February 6, 2020 (the “2020 Shelf”). In conjunction with the 2020 Shelf, on January 27, 2020, the Company entered into an At The Market Offering Agreement (the “2020 ATM”) with H.C. Wainwright &amp; Co., LLC (“Wainwright”) under which the Company may offer and sell, from time to time at its sole discretion, to or through Wainwright, acting as agent and/or principal, shares of its common stock having an aggregate offering price of up to $11.34 million, which, in March 2020, was subsequently reduced to $9.15 million, including the shares previously sold under the 2020 ATM. For the three months ended March 31, 2020, under the 2020 ATM, the Company sold and issued 30,454 shares of its common stock with an aggregated market value of $0.8 million at an average price of $26.35 per share and paid Wainwright a sales commission of approximately $28 thousand related to those shares. The Company terminated the 2020 ATM effective November 25, 2020.</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March 20, 2020, the Company, in a registered direct offering, issued an aggregate of 178,776 shares of its common stock at a price of $12.25 per share. Additionally, the Company issued unregistered warrants in a concurrent private placement to purchase up to 178,776 shares of its common stock at an exercise price of $16.10 per share. Gross proceeds from the offering (the “March 2020 Offering”) were approximately $2.2 million. The underwriting discounts and commissions and offering expenses of $0.3 million were recorded to share issuance costs.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Each warrant issued in connection with the March 2020 Offering entitles the holder to acquire one additional share of common stock at an exercise price of $16.10 per share, which became exercisable on September 20, 2020 and will expire on March 20, 2025. Pursuant to the guidance of ASC 480 </w:t>
      </w:r>
      <w:r>
        <w:rPr>
          <w:rFonts w:ascii="Arial" w:cs="Arial" w:eastAsia="Arial" w:hAnsi="Arial"/>
          <w:sz w:val="18"/>
          <w:szCs w:val="18"/>
          <w:i w:val="1"/>
          <w:iCs w:val="1"/>
          <w:color w:val="auto"/>
        </w:rPr>
        <w:t xml:space="preserve">Distinguishing Liabilities from Equity </w:t>
      </w:r>
      <w:r>
        <w:rPr>
          <w:rFonts w:ascii="Arial" w:cs="Arial" w:eastAsia="Arial" w:hAnsi="Arial"/>
          <w:sz w:val="18"/>
          <w:szCs w:val="18"/>
          <w:color w:val="auto"/>
        </w:rPr>
        <w:t>and ASC 815</w:t>
      </w:r>
      <w:r>
        <w:rPr>
          <w:rFonts w:ascii="Arial" w:cs="Arial" w:eastAsia="Arial" w:hAnsi="Arial"/>
          <w:sz w:val="18"/>
          <w:szCs w:val="18"/>
          <w:i w:val="1"/>
          <w:iCs w:val="1"/>
          <w:color w:val="auto"/>
        </w:rPr>
        <w:t xml:space="preserve"> Derivatives and Hedging</w:t>
      </w:r>
      <w:r>
        <w:rPr>
          <w:rFonts w:ascii="Arial" w:cs="Arial" w:eastAsia="Arial" w:hAnsi="Arial"/>
          <w:sz w:val="18"/>
          <w:szCs w:val="18"/>
          <w:color w:val="auto"/>
        </w:rPr>
        <w:t>, the Company has determined that warrants issued in connection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March 2020 Offering should be classified as equity as partial cash settlement under certain circumstances and provisions related to market volatility did not preclude equity classification. The relative fair value of these warrants at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 w:name="page16"/>
    <w:bookmarkEnd w:id="15"/>
    <w:p>
      <w:pPr>
        <w:jc w:val="both"/>
        <w:spacing w:after="0" w:line="277" w:lineRule="auto"/>
        <w:rPr>
          <w:sz w:val="20"/>
          <w:szCs w:val="20"/>
          <w:color w:val="auto"/>
        </w:rPr>
      </w:pPr>
      <w:r>
        <w:rPr>
          <w:rFonts w:ascii="Arial" w:cs="Arial" w:eastAsia="Arial" w:hAnsi="Arial"/>
          <w:sz w:val="18"/>
          <w:szCs w:val="18"/>
          <w:color w:val="auto"/>
        </w:rPr>
        <w:t>issuance was approximately $0.8 million and was included in additional paid-in capital. As of March 31, 2021, 81,633 warrants had been exercised, all during the first quarter of 2021, for gross proceeds of $1.3 million.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weighted average assumptions used in estimating the fair value of the warrants granted in the March 2020 Offering using the Black-Scholes option pricing model as of the date of the closing of the offering on March 20, 2020.</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March 20, 2020</w:t>
            </w:r>
          </w:p>
        </w:tc>
      </w:tr>
      <w:tr>
        <w:trPr>
          <w:trHeight w:val="223"/>
        </w:trPr>
        <w:tc>
          <w:tcPr>
            <w:tcW w:w="4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price</w:t>
            </w:r>
          </w:p>
        </w:tc>
        <w:tc>
          <w:tcPr>
            <w:tcW w:w="33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12.25</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Exercise price</w:t>
            </w:r>
          </w:p>
        </w:tc>
        <w:tc>
          <w:tcPr>
            <w:tcW w:w="35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16.10</w:t>
            </w:r>
          </w:p>
        </w:tc>
        <w:tc>
          <w:tcPr>
            <w:tcW w:w="180" w:type="dxa"/>
            <w:vAlign w:val="bottom"/>
          </w:tcPr>
          <w:p>
            <w:pPr>
              <w:spacing w:after="0"/>
              <w:rPr>
                <w:sz w:val="19"/>
                <w:szCs w:val="19"/>
                <w:color w:val="auto"/>
              </w:rPr>
            </w:pPr>
          </w:p>
        </w:tc>
      </w:tr>
      <w:tr>
        <w:trPr>
          <w:trHeight w:val="229"/>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Warrant term</w:t>
            </w:r>
          </w:p>
        </w:tc>
        <w:tc>
          <w:tcPr>
            <w:tcW w:w="3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5.50 years</w:t>
            </w:r>
          </w:p>
        </w:tc>
      </w:tr>
      <w:tr>
        <w:trPr>
          <w:trHeight w:val="229"/>
        </w:trPr>
        <w:tc>
          <w:tcPr>
            <w:tcW w:w="4880" w:type="dxa"/>
            <w:vAlign w:val="bottom"/>
          </w:tcPr>
          <w:p>
            <w:pPr>
              <w:spacing w:after="0"/>
              <w:rPr>
                <w:sz w:val="20"/>
                <w:szCs w:val="20"/>
                <w:color w:val="auto"/>
              </w:rPr>
            </w:pPr>
            <w:r>
              <w:rPr>
                <w:rFonts w:ascii="Arial" w:cs="Arial" w:eastAsia="Arial" w:hAnsi="Arial"/>
                <w:sz w:val="18"/>
                <w:szCs w:val="18"/>
                <w:color w:val="auto"/>
              </w:rPr>
              <w:t>Expected volatility</w:t>
            </w:r>
          </w:p>
        </w:tc>
        <w:tc>
          <w:tcPr>
            <w:tcW w:w="3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82.41%</w:t>
            </w: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3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0.52%</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Dividend rate</w:t>
            </w:r>
          </w:p>
        </w:tc>
        <w:tc>
          <w:tcPr>
            <w:tcW w:w="3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r>
    </w:tbl>
    <w:p>
      <w:pPr>
        <w:spacing w:after="0" w:line="20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October 26, 2020, the Company issued units consisting of one share and a warrant to purchase 0.50 shares of common stock, with an aggregate issuance of 187,646 shares of common stock and warrants to purchase an aggregate of 93,817 shares of common stock at a purchase price of $18.20 per unit, resulting in gross proceeds of approximately $3.4 million, excluding the proceeds, if any, that the Company may receive in the future from the exercise of the warrants (the “October 2020 Offering”). The Company incurred $0.3 million in share issuance costs, including placement agent fees. The warrants have an initial exercise price of $15.82 per share and are exercisable for a period of three years from the date of issuance. The Company also issued warrants to the placement agent to purchase 961 shares of common stock, with an exercise price of $19.775 per share. An officer of the Company and affiliates of an officer and director of the Company participated in the October 2020 Offering on the same terms and conditions as all other purchasers, except that they paid $18.354 per unit and their warrants have an exercise price of $16.1665 per share.</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the securities purchase agreement for the October 2020 Offering, if the Company issues any shares of common stock or common stock equivalents for cash consideration, indebtedness or a combination thereof, with certain exceptions, within twelve months of the closing of the October 2020 Offering, each purchaser who subscribed for at least $250,000 has the right to participate in up to such purchaser’s pro rata portion of 30% of the such subsequent financing on the same terms, conditions and price provided for in the subsequent financing.</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Pursuant to the guidance of ASC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xml:space="preserve"> and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the Company has determined that warrants issued in connection with the October 2020 Offering should be classified as equity as partial cash settlement under certain circumstances did not preclude equity classification. The relative fair value of these warrants at issuance was approximately $0.6 million and was included in additional paid-in capital.</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weighted average assumptions used in estimating the fair value of the warrants granted in the October 2020 Offering using the Black-Scholes option pricing model as of the date of the closing of the offering on October 26, 2020.</w:t>
      </w:r>
    </w:p>
    <w:p>
      <w:pPr>
        <w:spacing w:after="0" w:line="9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October 26, 2020</w:t>
            </w:r>
          </w:p>
        </w:tc>
      </w:tr>
      <w:tr>
        <w:trPr>
          <w:trHeight w:val="223"/>
        </w:trPr>
        <w:tc>
          <w:tcPr>
            <w:tcW w:w="4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price</w:t>
            </w:r>
          </w:p>
        </w:tc>
        <w:tc>
          <w:tcPr>
            <w:tcW w:w="33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15.92</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Exercise price</w:t>
            </w:r>
          </w:p>
        </w:tc>
        <w:tc>
          <w:tcPr>
            <w:tcW w:w="35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15.92</w:t>
            </w:r>
          </w:p>
        </w:tc>
        <w:tc>
          <w:tcPr>
            <w:tcW w:w="180" w:type="dxa"/>
            <w:vAlign w:val="bottom"/>
          </w:tcPr>
          <w:p>
            <w:pPr>
              <w:spacing w:after="0"/>
              <w:rPr>
                <w:sz w:val="19"/>
                <w:szCs w:val="19"/>
                <w:color w:val="auto"/>
              </w:rPr>
            </w:pPr>
          </w:p>
        </w:tc>
      </w:tr>
      <w:tr>
        <w:trPr>
          <w:trHeight w:val="229"/>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Warrant term</w:t>
            </w:r>
          </w:p>
        </w:tc>
        <w:tc>
          <w:tcPr>
            <w:tcW w:w="3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3.00 years</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Expected volatility</w:t>
            </w:r>
          </w:p>
        </w:tc>
        <w:tc>
          <w:tcPr>
            <w:tcW w:w="3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80.91%</w:t>
            </w: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3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0.18%</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Dividend rate</w:t>
            </w:r>
          </w:p>
        </w:tc>
        <w:tc>
          <w:tcPr>
            <w:tcW w:w="3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r>
    </w:tbl>
    <w:p>
      <w:pPr>
        <w:spacing w:after="0" w:line="20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February 1, 2021, in an underwritten public offering (the “February 2021 Offering”), the Company issued 744,936 shares of common stock and warrants to purchase up to an aggregate of 372,468 shares of common stock at a purchase price of $14.82 per unit, consisting of one share and a warrant to purchase 0.50 shares of common stock. The warrants have an initial exercise price of $16.302 per share and are exercisable for a period of five years from the date of issuance. The Company also issued warrants to the underwriter to purchase 29,797 shares of common stock, with an exercise price of $18.525 per share. Net proceeds from the February 2021 Offering after underwriter’s discounts and commission and offering expenses paid by us were approximately $9.6 million. Affiliates of the Company’s Interim Chief Executive Officer and director participated in the February 2021 Offering on the same terms and conditions as all other purchasers.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Pursuant to the guidance of ASC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xml:space="preserve"> and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the Company has determined that warrants issued in connection with the February 2021 Offering should be classified as equity as partial cash settlement under certain circumstances and provisions related to market volatility did not preclude equity classification. The relative fair value of these warrants at issuance was approximately $2.6 million and was included in additional paid-in capital.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 w:name="page17"/>
    <w:bookmarkEnd w:id="16"/>
    <w:p>
      <w:pPr>
        <w:jc w:val="both"/>
        <w:ind w:right="40"/>
        <w:spacing w:after="0" w:line="277" w:lineRule="auto"/>
        <w:rPr>
          <w:sz w:val="20"/>
          <w:szCs w:val="20"/>
          <w:color w:val="auto"/>
        </w:rPr>
      </w:pPr>
      <w:r>
        <w:rPr>
          <w:rFonts w:ascii="Arial" w:cs="Arial" w:eastAsia="Arial" w:hAnsi="Arial"/>
          <w:sz w:val="18"/>
          <w:szCs w:val="18"/>
          <w:color w:val="auto"/>
        </w:rPr>
        <w:t>The following table summarizes the weighted average assumptions used in estimating the fair value of the warrants granted in the February 2021 Offering using the Black-Scholes option pricing model as of the date of the closing of the offering on February 1, 2021.</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February 1, 2021</w:t>
            </w:r>
          </w:p>
        </w:tc>
      </w:tr>
      <w:tr>
        <w:trPr>
          <w:trHeight w:val="223"/>
        </w:trPr>
        <w:tc>
          <w:tcPr>
            <w:tcW w:w="4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price</w:t>
            </w:r>
          </w:p>
        </w:tc>
        <w:tc>
          <w:tcPr>
            <w:tcW w:w="33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14.82</w:t>
            </w:r>
          </w:p>
        </w:tc>
        <w:tc>
          <w:tcPr>
            <w:tcW w:w="180" w:type="dxa"/>
            <w:vAlign w:val="bottom"/>
            <w:tcBorders>
              <w:top w:val="single" w:sz="8" w:color="CFF0FC"/>
            </w:tcBorders>
            <w:shd w:val="clear" w:color="auto" w:fill="CFF0FC"/>
          </w:tcPr>
          <w:p>
            <w:pPr>
              <w:spacing w:after="0"/>
              <w:rPr>
                <w:sz w:val="19"/>
                <w:szCs w:val="19"/>
                <w:color w:val="auto"/>
              </w:rPr>
            </w:pPr>
          </w:p>
        </w:tc>
      </w:tr>
      <w:tr>
        <w:trPr>
          <w:trHeight w:val="229"/>
        </w:trPr>
        <w:tc>
          <w:tcPr>
            <w:tcW w:w="4880" w:type="dxa"/>
            <w:vAlign w:val="bottom"/>
          </w:tcPr>
          <w:p>
            <w:pPr>
              <w:spacing w:after="0"/>
              <w:rPr>
                <w:sz w:val="20"/>
                <w:szCs w:val="20"/>
                <w:color w:val="auto"/>
              </w:rPr>
            </w:pPr>
            <w:r>
              <w:rPr>
                <w:rFonts w:ascii="Arial" w:cs="Arial" w:eastAsia="Arial" w:hAnsi="Arial"/>
                <w:sz w:val="18"/>
                <w:szCs w:val="18"/>
                <w:color w:val="auto"/>
              </w:rPr>
              <w:t>Exercise price</w:t>
            </w:r>
          </w:p>
        </w:tc>
        <w:tc>
          <w:tcPr>
            <w:tcW w:w="35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16.47</w:t>
            </w:r>
          </w:p>
        </w:tc>
        <w:tc>
          <w:tcPr>
            <w:tcW w:w="180" w:type="dxa"/>
            <w:vAlign w:val="bottom"/>
          </w:tcPr>
          <w:p>
            <w:pPr>
              <w:spacing w:after="0"/>
              <w:rPr>
                <w:sz w:val="19"/>
                <w:szCs w:val="19"/>
                <w:color w:val="auto"/>
              </w:rPr>
            </w:pPr>
          </w:p>
        </w:tc>
      </w:tr>
      <w:tr>
        <w:trPr>
          <w:trHeight w:val="229"/>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Warrant term</w:t>
            </w:r>
          </w:p>
        </w:tc>
        <w:tc>
          <w:tcPr>
            <w:tcW w:w="3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5.00 years</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Expected volatility</w:t>
            </w:r>
          </w:p>
        </w:tc>
        <w:tc>
          <w:tcPr>
            <w:tcW w:w="3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75.02%</w:t>
            </w:r>
          </w:p>
        </w:tc>
      </w:tr>
      <w:tr>
        <w:trPr>
          <w:trHeight w:val="229"/>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3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0.42%</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Dividend rate</w:t>
            </w:r>
          </w:p>
        </w:tc>
        <w:tc>
          <w:tcPr>
            <w:tcW w:w="3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r>
    </w:tbl>
    <w:p>
      <w:pPr>
        <w:spacing w:after="0" w:line="20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warrants accounted for as liabilities and recorded as derivative financial instruments on the Company’s condensed consolidated balance sheets for the three months ended March 31, 2021 and 2020 (amounts in thousands):</w:t>
      </w:r>
    </w:p>
    <w:p>
      <w:pPr>
        <w:spacing w:after="0" w:line="391"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2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4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jc w:val="right"/>
              <w:ind w:right="47"/>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3"/>
                <w:szCs w:val="13"/>
                <w:color w:val="auto"/>
              </w:rPr>
            </w:pPr>
          </w:p>
        </w:tc>
        <w:tc>
          <w:tcPr>
            <w:tcW w:w="1120" w:type="dxa"/>
            <w:vAlign w:val="bottom"/>
            <w:gridSpan w:val="2"/>
          </w:tcPr>
          <w:p>
            <w:pPr>
              <w:jc w:val="right"/>
              <w:ind w:right="147"/>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3"/>
        </w:trPr>
        <w:tc>
          <w:tcPr>
            <w:tcW w:w="4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Fair value of warrants at beginning of period</w:t>
            </w:r>
          </w:p>
        </w:tc>
        <w:tc>
          <w:tcPr>
            <w:tcW w:w="86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667"/>
              <w:spacing w:after="0"/>
              <w:rPr>
                <w:sz w:val="20"/>
                <w:szCs w:val="20"/>
                <w:color w:val="auto"/>
              </w:rPr>
            </w:pPr>
            <w:r>
              <w:rPr>
                <w:rFonts w:ascii="Arial" w:cs="Arial" w:eastAsia="Arial" w:hAnsi="Arial"/>
                <w:sz w:val="15"/>
                <w:szCs w:val="15"/>
                <w:b w:val="1"/>
                <w:bCs w:val="1"/>
                <w:color w:val="auto"/>
                <w:w w:val="71"/>
              </w:rPr>
              <w:t>$</w:t>
            </w:r>
          </w:p>
        </w:tc>
        <w:tc>
          <w:tcPr>
            <w:tcW w:w="300" w:type="dxa"/>
            <w:vAlign w:val="bottom"/>
            <w:tcBorders>
              <w:top w:val="single" w:sz="8" w:color="auto"/>
            </w:tcBorders>
            <w:shd w:val="clear" w:color="auto" w:fill="CFF0FC"/>
          </w:tcPr>
          <w:p>
            <w:pPr>
              <w:ind w:left="120"/>
              <w:spacing w:after="0"/>
              <w:rPr>
                <w:sz w:val="20"/>
                <w:szCs w:val="20"/>
                <w:color w:val="auto"/>
              </w:rPr>
            </w:pPr>
            <w:r>
              <w:rPr>
                <w:rFonts w:ascii="Arial" w:cs="Arial" w:eastAsia="Arial" w:hAnsi="Arial"/>
                <w:sz w:val="18"/>
                <w:szCs w:val="18"/>
                <w:b w:val="1"/>
                <w:bCs w:val="1"/>
                <w:color w:val="auto"/>
                <w:w w:val="88"/>
              </w:rPr>
              <w:t>—</w:t>
            </w:r>
          </w:p>
        </w:tc>
        <w:tc>
          <w:tcPr>
            <w:tcW w:w="2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67"/>
              <w:spacing w:after="0"/>
              <w:rPr>
                <w:sz w:val="20"/>
                <w:szCs w:val="20"/>
                <w:color w:val="auto"/>
              </w:rPr>
            </w:pPr>
            <w:r>
              <w:rPr>
                <w:rFonts w:ascii="Arial" w:cs="Arial" w:eastAsia="Arial" w:hAnsi="Arial"/>
                <w:sz w:val="15"/>
                <w:szCs w:val="15"/>
                <w:b w:val="1"/>
                <w:bCs w:val="1"/>
                <w:color w:val="auto"/>
                <w:w w:val="71"/>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4460" w:type="dxa"/>
            <w:vAlign w:val="bottom"/>
          </w:tcPr>
          <w:p>
            <w:pPr>
              <w:spacing w:after="0"/>
              <w:rPr>
                <w:sz w:val="20"/>
                <w:szCs w:val="20"/>
                <w:color w:val="auto"/>
              </w:rPr>
            </w:pPr>
            <w:r>
              <w:rPr>
                <w:rFonts w:ascii="Arial" w:cs="Arial" w:eastAsia="Arial" w:hAnsi="Arial"/>
                <w:sz w:val="18"/>
                <w:szCs w:val="18"/>
                <w:color w:val="auto"/>
              </w:rPr>
              <w:t>Exercise of warrants</w:t>
            </w:r>
          </w:p>
        </w:tc>
        <w:tc>
          <w:tcPr>
            <w:tcW w:w="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losses</w:t>
            </w:r>
          </w:p>
        </w:tc>
        <w:tc>
          <w:tcPr>
            <w:tcW w:w="8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ind w:left="12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r>
      <w:tr>
        <w:trPr>
          <w:trHeight w:val="229"/>
        </w:trPr>
        <w:tc>
          <w:tcPr>
            <w:tcW w:w="4460" w:type="dxa"/>
            <w:vAlign w:val="bottom"/>
          </w:tcPr>
          <w:p>
            <w:pPr>
              <w:spacing w:after="0"/>
              <w:rPr>
                <w:sz w:val="20"/>
                <w:szCs w:val="20"/>
                <w:color w:val="auto"/>
              </w:rPr>
            </w:pPr>
            <w:r>
              <w:rPr>
                <w:rFonts w:ascii="Arial" w:cs="Arial" w:eastAsia="Arial" w:hAnsi="Arial"/>
                <w:sz w:val="18"/>
                <w:szCs w:val="18"/>
                <w:color w:val="auto"/>
              </w:rPr>
              <w:t>Change in fair value of warrants during the period</w:t>
            </w:r>
          </w:p>
        </w:tc>
        <w:tc>
          <w:tcPr>
            <w:tcW w:w="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223"/>
        </w:trPr>
        <w:tc>
          <w:tcPr>
            <w:tcW w:w="4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Fair value of warrants at end of period</w:t>
            </w:r>
          </w:p>
        </w:tc>
        <w:tc>
          <w:tcPr>
            <w:tcW w:w="86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667"/>
              <w:spacing w:after="0"/>
              <w:rPr>
                <w:sz w:val="20"/>
                <w:szCs w:val="20"/>
                <w:color w:val="auto"/>
              </w:rPr>
            </w:pPr>
            <w:r>
              <w:rPr>
                <w:rFonts w:ascii="Arial" w:cs="Arial" w:eastAsia="Arial" w:hAnsi="Arial"/>
                <w:sz w:val="15"/>
                <w:szCs w:val="15"/>
                <w:b w:val="1"/>
                <w:bCs w:val="1"/>
                <w:color w:val="auto"/>
                <w:w w:val="71"/>
              </w:rPr>
              <w:t>$</w:t>
            </w:r>
          </w:p>
        </w:tc>
        <w:tc>
          <w:tcPr>
            <w:tcW w:w="300" w:type="dxa"/>
            <w:vAlign w:val="bottom"/>
            <w:tcBorders>
              <w:top w:val="single" w:sz="8" w:color="auto"/>
              <w:bottom w:val="single" w:sz="8" w:color="auto"/>
            </w:tcBorders>
            <w:shd w:val="clear" w:color="auto" w:fill="CFF0FC"/>
          </w:tcPr>
          <w:p>
            <w:pPr>
              <w:ind w:left="120"/>
              <w:spacing w:after="0"/>
              <w:rPr>
                <w:sz w:val="20"/>
                <w:szCs w:val="20"/>
                <w:color w:val="auto"/>
              </w:rPr>
            </w:pPr>
            <w:r>
              <w:rPr>
                <w:rFonts w:ascii="Arial" w:cs="Arial" w:eastAsia="Arial" w:hAnsi="Arial"/>
                <w:sz w:val="18"/>
                <w:szCs w:val="18"/>
                <w:b w:val="1"/>
                <w:bCs w:val="1"/>
                <w:color w:val="auto"/>
                <w:w w:val="88"/>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ind w:right="767"/>
              <w:spacing w:after="0"/>
              <w:rPr>
                <w:sz w:val="20"/>
                <w:szCs w:val="20"/>
                <w:color w:val="auto"/>
              </w:rPr>
            </w:pPr>
            <w:r>
              <w:rPr>
                <w:rFonts w:ascii="Arial" w:cs="Arial" w:eastAsia="Arial" w:hAnsi="Arial"/>
                <w:sz w:val="15"/>
                <w:szCs w:val="15"/>
                <w:b w:val="1"/>
                <w:bCs w:val="1"/>
                <w:color w:val="auto"/>
                <w:w w:val="71"/>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These warrants which are classified as derivative financial instruments in the Company’s condensed consolidated balance sheets are required to be re-measured at each reporting period, with the change in fair value recorded as a gain or loss in the change in fair value of derivative financial instruments, included in other income (expense) in the Company’s condensed consolidated statements of operations and comprehensive loss. The fair value of the warrants will continue to be classified as a liability until such time as they are exercised, expire or there is an amendment to the respective agreements that renders these financial instruments to be no longer classified as such. No warrants were included in the table for 2021 as all warrants classified as liabilities were underwater during the period.</w:t>
      </w:r>
    </w:p>
    <w:p>
      <w:pPr>
        <w:spacing w:after="0" w:line="192"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fair value of all warrants classified as derivative financial instruments outstanding as of March 31, 2021 and December 31, 2020 were estimated using the Black-Scholes option pricing model with the following weighted average assumptions:</w:t>
      </w:r>
    </w:p>
    <w:p>
      <w:pPr>
        <w:spacing w:after="0" w:line="163" w:lineRule="exact"/>
        <w:rPr>
          <w:sz w:val="20"/>
          <w:szCs w:val="20"/>
          <w:color w:val="auto"/>
        </w:rPr>
      </w:pPr>
    </w:p>
    <w:tbl>
      <w:tblPr>
        <w:tblLayout w:type="fixed"/>
        <w:tblInd w:w="156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4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March 31, 2021</w:t>
            </w:r>
          </w:p>
        </w:tc>
        <w:tc>
          <w:tcPr>
            <w:tcW w:w="13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42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20" w:type="dxa"/>
            <w:vAlign w:val="bottom"/>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price</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CAD$ 22.20</w:t>
            </w:r>
          </w:p>
        </w:tc>
        <w:tc>
          <w:tcPr>
            <w:tcW w:w="30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CAD$ 17.15</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Exercise price</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CAD$ 428.75</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CAD$ 428.75</w:t>
            </w:r>
          </w:p>
        </w:tc>
        <w:tc>
          <w:tcPr>
            <w:tcW w:w="0" w:type="dxa"/>
            <w:vAlign w:val="bottom"/>
          </w:tcPr>
          <w:p>
            <w:pPr>
              <w:spacing w:after="0"/>
              <w:rPr>
                <w:sz w:val="1"/>
                <w:szCs w:val="1"/>
                <w:color w:val="auto"/>
              </w:rPr>
            </w:pP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Warrant term</w:t>
            </w:r>
          </w:p>
        </w:tc>
        <w:tc>
          <w:tcPr>
            <w:tcW w:w="14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0.03 years</w:t>
            </w: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0.27 years</w:t>
            </w:r>
          </w:p>
        </w:tc>
        <w:tc>
          <w:tcPr>
            <w:tcW w:w="0" w:type="dxa"/>
            <w:vAlign w:val="bottom"/>
          </w:tcPr>
          <w:p>
            <w:pPr>
              <w:spacing w:after="0"/>
              <w:rPr>
                <w:sz w:val="1"/>
                <w:szCs w:val="1"/>
                <w:color w:val="auto"/>
              </w:rPr>
            </w:pPr>
          </w:p>
        </w:tc>
      </w:tr>
      <w:tr>
        <w:trPr>
          <w:trHeight w:val="229"/>
        </w:trPr>
        <w:tc>
          <w:tcPr>
            <w:tcW w:w="5420" w:type="dxa"/>
            <w:vAlign w:val="bottom"/>
          </w:tcPr>
          <w:p>
            <w:pPr>
              <w:spacing w:after="0"/>
              <w:rPr>
                <w:sz w:val="20"/>
                <w:szCs w:val="20"/>
                <w:color w:val="auto"/>
              </w:rPr>
            </w:pPr>
            <w:r>
              <w:rPr>
                <w:rFonts w:ascii="Arial" w:cs="Arial" w:eastAsia="Arial" w:hAnsi="Arial"/>
                <w:sz w:val="18"/>
                <w:szCs w:val="18"/>
                <w:color w:val="auto"/>
              </w:rPr>
              <w:t>Expected volatility</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73.01%</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64.48%</w:t>
            </w:r>
          </w:p>
        </w:tc>
        <w:tc>
          <w:tcPr>
            <w:tcW w:w="0" w:type="dxa"/>
            <w:vAlign w:val="bottom"/>
          </w:tcPr>
          <w:p>
            <w:pPr>
              <w:spacing w:after="0"/>
              <w:rPr>
                <w:sz w:val="1"/>
                <w:szCs w:val="1"/>
                <w:color w:val="auto"/>
              </w:rPr>
            </w:pP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0.01%</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Dividend rate</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0.00%</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warrant activity during the three months ended March 31, 2021: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380" w:type="dxa"/>
            <w:vAlign w:val="bottom"/>
            <w:gridSpan w:val="4"/>
            <w:vMerge w:val="restart"/>
          </w:tcPr>
          <w:p>
            <w:pPr>
              <w:jc w:val="right"/>
              <w:ind w:right="620"/>
              <w:spacing w:after="0"/>
              <w:rPr>
                <w:sz w:val="20"/>
                <w:szCs w:val="20"/>
                <w:color w:val="auto"/>
              </w:rPr>
            </w:pPr>
            <w:r>
              <w:rPr>
                <w:rFonts w:ascii="Arial" w:cs="Arial" w:eastAsia="Arial" w:hAnsi="Arial"/>
                <w:sz w:val="14"/>
                <w:szCs w:val="14"/>
                <w:b w:val="1"/>
                <w:bCs w:val="1"/>
                <w:color w:val="auto"/>
              </w:rPr>
              <w:t>Number of Warrants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gridSpan w:val="5"/>
          </w:tcPr>
          <w:p>
            <w:pPr>
              <w:ind w:left="380"/>
              <w:spacing w:after="0"/>
              <w:rPr>
                <w:sz w:val="20"/>
                <w:szCs w:val="20"/>
                <w:color w:val="auto"/>
              </w:rPr>
            </w:pPr>
            <w:r>
              <w:rPr>
                <w:rFonts w:ascii="Arial" w:cs="Arial" w:eastAsia="Arial" w:hAnsi="Arial"/>
                <w:sz w:val="14"/>
                <w:szCs w:val="14"/>
                <w:b w:val="1"/>
                <w:bCs w:val="1"/>
                <w:color w:val="auto"/>
              </w:rPr>
              <w:t>Weighted Average</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38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Exercise Price</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40" w:type="dxa"/>
            <w:vAlign w:val="bottom"/>
            <w:tcBorders>
              <w:top w:val="single" w:sz="8" w:color="auto"/>
            </w:tcBorders>
            <w:gridSpan w:val="2"/>
          </w:tcPr>
          <w:p>
            <w:pPr>
              <w:ind w:left="360"/>
              <w:spacing w:after="0" w:line="155" w:lineRule="exact"/>
              <w:rPr>
                <w:sz w:val="20"/>
                <w:szCs w:val="20"/>
                <w:color w:val="auto"/>
              </w:rPr>
            </w:pPr>
            <w:r>
              <w:rPr>
                <w:rFonts w:ascii="Arial" w:cs="Arial" w:eastAsia="Arial" w:hAnsi="Arial"/>
                <w:sz w:val="14"/>
                <w:szCs w:val="14"/>
                <w:b w:val="1"/>
                <w:bCs w:val="1"/>
                <w:color w:val="auto"/>
              </w:rPr>
              <w:t>CAD</w:t>
            </w:r>
          </w:p>
        </w:tc>
        <w:tc>
          <w:tcPr>
            <w:tcW w:w="1000" w:type="dxa"/>
            <w:vAlign w:val="bottom"/>
            <w:tcBorders>
              <w:top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ind w:left="120"/>
              <w:spacing w:after="0" w:line="155" w:lineRule="exact"/>
              <w:rPr>
                <w:sz w:val="20"/>
                <w:szCs w:val="20"/>
                <w:color w:val="auto"/>
              </w:rPr>
            </w:pPr>
            <w:r>
              <w:rPr>
                <w:rFonts w:ascii="Arial" w:cs="Arial" w:eastAsia="Arial" w:hAnsi="Arial"/>
                <w:sz w:val="14"/>
                <w:szCs w:val="14"/>
                <w:b w:val="1"/>
                <w:bCs w:val="1"/>
                <w:color w:val="auto"/>
              </w:rPr>
              <w:t>CAD$</w:t>
            </w:r>
          </w:p>
        </w:tc>
        <w:tc>
          <w:tcPr>
            <w:tcW w:w="3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w w:val="96"/>
              </w:rPr>
              <w:t>USD$</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as of December 31, 2020</w:t>
            </w:r>
          </w:p>
        </w:tc>
        <w:tc>
          <w:tcPr>
            <w:tcW w:w="13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68,351</w:t>
            </w:r>
          </w:p>
        </w:tc>
        <w:tc>
          <w:tcPr>
            <w:tcW w:w="2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273,554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428.75</w:t>
            </w:r>
          </w:p>
        </w:tc>
        <w:tc>
          <w:tcPr>
            <w:tcW w:w="2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16.04</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Granted</w:t>
            </w:r>
          </w:p>
        </w:tc>
        <w:tc>
          <w:tcPr>
            <w:tcW w:w="13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402,265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16.47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Cancelled/Expired</w:t>
            </w:r>
          </w:p>
        </w:tc>
        <w:tc>
          <w:tcPr>
            <w:tcW w:w="13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Exercised</w:t>
            </w:r>
          </w:p>
        </w:tc>
        <w:tc>
          <w:tcPr>
            <w:tcW w:w="13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(81,633)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16.10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as of March 31, 2021</w:t>
            </w:r>
          </w:p>
        </w:tc>
        <w:tc>
          <w:tcPr>
            <w:tcW w:w="134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68,351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594,186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428.75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16.32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40" w:type="dxa"/>
            <w:vAlign w:val="bottom"/>
            <w:vMerge w:val="restart"/>
          </w:tcPr>
          <w:p>
            <w:pPr>
              <w:jc w:val="right"/>
              <w:ind w:right="10"/>
              <w:spacing w:after="0"/>
              <w:rPr>
                <w:sz w:val="20"/>
                <w:szCs w:val="20"/>
                <w:color w:val="auto"/>
              </w:rPr>
            </w:pPr>
            <w:r>
              <w:rPr>
                <w:rFonts w:ascii="Arial" w:cs="Arial" w:eastAsia="Arial" w:hAnsi="Arial"/>
                <w:sz w:val="18"/>
                <w:szCs w:val="18"/>
                <w:color w:val="auto"/>
              </w:rPr>
              <w:t>17</w:t>
            </w: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9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The Company’s warrants outstanding and exercisable as of March 31, 2021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20" w:type="dxa"/>
            <w:vAlign w:val="bottom"/>
          </w:tcPr>
          <w:p>
            <w:pPr>
              <w:jc w:val="right"/>
              <w:ind w:right="632"/>
              <w:spacing w:after="0"/>
              <w:rPr>
                <w:sz w:val="20"/>
                <w:szCs w:val="20"/>
                <w:color w:val="auto"/>
              </w:rPr>
            </w:pPr>
            <w:r>
              <w:rPr>
                <w:rFonts w:ascii="Arial" w:cs="Arial" w:eastAsia="Arial" w:hAnsi="Arial"/>
                <w:sz w:val="14"/>
                <w:szCs w:val="14"/>
                <w:b w:val="1"/>
                <w:bCs w:val="1"/>
                <w:color w:val="auto"/>
              </w:rPr>
              <w:t>Number of Warrants Outstanding</w:t>
            </w:r>
          </w:p>
        </w:tc>
        <w:tc>
          <w:tcPr>
            <w:tcW w:w="320" w:type="dxa"/>
            <w:vAlign w:val="bottom"/>
          </w:tcPr>
          <w:p>
            <w:pPr>
              <w:spacing w:after="0"/>
              <w:rPr>
                <w:sz w:val="14"/>
                <w:szCs w:val="14"/>
                <w:color w:val="auto"/>
              </w:rPr>
            </w:pPr>
          </w:p>
        </w:tc>
        <w:tc>
          <w:tcPr>
            <w:tcW w:w="3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Exercise Price</w:t>
            </w:r>
          </w:p>
        </w:tc>
        <w:tc>
          <w:tcPr>
            <w:tcW w:w="3600" w:type="dxa"/>
            <w:vAlign w:val="bottom"/>
          </w:tcPr>
          <w:p>
            <w:pPr>
              <w:jc w:val="center"/>
              <w:spacing w:after="0"/>
              <w:rPr>
                <w:sz w:val="20"/>
                <w:szCs w:val="20"/>
                <w:color w:val="auto"/>
              </w:rPr>
            </w:pPr>
            <w:r>
              <w:rPr>
                <w:rFonts w:ascii="Arial" w:cs="Arial" w:eastAsia="Arial" w:hAnsi="Arial"/>
                <w:sz w:val="14"/>
                <w:szCs w:val="14"/>
                <w:b w:val="1"/>
                <w:bCs w:val="1"/>
                <w:color w:val="auto"/>
                <w:w w:val="95"/>
              </w:rPr>
              <w:t>Expiration Date</w:t>
            </w:r>
          </w:p>
        </w:tc>
      </w:tr>
      <w:tr>
        <w:trPr>
          <w:trHeight w:val="223"/>
        </w:trPr>
        <w:tc>
          <w:tcPr>
            <w:tcW w:w="3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68,351</w:t>
            </w:r>
          </w:p>
        </w:tc>
        <w:tc>
          <w:tcPr>
            <w:tcW w:w="320" w:type="dxa"/>
            <w:vAlign w:val="bottom"/>
            <w:tcBorders>
              <w:top w:val="single" w:sz="8" w:color="CFF0FC"/>
            </w:tcBorders>
            <w:shd w:val="clear" w:color="auto" w:fill="CFF0FC"/>
          </w:tcPr>
          <w:p>
            <w:pPr>
              <w:spacing w:after="0"/>
              <w:rPr>
                <w:sz w:val="19"/>
                <w:szCs w:val="19"/>
                <w:color w:val="auto"/>
              </w:rPr>
            </w:pPr>
          </w:p>
        </w:tc>
        <w:tc>
          <w:tcPr>
            <w:tcW w:w="36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CAD$428.75</w:t>
            </w:r>
          </w:p>
        </w:tc>
        <w:tc>
          <w:tcPr>
            <w:tcW w:w="200" w:type="dxa"/>
            <w:vAlign w:val="bottom"/>
            <w:tcBorders>
              <w:top w:val="single" w:sz="8" w:color="CFF0FC"/>
            </w:tcBorders>
            <w:shd w:val="clear" w:color="auto" w:fill="CFF0FC"/>
          </w:tcPr>
          <w:p>
            <w:pPr>
              <w:spacing w:after="0"/>
              <w:rPr>
                <w:sz w:val="19"/>
                <w:szCs w:val="19"/>
                <w:color w:val="auto"/>
              </w:rPr>
            </w:pPr>
          </w:p>
        </w:tc>
        <w:tc>
          <w:tcPr>
            <w:tcW w:w="36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5"/>
              </w:rPr>
              <w:t>April 10, 2021</w:t>
            </w:r>
          </w:p>
        </w:tc>
      </w:tr>
      <w:tr>
        <w:trPr>
          <w:trHeight w:val="229"/>
        </w:trPr>
        <w:tc>
          <w:tcPr>
            <w:tcW w:w="3520" w:type="dxa"/>
            <w:vAlign w:val="bottom"/>
          </w:tcPr>
          <w:p>
            <w:pPr>
              <w:jc w:val="right"/>
              <w:spacing w:after="0"/>
              <w:rPr>
                <w:sz w:val="20"/>
                <w:szCs w:val="20"/>
                <w:color w:val="auto"/>
              </w:rPr>
            </w:pPr>
            <w:r>
              <w:rPr>
                <w:rFonts w:ascii="Arial" w:cs="Arial" w:eastAsia="Arial" w:hAnsi="Arial"/>
                <w:sz w:val="18"/>
                <w:szCs w:val="18"/>
                <w:color w:val="auto"/>
              </w:rPr>
              <w:t>97,143</w:t>
            </w:r>
          </w:p>
        </w:tc>
        <w:tc>
          <w:tcPr>
            <w:tcW w:w="320" w:type="dxa"/>
            <w:vAlign w:val="bottom"/>
          </w:tcPr>
          <w:p>
            <w:pPr>
              <w:spacing w:after="0"/>
              <w:rPr>
                <w:sz w:val="19"/>
                <w:szCs w:val="19"/>
                <w:color w:val="auto"/>
              </w:rPr>
            </w:pP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USD$16.10</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March 20, 2025</w:t>
            </w:r>
          </w:p>
        </w:tc>
      </w:tr>
      <w:tr>
        <w:trPr>
          <w:trHeight w:val="230"/>
        </w:trPr>
        <w:tc>
          <w:tcPr>
            <w:tcW w:w="3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17,431</w:t>
            </w:r>
          </w:p>
        </w:tc>
        <w:tc>
          <w:tcPr>
            <w:tcW w:w="320" w:type="dxa"/>
            <w:vAlign w:val="bottom"/>
            <w:shd w:val="clear" w:color="auto" w:fill="CFF0FC"/>
          </w:tcPr>
          <w:p>
            <w:pPr>
              <w:spacing w:after="0"/>
              <w:rPr>
                <w:sz w:val="19"/>
                <w:szCs w:val="19"/>
                <w:color w:val="auto"/>
              </w:rPr>
            </w:pPr>
          </w:p>
        </w:tc>
        <w:tc>
          <w:tcPr>
            <w:tcW w:w="380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91"/>
              </w:rPr>
              <w:t>USD$16.1665</w:t>
            </w:r>
          </w:p>
        </w:tc>
        <w:tc>
          <w:tcPr>
            <w:tcW w:w="3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October 26, 2023</w:t>
            </w:r>
          </w:p>
        </w:tc>
      </w:tr>
      <w:tr>
        <w:trPr>
          <w:trHeight w:val="229"/>
        </w:trPr>
        <w:tc>
          <w:tcPr>
            <w:tcW w:w="3520" w:type="dxa"/>
            <w:vAlign w:val="bottom"/>
          </w:tcPr>
          <w:p>
            <w:pPr>
              <w:jc w:val="right"/>
              <w:spacing w:after="0"/>
              <w:rPr>
                <w:sz w:val="20"/>
                <w:szCs w:val="20"/>
                <w:color w:val="auto"/>
              </w:rPr>
            </w:pPr>
            <w:r>
              <w:rPr>
                <w:rFonts w:ascii="Arial" w:cs="Arial" w:eastAsia="Arial" w:hAnsi="Arial"/>
                <w:sz w:val="18"/>
                <w:szCs w:val="18"/>
                <w:color w:val="auto"/>
              </w:rPr>
              <w:t>76,386</w:t>
            </w:r>
          </w:p>
        </w:tc>
        <w:tc>
          <w:tcPr>
            <w:tcW w:w="320" w:type="dxa"/>
            <w:vAlign w:val="bottom"/>
          </w:tcPr>
          <w:p>
            <w:pPr>
              <w:spacing w:after="0"/>
              <w:rPr>
                <w:sz w:val="19"/>
                <w:szCs w:val="19"/>
                <w:color w:val="auto"/>
              </w:rPr>
            </w:pP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USD$15.82</w:t>
            </w: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October 26, 2023</w:t>
            </w:r>
          </w:p>
        </w:tc>
      </w:tr>
      <w:tr>
        <w:trPr>
          <w:trHeight w:val="230"/>
        </w:trPr>
        <w:tc>
          <w:tcPr>
            <w:tcW w:w="3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961</w:t>
            </w:r>
          </w:p>
        </w:tc>
        <w:tc>
          <w:tcPr>
            <w:tcW w:w="320" w:type="dxa"/>
            <w:vAlign w:val="bottom"/>
            <w:shd w:val="clear" w:color="auto" w:fill="CFF0FC"/>
          </w:tcPr>
          <w:p>
            <w:pPr>
              <w:spacing w:after="0"/>
              <w:rPr>
                <w:sz w:val="19"/>
                <w:szCs w:val="19"/>
                <w:color w:val="auto"/>
              </w:rPr>
            </w:pPr>
          </w:p>
        </w:tc>
        <w:tc>
          <w:tcPr>
            <w:tcW w:w="380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93"/>
              </w:rPr>
              <w:t>USD$19.775</w:t>
            </w:r>
          </w:p>
        </w:tc>
        <w:tc>
          <w:tcPr>
            <w:tcW w:w="3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October 26, 2023</w:t>
            </w:r>
          </w:p>
        </w:tc>
      </w:tr>
      <w:tr>
        <w:trPr>
          <w:trHeight w:val="229"/>
        </w:trPr>
        <w:tc>
          <w:tcPr>
            <w:tcW w:w="3520" w:type="dxa"/>
            <w:vAlign w:val="bottom"/>
          </w:tcPr>
          <w:p>
            <w:pPr>
              <w:jc w:val="right"/>
              <w:spacing w:after="0"/>
              <w:rPr>
                <w:sz w:val="20"/>
                <w:szCs w:val="20"/>
                <w:color w:val="auto"/>
              </w:rPr>
            </w:pPr>
            <w:r>
              <w:rPr>
                <w:rFonts w:ascii="Arial" w:cs="Arial" w:eastAsia="Arial" w:hAnsi="Arial"/>
                <w:sz w:val="18"/>
                <w:szCs w:val="18"/>
                <w:color w:val="auto"/>
              </w:rPr>
              <w:t>372,468</w:t>
            </w:r>
          </w:p>
        </w:tc>
        <w:tc>
          <w:tcPr>
            <w:tcW w:w="320" w:type="dxa"/>
            <w:vAlign w:val="bottom"/>
          </w:tcPr>
          <w:p>
            <w:pPr>
              <w:spacing w:after="0"/>
              <w:rPr>
                <w:sz w:val="19"/>
                <w:szCs w:val="19"/>
                <w:color w:val="auto"/>
              </w:rPr>
            </w:pP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USD$16.302</w:t>
            </w:r>
          </w:p>
        </w:tc>
        <w:tc>
          <w:tcPr>
            <w:tcW w:w="3600" w:type="dxa"/>
            <w:vAlign w:val="bottom"/>
          </w:tcPr>
          <w:p>
            <w:pPr>
              <w:jc w:val="center"/>
              <w:spacing w:after="0"/>
              <w:rPr>
                <w:sz w:val="20"/>
                <w:szCs w:val="20"/>
                <w:color w:val="auto"/>
              </w:rPr>
            </w:pPr>
            <w:r>
              <w:rPr>
                <w:rFonts w:ascii="Arial" w:cs="Arial" w:eastAsia="Arial" w:hAnsi="Arial"/>
                <w:sz w:val="18"/>
                <w:szCs w:val="18"/>
                <w:color w:val="auto"/>
                <w:w w:val="88"/>
              </w:rPr>
              <w:t>February 1, 2026</w:t>
            </w:r>
          </w:p>
        </w:tc>
      </w:tr>
      <w:tr>
        <w:trPr>
          <w:trHeight w:val="229"/>
        </w:trPr>
        <w:tc>
          <w:tcPr>
            <w:tcW w:w="3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29,797</w:t>
            </w:r>
          </w:p>
        </w:tc>
        <w:tc>
          <w:tcPr>
            <w:tcW w:w="320" w:type="dxa"/>
            <w:vAlign w:val="bottom"/>
            <w:shd w:val="clear" w:color="auto" w:fill="CFF0FC"/>
          </w:tcPr>
          <w:p>
            <w:pPr>
              <w:spacing w:after="0"/>
              <w:rPr>
                <w:sz w:val="19"/>
                <w:szCs w:val="19"/>
                <w:color w:val="auto"/>
              </w:rPr>
            </w:pPr>
          </w:p>
        </w:tc>
        <w:tc>
          <w:tcPr>
            <w:tcW w:w="380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93"/>
              </w:rPr>
              <w:t>USD$18.525</w:t>
            </w:r>
          </w:p>
        </w:tc>
        <w:tc>
          <w:tcPr>
            <w:tcW w:w="3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February 1, 2026</w:t>
            </w:r>
          </w:p>
        </w:tc>
      </w:tr>
      <w:tr>
        <w:trPr>
          <w:trHeight w:val="223"/>
        </w:trPr>
        <w:tc>
          <w:tcPr>
            <w:tcW w:w="3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662,537</w:t>
            </w:r>
          </w:p>
        </w:tc>
        <w:tc>
          <w:tcPr>
            <w:tcW w:w="3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20"/>
        </w:trPr>
        <w:tc>
          <w:tcPr>
            <w:tcW w:w="3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7"/>
          <w:szCs w:val="17"/>
          <w:b w:val="1"/>
          <w:bCs w:val="1"/>
          <w:color w:val="auto"/>
        </w:rPr>
        <w:t>STOCK-BASED PAYMENTS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May 15, 2018, the Company’s Board of Directors authorized and approved the adoption of the 2018 Omnibus Incentive Plan, (as amended, the “2018 Plan”), which was effective upon approval by the stockholders of the Company on June 28, 2018 and under which an aggregate of 153,031 shares may be issued. This share reserve is the sum of 85,714 new shares, plus the 67,317 shares that remained available for issuance under the Company’s 2016 Omnibus Incentive Plan (the “2016 Plan”), the predecessor incentive plan at the time of the adoption of the 2018 Plan. Pursuant to the terms of the 2018 Plan, the Company is authorized to grant stock options, as well as awards of stock appreciation rights, restricted stock, unrestricted shares, restricted stock units (“RSUs”), stock equivalent units and performance-based cash awards. These awards may be granted to directors, officers, employees and eligible consultants. Vesting and the term of an option is determined at the discretion of the Company’s Board of Directors. Subsequent to the adoption of the 2018 Plan, the Company ceased granting awards under the 2016 Plan, the predecessor incentive plan. However, outstanding stock options granted prior to the effective date of the 2018 Plan are still governed by the 2016 Plan or the Company’s 2014 Stock Incentive Plan, which preceded the 2016 Plan.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As of March 31, 2021, there was an aggregate of 57,638 shares of common stock remaining available for grant under the Company’s 2018 Plan.</w:t>
      </w:r>
    </w:p>
    <w:p>
      <w:pPr>
        <w:spacing w:after="0" w:line="16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three months ended March 31, 2021, the Company issued 40,700 stock options to employees and directors. The Company issued no stock options to consultants during the three months ended March 31,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stock option activity during the three months ended March 31, 2021:</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62"/>
        </w:trPr>
        <w:tc>
          <w:tcPr>
            <w:tcW w:w="4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62"/>
        </w:trPr>
        <w:tc>
          <w:tcPr>
            <w:tcW w:w="4640" w:type="dxa"/>
            <w:vAlign w:val="bottom"/>
          </w:tcPr>
          <w:p>
            <w:pPr>
              <w:spacing w:after="0"/>
              <w:rPr>
                <w:sz w:val="14"/>
                <w:szCs w:val="1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Number of</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46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Stock Options</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Life (in years)</w:t>
            </w:r>
          </w:p>
        </w:tc>
        <w:tc>
          <w:tcPr>
            <w:tcW w:w="20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Exercise Price</w:t>
            </w:r>
          </w:p>
        </w:tc>
        <w:tc>
          <w:tcPr>
            <w:tcW w:w="2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23"/>
        </w:trPr>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as of December 31, 2020</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113,558</w:t>
            </w:r>
          </w:p>
        </w:tc>
        <w:tc>
          <w:tcPr>
            <w:tcW w:w="1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7.75</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159.33</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tcBorders>
            <w:shd w:val="clear" w:color="auto" w:fill="CFF0FC"/>
          </w:tcPr>
          <w:p>
            <w:pPr>
              <w:ind w:left="640"/>
              <w:spacing w:after="0"/>
              <w:rPr>
                <w:sz w:val="20"/>
                <w:szCs w:val="20"/>
                <w:color w:val="auto"/>
              </w:rPr>
            </w:pPr>
            <w:r>
              <w:rPr>
                <w:rFonts w:ascii="Arial" w:cs="Arial" w:eastAsia="Arial" w:hAnsi="Arial"/>
                <w:sz w:val="18"/>
                <w:szCs w:val="18"/>
                <w:b w:val="1"/>
                <w:bCs w:val="1"/>
                <w:color w:val="auto"/>
                <w:w w:val="99"/>
              </w:rPr>
              <w:t>—</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40,700</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14.48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Forfeited/Cancelled</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(4,713)</w:t>
            </w: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228.60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Exercised</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as of March 31, 2021</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149,545</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8.16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117.73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shd w:val="clear" w:color="auto" w:fill="CFF0FC"/>
          </w:tcPr>
          <w:p>
            <w:pPr>
              <w:ind w:left="640"/>
              <w:spacing w:after="0"/>
              <w:rPr>
                <w:sz w:val="20"/>
                <w:szCs w:val="20"/>
                <w:color w:val="auto"/>
              </w:rPr>
            </w:pPr>
            <w:r>
              <w:rPr>
                <w:rFonts w:ascii="Arial" w:cs="Arial" w:eastAsia="Arial" w:hAnsi="Arial"/>
                <w:sz w:val="18"/>
                <w:szCs w:val="18"/>
                <w:b w:val="1"/>
                <w:bCs w:val="1"/>
                <w:color w:val="auto"/>
                <w:w w:val="99"/>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8"/>
                <w:szCs w:val="18"/>
                <w:b w:val="1"/>
                <w:bCs w:val="1"/>
                <w:color w:val="auto"/>
              </w:rPr>
              <w:t>Exercisable as of March 31, 2021</w:t>
            </w: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vMerge w:val="continue"/>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60,819</w:t>
            </w:r>
          </w:p>
        </w:tc>
        <w:tc>
          <w:tcPr>
            <w:tcW w:w="18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6.50</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87.11</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Employee and Director Stock Options </w:t>
      </w:r>
      <w:r>
        <w:rPr>
          <w:rFonts w:ascii="Arial" w:cs="Arial" w:eastAsia="Arial" w:hAnsi="Arial"/>
          <w:sz w:val="18"/>
          <w:szCs w:val="18"/>
          <w:color w:val="auto"/>
        </w:rPr>
        <w:t>As of March 31, 2021, the unrecognized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cost related to non-vested stock options outstanding for employees and directors, was $2.2 million which will be recognized over a weighted-average remaining vesting period of approximately 1.0 years. Compensation cost is not adjusted for estimated forfeitures, but instead is adjusted upon an actual forfeiture of a stock option.</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weighted average grant date fair value of employee and director stock options granted for the three months ended March 31, 2021 was $9.50 per option and the grant date fair values of these stock options were estimated using the Black-Scholes option pricing model using the following weighted average assumptions:</w:t>
      </w:r>
    </w:p>
    <w:p>
      <w:pPr>
        <w:spacing w:after="0" w:line="95"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9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4"/>
              </w:rPr>
              <w:t>Three Months Ended March</w:t>
            </w:r>
          </w:p>
        </w:tc>
      </w:tr>
      <w:tr>
        <w:trPr>
          <w:trHeight w:val="171"/>
        </w:trPr>
        <w:tc>
          <w:tcPr>
            <w:tcW w:w="5140" w:type="dxa"/>
            <w:vAlign w:val="bottom"/>
            <w:tcBorders>
              <w:bottom w:val="single" w:sz="8" w:color="CFF0FC"/>
            </w:tcBorders>
          </w:tcPr>
          <w:p>
            <w:pPr>
              <w:spacing w:after="0"/>
              <w:rPr>
                <w:sz w:val="14"/>
                <w:szCs w:val="14"/>
                <w:color w:val="auto"/>
              </w:rPr>
            </w:pPr>
          </w:p>
        </w:tc>
        <w:tc>
          <w:tcPr>
            <w:tcW w:w="360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31, 2021</w:t>
            </w:r>
          </w:p>
        </w:tc>
        <w:tc>
          <w:tcPr>
            <w:tcW w:w="180" w:type="dxa"/>
            <w:vAlign w:val="bottom"/>
            <w:tcBorders>
              <w:bottom w:val="single" w:sz="8" w:color="CFF0FC"/>
            </w:tcBorders>
          </w:tcPr>
          <w:p>
            <w:pPr>
              <w:spacing w:after="0"/>
              <w:rPr>
                <w:sz w:val="14"/>
                <w:szCs w:val="14"/>
                <w:color w:val="auto"/>
              </w:rPr>
            </w:pPr>
          </w:p>
        </w:tc>
      </w:tr>
      <w:tr>
        <w:trPr>
          <w:trHeight w:val="22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Stock price</w:t>
            </w:r>
          </w:p>
        </w:tc>
        <w:tc>
          <w:tcPr>
            <w:tcW w:w="36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14.48</w:t>
            </w:r>
          </w:p>
        </w:tc>
        <w:tc>
          <w:tcPr>
            <w:tcW w:w="180" w:type="dxa"/>
            <w:vAlign w:val="bottom"/>
            <w:shd w:val="clear" w:color="auto" w:fill="CFF0FC"/>
          </w:tcPr>
          <w:p>
            <w:pPr>
              <w:spacing w:after="0"/>
              <w:rPr>
                <w:sz w:val="19"/>
                <w:szCs w:val="19"/>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Exercise price</w:t>
            </w:r>
          </w:p>
        </w:tc>
        <w:tc>
          <w:tcPr>
            <w:tcW w:w="396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14.48</w:t>
            </w:r>
          </w:p>
        </w:tc>
        <w:tc>
          <w:tcPr>
            <w:tcW w:w="180" w:type="dxa"/>
            <w:vAlign w:val="bottom"/>
          </w:tcPr>
          <w:p>
            <w:pPr>
              <w:spacing w:after="0"/>
              <w:rPr>
                <w:sz w:val="19"/>
                <w:szCs w:val="19"/>
                <w:color w:val="auto"/>
              </w:rPr>
            </w:pPr>
          </w:p>
        </w:tc>
      </w:tr>
      <w:tr>
        <w:trPr>
          <w:trHeight w:val="229"/>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Expected term</w:t>
            </w:r>
          </w:p>
        </w:tc>
        <w:tc>
          <w:tcPr>
            <w:tcW w:w="36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6.25 years</w:t>
            </w: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Expected volatility</w:t>
            </w:r>
          </w:p>
        </w:tc>
        <w:tc>
          <w:tcPr>
            <w:tcW w:w="3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73.89%</w:t>
            </w:r>
          </w:p>
        </w:tc>
      </w:tr>
      <w:tr>
        <w:trPr>
          <w:trHeight w:val="229"/>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36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1.04%</w:t>
            </w: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Dividend rate</w:t>
            </w:r>
          </w:p>
        </w:tc>
        <w:tc>
          <w:tcPr>
            <w:tcW w:w="3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bl>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Consultant Stock Options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31, 2021, the unrecognized compensation cost related to non-vested stock options outstanding for non-employees was $26 thousand which will be recognized over a weighted-average remaining vesting period of approximately 0.6 years. Compensation cost is not adjusted for estimated forfeitures, but instead is adjusted upon an actual forfeiture of a stock option.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Beginning in the fourth quarter of 2019, certain members of the Company’s executive management team elected to receive RSUs in lieu of cash compensation under the 2018 Plan that vest upon issuance. The fair value of the RSUs is based on the closing price of the Company’s common stock on the day of the grant. Subsequent to the March 31, 2021 pay period, no members of the Company’s executive management team continued to elect to receive RSUs in lieu of cash compensation.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restricted stock award activity for the three months ended March 31, 2021:</w:t>
      </w:r>
    </w:p>
    <w:p>
      <w:pPr>
        <w:sectPr>
          <w:pgSz w:w="11900" w:h="16838" w:orient="portrait"/>
          <w:cols w:equalWidth="0" w:num="1">
            <w:col w:w="11240"/>
          </w:cols>
          <w:pgMar w:left="320" w:top="611" w:right="339" w:bottom="0" w:gutter="0" w:footer="0" w:header="0"/>
        </w:sectPr>
      </w:pPr>
    </w:p>
    <w:bookmarkStart w:id="18" w:name="page19"/>
    <w:bookmarkEnd w:id="18"/>
    <w:tbl>
      <w:tblPr>
        <w:tblLayout w:type="fixed"/>
        <w:tblInd w:w="58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7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Number of Restricted</w:t>
            </w:r>
          </w:p>
        </w:tc>
        <w:tc>
          <w:tcPr>
            <w:tcW w:w="160" w:type="dxa"/>
            <w:vAlign w:val="bottom"/>
          </w:tcPr>
          <w:p>
            <w:pPr>
              <w:spacing w:after="0"/>
              <w:rPr>
                <w:sz w:val="14"/>
                <w:szCs w:val="1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 Average</w:t>
            </w:r>
          </w:p>
        </w:tc>
      </w:tr>
      <w:tr>
        <w:trPr>
          <w:trHeight w:val="148"/>
        </w:trPr>
        <w:tc>
          <w:tcPr>
            <w:tcW w:w="6700" w:type="dxa"/>
            <w:vAlign w:val="bottom"/>
          </w:tcPr>
          <w:p>
            <w:pPr>
              <w:spacing w:after="0"/>
              <w:rPr>
                <w:sz w:val="12"/>
                <w:szCs w:val="12"/>
                <w:color w:val="auto"/>
              </w:rPr>
            </w:pPr>
          </w:p>
        </w:tc>
        <w:tc>
          <w:tcPr>
            <w:tcW w:w="174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Stock Units</w:t>
            </w:r>
          </w:p>
        </w:tc>
        <w:tc>
          <w:tcPr>
            <w:tcW w:w="16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Grant Date Fair Value</w:t>
            </w:r>
          </w:p>
        </w:tc>
      </w:tr>
      <w:tr>
        <w:trPr>
          <w:trHeight w:val="171"/>
        </w:trPr>
        <w:tc>
          <w:tcPr>
            <w:tcW w:w="6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per Unit</w:t>
            </w:r>
          </w:p>
        </w:tc>
      </w:tr>
      <w:tr>
        <w:trPr>
          <w:trHeight w:val="223"/>
        </w:trPr>
        <w:tc>
          <w:tcPr>
            <w:tcW w:w="6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as of December 31, 2020</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6700" w:type="dxa"/>
            <w:vAlign w:val="bottom"/>
          </w:tcPr>
          <w:p>
            <w:pPr>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860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14.76</w:t>
            </w:r>
          </w:p>
        </w:tc>
        <w:tc>
          <w:tcPr>
            <w:tcW w:w="120" w:type="dxa"/>
            <w:vAlign w:val="bottom"/>
          </w:tcPr>
          <w:p>
            <w:pPr>
              <w:spacing w:after="0"/>
              <w:rPr>
                <w:sz w:val="19"/>
                <w:szCs w:val="19"/>
                <w:color w:val="auto"/>
              </w:rPr>
            </w:pPr>
          </w:p>
        </w:tc>
      </w:tr>
      <w:tr>
        <w:trPr>
          <w:trHeight w:val="230"/>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Settled</w:t>
            </w:r>
          </w:p>
        </w:tc>
        <w:tc>
          <w:tcPr>
            <w:tcW w:w="1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(937)</w:t>
            </w: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14.17</w:t>
            </w:r>
          </w:p>
        </w:tc>
        <w:tc>
          <w:tcPr>
            <w:tcW w:w="120" w:type="dxa"/>
            <w:vAlign w:val="bottom"/>
            <w:shd w:val="clear" w:color="auto" w:fill="CFF0FC"/>
          </w:tcPr>
          <w:p>
            <w:pPr>
              <w:spacing w:after="0"/>
              <w:rPr>
                <w:sz w:val="19"/>
                <w:szCs w:val="19"/>
                <w:color w:val="auto"/>
              </w:rPr>
            </w:pPr>
          </w:p>
        </w:tc>
      </w:tr>
      <w:tr>
        <w:trPr>
          <w:trHeight w:val="223"/>
        </w:trPr>
        <w:tc>
          <w:tcPr>
            <w:tcW w:w="6700" w:type="dxa"/>
            <w:vAlign w:val="bottom"/>
          </w:tcPr>
          <w:p>
            <w:pPr>
              <w:spacing w:after="0"/>
              <w:rPr>
                <w:sz w:val="20"/>
                <w:szCs w:val="20"/>
                <w:color w:val="auto"/>
              </w:rPr>
            </w:pPr>
            <w:r>
              <w:rPr>
                <w:rFonts w:ascii="Arial" w:cs="Arial" w:eastAsia="Arial" w:hAnsi="Arial"/>
                <w:sz w:val="18"/>
                <w:szCs w:val="18"/>
                <w:b w:val="1"/>
                <w:bCs w:val="1"/>
                <w:color w:val="auto"/>
              </w:rPr>
              <w:t>Outstanding as of March 31, 2021</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17.99</w:t>
            </w:r>
          </w:p>
        </w:tc>
        <w:tc>
          <w:tcPr>
            <w:tcW w:w="120" w:type="dxa"/>
            <w:vAlign w:val="bottom"/>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5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Stock-based compensation expense is classified in the Company’s condensed consolidated statements of operations and comprehensive loss as follows (amounts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20" w:type="dxa"/>
            <w:vAlign w:val="bottom"/>
            <w:gridSpan w:val="9"/>
          </w:tcPr>
          <w:p>
            <w:pPr>
              <w:spacing w:after="0"/>
              <w:rPr>
                <w:sz w:val="20"/>
                <w:szCs w:val="20"/>
                <w:color w:val="auto"/>
              </w:rPr>
            </w:pPr>
            <w:r>
              <w:rPr>
                <w:rFonts w:ascii="Arial" w:cs="Arial" w:eastAsia="Arial" w:hAnsi="Arial"/>
                <w:sz w:val="14"/>
                <w:szCs w:val="14"/>
                <w:b w:val="1"/>
                <w:bCs w:val="1"/>
                <w:color w:val="auto"/>
              </w:rPr>
              <w:t>Three Months Ended March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500" w:type="dxa"/>
            <w:vAlign w:val="bottom"/>
            <w:gridSpan w:val="2"/>
            <w:vMerge w:val="restart"/>
          </w:tcPr>
          <w:p>
            <w:pPr>
              <w:ind w:left="1140"/>
              <w:spacing w:after="0"/>
              <w:rPr>
                <w:sz w:val="20"/>
                <w:szCs w:val="20"/>
                <w:color w:val="auto"/>
              </w:rPr>
            </w:pPr>
            <w:r>
              <w:rPr>
                <w:rFonts w:ascii="Arial" w:cs="Arial" w:eastAsia="Arial" w:hAnsi="Arial"/>
                <w:sz w:val="18"/>
                <w:szCs w:val="18"/>
                <w:color w:val="auto"/>
              </w:rPr>
              <w:t>Research and development</w:t>
            </w:r>
          </w:p>
        </w:tc>
        <w:tc>
          <w:tcPr>
            <w:tcW w:w="21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18"/>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gridSpan w:val="2"/>
          </w:tcPr>
          <w:p>
            <w:pPr>
              <w:jc w:val="right"/>
              <w:ind w:right="27"/>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500" w:type="dxa"/>
            <w:vAlign w:val="bottom"/>
            <w:gridSpan w:val="2"/>
            <w:vMerge w:val="continue"/>
          </w:tcPr>
          <w:p>
            <w:pPr>
              <w:spacing w:after="0"/>
              <w:rPr>
                <w:sz w:val="19"/>
                <w:szCs w:val="19"/>
                <w:color w:val="auto"/>
              </w:rPr>
            </w:pPr>
          </w:p>
        </w:tc>
        <w:tc>
          <w:tcPr>
            <w:tcW w:w="2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222</w:t>
            </w:r>
          </w:p>
        </w:tc>
        <w:tc>
          <w:tcPr>
            <w:tcW w:w="22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239</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Cost of sales</w:t>
            </w:r>
          </w:p>
        </w:tc>
        <w:tc>
          <w:tcPr>
            <w:tcW w:w="2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Selling, general and administrative</w:t>
            </w:r>
          </w:p>
        </w:tc>
        <w:tc>
          <w:tcPr>
            <w:tcW w:w="2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2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602</w:t>
            </w:r>
          </w:p>
        </w:tc>
        <w:tc>
          <w:tcPr>
            <w:tcW w:w="80" w:type="dxa"/>
            <w:vAlign w:val="bottom"/>
            <w:tcBorders>
              <w:bottom w:val="single" w:sz="8" w:color="CFF0FC"/>
            </w:tcBorders>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2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527</w:t>
            </w:r>
          </w:p>
        </w:tc>
        <w:tc>
          <w:tcPr>
            <w:tcW w:w="2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3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842</w:t>
            </w:r>
          </w:p>
        </w:tc>
        <w:tc>
          <w:tcPr>
            <w:tcW w:w="80" w:type="dxa"/>
            <w:vAlign w:val="bottom"/>
            <w:tcBorders>
              <w:bottom w:val="single" w:sz="8" w:color="CFF0FC"/>
            </w:tcBorders>
            <w:shd w:val="clear" w:color="auto" w:fill="CFF0FC"/>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  ACCRUED EXPENSES</w:t>
            </w:r>
          </w:p>
        </w:tc>
        <w:tc>
          <w:tcPr>
            <w:tcW w:w="2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500" w:type="dxa"/>
            <w:vAlign w:val="bottom"/>
            <w:gridSpan w:val="2"/>
            <w:vMerge w:val="continue"/>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5500" w:type="dxa"/>
            <w:vAlign w:val="bottom"/>
            <w:gridSpan w:val="2"/>
          </w:tcPr>
          <w:p>
            <w:pPr>
              <w:ind w:left="480"/>
              <w:spacing w:after="0"/>
              <w:rPr>
                <w:sz w:val="20"/>
                <w:szCs w:val="20"/>
                <w:color w:val="auto"/>
              </w:rPr>
            </w:pPr>
            <w:r>
              <w:rPr>
                <w:rFonts w:ascii="Arial" w:cs="Arial" w:eastAsia="Arial" w:hAnsi="Arial"/>
                <w:sz w:val="18"/>
                <w:szCs w:val="18"/>
                <w:color w:val="auto"/>
                <w:w w:val="90"/>
              </w:rPr>
              <w:t>Accrued expenses consisted of the following (amounts in thousands):</w:t>
            </w: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1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4"/>
                <w:szCs w:val="14"/>
                <w:b w:val="1"/>
                <w:bCs w:val="1"/>
                <w:color w:val="auto"/>
              </w:rPr>
              <w:t>As of</w:t>
            </w: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500" w:type="dxa"/>
            <w:vAlign w:val="bottom"/>
            <w:gridSpan w:val="2"/>
            <w:vMerge w:val="restart"/>
          </w:tcPr>
          <w:p>
            <w:pPr>
              <w:spacing w:after="0"/>
              <w:rPr>
                <w:sz w:val="20"/>
                <w:szCs w:val="20"/>
                <w:color w:val="auto"/>
              </w:rPr>
            </w:pPr>
            <w:r>
              <w:rPr>
                <w:rFonts w:ascii="Arial" w:cs="Arial" w:eastAsia="Arial" w:hAnsi="Arial"/>
                <w:sz w:val="18"/>
                <w:szCs w:val="18"/>
                <w:color w:val="auto"/>
              </w:rPr>
              <w:t>Employees benefits</w:t>
            </w:r>
          </w:p>
        </w:tc>
        <w:tc>
          <w:tcPr>
            <w:tcW w:w="2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jc w:val="right"/>
              <w:ind w:right="227"/>
              <w:spacing w:after="0" w:line="155" w:lineRule="exact"/>
              <w:rPr>
                <w:sz w:val="20"/>
                <w:szCs w:val="20"/>
                <w:color w:val="auto"/>
              </w:rPr>
            </w:pPr>
            <w:r>
              <w:rPr>
                <w:rFonts w:ascii="Arial" w:cs="Arial" w:eastAsia="Arial" w:hAnsi="Arial"/>
                <w:sz w:val="14"/>
                <w:szCs w:val="14"/>
                <w:b w:val="1"/>
                <w:bCs w:val="1"/>
                <w:color w:val="auto"/>
              </w:rPr>
              <w:t>March 31, 2021</w:t>
            </w:r>
          </w:p>
        </w:tc>
        <w:tc>
          <w:tcPr>
            <w:tcW w:w="3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jc w:val="right"/>
              <w:ind w:right="220"/>
              <w:spacing w:after="0" w:line="155" w:lineRule="exact"/>
              <w:rPr>
                <w:sz w:val="20"/>
                <w:szCs w:val="20"/>
                <w:color w:val="auto"/>
              </w:rPr>
            </w:pPr>
            <w:r>
              <w:rPr>
                <w:rFonts w:ascii="Arial" w:cs="Arial" w:eastAsia="Arial" w:hAnsi="Arial"/>
                <w:sz w:val="14"/>
                <w:szCs w:val="14"/>
                <w:b w:val="1"/>
                <w:bCs w:val="1"/>
                <w:color w:val="auto"/>
                <w:w w:val="93"/>
              </w:rPr>
              <w:t>December 31, 2020</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500" w:type="dxa"/>
            <w:vAlign w:val="bottom"/>
            <w:gridSpan w:val="2"/>
            <w:vMerge w:val="continue"/>
          </w:tcPr>
          <w:p>
            <w:pPr>
              <w:spacing w:after="0"/>
              <w:rPr>
                <w:sz w:val="19"/>
                <w:szCs w:val="19"/>
                <w:color w:val="auto"/>
              </w:rPr>
            </w:pPr>
          </w:p>
        </w:tc>
        <w:tc>
          <w:tcPr>
            <w:tcW w:w="2220" w:type="dxa"/>
            <w:vAlign w:val="bottom"/>
            <w:gridSpan w:val="2"/>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581</w:t>
            </w:r>
          </w:p>
        </w:tc>
        <w:tc>
          <w:tcPr>
            <w:tcW w:w="3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Professional services</w:t>
            </w:r>
          </w:p>
        </w:tc>
        <w:tc>
          <w:tcPr>
            <w:tcW w:w="2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292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gridSpan w:val="2"/>
          </w:tcPr>
          <w:p>
            <w:pPr>
              <w:spacing w:after="0"/>
              <w:rPr>
                <w:sz w:val="20"/>
                <w:szCs w:val="20"/>
                <w:color w:val="auto"/>
              </w:rPr>
            </w:pPr>
            <w:r>
              <w:rPr>
                <w:rFonts w:ascii="Arial" w:cs="Arial" w:eastAsia="Arial" w:hAnsi="Arial"/>
                <w:sz w:val="18"/>
                <w:szCs w:val="18"/>
                <w:color w:val="auto"/>
              </w:rPr>
              <w:t>Legal fees</w:t>
            </w:r>
          </w:p>
        </w:tc>
        <w:tc>
          <w:tcPr>
            <w:tcW w:w="2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Royalty fees</w:t>
            </w:r>
          </w:p>
        </w:tc>
        <w:tc>
          <w:tcPr>
            <w:tcW w:w="2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gridSpan w:val="2"/>
          </w:tcPr>
          <w:p>
            <w:pPr>
              <w:spacing w:after="0"/>
              <w:rPr>
                <w:sz w:val="20"/>
                <w:szCs w:val="20"/>
                <w:color w:val="auto"/>
              </w:rPr>
            </w:pPr>
            <w:r>
              <w:rPr>
                <w:rFonts w:ascii="Arial" w:cs="Arial" w:eastAsia="Arial" w:hAnsi="Arial"/>
                <w:sz w:val="18"/>
                <w:szCs w:val="18"/>
                <w:color w:val="auto"/>
              </w:rPr>
              <w:t>Severance</w:t>
            </w:r>
          </w:p>
        </w:tc>
        <w:tc>
          <w:tcPr>
            <w:tcW w:w="2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209</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2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3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220" w:type="dxa"/>
            <w:vAlign w:val="bottom"/>
            <w:gridSpan w:val="2"/>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1,096</w:t>
            </w:r>
          </w:p>
        </w:tc>
        <w:tc>
          <w:tcPr>
            <w:tcW w:w="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4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1,337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100" w:type="dxa"/>
            <w:vAlign w:val="bottom"/>
            <w:vMerge w:val="restart"/>
          </w:tcPr>
          <w:p>
            <w:pPr>
              <w:jc w:val="right"/>
              <w:ind w:right="1790"/>
              <w:spacing w:after="0"/>
              <w:rPr>
                <w:sz w:val="20"/>
                <w:szCs w:val="20"/>
                <w:color w:val="auto"/>
              </w:rPr>
            </w:pPr>
            <w:r>
              <w:rPr>
                <w:rFonts w:ascii="Arial" w:cs="Arial" w:eastAsia="Arial" w:hAnsi="Arial"/>
                <w:sz w:val="18"/>
                <w:szCs w:val="18"/>
                <w:color w:val="auto"/>
                <w:w w:val="99"/>
              </w:rPr>
              <w:t>18</w:t>
            </w: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436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19" w:name="page20"/>
    <w:bookmarkEnd w:id="19"/>
    <w:p>
      <w:pPr>
        <w:spacing w:after="0"/>
        <w:tabs>
          <w:tab w:leader="none" w:pos="300" w:val="left"/>
        </w:tabs>
        <w:rPr>
          <w:sz w:val="20"/>
          <w:szCs w:val="20"/>
          <w:color w:val="auto"/>
        </w:rPr>
      </w:pPr>
      <w:r>
        <w:rPr>
          <w:rFonts w:ascii="Arial" w:cs="Arial" w:eastAsia="Arial" w:hAnsi="Arial"/>
          <w:sz w:val="18"/>
          <w:szCs w:val="18"/>
          <w:b w:val="1"/>
          <w:bCs w:val="1"/>
          <w:color w:val="auto"/>
        </w:rPr>
        <w:t>6.</w:t>
        <w:tab/>
        <w:t>COMMITMENTS AND CONTINGENCIES</w:t>
      </w:r>
    </w:p>
    <w:p>
      <w:pPr>
        <w:spacing w:after="0" w:line="121" w:lineRule="exact"/>
        <w:rPr>
          <w:sz w:val="20"/>
          <w:szCs w:val="20"/>
          <w:color w:val="auto"/>
        </w:rPr>
      </w:pPr>
    </w:p>
    <w:p>
      <w:pPr>
        <w:jc w:val="both"/>
        <w:ind w:left="480" w:right="20" w:hanging="472"/>
        <w:spacing w:after="0" w:line="293" w:lineRule="auto"/>
        <w:tabs>
          <w:tab w:leader="none" w:pos="4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On January 22, 2013, the Company entered into a license agreement with Advanced NeuroRehabilitation, LLC (“ANR”) for an exclusive right to ANR’s patent pending technology, claims and knowhow. In addition to the issuance of 91,628 shares of common stock to ANR, the Company agreed to pay a 4% royalty on net revenue on the sales of devices covered by the patent-pending technology and services related to the therapy or use of devices covered by the patent-pending technology. For the three months ended March 31, 2021, the Company recorded approximately $3 thousand in royalty expenses in its condensed consolidated statement of operations and comprehensive loss. For the three months ended March 31, 2020, the Company recorded approximately $5 thousand in royalty expenses in its condensed consolidated statement of operations and comprehensive loss.</w:t>
      </w:r>
    </w:p>
    <w:p>
      <w:pPr>
        <w:spacing w:after="0" w:line="56" w:lineRule="exact"/>
        <w:rPr>
          <w:rFonts w:ascii="Arial" w:cs="Arial" w:eastAsia="Arial" w:hAnsi="Arial"/>
          <w:sz w:val="16"/>
          <w:szCs w:val="16"/>
          <w:color w:val="auto"/>
        </w:rPr>
      </w:pPr>
    </w:p>
    <w:p>
      <w:pPr>
        <w:ind w:left="480" w:hanging="472"/>
        <w:spacing w:after="0"/>
        <w:tabs>
          <w:tab w:leader="none" w:pos="4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March 2017, the Company entered into a lease for office space in Newtown, Pennsylvania. The initial term of the lease was from July 1, 2017</w:t>
      </w:r>
    </w:p>
    <w:p>
      <w:pPr>
        <w:spacing w:after="0" w:line="46" w:lineRule="exact"/>
        <w:rPr>
          <w:sz w:val="20"/>
          <w:szCs w:val="20"/>
          <w:color w:val="auto"/>
        </w:rPr>
      </w:pPr>
    </w:p>
    <w:p>
      <w:pPr>
        <w:jc w:val="both"/>
        <w:ind w:left="480" w:right="20"/>
        <w:spacing w:after="0" w:line="281" w:lineRule="auto"/>
        <w:rPr>
          <w:sz w:val="20"/>
          <w:szCs w:val="20"/>
          <w:color w:val="auto"/>
        </w:rPr>
      </w:pPr>
      <w:r>
        <w:rPr>
          <w:rFonts w:ascii="Arial" w:cs="Arial" w:eastAsia="Arial" w:hAnsi="Arial"/>
          <w:sz w:val="16"/>
          <w:szCs w:val="16"/>
          <w:color w:val="auto"/>
        </w:rPr>
        <w:t>through December 31, 2022, with an option to extend until 2027. In July 2017, the Company amended the contract to commence the lease on July 17, 2017 through January 16, 2023, with an option to extend until January 2028. Lease extension options were not included in the lease term as it was not reasonably certain that the Company would elect to utilize the option to extend. Monthly rent plus utilities were approximately $20 thousand</w:t>
      </w:r>
    </w:p>
    <w:p>
      <w:pPr>
        <w:spacing w:after="0" w:line="2" w:lineRule="exact"/>
        <w:rPr>
          <w:sz w:val="20"/>
          <w:szCs w:val="20"/>
          <w:color w:val="auto"/>
        </w:rPr>
      </w:pPr>
    </w:p>
    <w:p>
      <w:pPr>
        <w:jc w:val="both"/>
        <w:ind w:left="480" w:right="20"/>
        <w:spacing w:after="0" w:line="281" w:lineRule="auto"/>
        <w:rPr>
          <w:sz w:val="20"/>
          <w:szCs w:val="20"/>
          <w:color w:val="auto"/>
        </w:rPr>
      </w:pPr>
      <w:r>
        <w:rPr>
          <w:rFonts w:ascii="Arial" w:cs="Arial" w:eastAsia="Arial" w:hAnsi="Arial"/>
          <w:sz w:val="16"/>
          <w:szCs w:val="16"/>
          <w:color w:val="auto"/>
        </w:rPr>
        <w:t>per month beginning in January 2018 with a 3% annual increase. In May 2020, the Company terminated its lease and entered into a new lease (the “Lease Amendment”) for a smaller footprint of the current office space in Newtown, Pennsylvania. Lease payments under the original contract will be made through December 2020. The Lease Amendment was determined to be a partial termination that qualified as a change of accounting of the existing lease and not a separate contract. As such, the ROU assets and operating lease liabilities were remeasured using an incremental borrowing rate at the date of modification. The carrying value of the ROU asset decreased on a basis proportionate to the partial termination by approximately $0.4 million and the related lease liability decreased by approximately $0.4 million. The Company recorded a gain of approximately $0.1 million resulting from the difference between the reduction in the lease liability and the proportionate reduction of the ROU asset. This amount was recorded as a component of other income in the condensed consolidated statement of operations and comprehensive loss during the second</w:t>
      </w:r>
    </w:p>
    <w:p>
      <w:pPr>
        <w:spacing w:after="0" w:line="5" w:lineRule="exact"/>
        <w:rPr>
          <w:sz w:val="20"/>
          <w:szCs w:val="20"/>
          <w:color w:val="auto"/>
        </w:rPr>
      </w:pPr>
    </w:p>
    <w:p>
      <w:pPr>
        <w:jc w:val="both"/>
        <w:ind w:left="480" w:right="20"/>
        <w:spacing w:after="0" w:line="252" w:lineRule="auto"/>
        <w:rPr>
          <w:sz w:val="20"/>
          <w:szCs w:val="20"/>
          <w:color w:val="auto"/>
        </w:rPr>
      </w:pPr>
      <w:r>
        <w:rPr>
          <w:rFonts w:ascii="Arial" w:cs="Arial" w:eastAsia="Arial" w:hAnsi="Arial"/>
          <w:sz w:val="18"/>
          <w:szCs w:val="18"/>
          <w:color w:val="auto"/>
        </w:rPr>
        <w:t>quarter of 2020. The initial lease term of the Lease Amendment was from July 1, 2020 through June 30, 2021, with options to extend for successive six month periods. Two lease extension options were included in the lease term as it was reasonably certain that the Company would elect to utilize the option to extend for this period of time. Monthly rent plus utilities will be approximately $5 thousand per month beginning in January 2021 with a 3% annual increase. In January 2021, the lease term of the Lease Amendment was amended to go through September 30, 2021, with options to extend monthly thereafter. No other amendments were made. The Company’s assessment of the lease term it would elect to utilize has not changed.</w:t>
      </w:r>
    </w:p>
    <w:p>
      <w:pPr>
        <w:spacing w:after="0" w:line="20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summarizes the Company’s operating lease information including future minimum lease payments under a non-cancellable lease as of March 31, 2021 (amounts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60" w:type="dxa"/>
            <w:vAlign w:val="bottom"/>
          </w:tcPr>
          <w:p>
            <w:pPr>
              <w:spacing w:after="0"/>
              <w:rPr>
                <w:sz w:val="18"/>
                <w:szCs w:val="18"/>
                <w:color w:val="auto"/>
              </w:rPr>
            </w:pPr>
          </w:p>
        </w:tc>
        <w:tc>
          <w:tcPr>
            <w:tcW w:w="5100" w:type="dxa"/>
            <w:vAlign w:val="bottom"/>
            <w:gridSpan w:val="5"/>
          </w:tcPr>
          <w:p>
            <w:pPr>
              <w:spacing w:after="0"/>
              <w:rPr>
                <w:sz w:val="20"/>
                <w:szCs w:val="20"/>
                <w:color w:val="auto"/>
              </w:rPr>
            </w:pPr>
            <w:r>
              <w:rPr>
                <w:rFonts w:ascii="Arial" w:cs="Arial" w:eastAsia="Arial" w:hAnsi="Arial"/>
                <w:sz w:val="18"/>
                <w:szCs w:val="18"/>
                <w:b w:val="1"/>
                <w:bCs w:val="1"/>
                <w:color w:val="auto"/>
              </w:rPr>
              <w:t>For the Three Months Ended March 31, 2021</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6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234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508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5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80" w:type="dxa"/>
            <w:vAlign w:val="bottom"/>
            <w:gridSpan w:val="4"/>
          </w:tcPr>
          <w:p>
            <w:pPr>
              <w:spacing w:after="0"/>
              <w:rPr>
                <w:sz w:val="20"/>
                <w:szCs w:val="20"/>
                <w:color w:val="auto"/>
              </w:rPr>
            </w:pPr>
            <w:r>
              <w:rPr>
                <w:rFonts w:ascii="Arial" w:cs="Arial" w:eastAsia="Arial" w:hAnsi="Arial"/>
                <w:sz w:val="18"/>
                <w:szCs w:val="18"/>
                <w:color w:val="auto"/>
              </w:rPr>
              <w:t>Operating lease - operating cash flows</w:t>
            </w:r>
          </w:p>
        </w:tc>
        <w:tc>
          <w:tcPr>
            <w:tcW w:w="5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8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Weighted average remaining lease term</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1.25 years</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80" w:type="dxa"/>
            <w:vAlign w:val="bottom"/>
            <w:gridSpan w:val="4"/>
          </w:tcPr>
          <w:p>
            <w:pPr>
              <w:spacing w:after="0"/>
              <w:rPr>
                <w:sz w:val="20"/>
                <w:szCs w:val="20"/>
                <w:color w:val="auto"/>
              </w:rPr>
            </w:pPr>
            <w:r>
              <w:rPr>
                <w:rFonts w:ascii="Arial" w:cs="Arial" w:eastAsia="Arial" w:hAnsi="Arial"/>
                <w:sz w:val="18"/>
                <w:szCs w:val="18"/>
                <w:color w:val="auto"/>
              </w:rPr>
              <w:t>Weighted average discount rate</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3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2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5080" w:type="dxa"/>
            <w:vAlign w:val="bottom"/>
            <w:gridSpan w:val="4"/>
          </w:tcPr>
          <w:p>
            <w:pPr>
              <w:spacing w:after="0"/>
              <w:rPr>
                <w:sz w:val="20"/>
                <w:szCs w:val="20"/>
                <w:color w:val="auto"/>
              </w:rPr>
            </w:pPr>
            <w:r>
              <w:rPr>
                <w:rFonts w:ascii="Arial" w:cs="Arial" w:eastAsia="Arial" w:hAnsi="Arial"/>
                <w:sz w:val="18"/>
                <w:szCs w:val="18"/>
                <w:color w:val="auto"/>
                <w:w w:val="94"/>
              </w:rPr>
              <w:t>Future minimum lease payments under non-cancellable lease as of</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p>
        </w:tc>
        <w:tc>
          <w:tcPr>
            <w:tcW w:w="5100" w:type="dxa"/>
            <w:vAlign w:val="bottom"/>
            <w:gridSpan w:val="5"/>
          </w:tcPr>
          <w:p>
            <w:pPr>
              <w:spacing w:after="0"/>
              <w:rPr>
                <w:sz w:val="20"/>
                <w:szCs w:val="20"/>
                <w:color w:val="auto"/>
              </w:rPr>
            </w:pPr>
            <w:r>
              <w:rPr>
                <w:rFonts w:ascii="Arial" w:cs="Arial" w:eastAsia="Arial" w:hAnsi="Arial"/>
                <w:sz w:val="18"/>
                <w:szCs w:val="18"/>
                <w:color w:val="auto"/>
              </w:rPr>
              <w:t>March 31, 2021 were as follows:</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2"/>
            <w:shd w:val="clear" w:color="auto" w:fill="CFF0FC"/>
          </w:tcPr>
          <w:p>
            <w:pPr>
              <w:spacing w:after="0" w:line="189" w:lineRule="exact"/>
              <w:rPr>
                <w:sz w:val="20"/>
                <w:szCs w:val="20"/>
                <w:color w:val="auto"/>
              </w:rPr>
            </w:pPr>
            <w:r>
              <w:rPr>
                <w:rFonts w:ascii="Arial" w:cs="Arial" w:eastAsia="Arial" w:hAnsi="Arial"/>
                <w:sz w:val="18"/>
                <w:szCs w:val="18"/>
                <w:b w:val="1"/>
                <w:bCs w:val="1"/>
                <w:color w:val="auto"/>
                <w:w w:val="89"/>
              </w:rPr>
              <w:t>For the Period Ending December 31,</w:t>
            </w:r>
          </w:p>
        </w:tc>
        <w:tc>
          <w:tcPr>
            <w:tcW w:w="2280" w:type="dxa"/>
            <w:vAlign w:val="bottom"/>
            <w:tcBorders>
              <w:bottom w:val="single" w:sz="8" w:color="CFF0FC"/>
            </w:tcBorders>
            <w:gridSpan w:val="2"/>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80" w:type="dxa"/>
            <w:vAlign w:val="bottom"/>
            <w:gridSpan w:val="4"/>
          </w:tcPr>
          <w:p>
            <w:pPr>
              <w:spacing w:after="0"/>
              <w:rPr>
                <w:sz w:val="20"/>
                <w:szCs w:val="20"/>
                <w:color w:val="auto"/>
              </w:rPr>
            </w:pPr>
            <w:r>
              <w:rPr>
                <w:rFonts w:ascii="Arial" w:cs="Arial" w:eastAsia="Arial" w:hAnsi="Arial"/>
                <w:sz w:val="18"/>
                <w:szCs w:val="18"/>
                <w:color w:val="auto"/>
              </w:rPr>
              <w:t>2021 (remaining nine months)</w:t>
            </w:r>
          </w:p>
        </w:tc>
        <w:tc>
          <w:tcPr>
            <w:tcW w:w="5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4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5100" w:type="dxa"/>
            <w:vAlign w:val="bottom"/>
            <w:gridSpan w:val="5"/>
          </w:tcPr>
          <w:p>
            <w:pPr>
              <w:spacing w:after="0"/>
              <w:rPr>
                <w:sz w:val="20"/>
                <w:szCs w:val="20"/>
                <w:color w:val="auto"/>
              </w:rPr>
            </w:pPr>
            <w:r>
              <w:rPr>
                <w:rFonts w:ascii="Arial" w:cs="Arial" w:eastAsia="Arial" w:hAnsi="Arial"/>
                <w:sz w:val="18"/>
                <w:szCs w:val="18"/>
                <w:b w:val="1"/>
                <w:bCs w:val="1"/>
                <w:color w:val="auto"/>
              </w:rPr>
              <w:t>Total future minimum lease payments</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80</w:t>
            </w:r>
          </w:p>
        </w:tc>
        <w:tc>
          <w:tcPr>
            <w:tcW w:w="1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8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Less imputed interest</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260" w:type="dxa"/>
            <w:vAlign w:val="bottom"/>
          </w:tcPr>
          <w:p>
            <w:pPr>
              <w:spacing w:after="0"/>
              <w:rPr>
                <w:sz w:val="22"/>
                <w:szCs w:val="22"/>
                <w:color w:val="auto"/>
              </w:rPr>
            </w:pPr>
          </w:p>
        </w:tc>
        <w:tc>
          <w:tcPr>
            <w:tcW w:w="5100" w:type="dxa"/>
            <w:vAlign w:val="bottom"/>
            <w:gridSpan w:val="5"/>
          </w:tcPr>
          <w:p>
            <w:pPr>
              <w:spacing w:after="0"/>
              <w:rPr>
                <w:sz w:val="20"/>
                <w:szCs w:val="20"/>
                <w:color w:val="auto"/>
              </w:rPr>
            </w:pPr>
            <w:r>
              <w:rPr>
                <w:rFonts w:ascii="Arial" w:cs="Arial" w:eastAsia="Arial" w:hAnsi="Arial"/>
                <w:sz w:val="18"/>
                <w:szCs w:val="18"/>
                <w:b w:val="1"/>
                <w:bCs w:val="1"/>
                <w:color w:val="auto"/>
              </w:rPr>
              <w:t>Total liability</w:t>
            </w:r>
          </w:p>
        </w:tc>
        <w:tc>
          <w:tcPr>
            <w:tcW w:w="3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w:t>
            </w:r>
          </w:p>
        </w:tc>
        <w:tc>
          <w:tcPr>
            <w:tcW w:w="18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22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340" w:type="dxa"/>
            <w:vAlign w:val="bottom"/>
            <w:tcBorders>
              <w:top w:val="single" w:sz="8" w:color="CFF0FC"/>
              <w:bottom w:val="single" w:sz="8" w:color="auto"/>
            </w:tcBorders>
            <w:shd w:val="clear" w:color="auto" w:fill="CFF0FC"/>
          </w:tcPr>
          <w:p>
            <w:pPr>
              <w:spacing w:after="0" w:line="170" w:lineRule="exact"/>
              <w:rPr>
                <w:sz w:val="20"/>
                <w:szCs w:val="20"/>
                <w:color w:val="auto"/>
              </w:rPr>
            </w:pPr>
            <w:r>
              <w:rPr>
                <w:rFonts w:ascii="Arial" w:cs="Arial" w:eastAsia="Arial" w:hAnsi="Arial"/>
                <w:sz w:val="18"/>
                <w:szCs w:val="18"/>
                <w:b w:val="1"/>
                <w:bCs w:val="1"/>
                <w:color w:val="auto"/>
                <w:w w:val="89"/>
              </w:rPr>
              <w:t>Reported as of March 31, 2021</w:t>
            </w:r>
          </w:p>
        </w:tc>
        <w:tc>
          <w:tcPr>
            <w:tcW w:w="2740" w:type="dxa"/>
            <w:vAlign w:val="bottom"/>
            <w:tcBorders>
              <w:top w:val="single" w:sz="8" w:color="CFF0FC"/>
              <w:bottom w:val="single" w:sz="8" w:color="CFF0FC"/>
            </w:tcBorders>
            <w:gridSpan w:val="3"/>
            <w:shd w:val="clear" w:color="auto" w:fill="CFF0FC"/>
          </w:tcPr>
          <w:p>
            <w:pPr>
              <w:spacing w:after="0"/>
              <w:rPr>
                <w:sz w:val="16"/>
                <w:szCs w:val="16"/>
                <w:color w:val="auto"/>
              </w:rPr>
            </w:pPr>
          </w:p>
        </w:tc>
        <w:tc>
          <w:tcPr>
            <w:tcW w:w="320" w:type="dxa"/>
            <w:vAlign w:val="bottom"/>
            <w:tcBorders>
              <w:top w:val="single" w:sz="8" w:color="CFF0FC"/>
              <w:bottom w:val="single" w:sz="8" w:color="CFF0FC"/>
            </w:tcBorders>
            <w:shd w:val="clear" w:color="auto" w:fill="CFF0FC"/>
          </w:tcPr>
          <w:p>
            <w:pPr>
              <w:spacing w:after="0"/>
              <w:rPr>
                <w:sz w:val="16"/>
                <w:szCs w:val="16"/>
                <w:color w:val="auto"/>
              </w:rPr>
            </w:pPr>
          </w:p>
        </w:tc>
        <w:tc>
          <w:tcPr>
            <w:tcW w:w="240" w:type="dxa"/>
            <w:vAlign w:val="bottom"/>
            <w:tcBorders>
              <w:top w:val="single" w:sz="8" w:color="auto"/>
              <w:bottom w:val="single" w:sz="8" w:color="CFF0FC"/>
            </w:tcBorders>
            <w:shd w:val="clear" w:color="auto" w:fill="CFF0FC"/>
          </w:tcPr>
          <w:p>
            <w:pPr>
              <w:spacing w:after="0"/>
              <w:rPr>
                <w:sz w:val="16"/>
                <w:szCs w:val="16"/>
                <w:color w:val="auto"/>
              </w:rPr>
            </w:pPr>
          </w:p>
        </w:tc>
        <w:tc>
          <w:tcPr>
            <w:tcW w:w="900" w:type="dxa"/>
            <w:vAlign w:val="bottom"/>
            <w:tcBorders>
              <w:top w:val="single" w:sz="8" w:color="auto"/>
              <w:bottom w:val="single" w:sz="8" w:color="CFF0FC"/>
            </w:tcBorders>
            <w:shd w:val="clear" w:color="auto" w:fill="CFF0FC"/>
          </w:tcPr>
          <w:p>
            <w:pPr>
              <w:spacing w:after="0"/>
              <w:rPr>
                <w:sz w:val="16"/>
                <w:szCs w:val="16"/>
                <w:color w:val="auto"/>
              </w:rPr>
            </w:pPr>
          </w:p>
        </w:tc>
        <w:tc>
          <w:tcPr>
            <w:tcW w:w="180" w:type="dxa"/>
            <w:vAlign w:val="bottom"/>
            <w:tcBorders>
              <w:top w:val="single" w:sz="8" w:color="CFF0FC"/>
              <w:bottom w:val="single" w:sz="8" w:color="CFF0FC"/>
            </w:tcBorders>
            <w:shd w:val="clear" w:color="auto" w:fill="CFF0FC"/>
          </w:tcPr>
          <w:p>
            <w:pPr>
              <w:spacing w:after="0"/>
              <w:rPr>
                <w:sz w:val="16"/>
                <w:szCs w:val="16"/>
                <w:color w:val="auto"/>
              </w:rPr>
            </w:pPr>
          </w:p>
        </w:tc>
        <w:tc>
          <w:tcPr>
            <w:tcW w:w="2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80" w:type="dxa"/>
            <w:vAlign w:val="bottom"/>
            <w:gridSpan w:val="4"/>
          </w:tcPr>
          <w:p>
            <w:pPr>
              <w:spacing w:after="0"/>
              <w:rPr>
                <w:sz w:val="20"/>
                <w:szCs w:val="20"/>
                <w:color w:val="auto"/>
              </w:rPr>
            </w:pPr>
            <w:r>
              <w:rPr>
                <w:rFonts w:ascii="Arial" w:cs="Arial" w:eastAsia="Arial" w:hAnsi="Arial"/>
                <w:sz w:val="18"/>
                <w:szCs w:val="18"/>
                <w:color w:val="auto"/>
              </w:rPr>
              <w:t>Current operating lease liability</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8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Non-current operating lease liability</w:t>
            </w:r>
          </w:p>
        </w:tc>
        <w:tc>
          <w:tcPr>
            <w:tcW w:w="3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5100" w:type="dxa"/>
            <w:vAlign w:val="bottom"/>
            <w:gridSpan w:val="5"/>
          </w:tcPr>
          <w:p>
            <w:pPr>
              <w:spacing w:after="0"/>
              <w:rPr>
                <w:sz w:val="20"/>
                <w:szCs w:val="20"/>
                <w:color w:val="auto"/>
              </w:rPr>
            </w:pPr>
            <w:r>
              <w:rPr>
                <w:rFonts w:ascii="Arial" w:cs="Arial" w:eastAsia="Arial" w:hAnsi="Arial"/>
                <w:sz w:val="18"/>
                <w:szCs w:val="18"/>
                <w:b w:val="1"/>
                <w:bCs w:val="1"/>
                <w:color w:val="auto"/>
              </w:rPr>
              <w:t>Total</w:t>
            </w:r>
          </w:p>
        </w:tc>
        <w:tc>
          <w:tcPr>
            <w:tcW w:w="32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w:t>
            </w:r>
          </w:p>
        </w:tc>
        <w:tc>
          <w:tcPr>
            <w:tcW w:w="1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gridSpan w:val="5"/>
            <w:vMerge w:val="restart"/>
          </w:tcPr>
          <w:p>
            <w:pPr>
              <w:jc w:val="right"/>
              <w:ind w:right="20"/>
              <w:spacing w:after="0"/>
              <w:rPr>
                <w:sz w:val="20"/>
                <w:szCs w:val="20"/>
                <w:color w:val="auto"/>
              </w:rPr>
            </w:pPr>
            <w:r>
              <w:rPr>
                <w:rFonts w:ascii="Arial" w:cs="Arial" w:eastAsia="Arial" w:hAnsi="Arial"/>
                <w:sz w:val="18"/>
                <w:szCs w:val="18"/>
                <w:color w:val="auto"/>
              </w:rPr>
              <w:t>19</w:t>
            </w: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740" w:type="dxa"/>
            <w:vAlign w:val="bottom"/>
            <w:gridSpan w:val="5"/>
            <w:vMerge w:val="continue"/>
          </w:tcPr>
          <w:p>
            <w:pPr>
              <w:spacing w:after="0"/>
              <w:rPr>
                <w:sz w:val="24"/>
                <w:szCs w:val="24"/>
                <w:color w:val="auto"/>
              </w:rPr>
            </w:pP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066" w:right="319" w:bottom="1440" w:gutter="0" w:footer="0" w:header="0"/>
        </w:sectPr>
      </w:pPr>
    </w:p>
    <w:bookmarkStart w:id="20" w:name="page21"/>
    <w:bookmarkEnd w:id="20"/>
    <w:p>
      <w:pPr>
        <w:jc w:val="both"/>
        <w:ind w:left="480" w:hanging="472"/>
        <w:spacing w:after="0" w:line="253"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December 29, 2017, HMI (formerly known as NeuroHabilitation Corporation) entered into a Manufacturing and Supply Agreement (“MSA”) with Key Tronic Corporation (“Key Tronic”), for the manufacture and supply of the Company’s PoNS device based upon the Company’s product specifications as set forth in the MSA. Per the agreement, the Company shall provide to Key Tronic a rolling forecast for the procurement of parts and material and within normal lead times based on estimated delivery dates for the manufacture of the PoNS device. The term of the agreement is for three years and will automatically renew for additional consecutive terms of one year, unless cancelled by either party upon 180-day written notice to the other party prior to the end of the then current term. On June 1, 2020, HMI extended the existing manufacturing agreement with Key Tronic for a second three year term from December 29, 2020 until December 31, 2023. As of March 31, 2021, the Company did not have any outstanding commitments to Key Tronic to complete the Company’s forecasts for the procurement of materials necessary for the delivery of PoNS devices.</w:t>
      </w:r>
    </w:p>
    <w:p>
      <w:pPr>
        <w:spacing w:after="0" w:line="30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7"/>
          <w:szCs w:val="17"/>
          <w:b w:val="1"/>
          <w:bCs w:val="1"/>
          <w:color w:val="auto"/>
        </w:rPr>
        <w:t>RELATED PARTY TRANSACTIONS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three months ended March 31, 2020, the Company paid approximately $5 thousand in consulting fees to a director of the Company. No consulting fees were paid to this director during the three months ended March 31, 2021.</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Chief Financial Officer/Chief Operating Officer and affiliates of the Company’s Interim Chief Executive Officer and director subscribed for units in the Company’s October 2020 Offering.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Affiliates of the Company’s Interim Chief Executive Officer and director participated in the February 2021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21" w:name="page22"/>
    <w:bookmarkEnd w:id="21"/>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Unless otherwise specified or the context otherwise requires, references to “we”, “us” or “our” mean Helius Medical Technologies, Inc. and its wholly owned subsidiaries, Helius Medical, Inc., or HMI, Helius Medical Technologies (Canada), Inc., or HMC, Helius Canada Acquisition Ltd., or HCA, and Helius NeuroRehab, Inc., or HNR. The interim financial statements and this Management’s Discussion and Analysis of Financial Condition and Results of Operations should be read in conjunction with the financial statements and notes thereto for the year ended December 31, 2020, and the related Management’s Discussion and Analysis of Financial Condition and Results of Operations, both of which are contained in the our Annual Report on Form 10-K for the year ended December 31, 2020 filed with the Securities and Exchange Commission, or the SEC, on March 10, 2021, or our 2020 Annual Report. All financial information is stated in U.S. dollars unless otherwise specified. Our condensed consolidated financial statements are prepared in accordance with accounting principles generally accepted in the United States, or U.S. GAAP.</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Quarterly Report on Form 10-Q contains forward-looking statements that involve risks and uncertainties, including statements regarding our market, strategy, competition, capital needs, business plans and expectations. Any statements contained herein that are not statements of historical facts may be deemed to be forward-looking statements. In some cases, you can identify forward-looking statements by terminology such as “may”, “will”, “should”, “expect”, “plan”, “intend”, “anticipate”, “believe”, “estimate”, “predict”, “potential” or “continue”, the negative of such terms or other comparable terminology. Forward-looking statements are made, without limitation, in relation to operating plans, availability of funds and operating costs. Such forward-looking statements involve risks and uncertainties, known and unknown, including risks and uncertainties relating to the COVID-19 pandemic, including its impact on the Company, the success of our business plan, availability of funds, our ability to maintain and enforce our intellectual property rights, government regulations, operating costs, and our ability to achieve significant revenues and other factors discussed in the section entitled “Item 1A. Risk Factors” in this Quarterly Report on Form 10-Q and in our 2020 Annual Report and those described from time to time in our future reports filed with the SEC. While these forward-looking statements, and any assumptions upon which they are based, are made in good faith, based on information available to us as of the date hereof, and reflect our current judgment regarding our business plans, we cannot guarantee future results, events, levels of activity, performance or achievement and our actual results will almost always vary, sometimes materially, from any estimates, predictions, projections, assumptions or other future performance suggested herein. We do not intend, and undertake no obligation, to update or revise any of the forward-looking statements as a result of new information, future events or otherwise or to conform these statements to actual results, except as required by applicable law, including the securities laws of the United States.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unaudited condensed consolidated financial statements and related notes appearing elsewhere in this Quarterly Report on Form 10-Q.</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 neurotechnology company focused on neurological wellness. Our purpose is to develop, license or acquire non-invasive technologies targeted at reducing symptoms of neurological disease or trauma.</w:t>
      </w:r>
    </w:p>
    <w:p>
      <w:pPr>
        <w:spacing w:after="0" w:line="6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first product, known as the Portable Neuromodulation Stimulator (PoNS</w:t>
      </w:r>
      <w:r>
        <w:rPr>
          <w:rFonts w:ascii="Arial" w:cs="Arial" w:eastAsia="Arial" w:hAnsi="Arial"/>
          <w:sz w:val="14"/>
          <w:szCs w:val="14"/>
          <w:color w:val="auto"/>
        </w:rPr>
        <w:t>TM</w:t>
      </w:r>
      <w:r>
        <w:rPr>
          <w:rFonts w:ascii="Arial" w:cs="Arial" w:eastAsia="Arial" w:hAnsi="Arial"/>
          <w:sz w:val="17"/>
          <w:szCs w:val="17"/>
          <w:color w:val="auto"/>
        </w:rPr>
        <w:t>), is an innovative non-surgical medical device, inclusive of a controller and mouthpiece, which delivers mild electrical stimulation to the surface of the tongue to provide treatment of gait deficit and is indicated for use in the United States as a short term treatment of gait deficit due to mild-to-moderate symptoms for multiple sclerosis (MS) and is to be used as an adjunct to a supervised therapeutic exercise program in patients 22 years of age and over by prescription only. It is not expected to be commercially available in the United States until the first quarter of 2022. The PoNS device is authorized for sale in Canada as a class II, non-implantable medical device intended as a short term treatment (14 weeks) of gait deficit due to mild and moderate symptoms from MS and chronic balance deficit due to mild-to-moderate traumatic brain injury (mmTBI) and is to be used in conjunction with physical therapy (PoNS Treatment</w:t>
      </w:r>
      <w:r>
        <w:rPr>
          <w:rFonts w:ascii="Arial" w:cs="Arial" w:eastAsia="Arial" w:hAnsi="Arial"/>
          <w:sz w:val="14"/>
          <w:szCs w:val="14"/>
          <w:color w:val="auto"/>
        </w:rPr>
        <w:t>TM</w:t>
      </w:r>
      <w:r>
        <w:rPr>
          <w:rFonts w:ascii="Arial" w:cs="Arial" w:eastAsia="Arial" w:hAnsi="Arial"/>
          <w:sz w:val="17"/>
          <w:szCs w:val="17"/>
          <w:color w:val="auto"/>
        </w:rPr>
        <w:t>). It has been commercially available in Canada since March 2019. The PoNS device is an investigational medical device in the European Union (EU), and Australia (AUS). The device is currently under premarket review by the AUS Therapeutic Goods Administration.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Status Worldwide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Canadian Regulatory Status: mmTBI and MS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October 17, 2018, we received our Canadian marketing authorization from Health Canada allowing us to commercialize the PoNS device in Canada for use as a short-term treatment (14 weeks) of chronic balance deficit due to mmTBI.</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March 18, 2020, we received marketing authorization from Health Canada allowing us to commercialize the PoNS device in Canada for the treatment of gait deficit in patients with mild and moderate MS symptoms. Our market authorization application comprised objective statistical evidence as well as independently reviewed clinical research analysis. We believe this label expansion will significantly expand our addressable market opportunity in Canada to include a patient population that is motivated to pursue treatment options which may resolve or delay the progression of MS gait deficit symptoms.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US Regulatory Status: MS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7, 2020 we received Breakthrough Designation for the PoNS™ device as a potential treatment for gait deficit due to symptoms of Multiple Sclerosis (“MS”), to be used as an adjunct to a supervised therapeutic exercise program. The goal of the Breakthrough Devices Program is to provide patients and health care providers with timely access to these medical devices by speeding up their development, assessment, and review, while preserving the statutory standards for premarket approval, 510(k) clearance, and de novo classification and clearance, consistent with FDA’s mission to protect and promote public health.</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26, 2021, we received marketing authorization from the FDA for the PoNS device. The PoNS device is indicated for use as a short term treatment of gait deficit due to mild-to-moderate symptoms of MS and is to be used as an adjunct to a supervised therapeutic exercise program in patients 22 years of age and over by prescription only.</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January 14, 2021, the Centers for Medicare &amp; Medicaid Services, or CMS, issued the final rule (CMS-3372-F), 42 C.F.R. § 405.603 on the new Medicare coverage pathway referred to as Medicare Coverage of Innovative Technology, or MCIT, for FDA-designated breakthrough medical devices. The MCIT rule will provide national Medicare coverage as early as the same day as FDA market authorization for breakthrough devices and coverage would last for four years. To be eligible for coverage through MCIT, the breakthrough device must be used for the FDA approved or cleared indication(s) for use. Manufacturers will be able to opt in to MCIT and choose a start date for coverage anytime within two years from the date of FDA market authorization, but coverage will only be valid for four years from market authorization regardless of opt in date. At the end of the four year period, manufacturers are expected to have obtained coding for the specific product which can then be used as the reimbursement pathway for commercial payers. CMS announced MCIT was delayed from becoming effective March 15, 2021 to May 15, 2021 with an additional comment period during that time. On May 14, 2021, CMS announced it further delayed the effective date of the final rule until December 15, 2021 to provide CMS an opportunity to determine appropriate next steps. We are evaluating the recent announcement and its implications for our reimbursement strategy. We are still working to understand current Medicare requirements and policies for coverage, coding, and payment of durable medical equipment and assesses how the PoNS device may be treated with respect to coding, coverage, and reimbursement under the Medicare program.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Regulatory Status: mmTBI</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U.S. regulatory strategy initially focused on pursuing de novo classification and clearance of the PoNS device from the FDA for the treatment of balance deficit due to mmTBI.</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submitted a request for de novo classification and clearance of the PoNS device to the FDA for this indication in August 2018. This request was supported by data from two of our clinical trials in mmTBI, including our registrational trial, TBI-001.</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231F20"/>
        </w:rPr>
        <w:t>In April 2019, we announced the FDA had completed its review and had denied our request for de novo classification and clearance of the PoNS device for the treatment of chronic balance deficit due to mmTBI. In reaching its conclusion, the FDA noted, via a denial letter, that although the safety profile of the PoNS device is acceptable, the FDA did not have sufficient information to discern the relative independent contributions of the PoNS device and physical therapy on the improvements from baseline. The FDA noted that we could generate additional data to address its concerns and resubmit our application.</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October 2019, we had a pre-submission meeting where the FDA provided feedback needed to help complete the design of a new clinical trial intended to address the FDA’s request for a trial that demonstrates the benefit of the PoNS Treatment compared to physical therapy alone. In January 2020, we received the FDA’s feedback on the minutes from the October 2019 pre-submission meeting. In its feedback, the FDA provided post-meeting notes with specific recommendations regarding the trial design that were not discussed in the October 2019 pre-submission meeting.</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Based on the receipt of the FDA’s final minutes from the pre-submission meeting, we finalized our clinical protocol for a new trial, TBI-002, intended to support a request for de novo classification and clearance of the PoNS device. TBI-002 will be a multi-center, randomized trial in the U.S. and Canada consisting of 103 subjects with balance deficit due to mmTBI. Although TBI-002 will take longer and be more costly than the design that we had discussed at our October 2019 pre-submission meeting, we believe that the chances of obtaining FDA de novo classification and clearance will be significantly increased if we incorporate the FDA’s pre-submission feedback into this next trial design.</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TBI-002 will proceed in two phases: a run-in phase, followed by a treatment phase. During the run-in phase, all subjects will receive 5 weeks of physical therapy alone. Subjects will then be randomized and assigned to one of two groups in the treatment phase where subjects will either receive up to 10 weeks of physical therapy with the PoNS device or 10 weeks of physical therapy without the PoNS device. The primary effectiveness endpoint of TBI-002 will be a responder analysis.</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Prior to the COVID-19 pandemic, our expectation was that we would move forward with the revised protocol and estimated that enrollment would begin in April 2020 with the completion of the trial and submission to the FDA in the second quarter of 2021. However, the launch of the TBI-002 trial has been temporarily suspended, and we are evaluating our options for funding and timing to commence the trial or potentially look at other indications, including stroke, cerebral palsy, Parkinson’s disease, baby boomers balance, and neurological wellness, as well as label expansion for our existing indications.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231F20"/>
        </w:rPr>
        <w:t>European Regulatory Status</w:t>
      </w:r>
    </w:p>
    <w:p>
      <w:pPr>
        <w:spacing w:after="0" w:line="225"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231F20"/>
        </w:rPr>
        <w:t xml:space="preserve">In December 2018, we submitted an application for a CE Mark, which, if approved, would allow us to market the PoNS device in the EU. </w:t>
      </w:r>
      <w:r>
        <w:rPr>
          <w:rFonts w:ascii="Arial" w:cs="Arial" w:eastAsia="Arial" w:hAnsi="Arial"/>
          <w:sz w:val="18"/>
          <w:szCs w:val="18"/>
          <w:color w:val="000000"/>
        </w:rPr>
        <w:t>During the</w:t>
      </w:r>
      <w:r>
        <w:rPr>
          <w:rFonts w:ascii="Arial" w:cs="Arial" w:eastAsia="Arial" w:hAnsi="Arial"/>
          <w:sz w:val="18"/>
          <w:szCs w:val="18"/>
          <w:color w:val="231F20"/>
        </w:rPr>
        <w:t xml:space="preserve"> </w:t>
      </w:r>
      <w:r>
        <w:rPr>
          <w:rFonts w:ascii="Arial" w:cs="Arial" w:eastAsia="Arial" w:hAnsi="Arial"/>
          <w:sz w:val="18"/>
          <w:szCs w:val="18"/>
          <w:color w:val="000000"/>
        </w:rPr>
        <w:t xml:space="preserve">second quarter of 2019, we engaged with regulators in Europe to answer questions that we received from them as part of their review of our PoNS device for CE marking. </w:t>
      </w:r>
      <w:r>
        <w:rPr>
          <w:rFonts w:ascii="Arial" w:cs="Arial" w:eastAsia="Arial" w:hAnsi="Arial"/>
          <w:sz w:val="18"/>
          <w:szCs w:val="18"/>
          <w:color w:val="231F20"/>
        </w:rPr>
        <w:t>In August 2019, we withdrew our</w:t>
      </w:r>
      <w:r>
        <w:rPr>
          <w:rFonts w:ascii="Arial" w:cs="Arial" w:eastAsia="Arial" w:hAnsi="Arial"/>
          <w:sz w:val="18"/>
          <w:szCs w:val="18"/>
          <w:color w:val="000000"/>
        </w:rPr>
        <w:t xml:space="preserve"> application from the EU marketing process due to uncertainty in Europe caused by the switch from the Medical Device Directive, or MDD, to the Medical Device Regulation, or MDR, Brexit, and the withdrawal of Lloyd’s Register Quality Assurance, our notified body, from the EU notified body business. We have engaged G-MED NA (North America) as our new ISO registrar and new notified body and will reconsider submitting to the EU when conditions stabilize.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Australian Regulatory Status</w:t>
      </w:r>
    </w:p>
    <w:p>
      <w:pPr>
        <w:spacing w:after="0" w:line="225"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In the third quarter of 2019 we initiated the submission of our application to the Therapeutic Goods Administration, or TGA. We supplemented our submission with additional data based on questions supplied to date and provided responses to additional questions during the third quarter of 2020. We are currently awaiting additional feedback from TGA on our application.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Canada Commercialization Efforts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a real-world results perspective, in Canada thus far, the collective experience of our patients that have completed the 14-week PoNS Treatment have been encouraging. Consistent with what we saw in our two clinical trials, one for 5 weeks and the other for 14 weeks, commercial MS and mmTBI patients are demonstrating improvements in balance and gait within the first two weeks followed by continued improvement over the following twelve weeks. The majority of patients have a mean patient adherence to treatment of over 90% and showed significant improvement in their balance and gait with a meaningful clinical difference at the end of their treatment. The consistency of the patient results from our initial commercial experience supports our plans to expand access to the PoNS Treatment in Canada.</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March 2019 marked the commercialization of our PoNS Treatment in Canada, where PoNS became the first and only device authorized by Health Canada for the treatment of balance deficit due to mmTBI. Throughout 2019 we made important progress in advancing and refining our commercialization strategy in Canada building access, awareness and credibility for the PoNS Treatment. These efforts, which were led by our local Canadian commercial team, included the establishment of our authorized clinic network throughout Canada, launching digital marketing campaigns, and building key opinion leader and advocacy networks.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third quarter of 2019, we made the strategic decision to change our business model in Canada in order to accelerate the adoption of our novel technology. On October 30, 2019, we acquired the Heuro Canada operating entity from HTC which allowed us to streamline the decision-making process and increase our ability to react to evolving market factors as the market for the PoNS Treatment is being developed.</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18, 2020, the Company received notification that its Canadian Class II license amendment application for the treatment of gait deficit in patients with mild and moderate symptoms from MS, when used in conjunction with physical therapy, was successful and received marketing authorization for PoNS from Health Canada.</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Following in-depth market analysis and field intelligence, our Canadian commercial team began an expansion plan to increase the number of authorized PoNS clinics. During the year ended December 31, 2020, we authorized 24 new clinical locations to have 31 clinic locations as of December 31, 2020. As of March 31, 2021, we have 33 clinic locations. In addition to continuing to increase the number of clinic locations, we have shifted our focus to driving patient throughput to these 33 clinics. Sales performance in Canada continues to be impacted by the COVID-19 pandemic due to space restrictions that the provincial governments have imposed as well as the risk tolerance of patients and therapists.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collaboration with the Toronto Rehabilitation Institute (part of University Health Network), we are continuing our clinical experience program, the results of which we look to publish in 2021.</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continue to refine our go-to-market pricing model based on market feedback. Our modified pricing approach is focused on reducing the need for clinics and patients to pay large, upfront costs at the start of treatment. We have also experimented with various promotional pricing programs resulting in lower unit prices for both PoNS system purchases and mouthpieces in order to increase access to the PoNS treatment and drive market awareness which we expect to result in an increase in the volume of units sold, which was seen in the second half of 2020. We intend to keep the promotional pricing in place at least through the first half of 2021.</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value dossiers for mmTBI and MS that were created in mid-2020 to fully demonstrate in both scientific and financial terms, the merits of PoNS Treatment for claimants are now being implemented along with submissions from clinics on behalf of their patients. The dossiers are provided to our clinics across Canada to submit as part of treatment plans with reimbursement applications to the payer community. Our reimbursement strategy for mmTBI is focused initially on the auto accident insurance and workers’ compensation market as well as long-term disability cases. Our reimbursement strategy for MS is focused on commercial insurers/extended health benefits.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part of our overall PoNS Treatment strategy, we are also gathering comprehensive health economic assessments of treatment outcomes. These data will, in-turn, be used to support our applications for workers’ compensation, auto insurance and commercial insurance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4" w:name="page25"/>
    <w:bookmarkEnd w:id="24"/>
    <w:p>
      <w:pPr>
        <w:jc w:val="both"/>
        <w:spacing w:after="0" w:line="277" w:lineRule="auto"/>
        <w:rPr>
          <w:sz w:val="20"/>
          <w:szCs w:val="20"/>
          <w:color w:val="auto"/>
        </w:rPr>
      </w:pPr>
      <w:r>
        <w:rPr>
          <w:rFonts w:ascii="Arial" w:cs="Arial" w:eastAsia="Arial" w:hAnsi="Arial"/>
          <w:sz w:val="18"/>
          <w:szCs w:val="18"/>
          <w:color w:val="auto"/>
        </w:rPr>
        <w:t>reimbursement initiatives in Canada, the United States and other markets around the world. The Canadian commercial experience will be extremely valuable to prepare us for our launches in the United States and internationally.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Pre-Commercialization Efforts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noted above, on March 26, 2021, we received marketing authorization from the FDA for the PoNS device. The PoNS device is indicated for use as a short term treatment of gait deficit due to mild-to-moderate symptoms of MS and is to be used as an adjunct to a supervised therapeutic exercise program in patients 22 years of age and over by prescription only. Despite the marketing authorization, the PoNS device is not currently commercially available in the United States, and we expect it will not be commercially available until the first quarter of 2022.</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this pre-commercial phase, we are working on the development of our commercial strategy focused on working with CMS on attaining four years of Medicare coverage under the MCIT pathway for PoNS as a Breakthrough Designated Device, attaining distribution licenses and beginning to build relationships with key large neurorehabilitation centers, which focus on treatment of MS patients. We continue to generate data on outcomes of the PoNS Treatment generated from treatment of patients in Canada and ensuring that our scientific data is presented at many of the key national and international neurology and neuromodulation meetings. We believe this scientific dissemination may begin to pave the way to establishing the PoNS Treatment as the standard of care for the treatment of MS-related gait deficit.</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commercialize the PoNS Treatment in the United States, we plan to target a subset of neurorehabilitation centers that have been profiled as early adopters to develop a network of PoNS certified neurorehabilitation centers that will be trained to deliver the PoNS Treatment. Care of patients with MS is concentrated in major neurorehabilitation centers that often have a network of outpatient rehabilitation clinics, where we expect that most of the PoNS Treatment will take place. We believe that a small, specialty sales force, calling on new technology review boards for trial and in-house physicians, neurologists, physiatrists and physical therapists, will be sufficient to drive trial and adoption of the PoNS Treatment in certified neurorehabilitation centers. Importantly, this focused strategy will also allow us to inspect whether we are generating patient outcomes similar to those seen in our clinical trials.</w:t>
      </w:r>
    </w:p>
    <w:p>
      <w:pPr>
        <w:spacing w:after="0" w:line="19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planning to pursue Medicare coverage for PoNS under the CMS voluntary MCIT program within the Durable Medical Equipment, or DME, benefit category. While there are no currently applicable Healthcare Common Procedure Coding System, or HCPCS, codes to describe the PoNS system or Mouthpiece, our expectation is that we will use miscellaneous codes – E1399 (Miscellaneous durable medical equipment) and A9999 (Miscellaneous DME supply or accessory, not otherwise specified) until specific HCPCS codes are created. We intend to apply for unique HCPCS codes in the next application cycle, which is a nine month process from application until coding would be effective. We also intend to provide broad access and reimbursement for the PoNS Treatment over time through Commercial insurers. At launch, prior to the initiation of CMS or broad payer coverage, we anticipate the primary source of sales will be self-pay patients. We will support the cost of the PoNS Treatment by collaborating with third parties to provide self-pay patients with financing options as well as working with advocacy groups and charitable organizations to help self-pay patients access our technology. In general, we anticipate at least a 24-month window to obtain broad coverage and reimbursement among government and private payers. We plan to work in parallel with non-traditional payers, such as WC, auto insurance and the military, by engaging with them and providing them with relevant health economic and return-to-work data obtained through our Canadian commercial experience.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Pandemic</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March 11, 2020, the World Health Organization declared the outbreak of COVID-19 as a global pandemic, which continues to spread throughout the United States and around the world. The Company’s business, results of operations and financial condition have been and may continue to be adversely impacted by the COVID-19 pandemic and global economic conditions. The outbreak and spread of COVID-19 has significantly increased economic uncertainty. Authorities implemented, and continue to implement, numerous measures to try to contain the virus, such as travel bans and restrictions, quarantines, shelter in place orders, and business shutdowns. The COVID-19 pandemic initially led to the closure of PoNS Authorized clinic locations across Canada from March until June 2020. Patients who completed their initial training in the clinics prior to the closures have been able to continue working independently in the at-home portion of the treatment, with remote check-ins with their certified therapists. While all clinics have re-opened, they are all currently operating at reduced capacity within provincial guidelines, which currently limits operations to 25% capacity, with capacity as low as 15% in Ontario. Some patients have begun to return to these clinics for treatment, but patients have been and may continue to be less willing to return to the clinics due to COVID-19, impacting our commercial activities and our customer engagement efforts. This is especially true in the first quarter of 2021, as cases of COVID-19 increased significantly in Canada and additional restrictions, shelter in place orders, and business shutdowns have been imposed. While COVID-19 vaccinations in Canada are starting to be administered, the COVID-19 pandemic has continued to impact us.</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expanded our services to include remote training and treatment, but the long-term viability of these remote programs is still being assessed. Additionally, while we do not currently have any clinical trials underway, we are running clinical experience programs in Canada and have experienced delays in the programs as trial participant attendance has generally decreased as a result of the pandemic, and clinics and clinical research sites have experienced delays and difficulties in recruiting and re-hiring clinical site staff. As noted above, prior to the COVID-19 pandemic, our expectation was that we would move forward with the launch of our TBI-002 trial and we had estimated that enrollment would begin in April 2020 with the completion of the trial and submission to the FDA in the second quarter of 2021. However, the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5" w:name="page26"/>
    <w:bookmarkEnd w:id="25"/>
    <w:p>
      <w:pPr>
        <w:jc w:val="both"/>
        <w:spacing w:after="0" w:line="277" w:lineRule="auto"/>
        <w:rPr>
          <w:sz w:val="20"/>
          <w:szCs w:val="20"/>
          <w:color w:val="auto"/>
        </w:rPr>
      </w:pPr>
      <w:r>
        <w:rPr>
          <w:rFonts w:ascii="Arial" w:cs="Arial" w:eastAsia="Arial" w:hAnsi="Arial"/>
          <w:sz w:val="18"/>
          <w:szCs w:val="18"/>
          <w:color w:val="auto"/>
        </w:rPr>
        <w:t>launch of the TBI-002 trial has been temporarily suspended and we are evaluating our options for funding and timing to commence the trial or potentially look at other indications.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COVID-19 pandemic and other outbreaks may cause delays in or the suspension of our business partners manufacturing operations, our research and product development activities, our regulatory workstreams, our research and development activities and other important commercial functions. We are also dependent upon our suppliers for the manufacture of our PoNS device, and in the second quarter of 2020, two of our business partners diverted resources towards other activities related to COVID-19, resulting in delays in the development and manufacturing of our product. Such diversion of suppliers’ resources may occur again in the future, and the pandemic could limit our suppliers’ ability to travel or ship materials or force temporary closure of facilities that we rely upon. Disruptions in business operations or governmental operations due to COVID-19 may delay the timing for the submission and approval of our marketing applications with regulatory agencies. Further, the economic impact of the COVID-19 pandemic could affect our ability to access the public markets and obtain necessary capital in order to properly capitalize and continue our operations.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the extent the COVID-19 pandemic impacts our ability to complete necessary pre-commercialization activities, our commercial launch in the U.S. could be impeded or delayed. The extent to which the COVID-19 pandemic will continue to impact our business, results of operations and financial condition will depend on future developments, which are highly uncertain and cannot be predicted. We do not know yet the full extent of the impact of COVID-19 on our business, operations or the global economy as a whole.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Purchase Agreement and Co-Promotion Agreement</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October 30, 2019, we and HTC entered into a Share Purchase Agreement, or the SPA, whereby we, through our wholly owned subsidiary, acquired Heuro from HTC. Under the terms of the SPA, total consideration of approximately $1.6 million was transferred to HTC, which included (1) the repayment to HTC for their investment in the set-up of Heuro’s initial commercial infrastructure including, the establishment of five authorized PoNS clinics across Canada, (2) the current market value of 55 PoNS devices which we also provided to HTC under the SPA, (3) the forgiveness of the CAD$750,000 receivable from the September 2018 strategic alliance agreement and (4) the exclusivity rights granted to HTC in the Co-Promotion Agreement, as defined below, to provide PoNS Treatment in the Fraser Valley and Vancouver metro regions of British Columbia.</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connection with the Share Purchase Agreement, on October 30, 2019, we entered into a Clinical Research and Co-Promotion Agreement with HTC, or the Co-Promotion Agreement, whereby each company agreed to promote the sales of the PoNS Treatment and the NeuroCatch</w:t>
      </w:r>
      <w:r>
        <w:rPr>
          <w:rFonts w:ascii="Arial" w:cs="Arial" w:eastAsia="Arial" w:hAnsi="Arial"/>
          <w:sz w:val="13"/>
          <w:szCs w:val="13"/>
          <w:color w:val="auto"/>
        </w:rPr>
        <w:t>TM</w:t>
      </w:r>
      <w:r>
        <w:rPr>
          <w:rFonts w:ascii="Arial" w:cs="Arial" w:eastAsia="Arial" w:hAnsi="Arial"/>
          <w:sz w:val="16"/>
          <w:szCs w:val="16"/>
          <w:color w:val="auto"/>
        </w:rPr>
        <w:t xml:space="preserve"> device throughout Canada. The co-promotion provisions within the Co-Promotion Agreement terminated on December 31, 2020, although the Co-Promotion Agreement remains in effect. Also, subject to certain terms and conditions, we granted to HTC the exclusive right to provide the PoNS Treatment in the Fraser Valley and Vancouver metro regions of British Columbia, where HTC has operated a PoNS authorized clinic since February 2019. HTC will purchase the PoNS devices for use in these regions exclusively from us and on terms no less favorable than the then-current standard terms and conditions. This exclusivity right has an initial term of ten years, renewable by HTC for one additional ten year term upon sixty days’ written notice to us.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2021 compared to the Three Months Ended March 31,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three months ended March 31, 2021 and 2020 (amounts in thousands):</w:t>
      </w:r>
    </w:p>
    <w:p>
      <w:pPr>
        <w:spacing w:after="0" w:line="311"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4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4"/>
          </w:tcPr>
          <w:p>
            <w:pPr>
              <w:jc w:val="right"/>
              <w:ind w:right="27"/>
              <w:spacing w:after="0"/>
              <w:rPr>
                <w:sz w:val="20"/>
                <w:szCs w:val="20"/>
                <w:color w:val="auto"/>
              </w:rPr>
            </w:pPr>
            <w:r>
              <w:rPr>
                <w:rFonts w:ascii="Arial" w:cs="Arial" w:eastAsia="Arial" w:hAnsi="Arial"/>
                <w:sz w:val="14"/>
                <w:szCs w:val="14"/>
                <w:b w:val="1"/>
                <w:bCs w:val="1"/>
                <w:color w:val="auto"/>
              </w:rPr>
              <w:t>March 31,</w:t>
            </w:r>
          </w:p>
        </w:tc>
        <w:tc>
          <w:tcPr>
            <w:tcW w:w="7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60" w:type="dxa"/>
            <w:vAlign w:val="bottom"/>
            <w:vMerge w:val="restart"/>
          </w:tcPr>
          <w:p>
            <w:pPr>
              <w:spacing w:after="0"/>
              <w:rPr>
                <w:sz w:val="20"/>
                <w:szCs w:val="20"/>
                <w:color w:val="auto"/>
              </w:rPr>
            </w:pPr>
            <w:r>
              <w:rPr>
                <w:rFonts w:ascii="Arial" w:cs="Arial" w:eastAsia="Arial" w:hAnsi="Arial"/>
                <w:sz w:val="18"/>
                <w:szCs w:val="18"/>
                <w:b w:val="1"/>
                <w:bCs w:val="1"/>
                <w:color w:val="auto"/>
              </w:rPr>
              <w:t>Revenue:</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ind w:right="311"/>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476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Product sales</w:t>
            </w:r>
          </w:p>
        </w:tc>
        <w:tc>
          <w:tcPr>
            <w:tcW w:w="76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1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9"/>
        </w:trPr>
        <w:tc>
          <w:tcPr>
            <w:tcW w:w="4760" w:type="dxa"/>
            <w:vAlign w:val="bottom"/>
          </w:tcPr>
          <w:p>
            <w:pPr>
              <w:ind w:left="240"/>
              <w:spacing w:after="0"/>
              <w:rPr>
                <w:sz w:val="20"/>
                <w:szCs w:val="20"/>
                <w:color w:val="auto"/>
              </w:rPr>
            </w:pPr>
            <w:r>
              <w:rPr>
                <w:rFonts w:ascii="Arial" w:cs="Arial" w:eastAsia="Arial" w:hAnsi="Arial"/>
                <w:sz w:val="18"/>
                <w:szCs w:val="18"/>
                <w:color w:val="auto"/>
              </w:rPr>
              <w:t>Fee revenue</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License revenue</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b w:val="1"/>
                <w:bCs w:val="1"/>
                <w:color w:val="auto"/>
              </w:rPr>
              <w:t>Total operating revenue</w:t>
            </w:r>
          </w:p>
        </w:tc>
        <w:tc>
          <w:tcPr>
            <w:tcW w:w="5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Cost of sales:</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40"/>
              <w:spacing w:after="0"/>
              <w:rPr>
                <w:sz w:val="20"/>
                <w:szCs w:val="20"/>
                <w:color w:val="auto"/>
              </w:rPr>
            </w:pPr>
            <w:r>
              <w:rPr>
                <w:rFonts w:ascii="Arial" w:cs="Arial" w:eastAsia="Arial" w:hAnsi="Arial"/>
                <w:sz w:val="18"/>
                <w:szCs w:val="18"/>
                <w:color w:val="auto"/>
              </w:rPr>
              <w:t>Cost of product sales</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Gross profit</w:t>
            </w:r>
          </w:p>
        </w:tc>
        <w:tc>
          <w:tcPr>
            <w:tcW w:w="5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69</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2,197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2,862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expense</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4760" w:type="dxa"/>
            <w:vAlign w:val="bottom"/>
            <w:tcBorders>
              <w:bottom w:val="single" w:sz="8" w:color="CFF0FC"/>
            </w:tcBorders>
          </w:tcPr>
          <w:p>
            <w:pPr>
              <w:ind w:left="480"/>
              <w:spacing w:after="0"/>
              <w:rPr>
                <w:sz w:val="20"/>
                <w:szCs w:val="20"/>
                <w:color w:val="auto"/>
              </w:rPr>
            </w:pPr>
            <w:r>
              <w:rPr>
                <w:rFonts w:ascii="Arial" w:cs="Arial" w:eastAsia="Arial" w:hAnsi="Arial"/>
                <w:sz w:val="18"/>
                <w:szCs w:val="18"/>
                <w:b w:val="1"/>
                <w:bCs w:val="1"/>
                <w:color w:val="auto"/>
              </w:rPr>
              <w:t>Total operating expenses</w:t>
            </w:r>
          </w:p>
        </w:tc>
        <w:tc>
          <w:tcPr>
            <w:tcW w:w="54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3,570</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4,108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(538)</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loss</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(3,501)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(4,002)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501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income</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4760" w:type="dxa"/>
            <w:vAlign w:val="bottom"/>
          </w:tcPr>
          <w:p>
            <w:pPr>
              <w:ind w:left="240"/>
              <w:spacing w:after="0"/>
              <w:rPr>
                <w:sz w:val="20"/>
                <w:szCs w:val="20"/>
                <w:color w:val="auto"/>
              </w:rPr>
            </w:pPr>
            <w:r>
              <w:rPr>
                <w:rFonts w:ascii="Arial" w:cs="Arial" w:eastAsia="Arial" w:hAnsi="Arial"/>
                <w:sz w:val="18"/>
                <w:szCs w:val="18"/>
                <w:color w:val="auto"/>
              </w:rPr>
              <w:t>Change in fair value of derivative financial instruments</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exchange gain (loss)</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(765)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other income (expense)</w:t>
            </w:r>
          </w:p>
        </w:tc>
        <w:tc>
          <w:tcPr>
            <w:tcW w:w="54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5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(3,362)</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(4,757)</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1,395</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For the three months ended March 31, 2021, we recognized revenue of $84 thousand, of which $77 thousand was generated through product sales of our PoNS device in Canada pursuant to our executed supply agreements with neuroplasticity clinics in Canada and $7 thousand was generated from license fee revenue related to our Co-Promotion Agreement with HTC. For the three months ended March 31, 2020 we recognized revenue of $207 thousand, of which $191 thousand was generated through product sales of our PoNS device in Canada pursuant to our executed supply agreements with neuroplasticity clinics in Canada, $9 thousand was generated from fee revenue related to engaging new PoNS authorized clinics and $7 thousand was generated from license fee revenue related to our Co-Promotion Agreement with HTC. The decrease year-over-year in revenue generated through product sales of our PoNS device in Canada is the result of the COVID-19 pandemic negatively impacting our product sales beginning in March 2020 and the impact of price changes focused on reducing the need for clinics and patients to pay large, upfront costs at the start of treatment.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Cost of product sales includes the cost to manufacture the PoNS device, royalty expense, freight charges, customs duties as well as wages and salaries of employees involved in the management of the supply chain and logistics of fulfilling our sales orders. For the three months ended March 31, 2021, we incurred $15 thousand in cost of sales. For the three months ended March 31, 2020, we incurred $101 thousand in cost of sales.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Research and development, or R&amp;D, expenses were $1.3 million for the three months ended March 31, 2021 compared to $1.1 million for the three months ended March 31, 2020, an increase of $0.2 million. The increase was primarily attributable to a $0.3 million increase in product development expenses and a $0.1 million increase in salaries and wages, partially offset by a $0.2 million reduction in professional services expenses.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Selling, general and administrative, or SG&amp;A, expenses were $2.2 million for the three months ended March 31, 2021 compared to $2.9 million for the three months ended March 31, 2020, a decrease of approximately $0.7 million. The decrease was primarily due to a $0.3 million decrease in stock compensation expense, a $0.2 million reduction in legal expenses, a $0.2 million reduction in other operating expenses as a</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7" w:name="page28"/>
    <w:bookmarkEnd w:id="27"/>
    <w:p>
      <w:pPr>
        <w:jc w:val="both"/>
        <w:ind w:right="20"/>
        <w:spacing w:after="0" w:line="277" w:lineRule="auto"/>
        <w:rPr>
          <w:sz w:val="20"/>
          <w:szCs w:val="20"/>
          <w:color w:val="auto"/>
        </w:rPr>
      </w:pPr>
      <w:r>
        <w:rPr>
          <w:rFonts w:ascii="Arial" w:cs="Arial" w:eastAsia="Arial" w:hAnsi="Arial"/>
          <w:sz w:val="18"/>
          <w:szCs w:val="18"/>
          <w:color w:val="auto"/>
        </w:rPr>
        <w:t>result of the impairment of customer relationship intangible assets in the first quarter of 2020, and a $0.1 million reduction in commercial operations expense. These decreases were partially offset by a $0.2 million increase in salaries and wages.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Expense</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Amortization expense consists of the periodic amortization of intangible assets, including customer relationships, proprietary software and reacquired rights recognized in connection with the acquisition of Heuro on October 30, 2019 and internally developed software. For the three months ended March 31, 2021, amortization expense was $0.1 million. For the three months ended March 31, 2020, amortization expense was $0.1 million.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Derivative Financial Instruments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was no change in fair value of derivative financial instruments for the three months ended March 31, 2021 compared to a gain of $4 thousand for the three months ended March 31, 2020.</w:t>
      </w:r>
    </w:p>
    <w:p>
      <w:pPr>
        <w:spacing w:after="0" w:line="6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change in fair value of our derivative financial instruments was primarily attributable to the change in our stock price, volatility and the number of derivative financial instruments being measured during the period. The change in the fair value of derivative financial instruments is a non-cash item.</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Gain (Loss)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Foreign exchange gain was $0.1 million for the three months ended March 31, 2021, compared to a loss of $0.8 million for the three months ended March 31, 2020. This was primarily due to fluctuations in the foreign exchange rate as it relates to the amount of Canadian dollars held at the end of each reporting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Cash Flows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three months ended March 31, 2021 and 2020 (amounts in thousands):</w:t>
      </w:r>
    </w:p>
    <w:p>
      <w:pPr>
        <w:spacing w:after="0" w:line="311" w:lineRule="exact"/>
        <w:rPr>
          <w:sz w:val="20"/>
          <w:szCs w:val="20"/>
          <w:color w:val="auto"/>
        </w:rPr>
      </w:pPr>
    </w:p>
    <w:tbl>
      <w:tblPr>
        <w:tblLayout w:type="fixed"/>
        <w:tblInd w:w="128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5"/>
              </w:rPr>
              <w:t>Three Months Ended March 31,</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4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10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(2,921)</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(3,751)</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2,652</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8,066</w:t>
            </w:r>
          </w:p>
        </w:tc>
        <w:tc>
          <w:tcPr>
            <w:tcW w:w="1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(1,099)</w:t>
            </w:r>
          </w:p>
        </w:tc>
        <w:tc>
          <w:tcPr>
            <w:tcW w:w="24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operating activities during the three months ended March 31, 2021 was $2.9 million. This was comprised of a loss from operations of $3.4 million, unrealized foreign exchange gains of $0.1 million and $43 thousand net cash used resulting from changes in operating assets and liabilities, partially offset by certain adjustments for non-cash items of $0.6 million comprised mainly of stock-based compensation of $0.5 million and depreciation and amortization of $0.1 million.</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cash used in operating activities during the three months ended March 31, 2020 was $3.8 million. This was comprised of a loss from operations of $4.0 million and $1.1 million net cash used resulting from changes in operating assets and liabilities, partially offset by certain adjustments for non-cash items of $2.1 million comprised mainly of stock-based compensation of $0.8 million, unrealized foreign exchange losses of $0.7 million, depreciation and amortization of $0.2 million, impairment loss on intangible assets of $0.2 million and provision for doubtful accounts of $0.1 million.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investing activities during the three months ended March 31, 2021 was $21 thousand, which was primarily related to the purchase of equipment.</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investing activities during the three months ended March 31, 2020 was $10 thousand, which was primarily related to the purchase of equipment for our office and internally developed software.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financing activities during the three months ended March 31, 2021 was $11.0 million, which consisted of proceeds from the issuance of common stock from the February 2021 Offering, net of share issuance costs, and proceeds from the exercise of warrants.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financing activities during the three months ended March 31, 2020 was $2.7 million, which consisted of proceeds from the issuance of common stock from the 2020 ATM and March 2020 Offering, net of share issuance costs.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condensed consolidated financial statements have been prepared assuming that we will continue as a going concern and, accordingly, do not include adjustments relating to the recoverability and realization of assets and classification of liabilities that might be necessary should we be unable to continue in operation. Our major sources of cash have been proceeds from various public and private offerings of our common stock and exercises of stock options and warrants. From June 2014 through March 31, 2021, we raised approximately $118.9 million in gross proceeds from various public and private offerings of our common stock as well as the exercise of stock options and warrants.</w:t>
      </w:r>
    </w:p>
    <w:p>
      <w:pPr>
        <w:spacing w:after="0" w:line="17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currently have limited working capital and liquid assets. The following table summarizes our cash and working capital (which we define as current assets less current liabilities excluding derivative financial instruments) as of March 31, 2021 and December 31, 2020 (amounts in thousands):</w:t>
      </w:r>
    </w:p>
    <w:p>
      <w:pPr>
        <w:spacing w:after="0" w:line="151" w:lineRule="exact"/>
        <w:rPr>
          <w:sz w:val="20"/>
          <w:szCs w:val="20"/>
          <w:color w:val="auto"/>
        </w:rPr>
      </w:pPr>
    </w:p>
    <w:tbl>
      <w:tblPr>
        <w:tblLayout w:type="fixed"/>
        <w:tblInd w:w="13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ind w:right="56"/>
              <w:spacing w:after="0"/>
              <w:rPr>
                <w:sz w:val="20"/>
                <w:szCs w:val="20"/>
                <w:color w:val="auto"/>
              </w:rPr>
            </w:pPr>
            <w:r>
              <w:rPr>
                <w:rFonts w:ascii="Arial" w:cs="Arial" w:eastAsia="Arial" w:hAnsi="Arial"/>
                <w:sz w:val="14"/>
                <w:szCs w:val="14"/>
                <w:b w:val="1"/>
                <w:bCs w:val="1"/>
                <w:color w:val="auto"/>
                <w:w w:val="96"/>
              </w:rPr>
              <w:t>March 31, 2021</w:t>
            </w:r>
          </w:p>
        </w:tc>
        <w:tc>
          <w:tcPr>
            <w:tcW w:w="20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 2020</w:t>
            </w:r>
          </w:p>
        </w:tc>
      </w:tr>
      <w:tr>
        <w:trPr>
          <w:trHeight w:val="223"/>
        </w:trPr>
        <w:tc>
          <w:tcPr>
            <w:tcW w:w="20" w:type="dxa"/>
            <w:vAlign w:val="bottom"/>
          </w:tcPr>
          <w:p>
            <w:pPr>
              <w:spacing w:after="0"/>
              <w:rPr>
                <w:sz w:val="19"/>
                <w:szCs w:val="19"/>
                <w:color w:val="auto"/>
              </w:rPr>
            </w:pPr>
          </w:p>
        </w:tc>
        <w:tc>
          <w:tcPr>
            <w:tcW w:w="3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w:t>
            </w:r>
          </w:p>
        </w:tc>
        <w:tc>
          <w:tcPr>
            <w:tcW w:w="23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11,397</w:t>
            </w:r>
          </w:p>
        </w:tc>
        <w:tc>
          <w:tcPr>
            <w:tcW w:w="20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3,331</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Working capital</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10,329</w:t>
            </w: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2,261</w:t>
            </w:r>
          </w:p>
        </w:tc>
        <w:tc>
          <w:tcPr>
            <w:tcW w:w="80" w:type="dxa"/>
            <w:vAlign w:val="bottom"/>
          </w:tcPr>
          <w:p>
            <w:pPr>
              <w:spacing w:after="0"/>
              <w:rPr>
                <w:sz w:val="20"/>
                <w:szCs w:val="20"/>
                <w:color w:val="auto"/>
              </w:rPr>
            </w:pPr>
          </w:p>
        </w:tc>
      </w:tr>
    </w:tbl>
    <w:p>
      <w:pPr>
        <w:spacing w:after="0" w:line="24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While we have started generating revenue from the commercial sale of our PoNS device in Canada, we expect to incur significant losses until any such time as our revenue exceeds our expenses. Based on our historical cash burn rate, our existing capital resources would be sufficient to fund our operations into the first quarter of 2022, however, in light of the receipt of marketing authorization from the FDA for the PoNS device in March 2021, we expect our expenses in 2021 to increase in connection with our pre-commercialization activities, particularly as we invest in marketing and distribution capabilities, make improvements to our manufacturing process and product design, and add additional personnel. We also expect our expenses to increase if and as we decide to launch the TBI-002 trial or conduct other trials of the PoNS device without nondilutive funding, or if and as we decide to pursue further regulatory approvals, or maintain, expand and protect our intellectual property portfolio. We may require additional funding. There can be no assurance that we will be successful in raising additional capital or that such capital, if available, will be on terms that are acceptable to us. If we are unable to raise sufficient additional capital, we may be compelled to reduce the scope of our operations and planned capital expenditure or sell certain assets, including intellectual property, and we may be forced to cease or wind down operations, seek protection under the provisions of the U.S. Bankruptcy Code, or liquidate and dissolve our Company.</w:t>
      </w:r>
    </w:p>
    <w:p>
      <w:pPr>
        <w:spacing w:after="0" w:line="1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ability to raise additional capital may be adversely impacted by global economic conditions and the recent disruptions to, and volatility in, the credit and financial markets in the United States and worldwide resulting from the ongoing COVID-19 pandemic.</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the best of management’s knowledge, there are no off-balance sheet arrangements that have, or are reasonably likely to have, a current or future effect on our results of operations or financial condition.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condensed consolidated financial statements that have been prepared in accordance with U.S. GAAP. This preparation requires management to make estimates and assumptions that affect the reported amounts of assets, liabilities, revenues and expenses, and the disclosure of contingent assets and liabilities.</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critical accounting policies and estimates are described in Item 7 “Management’s Discussion and Analysis of Financial Condition and Results of Operations — Critical Accounting Policies and Estimates” of our 2020 Annual Report. There have been no changes in critical accounting policies in the current year from those described in our 2020 Annual Report.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set forth in Note 2 “Summary of Significant Accounting Policies” to our unaudited condensed consolidated financial statements under Part I, Item 1, “Condensed Consolidated Financial Statements” is incorporated herein by reference.</w:t>
      </w:r>
    </w:p>
    <w:p>
      <w:pPr>
        <w:spacing w:after="0" w:line="27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required by Rule 13a-15(b) of the Securities Exchange Act of 1934, as amended, or the Exchange Act, under the direction of our Interim Chief Executive Officer and our Chief Financial Officer, we have evaluated our disclosure controls and procedures as of the end of the period covered by this Quarterly Report on Form 10-Q. Based on this evaluation, our Interim Chief Executive Officer and our Chief Financial Officer have concluded that our disclosure controls and procedures were effective as of the end of the period covered by this report. Our management has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29" w:name="page30"/>
    <w:bookmarkEnd w:id="29"/>
    <w:p>
      <w:pPr>
        <w:spacing w:after="0" w:line="277" w:lineRule="auto"/>
        <w:rPr>
          <w:sz w:val="20"/>
          <w:szCs w:val="20"/>
          <w:color w:val="auto"/>
        </w:rPr>
      </w:pPr>
      <w:r>
        <w:rPr>
          <w:rFonts w:ascii="Arial" w:cs="Arial" w:eastAsia="Arial" w:hAnsi="Arial"/>
          <w:sz w:val="18"/>
          <w:szCs w:val="18"/>
          <w:color w:val="auto"/>
        </w:rPr>
        <w:t>concluded that the financial statements included elsewhere in this Quarterly Report on Form 10-Q present fairly, in all material respects, our financial position, results of operations and cash flows in conformity with generally accepted accounting principles.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There has not been any change in our internal control over financial reporting (as such term is defined in Rule 13a-15(f) and 15d-15(f) under the Exchange Act) during the period covered by this Quarterly Report on Form 10-Q that has materially affected, or is reasonably likely to materially affect our internal control over financial reporting.</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we are subject to litigation and claims arising in the ordinary course of business. We are not currently a party to any material legal proceedings, and we are not aware of any pending or threatened legal proceeding against us that we believe could have a material adverse effect on our business, operating results or financial condition.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business is subject to risks and events that, if they occur, could adversely affect our financial condition and results of operations and the trading price of our securities. Except for the updated risk factors set forth immediately below, our risk factors have not changed materially from those risk factors previously disclosed in our 2020 Annual Report. You should carefully consider the risk factors discussed below and in Part I, “Item 1A. Risk Factors” in our 2020 Annual Report. The risks described below and in our 2020 Annual Report are not the only risks facing us. Additional risks and uncertainties not currently known to us or that we currently deem to be immaterial also may materially and adversely affect our business, financial condition and/or operating results.</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The COVID-19 pandemic has adversely impacted, and may continue to materially and adversely impact, our business, financial condition and results of operations.</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March 11, 2020, the World Health Organization declared the outbreak of COVID-19 as a global pandemic, which continues to spread throughout the United States and around the world. The Company’s business, results of operations and financial condition have been adversely impacted by the COVID-19 pandemic and global economic conditions. The outbreak and spread of COVID-19 has significantly increased economic uncertainty. Authorities implemented numerous measures to try to contain the virus, such as travel bans and restrictions, quarantines, shelter in place orders, and business shutdowns. The COVID-19 pandemic initially led to the closure of PoNS Authorized clinic locations across Canada from March until June 2020. Patients who completed their initial training in the clinics prior to the closures have been able to continue working independently in the at-home portion of the treatment, with remote check-ins with their certified therapists. While all clinics have re-opened, they are all currently operating at reduced capacity within provincial guidelines, which currently limits operations to 25% capacity, with capacity as low as 15% in Ontario. Some patients have begun to return to these clinics for treatment, but patients have been and may continue to be less willing to return to the clinics due to COVID-19, impacting our commercial activities and our customer engagement efforts. This is especially true in the first quarter of 2021, as cases of COVID-19 increased significantly in Canada and additional restrictions, shelter in place orders, and business shutdowns have been imposed. While COVID-19 vaccinations in Canada are starting to be administered, the COVID-19 pandemic has continued to impact us.</w:t>
      </w:r>
    </w:p>
    <w:p>
      <w:pPr>
        <w:spacing w:after="0" w:line="17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expanded our services to include remote training and treatment, but the long-term viability of these remote programs is still being assessed. Additionally, while we do not currently have any clinical trials underway, we are running clinical experience programs in Canada and have experienced delays in the programs as trial participant attendance has generally decreased as a result of the pandemic, and clinics and clinical research sites have experienced delays and difficulties in recruiting and re-hiring clinical site staff. As noted above, prior to the COVID-19 pandemic, our expectation was that we would move forward with the launch of our TBI-002 trial and we had estimated that enrollment would begin in April 2020 with the completion of the trial and submission to the FDA in the second quarter of 2021. However, the launch of the TBI-002 trial has been temporarily suspended and we are evaluating our options and timing for funding and timing to commence the trial or potentially look at other indications.</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COVID-19 pandemic and other outbreaks may cause delays in or the suspension of our business partners manufacturing operations, our research and product development activities, our regulatory workstreams, our research and development activities and other important commercial functions. We are also dependent upon our suppliers for the manufacture of our PoNS device, and in the second quarter of 2020, two of our business partners diverted resources towards other activities related to COVID-19, resulting in delays in the development and manufacturing of our product. Such diversion of suppliers’ resources may occur again in the future, and the pandemic could limit our suppliers’ ability to travel or ship materials or force temporary closure of facilities that we rely upon. Disruptions in business operations or governmental operations due to COVID-19 may delay the timing for the submission and approval of the our marketing applications with regulatory agencies. Further, the economic impact of the COVID-19 pandemic could affect our ability to access the public markets and obtain necessary capital in order to properly capitalize and continue our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As the COVID-19 pandemic continues, we may experience additional disruptions that could severely impact our business, including:</w:t>
      </w:r>
    </w:p>
    <w:p>
      <w:pPr>
        <w:spacing w:after="0" w:line="225" w:lineRule="exact"/>
        <w:rPr>
          <w:sz w:val="20"/>
          <w:szCs w:val="20"/>
          <w:color w:val="auto"/>
        </w:rPr>
      </w:pPr>
    </w:p>
    <w:p>
      <w:pPr>
        <w:ind w:left="680" w:hanging="335"/>
        <w:spacing w:after="0" w:line="258"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pandemic may require us to change the way PoNS Authorized clinic locations operate or our clinical experience programs or clinical trials are conducted and may result in unexpected costs;</w:t>
      </w:r>
    </w:p>
    <w:p>
      <w:pPr>
        <w:spacing w:after="0" w:line="1" w:lineRule="exact"/>
        <w:rPr>
          <w:rFonts w:ascii="Arial" w:cs="Arial" w:eastAsia="Arial" w:hAnsi="Arial"/>
          <w:sz w:val="18"/>
          <w:szCs w:val="18"/>
          <w:color w:val="auto"/>
        </w:rPr>
      </w:pPr>
    </w:p>
    <w:p>
      <w:pPr>
        <w:ind w:left="680" w:hanging="335"/>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Some patients may be unable, or continue to be unwilling, to visit or return to our PoNS Authorized clinic locations;</w:t>
      </w:r>
    </w:p>
    <w:p>
      <w:pPr>
        <w:spacing w:after="0" w:line="9" w:lineRule="exact"/>
        <w:rPr>
          <w:rFonts w:ascii="Arial" w:cs="Arial" w:eastAsia="Arial" w:hAnsi="Arial"/>
          <w:sz w:val="18"/>
          <w:szCs w:val="18"/>
          <w:color w:val="auto"/>
        </w:rPr>
      </w:pPr>
    </w:p>
    <w:p>
      <w:pPr>
        <w:ind w:left="680" w:hanging="335"/>
        <w:spacing w:after="0" w:line="258"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Necessary interactions with local regulators, ethics committees and other important agencies and contractors may be delayed due to limitations in employee resources or forced furlough of government employees;</w:t>
      </w:r>
    </w:p>
    <w:p>
      <w:pPr>
        <w:ind w:left="680" w:right="20" w:hanging="335"/>
        <w:spacing w:after="0" w:line="260"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of our interactions with the FDA may be delayed due to absenteeism by federal employees or the diversion of their efforts and attention to approval of other therapeutics or other activities related to COVID-19;</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31" w:name="page32"/>
    <w:bookmarkEnd w:id="31"/>
    <w:p>
      <w:pPr>
        <w:ind w:left="680" w:hanging="335"/>
        <w:spacing w:after="0"/>
        <w:tabs>
          <w:tab w:leader="none" w:pos="68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complete necessary pre-commercialization activities may be impeded, which could delay our commercial launch in the U.S.;</w:t>
      </w:r>
    </w:p>
    <w:p>
      <w:pPr>
        <w:spacing w:after="0" w:line="34" w:lineRule="exact"/>
        <w:rPr>
          <w:rFonts w:ascii="Arial" w:cs="Arial" w:eastAsia="Arial" w:hAnsi="Arial"/>
          <w:sz w:val="17"/>
          <w:szCs w:val="17"/>
          <w:color w:val="auto"/>
        </w:rPr>
      </w:pPr>
    </w:p>
    <w:p>
      <w:pPr>
        <w:ind w:left="680" w:hanging="335"/>
        <w:spacing w:after="0" w:line="258"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Healthcare resources may be diverted away from PoNS Authorized clinic locations, our clinical experience programs and the conduct of clinical trials;</w:t>
      </w:r>
    </w:p>
    <w:p>
      <w:pPr>
        <w:ind w:left="680" w:hanging="335"/>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experience delays in receiving approval from local regulatory authorities to initiate future clinical trials; and</w:t>
      </w:r>
    </w:p>
    <w:p>
      <w:pPr>
        <w:spacing w:after="0" w:line="9" w:lineRule="exact"/>
        <w:rPr>
          <w:rFonts w:ascii="Arial" w:cs="Arial" w:eastAsia="Arial" w:hAnsi="Arial"/>
          <w:sz w:val="18"/>
          <w:szCs w:val="18"/>
          <w:color w:val="auto"/>
        </w:rPr>
      </w:pPr>
    </w:p>
    <w:p>
      <w:pPr>
        <w:ind w:left="680" w:hanging="335"/>
        <w:spacing w:after="0" w:line="276"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key clinical trial activities may be delayed, such as clinical trial site monitoring, due to limitation on travel imposed or recommended by federal or state governments, employers and others.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the risks specifically described above, the COVID-19 pandemic has exacerbated and precipitated the other risks described in our 2020 Annual Report, and may continue to do so. The extent to which the COVID-19 pandemic will continue to impact the our business, results of operations and financial condition will depend on future developments, which are highly uncertain and cannot be predicted. We do not know yet the full extent of the impact of COVID-19 on our business, operations or the global economy as a whole.</w:t>
      </w:r>
    </w:p>
    <w:p>
      <w:pPr>
        <w:spacing w:after="0" w:line="2" w:lineRule="exact"/>
        <w:rPr>
          <w:sz w:val="20"/>
          <w:szCs w:val="20"/>
          <w:color w:val="auto"/>
        </w:rPr>
      </w:pPr>
    </w:p>
    <w:p>
      <w:pPr>
        <w:jc w:val="both"/>
        <w:spacing w:after="0" w:line="323" w:lineRule="auto"/>
        <w:rPr>
          <w:sz w:val="20"/>
          <w:szCs w:val="20"/>
          <w:color w:val="auto"/>
        </w:rPr>
      </w:pPr>
      <w:r>
        <w:rPr>
          <w:rFonts w:ascii="Arial" w:cs="Arial" w:eastAsia="Arial" w:hAnsi="Arial"/>
          <w:sz w:val="16"/>
          <w:szCs w:val="16"/>
          <w:b w:val="1"/>
          <w:bCs w:val="1"/>
          <w:i w:val="1"/>
          <w:iCs w:val="1"/>
          <w:color w:val="auto"/>
        </w:rPr>
        <w:t>Our independent registered public accounting firm has included an explanatory paragraph relating to our ability to continue as a going concern in its report on our audited financial statements. We may be unable to operate without the threat of liquidation for the foreseeable future.</w:t>
      </w:r>
    </w:p>
    <w:p>
      <w:pPr>
        <w:spacing w:after="0" w:line="13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connection with our management’s assessment, our report from our independent registered public accounting firm for the fiscal year ended December 31, 2020 includes an explanatory paragraph stating that our recurring losses from operations and net capital deficiency raise substantial doubt about our ability to continue as a going concern. If we are unable to obtain sufficient funding, our business, prospects, financial condition and results of operations will be materially and adversely affected and we may be unable to continue as a going concern. Future reports from our independent registered public accounting firm may also contain statements expressing substantial doubt about our ability to continue as a going concern. Based on our historical cash burn rate, our existing capital resources would be sufficient to fund our operations into the first quarter of 2022, however, in light of the receipt of marketing authorization from the FDA for the PoNS device in March 2021, we expect our expenses in 2021 to increase in connection with our pre-commercialization activities, particularly as we invest in marketing and distribution capabilities, make improvements to our manufacturing process and product design, and add additional personnel. We also expect our expenses to increase if and as we decide to launch the TBI-002 trial or conduct other trials of the PoNS device without nondilutive funding, or if and as we decide to pursue further regulatory approvals, or maintain, expand and protect our intellectual property portfolio. We may require additional funding. There can be no assurance that we will be successful in raising additional capital or that such capital, if available, will be on terms that are acceptable to us. If we are unable to continue as a going concern, we may have to liquidate our assets and may receive less than the value at which those assets are carried on our consolidated financial statements, and investors will likely lose all or a part of their investment. If we seek additional financing to fund our business activities in the future and there remains substantial doubt about our ability to continue as a going concern, investors or other financing sources may be unwilling to provide additional funding on commercially reasonable terms or at all.</w:t>
      </w:r>
    </w:p>
    <w:p>
      <w:pPr>
        <w:spacing w:after="0" w:line="27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2" w:name="page33"/>
    <w:bookmarkEnd w:id="32"/>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96"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118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b w:val="1"/>
                <w:bCs w:val="1"/>
                <w:color w:val="auto"/>
              </w:rPr>
              <w:t>Exhibit No.</w:t>
            </w:r>
          </w:p>
        </w:tc>
        <w:tc>
          <w:tcPr>
            <w:tcW w:w="20" w:type="dxa"/>
            <w:vAlign w:val="bottom"/>
            <w:tcBorders>
              <w:top w:val="single" w:sz="8" w:color="auto"/>
              <w:bottom w:val="single" w:sz="8" w:color="auto"/>
            </w:tcBorders>
          </w:tcPr>
          <w:p>
            <w:pPr>
              <w:spacing w:after="0"/>
              <w:rPr>
                <w:sz w:val="14"/>
                <w:szCs w:val="14"/>
                <w:color w:val="auto"/>
              </w:rPr>
            </w:pPr>
          </w:p>
        </w:tc>
        <w:tc>
          <w:tcPr>
            <w:tcW w:w="9880" w:type="dxa"/>
            <w:vAlign w:val="bottom"/>
            <w:tcBorders>
              <w:top w:val="single" w:sz="8" w:color="auto"/>
              <w:bottom w:val="single" w:sz="8" w:color="auto"/>
              <w:right w:val="single" w:sz="8" w:color="auto"/>
            </w:tcBorders>
            <w:gridSpan w:val="16"/>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169"/>
        </w:trPr>
        <w:tc>
          <w:tcPr>
            <w:tcW w:w="1180" w:type="dxa"/>
            <w:vAlign w:val="bottom"/>
            <w:tcBorders>
              <w:left w:val="single" w:sz="8" w:color="auto"/>
              <w:right w:val="single" w:sz="8" w:color="auto"/>
            </w:tcBorders>
          </w:tcPr>
          <w:p>
            <w:pPr>
              <w:ind w:left="60"/>
              <w:spacing w:after="0" w:line="169" w:lineRule="exact"/>
              <w:rPr>
                <w:sz w:val="20"/>
                <w:szCs w:val="20"/>
                <w:color w:val="auto"/>
              </w:rPr>
            </w:pPr>
            <w:r>
              <w:rPr>
                <w:rFonts w:ascii="Arial" w:cs="Arial" w:eastAsia="Arial" w:hAnsi="Arial"/>
                <w:sz w:val="18"/>
                <w:szCs w:val="18"/>
                <w:color w:val="auto"/>
              </w:rPr>
              <w:t>3.1</w:t>
            </w:r>
          </w:p>
        </w:tc>
        <w:tc>
          <w:tcPr>
            <w:tcW w:w="20" w:type="dxa"/>
            <w:vAlign w:val="bottom"/>
          </w:tcPr>
          <w:p>
            <w:pPr>
              <w:spacing w:after="0"/>
              <w:rPr>
                <w:sz w:val="14"/>
                <w:szCs w:val="14"/>
                <w:color w:val="auto"/>
              </w:rPr>
            </w:pPr>
          </w:p>
        </w:tc>
        <w:tc>
          <w:tcPr>
            <w:tcW w:w="9880" w:type="dxa"/>
            <w:vAlign w:val="bottom"/>
            <w:tcBorders>
              <w:bottom w:val="single" w:sz="8" w:color="0000EE"/>
              <w:right w:val="single" w:sz="8" w:color="auto"/>
            </w:tcBorders>
            <w:gridSpan w:val="16"/>
          </w:tcPr>
          <w:p>
            <w:pPr>
              <w:spacing w:after="0" w:line="169" w:lineRule="exact"/>
              <w:rPr>
                <w:rFonts w:ascii="Arial" w:cs="Arial" w:eastAsia="Arial" w:hAnsi="Arial"/>
                <w:sz w:val="18"/>
                <w:szCs w:val="18"/>
                <w:color w:val="0000EE"/>
                <w:w w:val="94"/>
              </w:rPr>
            </w:pPr>
            <w:hyperlink r:id="rId53">
              <w:r>
                <w:rPr>
                  <w:rFonts w:ascii="Arial" w:cs="Arial" w:eastAsia="Arial" w:hAnsi="Arial"/>
                  <w:sz w:val="18"/>
                  <w:szCs w:val="18"/>
                  <w:color w:val="0000EE"/>
                  <w:w w:val="94"/>
                </w:rPr>
                <w:t>Certificate of Conversion filed with the Delaware Secretary of State on July 18, 2018 (incorporated by reference to Exhibit 3.1 to the</w:t>
              </w:r>
            </w:hyperlink>
          </w:p>
        </w:tc>
      </w:tr>
      <w:tr>
        <w:trPr>
          <w:trHeight w:val="196"/>
        </w:trPr>
        <w:tc>
          <w:tcPr>
            <w:tcW w:w="11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tcBorders>
              <w:right w:val="single" w:sz="8" w:color="auto"/>
            </w:tcBorders>
            <w:gridSpan w:val="16"/>
          </w:tcPr>
          <w:p>
            <w:pPr>
              <w:spacing w:after="0" w:line="196" w:lineRule="exact"/>
              <w:rPr>
                <w:rFonts w:ascii="Arial" w:cs="Arial" w:eastAsia="Arial" w:hAnsi="Arial"/>
                <w:sz w:val="18"/>
                <w:szCs w:val="18"/>
                <w:color w:val="0000EE"/>
              </w:rPr>
            </w:pPr>
            <w:hyperlink r:id="rId53">
              <w:r>
                <w:rPr>
                  <w:rFonts w:ascii="Arial" w:cs="Arial" w:eastAsia="Arial" w:hAnsi="Arial"/>
                  <w:sz w:val="18"/>
                  <w:szCs w:val="18"/>
                  <w:color w:val="0000EE"/>
                </w:rPr>
                <w:t>Form 10-Q filed August 9, 2018)</w:t>
              </w:r>
            </w:hyperlink>
          </w:p>
        </w:tc>
      </w:tr>
      <w:tr>
        <w:trPr>
          <w:trHeight w:val="21"/>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8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80" w:type="dxa"/>
            <w:vAlign w:val="bottom"/>
            <w:tcBorders>
              <w:left w:val="single" w:sz="8" w:color="auto"/>
              <w:right w:val="single" w:sz="8" w:color="auto"/>
            </w:tcBorders>
          </w:tcPr>
          <w:p>
            <w:pPr>
              <w:ind w:left="60"/>
              <w:spacing w:after="0" w:line="169"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4"/>
                <w:szCs w:val="14"/>
                <w:color w:val="auto"/>
              </w:rPr>
            </w:pPr>
          </w:p>
        </w:tc>
        <w:tc>
          <w:tcPr>
            <w:tcW w:w="9880" w:type="dxa"/>
            <w:vAlign w:val="bottom"/>
            <w:tcBorders>
              <w:right w:val="single" w:sz="8" w:color="auto"/>
            </w:tcBorders>
            <w:gridSpan w:val="16"/>
          </w:tcPr>
          <w:p>
            <w:pPr>
              <w:spacing w:after="0" w:line="169" w:lineRule="exact"/>
              <w:rPr>
                <w:rFonts w:ascii="Arial" w:cs="Arial" w:eastAsia="Arial" w:hAnsi="Arial"/>
                <w:sz w:val="18"/>
                <w:szCs w:val="18"/>
                <w:color w:val="0000EE"/>
              </w:rPr>
            </w:pPr>
            <w:hyperlink r:id="rId54">
              <w:r>
                <w:rPr>
                  <w:rFonts w:ascii="Arial" w:cs="Arial" w:eastAsia="Arial" w:hAnsi="Arial"/>
                  <w:sz w:val="18"/>
                  <w:szCs w:val="18"/>
                  <w:color w:val="0000EE"/>
                </w:rPr>
                <w:t>Certificate of Incorporation, as corrected (incorporated by reference to Exhibit 3.1 to the Form 8-K filed October 30, 2018)</w:t>
              </w:r>
            </w:hyperlink>
          </w:p>
        </w:tc>
      </w:tr>
      <w:tr>
        <w:trPr>
          <w:trHeight w:val="21"/>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8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880" w:type="dxa"/>
            <w:vAlign w:val="bottom"/>
            <w:tcBorders>
              <w:top w:val="single" w:sz="8" w:color="0000EE"/>
              <w:bottom w:val="single" w:sz="8" w:color="auto"/>
            </w:tcBorders>
          </w:tcPr>
          <w:p>
            <w:pPr>
              <w:spacing w:after="0" w:line="20" w:lineRule="exact"/>
              <w:rPr>
                <w:sz w:val="1"/>
                <w:szCs w:val="1"/>
                <w:color w:val="auto"/>
              </w:rPr>
            </w:pPr>
          </w:p>
        </w:tc>
        <w:tc>
          <w:tcPr>
            <w:tcW w:w="1660" w:type="dxa"/>
            <w:vAlign w:val="bottom"/>
            <w:tcBorders>
              <w:top w:val="single" w:sz="8" w:color="0000EE"/>
              <w:bottom w:val="single" w:sz="8" w:color="auto"/>
            </w:tcBorders>
          </w:tcPr>
          <w:p>
            <w:pPr>
              <w:spacing w:after="0" w:line="20" w:lineRule="exact"/>
              <w:rPr>
                <w:sz w:val="1"/>
                <w:szCs w:val="1"/>
                <w:color w:val="auto"/>
              </w:rPr>
            </w:pPr>
          </w:p>
        </w:tc>
        <w:tc>
          <w:tcPr>
            <w:tcW w:w="760" w:type="dxa"/>
            <w:vAlign w:val="bottom"/>
            <w:tcBorders>
              <w:top w:val="single" w:sz="8" w:color="0000EE"/>
              <w:bottom w:val="single" w:sz="8" w:color="auto"/>
            </w:tcBorders>
          </w:tcPr>
          <w:p>
            <w:pPr>
              <w:spacing w:after="0" w:line="20" w:lineRule="exact"/>
              <w:rPr>
                <w:sz w:val="1"/>
                <w:szCs w:val="1"/>
                <w:color w:val="auto"/>
              </w:rPr>
            </w:pPr>
          </w:p>
        </w:tc>
        <w:tc>
          <w:tcPr>
            <w:tcW w:w="1020" w:type="dxa"/>
            <w:vAlign w:val="bottom"/>
            <w:tcBorders>
              <w:top w:val="single" w:sz="8" w:color="0000EE"/>
              <w:bottom w:val="single" w:sz="8" w:color="auto"/>
            </w:tcBorders>
          </w:tcPr>
          <w:p>
            <w:pPr>
              <w:spacing w:after="0" w:line="20" w:lineRule="exact"/>
              <w:rPr>
                <w:sz w:val="1"/>
                <w:szCs w:val="1"/>
                <w:color w:val="auto"/>
              </w:rPr>
            </w:pPr>
          </w:p>
        </w:tc>
        <w:tc>
          <w:tcPr>
            <w:tcW w:w="780" w:type="dxa"/>
            <w:vAlign w:val="bottom"/>
            <w:tcBorders>
              <w:top w:val="single" w:sz="8" w:color="0000EE"/>
              <w:bottom w:val="single" w:sz="8" w:color="auto"/>
            </w:tcBorders>
          </w:tcPr>
          <w:p>
            <w:pPr>
              <w:spacing w:after="0" w:line="20" w:lineRule="exact"/>
              <w:rPr>
                <w:sz w:val="1"/>
                <w:szCs w:val="1"/>
                <w:color w:val="auto"/>
              </w:rPr>
            </w:pPr>
          </w:p>
        </w:tc>
        <w:tc>
          <w:tcPr>
            <w:tcW w:w="7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80" w:type="dxa"/>
            <w:vAlign w:val="bottom"/>
            <w:tcBorders>
              <w:left w:val="single" w:sz="8" w:color="auto"/>
              <w:right w:val="single" w:sz="8" w:color="auto"/>
            </w:tcBorders>
          </w:tcPr>
          <w:p>
            <w:pPr>
              <w:ind w:left="60"/>
              <w:spacing w:after="0" w:line="169"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4"/>
                <w:szCs w:val="14"/>
                <w:color w:val="auto"/>
              </w:rPr>
            </w:pPr>
          </w:p>
        </w:tc>
        <w:tc>
          <w:tcPr>
            <w:tcW w:w="9880" w:type="dxa"/>
            <w:vAlign w:val="bottom"/>
            <w:tcBorders>
              <w:right w:val="single" w:sz="8" w:color="auto"/>
            </w:tcBorders>
            <w:gridSpan w:val="16"/>
          </w:tcPr>
          <w:p>
            <w:pPr>
              <w:spacing w:after="0" w:line="169" w:lineRule="exact"/>
              <w:rPr>
                <w:rFonts w:ascii="Arial" w:cs="Arial" w:eastAsia="Arial" w:hAnsi="Arial"/>
                <w:sz w:val="18"/>
                <w:szCs w:val="18"/>
                <w:color w:val="0000EE"/>
                <w:w w:val="94"/>
              </w:rPr>
            </w:pPr>
            <w:hyperlink r:id="rId55">
              <w:r>
                <w:rPr>
                  <w:rFonts w:ascii="Arial" w:cs="Arial" w:eastAsia="Arial" w:hAnsi="Arial"/>
                  <w:sz w:val="18"/>
                  <w:szCs w:val="18"/>
                  <w:color w:val="0000EE"/>
                  <w:w w:val="94"/>
                </w:rPr>
                <w:t>Certificate of Amendment to Certificate of Incorporation (incorporated by reference to Exhibit 3.1 to the Form 8-K filed on December</w:t>
              </w:r>
            </w:hyperlink>
          </w:p>
        </w:tc>
      </w:tr>
      <w:tr>
        <w:trPr>
          <w:trHeight w:val="196"/>
        </w:trPr>
        <w:tc>
          <w:tcPr>
            <w:tcW w:w="11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r:id="rId55">
              <w:r>
                <w:rPr>
                  <w:rFonts w:ascii="Arial" w:cs="Arial" w:eastAsia="Arial" w:hAnsi="Arial"/>
                  <w:sz w:val="18"/>
                  <w:szCs w:val="18"/>
                  <w:color w:val="0000EE"/>
                </w:rPr>
                <w:t>31, 2020)</w:t>
              </w:r>
            </w:hyperlink>
          </w:p>
        </w:tc>
        <w:tc>
          <w:tcPr>
            <w:tcW w:w="8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r>
      <w:tr>
        <w:trPr>
          <w:trHeight w:val="21"/>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80" w:type="dxa"/>
            <w:vAlign w:val="bottom"/>
            <w:tcBorders>
              <w:left w:val="single" w:sz="8" w:color="auto"/>
              <w:right w:val="single" w:sz="8" w:color="auto"/>
            </w:tcBorders>
          </w:tcPr>
          <w:p>
            <w:pPr>
              <w:ind w:left="60"/>
              <w:spacing w:after="0" w:line="169"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4"/>
                <w:szCs w:val="14"/>
                <w:color w:val="auto"/>
              </w:rPr>
            </w:pPr>
          </w:p>
        </w:tc>
        <w:tc>
          <w:tcPr>
            <w:tcW w:w="9880" w:type="dxa"/>
            <w:vAlign w:val="bottom"/>
            <w:tcBorders>
              <w:right w:val="single" w:sz="8" w:color="auto"/>
            </w:tcBorders>
            <w:gridSpan w:val="16"/>
          </w:tcPr>
          <w:p>
            <w:pPr>
              <w:spacing w:after="0" w:line="169" w:lineRule="exact"/>
              <w:rPr>
                <w:rFonts w:ascii="Arial" w:cs="Arial" w:eastAsia="Arial" w:hAnsi="Arial"/>
                <w:sz w:val="18"/>
                <w:szCs w:val="18"/>
                <w:color w:val="0000EE"/>
              </w:rPr>
            </w:pPr>
            <w:hyperlink r:id="rId56">
              <w:r>
                <w:rPr>
                  <w:rFonts w:ascii="Arial" w:cs="Arial" w:eastAsia="Arial" w:hAnsi="Arial"/>
                  <w:sz w:val="18"/>
                  <w:szCs w:val="18"/>
                  <w:color w:val="0000EE"/>
                </w:rPr>
                <w:t>Bylaws as amended and restated (incorporated by reference to Exhibit 3.3 to the Form 10-Q filed August 9, 2018)</w:t>
              </w:r>
            </w:hyperlink>
          </w:p>
        </w:tc>
      </w:tr>
      <w:tr>
        <w:trPr>
          <w:trHeight w:val="21"/>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8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880" w:type="dxa"/>
            <w:vAlign w:val="bottom"/>
            <w:tcBorders>
              <w:top w:val="single" w:sz="8" w:color="0000EE"/>
              <w:bottom w:val="single" w:sz="8" w:color="auto"/>
            </w:tcBorders>
          </w:tcPr>
          <w:p>
            <w:pPr>
              <w:spacing w:after="0" w:line="20" w:lineRule="exact"/>
              <w:rPr>
                <w:sz w:val="1"/>
                <w:szCs w:val="1"/>
                <w:color w:val="auto"/>
              </w:rPr>
            </w:pPr>
          </w:p>
        </w:tc>
        <w:tc>
          <w:tcPr>
            <w:tcW w:w="1660" w:type="dxa"/>
            <w:vAlign w:val="bottom"/>
            <w:tcBorders>
              <w:top w:val="single" w:sz="8" w:color="0000EE"/>
              <w:bottom w:val="single" w:sz="8" w:color="auto"/>
            </w:tcBorders>
          </w:tcPr>
          <w:p>
            <w:pPr>
              <w:spacing w:after="0" w:line="20" w:lineRule="exact"/>
              <w:rPr>
                <w:sz w:val="1"/>
                <w:szCs w:val="1"/>
                <w:color w:val="auto"/>
              </w:rPr>
            </w:pPr>
          </w:p>
        </w:tc>
        <w:tc>
          <w:tcPr>
            <w:tcW w:w="760" w:type="dxa"/>
            <w:vAlign w:val="bottom"/>
            <w:tcBorders>
              <w:top w:val="single" w:sz="8" w:color="0000EE"/>
              <w:bottom w:val="single" w:sz="8" w:color="auto"/>
            </w:tcBorders>
          </w:tcPr>
          <w:p>
            <w:pPr>
              <w:spacing w:after="0" w:line="20" w:lineRule="exact"/>
              <w:rPr>
                <w:sz w:val="1"/>
                <w:szCs w:val="1"/>
                <w:color w:val="auto"/>
              </w:rPr>
            </w:pPr>
          </w:p>
        </w:tc>
        <w:tc>
          <w:tcPr>
            <w:tcW w:w="1020" w:type="dxa"/>
            <w:vAlign w:val="bottom"/>
            <w:tcBorders>
              <w:top w:val="single" w:sz="8" w:color="0000EE"/>
              <w:bottom w:val="single" w:sz="8" w:color="auto"/>
            </w:tcBorders>
          </w:tcPr>
          <w:p>
            <w:pPr>
              <w:spacing w:after="0" w:line="20" w:lineRule="exact"/>
              <w:rPr>
                <w:sz w:val="1"/>
                <w:szCs w:val="1"/>
                <w:color w:val="auto"/>
              </w:rPr>
            </w:pPr>
          </w:p>
        </w:tc>
        <w:tc>
          <w:tcPr>
            <w:tcW w:w="780" w:type="dxa"/>
            <w:vAlign w:val="bottom"/>
            <w:tcBorders>
              <w:top w:val="single" w:sz="8" w:color="0000EE"/>
              <w:bottom w:val="single" w:sz="8" w:color="auto"/>
            </w:tcBorders>
          </w:tcPr>
          <w:p>
            <w:pPr>
              <w:spacing w:after="0" w:line="20" w:lineRule="exact"/>
              <w:rPr>
                <w:sz w:val="1"/>
                <w:szCs w:val="1"/>
                <w:color w:val="auto"/>
              </w:rPr>
            </w:pPr>
          </w:p>
        </w:tc>
        <w:tc>
          <w:tcPr>
            <w:tcW w:w="7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80" w:type="dxa"/>
            <w:vAlign w:val="bottom"/>
            <w:tcBorders>
              <w:left w:val="single" w:sz="8" w:color="auto"/>
              <w:right w:val="single" w:sz="8" w:color="auto"/>
            </w:tcBorders>
          </w:tcPr>
          <w:p>
            <w:pPr>
              <w:ind w:left="60"/>
              <w:spacing w:after="0" w:line="169" w:lineRule="exact"/>
              <w:rPr>
                <w:sz w:val="20"/>
                <w:szCs w:val="20"/>
                <w:color w:val="auto"/>
              </w:rPr>
            </w:pPr>
            <w:r>
              <w:rPr>
                <w:rFonts w:ascii="Arial" w:cs="Arial" w:eastAsia="Arial" w:hAnsi="Arial"/>
                <w:sz w:val="18"/>
                <w:szCs w:val="18"/>
                <w:color w:val="auto"/>
              </w:rPr>
              <w:t>4.1</w:t>
            </w:r>
          </w:p>
        </w:tc>
        <w:tc>
          <w:tcPr>
            <w:tcW w:w="20" w:type="dxa"/>
            <w:vAlign w:val="bottom"/>
          </w:tcPr>
          <w:p>
            <w:pPr>
              <w:spacing w:after="0"/>
              <w:rPr>
                <w:sz w:val="14"/>
                <w:szCs w:val="14"/>
                <w:color w:val="auto"/>
              </w:rPr>
            </w:pPr>
          </w:p>
        </w:tc>
        <w:tc>
          <w:tcPr>
            <w:tcW w:w="9880" w:type="dxa"/>
            <w:vAlign w:val="bottom"/>
            <w:tcBorders>
              <w:right w:val="single" w:sz="8" w:color="auto"/>
            </w:tcBorders>
            <w:gridSpan w:val="16"/>
          </w:tcPr>
          <w:p>
            <w:pPr>
              <w:spacing w:after="0" w:line="169" w:lineRule="exact"/>
              <w:rPr>
                <w:rFonts w:ascii="Arial" w:cs="Arial" w:eastAsia="Arial" w:hAnsi="Arial"/>
                <w:sz w:val="18"/>
                <w:szCs w:val="18"/>
                <w:color w:val="0000EE"/>
              </w:rPr>
            </w:pPr>
            <w:hyperlink r:id="rId57">
              <w:r>
                <w:rPr>
                  <w:rFonts w:ascii="Arial" w:cs="Arial" w:eastAsia="Arial" w:hAnsi="Arial"/>
                  <w:sz w:val="18"/>
                  <w:szCs w:val="18"/>
                  <w:color w:val="0000EE"/>
                </w:rPr>
                <w:t>Form of Warrant (incorporated by reference to Exhibit 4.1 to the Form S-1/A filed on January 20, 2021)</w:t>
              </w:r>
            </w:hyperlink>
          </w:p>
        </w:tc>
      </w:tr>
      <w:tr>
        <w:trPr>
          <w:trHeight w:val="21"/>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8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880" w:type="dxa"/>
            <w:vAlign w:val="bottom"/>
            <w:tcBorders>
              <w:top w:val="single" w:sz="8" w:color="0000EE"/>
              <w:bottom w:val="single" w:sz="8" w:color="auto"/>
            </w:tcBorders>
          </w:tcPr>
          <w:p>
            <w:pPr>
              <w:spacing w:after="0" w:line="20" w:lineRule="exact"/>
              <w:rPr>
                <w:sz w:val="1"/>
                <w:szCs w:val="1"/>
                <w:color w:val="auto"/>
              </w:rPr>
            </w:pPr>
          </w:p>
        </w:tc>
        <w:tc>
          <w:tcPr>
            <w:tcW w:w="1660" w:type="dxa"/>
            <w:vAlign w:val="bottom"/>
            <w:tcBorders>
              <w:top w:val="single" w:sz="8" w:color="0000EE"/>
              <w:bottom w:val="single" w:sz="8" w:color="auto"/>
            </w:tcBorders>
          </w:tcPr>
          <w:p>
            <w:pPr>
              <w:spacing w:after="0" w:line="20" w:lineRule="exact"/>
              <w:rPr>
                <w:sz w:val="1"/>
                <w:szCs w:val="1"/>
                <w:color w:val="auto"/>
              </w:rPr>
            </w:pPr>
          </w:p>
        </w:tc>
        <w:tc>
          <w:tcPr>
            <w:tcW w:w="760" w:type="dxa"/>
            <w:vAlign w:val="bottom"/>
            <w:tcBorders>
              <w:top w:val="single" w:sz="8" w:color="0000EE"/>
              <w:bottom w:val="single" w:sz="8" w:color="auto"/>
            </w:tcBorders>
          </w:tcPr>
          <w:p>
            <w:pPr>
              <w:spacing w:after="0" w:line="20" w:lineRule="exact"/>
              <w:rPr>
                <w:sz w:val="1"/>
                <w:szCs w:val="1"/>
                <w:color w:val="auto"/>
              </w:rPr>
            </w:pPr>
          </w:p>
        </w:tc>
        <w:tc>
          <w:tcPr>
            <w:tcW w:w="1020" w:type="dxa"/>
            <w:vAlign w:val="bottom"/>
            <w:tcBorders>
              <w:top w:val="single" w:sz="8" w:color="0000EE"/>
              <w:bottom w:val="single" w:sz="8" w:color="auto"/>
            </w:tcBorders>
          </w:tcPr>
          <w:p>
            <w:pPr>
              <w:spacing w:after="0" w:line="20" w:lineRule="exact"/>
              <w:rPr>
                <w:sz w:val="1"/>
                <w:szCs w:val="1"/>
                <w:color w:val="auto"/>
              </w:rPr>
            </w:pPr>
          </w:p>
        </w:tc>
        <w:tc>
          <w:tcPr>
            <w:tcW w:w="780" w:type="dxa"/>
            <w:vAlign w:val="bottom"/>
            <w:tcBorders>
              <w:top w:val="single" w:sz="8" w:color="0000EE"/>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80" w:type="dxa"/>
            <w:vAlign w:val="bottom"/>
            <w:tcBorders>
              <w:left w:val="single" w:sz="8" w:color="auto"/>
              <w:right w:val="single" w:sz="8" w:color="auto"/>
            </w:tcBorders>
          </w:tcPr>
          <w:p>
            <w:pPr>
              <w:ind w:left="60"/>
              <w:spacing w:after="0" w:line="169" w:lineRule="exact"/>
              <w:rPr>
                <w:sz w:val="20"/>
                <w:szCs w:val="20"/>
                <w:color w:val="auto"/>
              </w:rPr>
            </w:pPr>
            <w:r>
              <w:rPr>
                <w:rFonts w:ascii="Arial" w:cs="Arial" w:eastAsia="Arial" w:hAnsi="Arial"/>
                <w:sz w:val="18"/>
                <w:szCs w:val="18"/>
                <w:color w:val="auto"/>
              </w:rPr>
              <w:t>10.1</w:t>
            </w:r>
          </w:p>
        </w:tc>
        <w:tc>
          <w:tcPr>
            <w:tcW w:w="20" w:type="dxa"/>
            <w:vAlign w:val="bottom"/>
          </w:tcPr>
          <w:p>
            <w:pPr>
              <w:spacing w:after="0"/>
              <w:rPr>
                <w:sz w:val="14"/>
                <w:szCs w:val="14"/>
                <w:color w:val="auto"/>
              </w:rPr>
            </w:pPr>
          </w:p>
        </w:tc>
        <w:tc>
          <w:tcPr>
            <w:tcW w:w="9880" w:type="dxa"/>
            <w:vAlign w:val="bottom"/>
            <w:tcBorders>
              <w:right w:val="single" w:sz="8" w:color="auto"/>
            </w:tcBorders>
            <w:gridSpan w:val="16"/>
          </w:tcPr>
          <w:p>
            <w:pPr>
              <w:spacing w:after="0" w:line="169" w:lineRule="exact"/>
              <w:rPr>
                <w:rFonts w:ascii="Arial" w:cs="Arial" w:eastAsia="Arial" w:hAnsi="Arial"/>
                <w:sz w:val="18"/>
                <w:szCs w:val="18"/>
                <w:color w:val="0000EE"/>
                <w:w w:val="91"/>
              </w:rPr>
            </w:pPr>
            <w:hyperlink r:id="rId58">
              <w:r>
                <w:rPr>
                  <w:rFonts w:ascii="Arial" w:cs="Arial" w:eastAsia="Arial" w:hAnsi="Arial"/>
                  <w:sz w:val="18"/>
                  <w:szCs w:val="18"/>
                  <w:color w:val="0000EE"/>
                  <w:w w:val="91"/>
                </w:rPr>
                <w:t>Underwriting Agreement dated as of January 28, 2021, by and between Helius Medical Technologies, Inc. and Ladenburg Thalmann &amp;</w:t>
              </w:r>
            </w:hyperlink>
          </w:p>
        </w:tc>
      </w:tr>
      <w:tr>
        <w:trPr>
          <w:trHeight w:val="196"/>
        </w:trPr>
        <w:tc>
          <w:tcPr>
            <w:tcW w:w="11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58">
              <w:r>
                <w:rPr>
                  <w:rFonts w:ascii="Arial" w:cs="Arial" w:eastAsia="Arial" w:hAnsi="Arial"/>
                  <w:sz w:val="18"/>
                  <w:szCs w:val="18"/>
                  <w:color w:val="0000EE"/>
                </w:rPr>
                <w:t>Co. Inc. (incorporated by reference to Exhibit 1.1 to the Form 8-K filed on February 1, 2021)</w:t>
              </w:r>
            </w:hyperlink>
          </w:p>
        </w:tc>
        <w:tc>
          <w:tcPr>
            <w:tcW w:w="40" w:type="dxa"/>
            <w:vAlign w:val="bottom"/>
            <w:tcBorders>
              <w:right w:val="single" w:sz="8" w:color="auto"/>
            </w:tcBorders>
          </w:tcPr>
          <w:p>
            <w:pPr>
              <w:spacing w:after="0"/>
              <w:rPr>
                <w:sz w:val="17"/>
                <w:szCs w:val="17"/>
                <w:color w:val="auto"/>
              </w:rPr>
            </w:pPr>
          </w:p>
        </w:tc>
      </w:tr>
      <w:tr>
        <w:trPr>
          <w:trHeight w:val="21"/>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8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880" w:type="dxa"/>
            <w:vAlign w:val="bottom"/>
            <w:tcBorders>
              <w:top w:val="single" w:sz="8" w:color="0000EE"/>
              <w:bottom w:val="single" w:sz="8" w:color="auto"/>
            </w:tcBorders>
          </w:tcPr>
          <w:p>
            <w:pPr>
              <w:spacing w:after="0" w:line="20" w:lineRule="exact"/>
              <w:rPr>
                <w:sz w:val="1"/>
                <w:szCs w:val="1"/>
                <w:color w:val="auto"/>
              </w:rPr>
            </w:pPr>
          </w:p>
        </w:tc>
        <w:tc>
          <w:tcPr>
            <w:tcW w:w="1660" w:type="dxa"/>
            <w:vAlign w:val="bottom"/>
            <w:tcBorders>
              <w:top w:val="single" w:sz="8" w:color="0000EE"/>
              <w:bottom w:val="single" w:sz="8" w:color="auto"/>
            </w:tcBorders>
          </w:tcPr>
          <w:p>
            <w:pPr>
              <w:spacing w:after="0" w:line="20" w:lineRule="exact"/>
              <w:rPr>
                <w:sz w:val="1"/>
                <w:szCs w:val="1"/>
                <w:color w:val="auto"/>
              </w:rPr>
            </w:pPr>
          </w:p>
        </w:tc>
        <w:tc>
          <w:tcPr>
            <w:tcW w:w="760" w:type="dxa"/>
            <w:vAlign w:val="bottom"/>
            <w:tcBorders>
              <w:top w:val="single" w:sz="8" w:color="0000EE"/>
              <w:bottom w:val="single" w:sz="8" w:color="auto"/>
            </w:tcBorders>
          </w:tcPr>
          <w:p>
            <w:pPr>
              <w:spacing w:after="0" w:line="20" w:lineRule="exact"/>
              <w:rPr>
                <w:sz w:val="1"/>
                <w:szCs w:val="1"/>
                <w:color w:val="auto"/>
              </w:rPr>
            </w:pPr>
          </w:p>
        </w:tc>
        <w:tc>
          <w:tcPr>
            <w:tcW w:w="1020" w:type="dxa"/>
            <w:vAlign w:val="bottom"/>
            <w:tcBorders>
              <w:top w:val="single" w:sz="8" w:color="0000EE"/>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80" w:type="dxa"/>
            <w:vAlign w:val="bottom"/>
            <w:tcBorders>
              <w:left w:val="single" w:sz="8" w:color="auto"/>
              <w:right w:val="single" w:sz="8" w:color="auto"/>
            </w:tcBorders>
          </w:tcPr>
          <w:p>
            <w:pPr>
              <w:ind w:left="60"/>
              <w:spacing w:after="0" w:line="169" w:lineRule="exact"/>
              <w:rPr>
                <w:sz w:val="20"/>
                <w:szCs w:val="20"/>
                <w:color w:val="auto"/>
              </w:rPr>
            </w:pPr>
            <w:r>
              <w:rPr>
                <w:rFonts w:ascii="Arial" w:cs="Arial" w:eastAsia="Arial" w:hAnsi="Arial"/>
                <w:sz w:val="18"/>
                <w:szCs w:val="18"/>
                <w:color w:val="auto"/>
              </w:rPr>
              <w:t>10.2</w:t>
            </w:r>
          </w:p>
        </w:tc>
        <w:tc>
          <w:tcPr>
            <w:tcW w:w="20" w:type="dxa"/>
            <w:vAlign w:val="bottom"/>
          </w:tcPr>
          <w:p>
            <w:pPr>
              <w:spacing w:after="0"/>
              <w:rPr>
                <w:sz w:val="14"/>
                <w:szCs w:val="14"/>
                <w:color w:val="auto"/>
              </w:rPr>
            </w:pPr>
          </w:p>
        </w:tc>
        <w:tc>
          <w:tcPr>
            <w:tcW w:w="9880" w:type="dxa"/>
            <w:vAlign w:val="bottom"/>
            <w:tcBorders>
              <w:right w:val="single" w:sz="8" w:color="auto"/>
            </w:tcBorders>
            <w:gridSpan w:val="16"/>
          </w:tcPr>
          <w:p>
            <w:pPr>
              <w:spacing w:after="0" w:line="169" w:lineRule="exact"/>
              <w:rPr>
                <w:rFonts w:ascii="Arial" w:cs="Arial" w:eastAsia="Arial" w:hAnsi="Arial"/>
                <w:sz w:val="18"/>
                <w:szCs w:val="18"/>
                <w:color w:val="0000EE"/>
                <w:w w:val="95"/>
              </w:rPr>
            </w:pPr>
            <w:hyperlink r:id="rId59">
              <w:r>
                <w:rPr>
                  <w:rFonts w:ascii="Arial" w:cs="Arial" w:eastAsia="Arial" w:hAnsi="Arial"/>
                  <w:sz w:val="18"/>
                  <w:szCs w:val="18"/>
                  <w:color w:val="0000EE"/>
                  <w:w w:val="95"/>
                </w:rPr>
                <w:t>Warrant Agency Agreement dated as of February 1, 2021, by and between Helius Medical Technologies, Inc. and American Stock</w:t>
              </w:r>
            </w:hyperlink>
          </w:p>
        </w:tc>
      </w:tr>
      <w:tr>
        <w:trPr>
          <w:trHeight w:val="196"/>
        </w:trPr>
        <w:tc>
          <w:tcPr>
            <w:tcW w:w="11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59">
              <w:r>
                <w:rPr>
                  <w:rFonts w:ascii="Arial" w:cs="Arial" w:eastAsia="Arial" w:hAnsi="Arial"/>
                  <w:sz w:val="18"/>
                  <w:szCs w:val="18"/>
                  <w:color w:val="0000EE"/>
                </w:rPr>
                <w:t>Transfer &amp; Trust Company, LLC (incorporated by reference to Exhibit 4.2 to the Form 8-K filed February 1, 2021)</w:t>
              </w:r>
            </w:hyperlink>
          </w:p>
        </w:tc>
        <w:tc>
          <w:tcPr>
            <w:tcW w:w="40" w:type="dxa"/>
            <w:vAlign w:val="bottom"/>
            <w:tcBorders>
              <w:right w:val="single" w:sz="8" w:color="auto"/>
            </w:tcBorders>
          </w:tcPr>
          <w:p>
            <w:pPr>
              <w:spacing w:after="0"/>
              <w:rPr>
                <w:sz w:val="17"/>
                <w:szCs w:val="17"/>
                <w:color w:val="auto"/>
              </w:rPr>
            </w:pPr>
          </w:p>
        </w:tc>
      </w:tr>
      <w:tr>
        <w:trPr>
          <w:trHeight w:val="21"/>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8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880" w:type="dxa"/>
            <w:vAlign w:val="bottom"/>
            <w:tcBorders>
              <w:top w:val="single" w:sz="8" w:color="0000EE"/>
              <w:bottom w:val="single" w:sz="8" w:color="auto"/>
            </w:tcBorders>
          </w:tcPr>
          <w:p>
            <w:pPr>
              <w:spacing w:after="0" w:line="20" w:lineRule="exact"/>
              <w:rPr>
                <w:sz w:val="1"/>
                <w:szCs w:val="1"/>
                <w:color w:val="auto"/>
              </w:rPr>
            </w:pPr>
          </w:p>
        </w:tc>
        <w:tc>
          <w:tcPr>
            <w:tcW w:w="1660" w:type="dxa"/>
            <w:vAlign w:val="bottom"/>
            <w:tcBorders>
              <w:top w:val="single" w:sz="8" w:color="0000EE"/>
              <w:bottom w:val="single" w:sz="8" w:color="auto"/>
            </w:tcBorders>
          </w:tcPr>
          <w:p>
            <w:pPr>
              <w:spacing w:after="0" w:line="20" w:lineRule="exact"/>
              <w:rPr>
                <w:sz w:val="1"/>
                <w:szCs w:val="1"/>
                <w:color w:val="auto"/>
              </w:rPr>
            </w:pPr>
          </w:p>
        </w:tc>
        <w:tc>
          <w:tcPr>
            <w:tcW w:w="760" w:type="dxa"/>
            <w:vAlign w:val="bottom"/>
            <w:tcBorders>
              <w:top w:val="single" w:sz="8" w:color="0000EE"/>
              <w:bottom w:val="single" w:sz="8" w:color="auto"/>
            </w:tcBorders>
          </w:tcPr>
          <w:p>
            <w:pPr>
              <w:spacing w:after="0" w:line="20" w:lineRule="exact"/>
              <w:rPr>
                <w:sz w:val="1"/>
                <w:szCs w:val="1"/>
                <w:color w:val="auto"/>
              </w:rPr>
            </w:pPr>
          </w:p>
        </w:tc>
        <w:tc>
          <w:tcPr>
            <w:tcW w:w="1020" w:type="dxa"/>
            <w:vAlign w:val="bottom"/>
            <w:tcBorders>
              <w:top w:val="single" w:sz="8" w:color="0000EE"/>
              <w:bottom w:val="single" w:sz="8" w:color="auto"/>
            </w:tcBorders>
          </w:tcPr>
          <w:p>
            <w:pPr>
              <w:spacing w:after="0" w:line="20" w:lineRule="exact"/>
              <w:rPr>
                <w:sz w:val="1"/>
                <w:szCs w:val="1"/>
                <w:color w:val="auto"/>
              </w:rPr>
            </w:pPr>
          </w:p>
        </w:tc>
        <w:tc>
          <w:tcPr>
            <w:tcW w:w="780" w:type="dxa"/>
            <w:vAlign w:val="bottom"/>
            <w:tcBorders>
              <w:top w:val="single" w:sz="8" w:color="0000EE"/>
              <w:bottom w:val="single" w:sz="8" w:color="auto"/>
            </w:tcBorders>
          </w:tcPr>
          <w:p>
            <w:pPr>
              <w:spacing w:after="0" w:line="20" w:lineRule="exact"/>
              <w:rPr>
                <w:sz w:val="1"/>
                <w:szCs w:val="1"/>
                <w:color w:val="auto"/>
              </w:rPr>
            </w:pPr>
          </w:p>
        </w:tc>
        <w:tc>
          <w:tcPr>
            <w:tcW w:w="7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80" w:type="dxa"/>
            <w:vAlign w:val="bottom"/>
            <w:tcBorders>
              <w:left w:val="single" w:sz="8" w:color="auto"/>
              <w:right w:val="single" w:sz="8" w:color="auto"/>
            </w:tcBorders>
          </w:tcPr>
          <w:p>
            <w:pPr>
              <w:ind w:left="60"/>
              <w:spacing w:after="0" w:line="169" w:lineRule="exact"/>
              <w:rPr>
                <w:sz w:val="20"/>
                <w:szCs w:val="20"/>
                <w:color w:val="auto"/>
              </w:rPr>
            </w:pPr>
            <w:r>
              <w:rPr>
                <w:rFonts w:ascii="Arial" w:cs="Arial" w:eastAsia="Arial" w:hAnsi="Arial"/>
                <w:sz w:val="18"/>
                <w:szCs w:val="18"/>
                <w:color w:val="auto"/>
              </w:rPr>
              <w:t>10.3</w:t>
            </w:r>
          </w:p>
        </w:tc>
        <w:tc>
          <w:tcPr>
            <w:tcW w:w="20" w:type="dxa"/>
            <w:vAlign w:val="bottom"/>
          </w:tcPr>
          <w:p>
            <w:pPr>
              <w:spacing w:after="0"/>
              <w:rPr>
                <w:sz w:val="14"/>
                <w:szCs w:val="14"/>
                <w:color w:val="auto"/>
              </w:rPr>
            </w:pPr>
          </w:p>
        </w:tc>
        <w:tc>
          <w:tcPr>
            <w:tcW w:w="9840" w:type="dxa"/>
            <w:vAlign w:val="bottom"/>
            <w:tcBorders>
              <w:bottom w:val="single" w:sz="8" w:color="0000EE"/>
            </w:tcBorders>
            <w:gridSpan w:val="15"/>
          </w:tcPr>
          <w:p>
            <w:pPr>
              <w:spacing w:after="0" w:line="169" w:lineRule="exact"/>
              <w:rPr>
                <w:rFonts w:ascii="Arial" w:cs="Arial" w:eastAsia="Arial" w:hAnsi="Arial"/>
                <w:sz w:val="18"/>
                <w:szCs w:val="18"/>
                <w:color w:val="0000EE"/>
                <w:w w:val="92"/>
              </w:rPr>
            </w:pPr>
            <w:hyperlink r:id="rId60">
              <w:r>
                <w:rPr>
                  <w:rFonts w:ascii="Arial" w:cs="Arial" w:eastAsia="Arial" w:hAnsi="Arial"/>
                  <w:sz w:val="18"/>
                  <w:szCs w:val="18"/>
                  <w:color w:val="0000EE"/>
                  <w:w w:val="92"/>
                </w:rPr>
                <w:t>Form of Underwriter Warrant (incorporated by reference to Exhibit 4.3 to Amendment No. 1 to the Form S-1 filed on January 20, 2021</w:t>
              </w:r>
            </w:hyperlink>
          </w:p>
        </w:tc>
        <w:tc>
          <w:tcPr>
            <w:tcW w:w="40" w:type="dxa"/>
            <w:vAlign w:val="bottom"/>
            <w:tcBorders>
              <w:right w:val="single" w:sz="8" w:color="auto"/>
            </w:tcBorders>
          </w:tcPr>
          <w:p>
            <w:pPr>
              <w:spacing w:after="0"/>
              <w:rPr>
                <w:sz w:val="14"/>
                <w:szCs w:val="14"/>
                <w:color w:val="auto"/>
              </w:rPr>
            </w:pPr>
          </w:p>
        </w:tc>
      </w:tr>
      <w:tr>
        <w:trPr>
          <w:trHeight w:val="196"/>
        </w:trPr>
        <w:tc>
          <w:tcPr>
            <w:tcW w:w="11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tcBorders>
              <w:right w:val="single" w:sz="8" w:color="auto"/>
            </w:tcBorders>
            <w:gridSpan w:val="16"/>
          </w:tcPr>
          <w:p>
            <w:pPr>
              <w:spacing w:after="0" w:line="196" w:lineRule="exact"/>
              <w:rPr>
                <w:rFonts w:ascii="Arial" w:cs="Arial" w:eastAsia="Arial" w:hAnsi="Arial"/>
                <w:sz w:val="18"/>
                <w:szCs w:val="18"/>
                <w:color w:val="0000EE"/>
              </w:rPr>
            </w:pPr>
            <w:hyperlink r:id="rId60">
              <w:r>
                <w:rPr>
                  <w:rFonts w:ascii="Arial" w:cs="Arial" w:eastAsia="Arial" w:hAnsi="Arial"/>
                  <w:sz w:val="18"/>
                  <w:szCs w:val="18"/>
                  <w:color w:val="0000EE"/>
                </w:rPr>
                <w:t>(File No. 333-251804))</w:t>
              </w:r>
            </w:hyperlink>
          </w:p>
        </w:tc>
      </w:tr>
      <w:tr>
        <w:trPr>
          <w:trHeight w:val="21"/>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8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80" w:type="dxa"/>
            <w:vAlign w:val="bottom"/>
            <w:tcBorders>
              <w:left w:val="single" w:sz="8" w:color="auto"/>
              <w:right w:val="single" w:sz="8" w:color="auto"/>
            </w:tcBorders>
          </w:tcPr>
          <w:p>
            <w:pPr>
              <w:ind w:left="60"/>
              <w:spacing w:after="0" w:line="169" w:lineRule="exact"/>
              <w:rPr>
                <w:sz w:val="20"/>
                <w:szCs w:val="20"/>
                <w:color w:val="auto"/>
              </w:rPr>
            </w:pPr>
            <w:r>
              <w:rPr>
                <w:rFonts w:ascii="Arial" w:cs="Arial" w:eastAsia="Arial" w:hAnsi="Arial"/>
                <w:sz w:val="18"/>
                <w:szCs w:val="18"/>
                <w:color w:val="auto"/>
              </w:rPr>
              <w:t>10.4</w:t>
            </w:r>
          </w:p>
        </w:tc>
        <w:tc>
          <w:tcPr>
            <w:tcW w:w="20" w:type="dxa"/>
            <w:vAlign w:val="bottom"/>
          </w:tcPr>
          <w:p>
            <w:pPr>
              <w:spacing w:after="0"/>
              <w:rPr>
                <w:sz w:val="14"/>
                <w:szCs w:val="14"/>
                <w:color w:val="auto"/>
              </w:rPr>
            </w:pPr>
          </w:p>
        </w:tc>
        <w:tc>
          <w:tcPr>
            <w:tcW w:w="9880" w:type="dxa"/>
            <w:vAlign w:val="bottom"/>
            <w:tcBorders>
              <w:bottom w:val="single" w:sz="8" w:color="0000EE"/>
              <w:right w:val="single" w:sz="8" w:color="auto"/>
            </w:tcBorders>
            <w:gridSpan w:val="16"/>
          </w:tcPr>
          <w:p>
            <w:pPr>
              <w:spacing w:after="0" w:line="169" w:lineRule="exact"/>
              <w:rPr>
                <w:rFonts w:ascii="Arial" w:cs="Arial" w:eastAsia="Arial" w:hAnsi="Arial"/>
                <w:sz w:val="18"/>
                <w:szCs w:val="18"/>
                <w:color w:val="0000EE"/>
                <w:w w:val="97"/>
              </w:rPr>
            </w:pPr>
            <w:hyperlink r:id="rId61">
              <w:r>
                <w:rPr>
                  <w:rFonts w:ascii="Arial" w:cs="Arial" w:eastAsia="Arial" w:hAnsi="Arial"/>
                  <w:sz w:val="18"/>
                  <w:szCs w:val="18"/>
                  <w:color w:val="0000EE"/>
                  <w:w w:val="97"/>
                </w:rPr>
                <w:t>Consulting Agreement between Helius Medical Technologies, Inc. and Jonathan Sackier, dated March 8, 2021 (incorporated by</w:t>
              </w:r>
            </w:hyperlink>
          </w:p>
        </w:tc>
      </w:tr>
      <w:tr>
        <w:trPr>
          <w:trHeight w:val="196"/>
        </w:trPr>
        <w:tc>
          <w:tcPr>
            <w:tcW w:w="11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tcBorders>
              <w:right w:val="single" w:sz="8" w:color="auto"/>
            </w:tcBorders>
            <w:gridSpan w:val="16"/>
          </w:tcPr>
          <w:p>
            <w:pPr>
              <w:spacing w:after="0" w:line="196" w:lineRule="exact"/>
              <w:rPr>
                <w:rFonts w:ascii="Arial" w:cs="Arial" w:eastAsia="Arial" w:hAnsi="Arial"/>
                <w:sz w:val="18"/>
                <w:szCs w:val="18"/>
                <w:color w:val="0000EE"/>
              </w:rPr>
            </w:pPr>
            <w:hyperlink r:id="rId61">
              <w:r>
                <w:rPr>
                  <w:rFonts w:ascii="Arial" w:cs="Arial" w:eastAsia="Arial" w:hAnsi="Arial"/>
                  <w:sz w:val="18"/>
                  <w:szCs w:val="18"/>
                  <w:color w:val="0000EE"/>
                </w:rPr>
                <w:t>reference to Exhibit 10.3 to the Form 10-K filed on March 10, 2021)</w:t>
              </w:r>
            </w:hyperlink>
          </w:p>
        </w:tc>
      </w:tr>
      <w:tr>
        <w:trPr>
          <w:trHeight w:val="20"/>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8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880" w:type="dxa"/>
            <w:vAlign w:val="bottom"/>
            <w:tcBorders>
              <w:top w:val="single" w:sz="8" w:color="0000EE"/>
              <w:bottom w:val="single" w:sz="8" w:color="auto"/>
            </w:tcBorders>
          </w:tcPr>
          <w:p>
            <w:pPr>
              <w:spacing w:after="0" w:line="20" w:lineRule="exact"/>
              <w:rPr>
                <w:sz w:val="1"/>
                <w:szCs w:val="1"/>
                <w:color w:val="auto"/>
              </w:rPr>
            </w:pPr>
          </w:p>
        </w:tc>
        <w:tc>
          <w:tcPr>
            <w:tcW w:w="1660" w:type="dxa"/>
            <w:vAlign w:val="bottom"/>
            <w:tcBorders>
              <w:top w:val="single" w:sz="8" w:color="0000EE"/>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80" w:type="dxa"/>
            <w:vAlign w:val="bottom"/>
            <w:tcBorders>
              <w:left w:val="single" w:sz="8" w:color="auto"/>
              <w:right w:val="single" w:sz="8" w:color="auto"/>
            </w:tcBorders>
          </w:tcPr>
          <w:p>
            <w:pPr>
              <w:ind w:left="60"/>
              <w:spacing w:after="0" w:line="169" w:lineRule="exact"/>
              <w:rPr>
                <w:sz w:val="20"/>
                <w:szCs w:val="20"/>
                <w:color w:val="auto"/>
              </w:rPr>
            </w:pPr>
            <w:r>
              <w:rPr>
                <w:rFonts w:ascii="Arial" w:cs="Arial" w:eastAsia="Arial" w:hAnsi="Arial"/>
                <w:sz w:val="18"/>
                <w:szCs w:val="18"/>
                <w:color w:val="auto"/>
              </w:rPr>
              <w:t>10.5†</w:t>
            </w:r>
          </w:p>
        </w:tc>
        <w:tc>
          <w:tcPr>
            <w:tcW w:w="20" w:type="dxa"/>
            <w:vAlign w:val="bottom"/>
          </w:tcPr>
          <w:p>
            <w:pPr>
              <w:spacing w:after="0"/>
              <w:rPr>
                <w:sz w:val="14"/>
                <w:szCs w:val="14"/>
                <w:color w:val="auto"/>
              </w:rPr>
            </w:pPr>
          </w:p>
        </w:tc>
        <w:tc>
          <w:tcPr>
            <w:tcW w:w="9880" w:type="dxa"/>
            <w:vAlign w:val="bottom"/>
            <w:tcBorders>
              <w:right w:val="single" w:sz="8" w:color="auto"/>
            </w:tcBorders>
            <w:gridSpan w:val="16"/>
          </w:tcPr>
          <w:p>
            <w:pPr>
              <w:spacing w:after="0" w:line="169" w:lineRule="exact"/>
              <w:rPr>
                <w:rFonts w:ascii="Arial" w:cs="Arial" w:eastAsia="Arial" w:hAnsi="Arial"/>
                <w:sz w:val="18"/>
                <w:szCs w:val="18"/>
                <w:color w:val="0000EE"/>
                <w:w w:val="91"/>
              </w:rPr>
            </w:pPr>
            <w:hyperlink r:id="rId62">
              <w:r>
                <w:rPr>
                  <w:rFonts w:ascii="Arial" w:cs="Arial" w:eastAsia="Arial" w:hAnsi="Arial"/>
                  <w:sz w:val="18"/>
                  <w:szCs w:val="18"/>
                  <w:color w:val="0000EE"/>
                  <w:w w:val="91"/>
                </w:rPr>
                <w:t>2018 Omnibus Incentive Plan Form of Stock Grant Notice and Award Agreement (incorporated by reference to Exhibit 10.1 to the Form</w:t>
              </w:r>
            </w:hyperlink>
          </w:p>
        </w:tc>
      </w:tr>
      <w:tr>
        <w:trPr>
          <w:trHeight w:val="196"/>
        </w:trPr>
        <w:tc>
          <w:tcPr>
            <w:tcW w:w="11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62">
              <w:r>
                <w:rPr>
                  <w:rFonts w:ascii="Arial" w:cs="Arial" w:eastAsia="Arial" w:hAnsi="Arial"/>
                  <w:sz w:val="18"/>
                  <w:szCs w:val="18"/>
                  <w:color w:val="0000EE"/>
                </w:rPr>
                <w:t>8-K filed April 7, 2021)</w:t>
              </w:r>
            </w:hyperlink>
          </w:p>
        </w:tc>
        <w:tc>
          <w:tcPr>
            <w:tcW w:w="40" w:type="dxa"/>
            <w:vAlign w:val="bottom"/>
            <w:tcBorders>
              <w:right w:val="single" w:sz="8" w:color="auto"/>
            </w:tcBorders>
          </w:tcPr>
          <w:p>
            <w:pPr>
              <w:spacing w:after="0"/>
              <w:rPr>
                <w:sz w:val="17"/>
                <w:szCs w:val="17"/>
                <w:color w:val="auto"/>
              </w:rPr>
            </w:pPr>
          </w:p>
        </w:tc>
      </w:tr>
      <w:tr>
        <w:trPr>
          <w:trHeight w:val="21"/>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8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80" w:type="dxa"/>
            <w:vAlign w:val="bottom"/>
            <w:tcBorders>
              <w:left w:val="single" w:sz="8" w:color="auto"/>
              <w:right w:val="single" w:sz="8" w:color="auto"/>
            </w:tcBorders>
          </w:tcPr>
          <w:p>
            <w:pPr>
              <w:ind w:left="60"/>
              <w:spacing w:after="0" w:line="169" w:lineRule="exact"/>
              <w:rPr>
                <w:sz w:val="20"/>
                <w:szCs w:val="20"/>
                <w:color w:val="auto"/>
              </w:rPr>
            </w:pPr>
            <w:r>
              <w:rPr>
                <w:rFonts w:ascii="Arial" w:cs="Arial" w:eastAsia="Arial" w:hAnsi="Arial"/>
                <w:sz w:val="18"/>
                <w:szCs w:val="18"/>
                <w:color w:val="auto"/>
              </w:rPr>
              <w:t>10.6†</w:t>
            </w:r>
          </w:p>
        </w:tc>
        <w:tc>
          <w:tcPr>
            <w:tcW w:w="20" w:type="dxa"/>
            <w:vAlign w:val="bottom"/>
          </w:tcPr>
          <w:p>
            <w:pPr>
              <w:spacing w:after="0"/>
              <w:rPr>
                <w:sz w:val="14"/>
                <w:szCs w:val="14"/>
                <w:color w:val="auto"/>
              </w:rPr>
            </w:pPr>
          </w:p>
        </w:tc>
        <w:tc>
          <w:tcPr>
            <w:tcW w:w="9880" w:type="dxa"/>
            <w:vAlign w:val="bottom"/>
            <w:tcBorders>
              <w:bottom w:val="single" w:sz="8" w:color="0000EE"/>
              <w:right w:val="single" w:sz="8" w:color="auto"/>
            </w:tcBorders>
            <w:gridSpan w:val="16"/>
          </w:tcPr>
          <w:p>
            <w:pPr>
              <w:spacing w:after="0" w:line="169" w:lineRule="exact"/>
              <w:rPr>
                <w:rFonts w:ascii="Arial" w:cs="Arial" w:eastAsia="Arial" w:hAnsi="Arial"/>
                <w:sz w:val="18"/>
                <w:szCs w:val="18"/>
                <w:color w:val="0000EE"/>
                <w:w w:val="92"/>
              </w:rPr>
            </w:pPr>
            <w:hyperlink r:id="rId63">
              <w:r>
                <w:rPr>
                  <w:rFonts w:ascii="Arial" w:cs="Arial" w:eastAsia="Arial" w:hAnsi="Arial"/>
                  <w:sz w:val="18"/>
                  <w:szCs w:val="18"/>
                  <w:color w:val="0000EE"/>
                  <w:w w:val="92"/>
                </w:rPr>
                <w:t>Second Amendment to Employment Agreement between Helius Medical Technologies, Inc. and Joyce LaViscount dated April 1, 2021</w:t>
              </w:r>
            </w:hyperlink>
          </w:p>
        </w:tc>
      </w:tr>
      <w:tr>
        <w:trPr>
          <w:trHeight w:val="196"/>
        </w:trPr>
        <w:tc>
          <w:tcPr>
            <w:tcW w:w="11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tcBorders>
              <w:right w:val="single" w:sz="8" w:color="auto"/>
            </w:tcBorders>
            <w:gridSpan w:val="16"/>
          </w:tcPr>
          <w:p>
            <w:pPr>
              <w:spacing w:after="0" w:line="196" w:lineRule="exact"/>
              <w:rPr>
                <w:rFonts w:ascii="Arial" w:cs="Arial" w:eastAsia="Arial" w:hAnsi="Arial"/>
                <w:sz w:val="18"/>
                <w:szCs w:val="18"/>
                <w:color w:val="0000EE"/>
              </w:rPr>
            </w:pPr>
            <w:hyperlink r:id="rId63">
              <w:r>
                <w:rPr>
                  <w:rFonts w:ascii="Arial" w:cs="Arial" w:eastAsia="Arial" w:hAnsi="Arial"/>
                  <w:sz w:val="18"/>
                  <w:szCs w:val="18"/>
                  <w:color w:val="0000EE"/>
                </w:rPr>
                <w:t>(incorporated by reference to Exhibit 10.2 to the Form 8-K filed April 7, 2021)</w:t>
              </w:r>
            </w:hyperlink>
          </w:p>
        </w:tc>
      </w:tr>
      <w:tr>
        <w:trPr>
          <w:trHeight w:val="21"/>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8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880" w:type="dxa"/>
            <w:vAlign w:val="bottom"/>
            <w:tcBorders>
              <w:top w:val="single" w:sz="8" w:color="0000EE"/>
              <w:bottom w:val="single" w:sz="8" w:color="auto"/>
            </w:tcBorders>
          </w:tcPr>
          <w:p>
            <w:pPr>
              <w:spacing w:after="0" w:line="20" w:lineRule="exact"/>
              <w:rPr>
                <w:sz w:val="1"/>
                <w:szCs w:val="1"/>
                <w:color w:val="auto"/>
              </w:rPr>
            </w:pPr>
          </w:p>
        </w:tc>
        <w:tc>
          <w:tcPr>
            <w:tcW w:w="1660" w:type="dxa"/>
            <w:vAlign w:val="bottom"/>
            <w:tcBorders>
              <w:top w:val="single" w:sz="8" w:color="0000EE"/>
              <w:bottom w:val="single" w:sz="8" w:color="auto"/>
            </w:tcBorders>
          </w:tcPr>
          <w:p>
            <w:pPr>
              <w:spacing w:after="0" w:line="20" w:lineRule="exact"/>
              <w:rPr>
                <w:sz w:val="1"/>
                <w:szCs w:val="1"/>
                <w:color w:val="auto"/>
              </w:rPr>
            </w:pPr>
          </w:p>
        </w:tc>
        <w:tc>
          <w:tcPr>
            <w:tcW w:w="760" w:type="dxa"/>
            <w:vAlign w:val="bottom"/>
            <w:tcBorders>
              <w:top w:val="single" w:sz="8" w:color="0000EE"/>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80" w:type="dxa"/>
            <w:vAlign w:val="bottom"/>
            <w:tcBorders>
              <w:left w:val="single" w:sz="8" w:color="auto"/>
              <w:right w:val="single" w:sz="8" w:color="auto"/>
            </w:tcBorders>
          </w:tcPr>
          <w:p>
            <w:pPr>
              <w:ind w:left="60"/>
              <w:spacing w:after="0" w:line="169" w:lineRule="exact"/>
              <w:rPr>
                <w:sz w:val="20"/>
                <w:szCs w:val="20"/>
                <w:color w:val="auto"/>
              </w:rPr>
            </w:pPr>
            <w:r>
              <w:rPr>
                <w:rFonts w:ascii="Arial" w:cs="Arial" w:eastAsia="Arial" w:hAnsi="Arial"/>
                <w:sz w:val="18"/>
                <w:szCs w:val="18"/>
                <w:color w:val="auto"/>
              </w:rPr>
              <w:t>10.7†#</w:t>
            </w:r>
          </w:p>
        </w:tc>
        <w:tc>
          <w:tcPr>
            <w:tcW w:w="9900" w:type="dxa"/>
            <w:vAlign w:val="bottom"/>
            <w:tcBorders>
              <w:right w:val="single" w:sz="8" w:color="auto"/>
            </w:tcBorders>
            <w:gridSpan w:val="17"/>
          </w:tcPr>
          <w:p>
            <w:pPr>
              <w:spacing w:after="0" w:line="169" w:lineRule="exact"/>
              <w:rPr>
                <w:rFonts w:ascii="Arial" w:cs="Arial" w:eastAsia="Arial" w:hAnsi="Arial"/>
                <w:sz w:val="18"/>
                <w:szCs w:val="18"/>
                <w:color w:val="0000EE"/>
              </w:rPr>
            </w:pPr>
            <w:hyperlink w:anchor="page35">
              <w:r>
                <w:rPr>
                  <w:rFonts w:ascii="Arial" w:cs="Arial" w:eastAsia="Arial" w:hAnsi="Arial"/>
                  <w:sz w:val="18"/>
                  <w:szCs w:val="18"/>
                  <w:color w:val="0000EE"/>
                </w:rPr>
                <w:t>Non-employee Director Compensation Policy</w:t>
              </w:r>
            </w:hyperlink>
          </w:p>
        </w:tc>
      </w:tr>
      <w:tr>
        <w:trPr>
          <w:trHeight w:val="21"/>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8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880" w:type="dxa"/>
            <w:vAlign w:val="bottom"/>
            <w:tcBorders>
              <w:top w:val="single" w:sz="8" w:color="0000EE"/>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80" w:type="dxa"/>
            <w:vAlign w:val="bottom"/>
            <w:tcBorders>
              <w:left w:val="single" w:sz="8" w:color="auto"/>
              <w:right w:val="single" w:sz="8" w:color="auto"/>
            </w:tcBorders>
          </w:tcPr>
          <w:p>
            <w:pPr>
              <w:ind w:left="60"/>
              <w:spacing w:after="0" w:line="169" w:lineRule="exact"/>
              <w:rPr>
                <w:sz w:val="20"/>
                <w:szCs w:val="20"/>
                <w:color w:val="auto"/>
              </w:rPr>
            </w:pPr>
            <w:r>
              <w:rPr>
                <w:rFonts w:ascii="Arial" w:cs="Arial" w:eastAsia="Arial" w:hAnsi="Arial"/>
                <w:sz w:val="18"/>
                <w:szCs w:val="18"/>
                <w:color w:val="auto"/>
              </w:rPr>
              <w:t>31.1#</w:t>
            </w:r>
          </w:p>
        </w:tc>
        <w:tc>
          <w:tcPr>
            <w:tcW w:w="20" w:type="dxa"/>
            <w:vAlign w:val="bottom"/>
          </w:tcPr>
          <w:p>
            <w:pPr>
              <w:spacing w:after="0"/>
              <w:rPr>
                <w:sz w:val="14"/>
                <w:szCs w:val="14"/>
                <w:color w:val="auto"/>
              </w:rPr>
            </w:pPr>
          </w:p>
        </w:tc>
        <w:tc>
          <w:tcPr>
            <w:tcW w:w="9880" w:type="dxa"/>
            <w:vAlign w:val="bottom"/>
            <w:tcBorders>
              <w:right w:val="single" w:sz="8" w:color="auto"/>
            </w:tcBorders>
            <w:gridSpan w:val="16"/>
          </w:tcPr>
          <w:p>
            <w:pPr>
              <w:spacing w:after="0" w:line="169" w:lineRule="exact"/>
              <w:rPr>
                <w:rFonts w:ascii="Arial" w:cs="Arial" w:eastAsia="Arial" w:hAnsi="Arial"/>
                <w:sz w:val="18"/>
                <w:szCs w:val="18"/>
                <w:color w:val="0000EE"/>
                <w:w w:val="95"/>
              </w:rPr>
            </w:pPr>
            <w:hyperlink w:anchor="page37">
              <w:r>
                <w:rPr>
                  <w:rFonts w:ascii="Arial" w:cs="Arial" w:eastAsia="Arial" w:hAnsi="Arial"/>
                  <w:sz w:val="18"/>
                  <w:szCs w:val="18"/>
                  <w:color w:val="0000EE"/>
                  <w:w w:val="95"/>
                </w:rPr>
                <w:t>Certification of Chief Executive Officer pursuant to Rule 13a-14(a) and Rule 15d-14(a), as adopted pursuant to Section 302 of the</w:t>
              </w:r>
            </w:hyperlink>
          </w:p>
        </w:tc>
      </w:tr>
      <w:tr>
        <w:trPr>
          <w:trHeight w:val="196"/>
        </w:trPr>
        <w:tc>
          <w:tcPr>
            <w:tcW w:w="11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Sarbanes-Oxley Act of 2002</w:t>
              </w:r>
            </w:hyperlink>
          </w:p>
        </w:tc>
        <w:tc>
          <w:tcPr>
            <w:tcW w:w="40" w:type="dxa"/>
            <w:vAlign w:val="bottom"/>
            <w:tcBorders>
              <w:right w:val="single" w:sz="8" w:color="auto"/>
            </w:tcBorders>
          </w:tcPr>
          <w:p>
            <w:pPr>
              <w:spacing w:after="0"/>
              <w:rPr>
                <w:sz w:val="17"/>
                <w:szCs w:val="17"/>
                <w:color w:val="auto"/>
              </w:rPr>
            </w:pPr>
          </w:p>
        </w:tc>
      </w:tr>
      <w:tr>
        <w:trPr>
          <w:trHeight w:val="21"/>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8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80" w:type="dxa"/>
            <w:vAlign w:val="bottom"/>
            <w:tcBorders>
              <w:left w:val="single" w:sz="8" w:color="auto"/>
              <w:right w:val="single" w:sz="8" w:color="auto"/>
            </w:tcBorders>
          </w:tcPr>
          <w:p>
            <w:pPr>
              <w:ind w:left="60"/>
              <w:spacing w:after="0" w:line="169" w:lineRule="exact"/>
              <w:rPr>
                <w:sz w:val="20"/>
                <w:szCs w:val="20"/>
                <w:color w:val="auto"/>
              </w:rPr>
            </w:pPr>
            <w:r>
              <w:rPr>
                <w:rFonts w:ascii="Arial" w:cs="Arial" w:eastAsia="Arial" w:hAnsi="Arial"/>
                <w:sz w:val="18"/>
                <w:szCs w:val="18"/>
                <w:color w:val="auto"/>
              </w:rPr>
              <w:t>31.2#</w:t>
            </w:r>
          </w:p>
        </w:tc>
        <w:tc>
          <w:tcPr>
            <w:tcW w:w="20" w:type="dxa"/>
            <w:vAlign w:val="bottom"/>
          </w:tcPr>
          <w:p>
            <w:pPr>
              <w:spacing w:after="0"/>
              <w:rPr>
                <w:sz w:val="14"/>
                <w:szCs w:val="14"/>
                <w:color w:val="auto"/>
              </w:rPr>
            </w:pPr>
          </w:p>
        </w:tc>
        <w:tc>
          <w:tcPr>
            <w:tcW w:w="9880" w:type="dxa"/>
            <w:vAlign w:val="bottom"/>
            <w:tcBorders>
              <w:right w:val="single" w:sz="8" w:color="auto"/>
            </w:tcBorders>
            <w:gridSpan w:val="16"/>
          </w:tcPr>
          <w:p>
            <w:pPr>
              <w:spacing w:after="0" w:line="169" w:lineRule="exact"/>
              <w:rPr>
                <w:rFonts w:ascii="Arial" w:cs="Arial" w:eastAsia="Arial" w:hAnsi="Arial"/>
                <w:sz w:val="18"/>
                <w:szCs w:val="18"/>
                <w:color w:val="0000EE"/>
                <w:w w:val="96"/>
              </w:rPr>
            </w:pPr>
            <w:hyperlink w:anchor="page38">
              <w:r>
                <w:rPr>
                  <w:rFonts w:ascii="Arial" w:cs="Arial" w:eastAsia="Arial" w:hAnsi="Arial"/>
                  <w:sz w:val="18"/>
                  <w:szCs w:val="18"/>
                  <w:color w:val="0000EE"/>
                  <w:w w:val="96"/>
                </w:rPr>
                <w:t>Certification of Chief Financial Officer pursuant to Rule 13a-14(a) and Rule 15d-14(a), as adopted pursuant to Section302 of the</w:t>
              </w:r>
            </w:hyperlink>
          </w:p>
        </w:tc>
      </w:tr>
      <w:tr>
        <w:trPr>
          <w:trHeight w:val="196"/>
        </w:trPr>
        <w:tc>
          <w:tcPr>
            <w:tcW w:w="11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Sarbanes-Oxley Act of 2002</w:t>
              </w:r>
            </w:hyperlink>
          </w:p>
        </w:tc>
        <w:tc>
          <w:tcPr>
            <w:tcW w:w="40" w:type="dxa"/>
            <w:vAlign w:val="bottom"/>
            <w:tcBorders>
              <w:right w:val="single" w:sz="8" w:color="auto"/>
            </w:tcBorders>
          </w:tcPr>
          <w:p>
            <w:pPr>
              <w:spacing w:after="0"/>
              <w:rPr>
                <w:sz w:val="17"/>
                <w:szCs w:val="17"/>
                <w:color w:val="auto"/>
              </w:rPr>
            </w:pPr>
          </w:p>
        </w:tc>
      </w:tr>
      <w:tr>
        <w:trPr>
          <w:trHeight w:val="21"/>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8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80" w:type="dxa"/>
            <w:vAlign w:val="bottom"/>
            <w:tcBorders>
              <w:left w:val="single" w:sz="8" w:color="auto"/>
              <w:right w:val="single" w:sz="8" w:color="auto"/>
            </w:tcBorders>
          </w:tcPr>
          <w:p>
            <w:pPr>
              <w:ind w:left="60"/>
              <w:spacing w:after="0" w:line="169" w:lineRule="exact"/>
              <w:rPr>
                <w:sz w:val="20"/>
                <w:szCs w:val="20"/>
                <w:color w:val="auto"/>
              </w:rPr>
            </w:pPr>
            <w:r>
              <w:rPr>
                <w:rFonts w:ascii="Arial" w:cs="Arial" w:eastAsia="Arial" w:hAnsi="Arial"/>
                <w:sz w:val="18"/>
                <w:szCs w:val="18"/>
                <w:color w:val="auto"/>
              </w:rPr>
              <w:t>32.1#*</w:t>
            </w:r>
          </w:p>
        </w:tc>
        <w:tc>
          <w:tcPr>
            <w:tcW w:w="20" w:type="dxa"/>
            <w:vAlign w:val="bottom"/>
          </w:tcPr>
          <w:p>
            <w:pPr>
              <w:spacing w:after="0"/>
              <w:rPr>
                <w:sz w:val="14"/>
                <w:szCs w:val="14"/>
                <w:color w:val="auto"/>
              </w:rPr>
            </w:pPr>
          </w:p>
        </w:tc>
        <w:tc>
          <w:tcPr>
            <w:tcW w:w="9880" w:type="dxa"/>
            <w:vAlign w:val="bottom"/>
            <w:tcBorders>
              <w:right w:val="single" w:sz="8" w:color="auto"/>
            </w:tcBorders>
            <w:gridSpan w:val="16"/>
          </w:tcPr>
          <w:p>
            <w:pPr>
              <w:spacing w:after="0" w:line="169" w:lineRule="exact"/>
              <w:rPr>
                <w:rFonts w:ascii="Arial" w:cs="Arial" w:eastAsia="Arial" w:hAnsi="Arial"/>
                <w:sz w:val="18"/>
                <w:szCs w:val="18"/>
                <w:color w:val="0000EE"/>
                <w:w w:val="91"/>
              </w:rPr>
            </w:pPr>
            <w:hyperlink w:anchor="page39">
              <w:r>
                <w:rPr>
                  <w:rFonts w:ascii="Arial" w:cs="Arial" w:eastAsia="Arial" w:hAnsi="Arial"/>
                  <w:sz w:val="18"/>
                  <w:szCs w:val="18"/>
                  <w:color w:val="0000EE"/>
                  <w:w w:val="91"/>
                </w:rPr>
                <w:t>Certification of Chief Executive Officer pursuant to 18 U.S.C. Section 1350, as adopted pursuant to Section 906 of the Sarbanes-Oxley</w:t>
              </w:r>
            </w:hyperlink>
          </w:p>
        </w:tc>
      </w:tr>
      <w:tr>
        <w:trPr>
          <w:trHeight w:val="196"/>
        </w:trPr>
        <w:tc>
          <w:tcPr>
            <w:tcW w:w="11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Act of 2002</w:t>
              </w:r>
            </w:hyperlink>
          </w:p>
        </w:tc>
        <w:tc>
          <w:tcPr>
            <w:tcW w:w="40" w:type="dxa"/>
            <w:vAlign w:val="bottom"/>
            <w:tcBorders>
              <w:right w:val="single" w:sz="8" w:color="auto"/>
            </w:tcBorders>
          </w:tcPr>
          <w:p>
            <w:pPr>
              <w:spacing w:after="0"/>
              <w:rPr>
                <w:sz w:val="17"/>
                <w:szCs w:val="17"/>
                <w:color w:val="auto"/>
              </w:rPr>
            </w:pPr>
          </w:p>
        </w:tc>
      </w:tr>
      <w:tr>
        <w:trPr>
          <w:trHeight w:val="21"/>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80" w:type="dxa"/>
            <w:vAlign w:val="bottom"/>
            <w:tcBorders>
              <w:left w:val="single" w:sz="8" w:color="auto"/>
              <w:right w:val="single" w:sz="8" w:color="auto"/>
            </w:tcBorders>
          </w:tcPr>
          <w:p>
            <w:pPr>
              <w:ind w:left="60"/>
              <w:spacing w:after="0" w:line="169" w:lineRule="exact"/>
              <w:rPr>
                <w:sz w:val="20"/>
                <w:szCs w:val="20"/>
                <w:color w:val="auto"/>
              </w:rPr>
            </w:pPr>
            <w:r>
              <w:rPr>
                <w:rFonts w:ascii="Arial" w:cs="Arial" w:eastAsia="Arial" w:hAnsi="Arial"/>
                <w:sz w:val="18"/>
                <w:szCs w:val="18"/>
                <w:color w:val="auto"/>
              </w:rPr>
              <w:t>32.2#*</w:t>
            </w:r>
          </w:p>
        </w:tc>
        <w:tc>
          <w:tcPr>
            <w:tcW w:w="20" w:type="dxa"/>
            <w:vAlign w:val="bottom"/>
          </w:tcPr>
          <w:p>
            <w:pPr>
              <w:spacing w:after="0"/>
              <w:rPr>
                <w:sz w:val="14"/>
                <w:szCs w:val="14"/>
                <w:color w:val="auto"/>
              </w:rPr>
            </w:pPr>
          </w:p>
        </w:tc>
        <w:tc>
          <w:tcPr>
            <w:tcW w:w="9880" w:type="dxa"/>
            <w:vAlign w:val="bottom"/>
            <w:tcBorders>
              <w:right w:val="single" w:sz="8" w:color="auto"/>
            </w:tcBorders>
            <w:gridSpan w:val="16"/>
          </w:tcPr>
          <w:p>
            <w:pPr>
              <w:spacing w:after="0" w:line="169" w:lineRule="exact"/>
              <w:rPr>
                <w:rFonts w:ascii="Arial" w:cs="Arial" w:eastAsia="Arial" w:hAnsi="Arial"/>
                <w:sz w:val="18"/>
                <w:szCs w:val="18"/>
                <w:color w:val="0000EE"/>
                <w:w w:val="92"/>
              </w:rPr>
            </w:pPr>
            <w:hyperlink w:anchor="page40">
              <w:r>
                <w:rPr>
                  <w:rFonts w:ascii="Arial" w:cs="Arial" w:eastAsia="Arial" w:hAnsi="Arial"/>
                  <w:sz w:val="18"/>
                  <w:szCs w:val="18"/>
                  <w:color w:val="0000EE"/>
                  <w:w w:val="92"/>
                </w:rPr>
                <w:t>Certification of Chief Financial Officer pursuant to 18 U.S.C. Section 1350, as adopted pursuant to Section 906 of the Sarbanes-Oxley</w:t>
              </w:r>
            </w:hyperlink>
          </w:p>
        </w:tc>
      </w:tr>
      <w:tr>
        <w:trPr>
          <w:trHeight w:val="196"/>
        </w:trPr>
        <w:tc>
          <w:tcPr>
            <w:tcW w:w="11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Act of 2002</w:t>
              </w:r>
            </w:hyperlink>
          </w:p>
        </w:tc>
        <w:tc>
          <w:tcPr>
            <w:tcW w:w="40" w:type="dxa"/>
            <w:vAlign w:val="bottom"/>
            <w:tcBorders>
              <w:right w:val="single" w:sz="8" w:color="auto"/>
            </w:tcBorders>
          </w:tcPr>
          <w:p>
            <w:pPr>
              <w:spacing w:after="0"/>
              <w:rPr>
                <w:sz w:val="17"/>
                <w:szCs w:val="17"/>
                <w:color w:val="auto"/>
              </w:rPr>
            </w:pPr>
          </w:p>
        </w:tc>
      </w:tr>
      <w:tr>
        <w:trPr>
          <w:trHeight w:val="20"/>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209"/>
        </w:trPr>
        <w:tc>
          <w:tcPr>
            <w:tcW w:w="11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101.INS#</w:t>
            </w:r>
          </w:p>
        </w:tc>
        <w:tc>
          <w:tcPr>
            <w:tcW w:w="20" w:type="dxa"/>
            <w:vAlign w:val="bottom"/>
            <w:tcBorders>
              <w:bottom w:val="single" w:sz="8" w:color="auto"/>
            </w:tcBorders>
          </w:tcPr>
          <w:p>
            <w:pPr>
              <w:spacing w:after="0"/>
              <w:rPr>
                <w:sz w:val="18"/>
                <w:szCs w:val="18"/>
                <w:color w:val="auto"/>
              </w:rPr>
            </w:pPr>
          </w:p>
        </w:tc>
        <w:tc>
          <w:tcPr>
            <w:tcW w:w="9880" w:type="dxa"/>
            <w:vAlign w:val="bottom"/>
            <w:tcBorders>
              <w:bottom w:val="single" w:sz="8" w:color="auto"/>
              <w:right w:val="single" w:sz="8" w:color="auto"/>
            </w:tcBorders>
            <w:gridSpan w:val="16"/>
          </w:tcPr>
          <w:p>
            <w:pPr>
              <w:spacing w:after="0"/>
              <w:rPr>
                <w:sz w:val="20"/>
                <w:szCs w:val="20"/>
                <w:color w:val="auto"/>
              </w:rPr>
            </w:pPr>
            <w:r>
              <w:rPr>
                <w:rFonts w:ascii="Arial" w:cs="Arial" w:eastAsia="Arial" w:hAnsi="Arial"/>
                <w:sz w:val="18"/>
                <w:szCs w:val="18"/>
                <w:color w:val="auto"/>
              </w:rPr>
              <w:t>XBRL Instance Document</w:t>
            </w:r>
          </w:p>
        </w:tc>
      </w:tr>
      <w:tr>
        <w:trPr>
          <w:trHeight w:val="210"/>
        </w:trPr>
        <w:tc>
          <w:tcPr>
            <w:tcW w:w="11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101.SCH#</w:t>
            </w:r>
          </w:p>
        </w:tc>
        <w:tc>
          <w:tcPr>
            <w:tcW w:w="20" w:type="dxa"/>
            <w:vAlign w:val="bottom"/>
            <w:tcBorders>
              <w:bottom w:val="single" w:sz="8" w:color="auto"/>
            </w:tcBorders>
          </w:tcPr>
          <w:p>
            <w:pPr>
              <w:spacing w:after="0"/>
              <w:rPr>
                <w:sz w:val="18"/>
                <w:szCs w:val="18"/>
                <w:color w:val="auto"/>
              </w:rPr>
            </w:pPr>
          </w:p>
        </w:tc>
        <w:tc>
          <w:tcPr>
            <w:tcW w:w="9880" w:type="dxa"/>
            <w:vAlign w:val="bottom"/>
            <w:tcBorders>
              <w:bottom w:val="single" w:sz="8" w:color="auto"/>
              <w:right w:val="single" w:sz="8" w:color="auto"/>
            </w:tcBorders>
            <w:gridSpan w:val="16"/>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0"/>
        </w:trPr>
        <w:tc>
          <w:tcPr>
            <w:tcW w:w="11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101.CAL#</w:t>
            </w:r>
          </w:p>
        </w:tc>
        <w:tc>
          <w:tcPr>
            <w:tcW w:w="20" w:type="dxa"/>
            <w:vAlign w:val="bottom"/>
            <w:tcBorders>
              <w:bottom w:val="single" w:sz="8" w:color="auto"/>
            </w:tcBorders>
          </w:tcPr>
          <w:p>
            <w:pPr>
              <w:spacing w:after="0"/>
              <w:rPr>
                <w:sz w:val="18"/>
                <w:szCs w:val="18"/>
                <w:color w:val="auto"/>
              </w:rPr>
            </w:pPr>
          </w:p>
        </w:tc>
        <w:tc>
          <w:tcPr>
            <w:tcW w:w="9880" w:type="dxa"/>
            <w:vAlign w:val="bottom"/>
            <w:tcBorders>
              <w:bottom w:val="single" w:sz="8" w:color="auto"/>
              <w:right w:val="single" w:sz="8" w:color="auto"/>
            </w:tcBorders>
            <w:gridSpan w:val="16"/>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0"/>
        </w:trPr>
        <w:tc>
          <w:tcPr>
            <w:tcW w:w="11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101.LAB#</w:t>
            </w:r>
          </w:p>
        </w:tc>
        <w:tc>
          <w:tcPr>
            <w:tcW w:w="20" w:type="dxa"/>
            <w:vAlign w:val="bottom"/>
            <w:tcBorders>
              <w:bottom w:val="single" w:sz="8" w:color="auto"/>
            </w:tcBorders>
          </w:tcPr>
          <w:p>
            <w:pPr>
              <w:spacing w:after="0"/>
              <w:rPr>
                <w:sz w:val="18"/>
                <w:szCs w:val="18"/>
                <w:color w:val="auto"/>
              </w:rPr>
            </w:pPr>
          </w:p>
        </w:tc>
        <w:tc>
          <w:tcPr>
            <w:tcW w:w="9880" w:type="dxa"/>
            <w:vAlign w:val="bottom"/>
            <w:tcBorders>
              <w:bottom w:val="single" w:sz="8" w:color="auto"/>
              <w:right w:val="single" w:sz="8" w:color="auto"/>
            </w:tcBorders>
            <w:gridSpan w:val="16"/>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10"/>
        </w:trPr>
        <w:tc>
          <w:tcPr>
            <w:tcW w:w="11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101.PRE#</w:t>
            </w:r>
          </w:p>
        </w:tc>
        <w:tc>
          <w:tcPr>
            <w:tcW w:w="20" w:type="dxa"/>
            <w:vAlign w:val="bottom"/>
            <w:tcBorders>
              <w:bottom w:val="single" w:sz="8" w:color="auto"/>
            </w:tcBorders>
          </w:tcPr>
          <w:p>
            <w:pPr>
              <w:spacing w:after="0"/>
              <w:rPr>
                <w:sz w:val="18"/>
                <w:szCs w:val="18"/>
                <w:color w:val="auto"/>
              </w:rPr>
            </w:pPr>
          </w:p>
        </w:tc>
        <w:tc>
          <w:tcPr>
            <w:tcW w:w="9880" w:type="dxa"/>
            <w:vAlign w:val="bottom"/>
            <w:tcBorders>
              <w:bottom w:val="single" w:sz="8" w:color="auto"/>
              <w:right w:val="single" w:sz="8" w:color="auto"/>
            </w:tcBorders>
            <w:gridSpan w:val="16"/>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09"/>
        </w:trPr>
        <w:tc>
          <w:tcPr>
            <w:tcW w:w="11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101.DEF#</w:t>
            </w:r>
          </w:p>
        </w:tc>
        <w:tc>
          <w:tcPr>
            <w:tcW w:w="20" w:type="dxa"/>
            <w:vAlign w:val="bottom"/>
            <w:tcBorders>
              <w:bottom w:val="single" w:sz="8" w:color="auto"/>
            </w:tcBorders>
          </w:tcPr>
          <w:p>
            <w:pPr>
              <w:spacing w:after="0"/>
              <w:rPr>
                <w:sz w:val="18"/>
                <w:szCs w:val="18"/>
                <w:color w:val="auto"/>
              </w:rPr>
            </w:pPr>
          </w:p>
        </w:tc>
        <w:tc>
          <w:tcPr>
            <w:tcW w:w="9880" w:type="dxa"/>
            <w:vAlign w:val="bottom"/>
            <w:tcBorders>
              <w:bottom w:val="single" w:sz="8" w:color="auto"/>
              <w:right w:val="single" w:sz="8" w:color="auto"/>
            </w:tcBorders>
            <w:gridSpan w:val="16"/>
          </w:tcPr>
          <w:p>
            <w:pPr>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Indicates a management contract or compensatory plan.</w:t>
      </w:r>
    </w:p>
    <w:p>
      <w:pPr>
        <w:spacing w:after="0" w:line="35" w:lineRule="exact"/>
        <w:rPr>
          <w:sz w:val="20"/>
          <w:szCs w:val="20"/>
          <w:color w:val="auto"/>
        </w:rPr>
      </w:pPr>
    </w:p>
    <w:p>
      <w:pPr>
        <w:jc w:val="both"/>
        <w:ind w:firstLine="8"/>
        <w:spacing w:after="0" w:line="263" w:lineRule="auto"/>
        <w:tabs>
          <w:tab w:leader="none" w:pos="1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firstLine="477"/>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7700" w:type="dxa"/>
            <w:vAlign w:val="bottom"/>
            <w:gridSpan w:val="2"/>
          </w:tcPr>
          <w:p>
            <w:pPr>
              <w:ind w:left="3180"/>
              <w:spacing w:after="0"/>
              <w:rPr>
                <w:sz w:val="20"/>
                <w:szCs w:val="20"/>
                <w:color w:val="auto"/>
              </w:rPr>
            </w:pPr>
            <w:r>
              <w:rPr>
                <w:rFonts w:ascii="Arial" w:cs="Arial" w:eastAsia="Arial" w:hAnsi="Arial"/>
                <w:sz w:val="18"/>
                <w:szCs w:val="18"/>
                <w:color w:val="auto"/>
              </w:rPr>
              <w:t>HELIUS MEDICAL TECHNOLOGIES, INC.</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Dated: May 17, 2021</w:t>
            </w:r>
          </w:p>
        </w:tc>
        <w:tc>
          <w:tcPr>
            <w:tcW w:w="7700" w:type="dxa"/>
            <w:vAlign w:val="bottom"/>
            <w:gridSpan w:val="2"/>
          </w:tcPr>
          <w:p>
            <w:pPr>
              <w:ind w:left="3180"/>
              <w:spacing w:after="0"/>
              <w:rPr>
                <w:sz w:val="20"/>
                <w:szCs w:val="20"/>
                <w:color w:val="auto"/>
              </w:rPr>
            </w:pPr>
            <w:r>
              <w:rPr>
                <w:rFonts w:ascii="Arial" w:cs="Arial" w:eastAsia="Arial" w:hAnsi="Arial"/>
                <w:sz w:val="18"/>
                <w:szCs w:val="18"/>
                <w:color w:val="auto"/>
              </w:rPr>
              <w:t>By: /s/ Dane C. Andreeff</w:t>
            </w:r>
          </w:p>
        </w:tc>
      </w:tr>
      <w:tr>
        <w:trPr>
          <w:trHeight w:val="195"/>
        </w:trPr>
        <w:tc>
          <w:tcPr>
            <w:tcW w:w="35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4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Dane C. Andreeff</w:t>
            </w:r>
          </w:p>
        </w:tc>
      </w:tr>
      <w:tr>
        <w:trPr>
          <w:trHeight w:val="230"/>
        </w:trPr>
        <w:tc>
          <w:tcPr>
            <w:tcW w:w="35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i w:val="1"/>
                <w:iCs w:val="1"/>
                <w:color w:val="auto"/>
                <w:w w:val="93"/>
              </w:rPr>
              <w:t>Interim President, Chief Executive Officer and a Director</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Dated: May 17, 2021</w:t>
            </w:r>
          </w:p>
        </w:tc>
        <w:tc>
          <w:tcPr>
            <w:tcW w:w="7700" w:type="dxa"/>
            <w:vAlign w:val="bottom"/>
            <w:gridSpan w:val="2"/>
          </w:tcPr>
          <w:p>
            <w:pPr>
              <w:ind w:left="3180"/>
              <w:spacing w:after="0"/>
              <w:rPr>
                <w:sz w:val="20"/>
                <w:szCs w:val="20"/>
                <w:color w:val="auto"/>
              </w:rPr>
            </w:pPr>
            <w:r>
              <w:rPr>
                <w:rFonts w:ascii="Arial" w:cs="Arial" w:eastAsia="Arial" w:hAnsi="Arial"/>
                <w:sz w:val="18"/>
                <w:szCs w:val="18"/>
                <w:color w:val="auto"/>
              </w:rPr>
              <w:t>By: /s/ Joyce LaViscount</w:t>
            </w:r>
          </w:p>
        </w:tc>
      </w:tr>
      <w:tr>
        <w:trPr>
          <w:trHeight w:val="195"/>
        </w:trPr>
        <w:tc>
          <w:tcPr>
            <w:tcW w:w="35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4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Joyce LaViscount</w:t>
            </w:r>
          </w:p>
        </w:tc>
      </w:tr>
      <w:tr>
        <w:trPr>
          <w:trHeight w:val="216"/>
        </w:trPr>
        <w:tc>
          <w:tcPr>
            <w:tcW w:w="35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i w:val="1"/>
                <w:iCs w:val="1"/>
                <w:color w:val="auto"/>
              </w:rPr>
              <w:t>Chief Financial Officer and Chief Operating Officer</w:t>
            </w:r>
          </w:p>
        </w:tc>
      </w:tr>
      <w:tr>
        <w:trPr>
          <w:trHeight w:val="216"/>
        </w:trPr>
        <w:tc>
          <w:tcPr>
            <w:tcW w:w="35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i w:val="1"/>
                <w:iCs w:val="1"/>
                <w:color w:val="auto"/>
              </w:rPr>
              <w:t>(Principal Financial</w:t>
            </w:r>
          </w:p>
        </w:tc>
      </w:tr>
      <w:tr>
        <w:trPr>
          <w:trHeight w:val="230"/>
        </w:trPr>
        <w:tc>
          <w:tcPr>
            <w:tcW w:w="35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i w:val="1"/>
                <w:iCs w:val="1"/>
                <w:color w:val="auto"/>
              </w:rPr>
              <w:t>Officer and Chief Accounting Officer)</w:t>
            </w:r>
          </w:p>
        </w:tc>
      </w:tr>
      <w:tr>
        <w:trPr>
          <w:trHeight w:val="878"/>
        </w:trPr>
        <w:tc>
          <w:tcPr>
            <w:tcW w:w="3540" w:type="dxa"/>
            <w:vAlign w:val="bottom"/>
          </w:tcPr>
          <w:p>
            <w:pPr>
              <w:spacing w:after="0"/>
              <w:rPr>
                <w:sz w:val="24"/>
                <w:szCs w:val="24"/>
                <w:color w:val="auto"/>
              </w:rPr>
            </w:pPr>
          </w:p>
        </w:tc>
        <w:tc>
          <w:tcPr>
            <w:tcW w:w="3480" w:type="dxa"/>
            <w:vAlign w:val="bottom"/>
          </w:tcPr>
          <w:p>
            <w:pPr>
              <w:jc w:val="right"/>
              <w:ind w:right="1210"/>
              <w:spacing w:after="0"/>
              <w:rPr>
                <w:sz w:val="20"/>
                <w:szCs w:val="20"/>
                <w:color w:val="auto"/>
              </w:rPr>
            </w:pPr>
            <w:r>
              <w:rPr>
                <w:rFonts w:ascii="Arial" w:cs="Arial" w:eastAsia="Arial" w:hAnsi="Arial"/>
                <w:sz w:val="18"/>
                <w:szCs w:val="18"/>
                <w:color w:val="auto"/>
              </w:rPr>
              <w:t>33</w:t>
            </w:r>
          </w:p>
        </w:tc>
        <w:tc>
          <w:tcPr>
            <w:tcW w:w="422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20"/>
          <w:szCs w:val="20"/>
          <w:b w:val="1"/>
          <w:bCs w:val="1"/>
          <w:color w:val="auto"/>
        </w:rPr>
        <w:t>Exhibit 10.7</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HELIUS MEDICAL TECHNOLOGIES,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NON-EMPLOYEE DIRECTOR COMPENSATION POLICY</w:t>
      </w:r>
    </w:p>
    <w:p>
      <w:pPr>
        <w:spacing w:after="0" w:line="222"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 xml:space="preserve">Each member of the Board of Directors (the </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xml:space="preserve">) who is not also serving as an employee of Helius Medical Technologies,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xml:space="preserve">) (each such member, an </w:t>
      </w:r>
      <w:r>
        <w:rPr>
          <w:rFonts w:ascii="Arial" w:cs="Arial" w:eastAsia="Arial" w:hAnsi="Arial"/>
          <w:sz w:val="20"/>
          <w:szCs w:val="20"/>
          <w:b w:val="1"/>
          <w:bCs w:val="1"/>
          <w:i w:val="1"/>
          <w:iCs w:val="1"/>
          <w:color w:val="auto"/>
        </w:rPr>
        <w:t>“Eligible Director”</w:t>
      </w:r>
      <w:r>
        <w:rPr>
          <w:rFonts w:ascii="Arial" w:cs="Arial" w:eastAsia="Arial" w:hAnsi="Arial"/>
          <w:sz w:val="20"/>
          <w:szCs w:val="20"/>
          <w:color w:val="auto"/>
        </w:rPr>
        <w:t>) will receive the compensation described in this Non-Employee Director Compensation Policy for his or her Board service effective on April 1, 2021.</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This policy may be amended at any time in the sole discretion of the Board or the Compensation Committee of the Board.</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13"/>
          <w:szCs w:val="13"/>
          <w:b w:val="1"/>
          <w:bCs w:val="1"/>
          <w:color w:val="auto"/>
        </w:rPr>
        <w:t>NNUAL</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ASH</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OMPENSATION</w:t>
      </w:r>
    </w:p>
    <w:p>
      <w:pPr>
        <w:spacing w:after="0" w:line="222"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auto"/>
        </w:rPr>
        <w:t>The annual cash compensation set forth below is payable in equal quarterly installments, payable in arrears on the last day of each fiscal quarter in which the service occurred. If an Eligible Director joins or resigns from the Board or a committee of the Board at a time other than effective as of the first day of a fiscal quarter, each annual retainer set forth below will be pro-rated based on days served in the applicable fiscal year, with the pro-rated amount paid for the first fiscal quarter in which the Eligible Director provides the service, and for new Board members, regular full quarterly payments thereafter.</w:t>
      </w:r>
    </w:p>
    <w:p>
      <w:pPr>
        <w:spacing w:after="0" w:line="188" w:lineRule="exact"/>
        <w:rPr>
          <w:sz w:val="20"/>
          <w:szCs w:val="20"/>
          <w:color w:val="auto"/>
        </w:rPr>
      </w:pPr>
    </w:p>
    <w:p>
      <w:pPr>
        <w:ind w:left="540" w:hanging="532"/>
        <w:spacing w:after="0"/>
        <w:tabs>
          <w:tab w:leader="none" w:pos="54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Annual Board Service Retainer</w:t>
      </w:r>
      <w:r>
        <w:rPr>
          <w:rFonts w:ascii="Arial" w:cs="Arial" w:eastAsia="Arial" w:hAnsi="Arial"/>
          <w:sz w:val="20"/>
          <w:szCs w:val="20"/>
          <w:b w:val="1"/>
          <w:bCs w:val="1"/>
          <w:color w:val="auto"/>
        </w:rPr>
        <w:t>:</w:t>
      </w:r>
    </w:p>
    <w:p>
      <w:pPr>
        <w:spacing w:after="0" w:line="221" w:lineRule="exact"/>
        <w:rPr>
          <w:rFonts w:ascii="Arial" w:cs="Arial" w:eastAsia="Arial" w:hAnsi="Arial"/>
          <w:sz w:val="20"/>
          <w:szCs w:val="20"/>
          <w:b w:val="1"/>
          <w:bCs w:val="1"/>
          <w:color w:val="auto"/>
        </w:rPr>
      </w:pPr>
    </w:p>
    <w:p>
      <w:pPr>
        <w:ind w:left="1040" w:hanging="519"/>
        <w:spacing w:after="0"/>
        <w:tabs>
          <w:tab w:leader="none" w:pos="1040" w:val="left"/>
        </w:tabs>
        <w:numPr>
          <w:ilvl w:val="1"/>
          <w:numId w:val="11"/>
        </w:numPr>
        <w:rPr>
          <w:rFonts w:ascii="Arial" w:cs="Arial" w:eastAsia="Arial" w:hAnsi="Arial"/>
          <w:sz w:val="20"/>
          <w:szCs w:val="20"/>
          <w:color w:val="auto"/>
        </w:rPr>
      </w:pPr>
      <w:r>
        <w:rPr>
          <w:rFonts w:ascii="Arial" w:cs="Arial" w:eastAsia="Arial" w:hAnsi="Arial"/>
          <w:sz w:val="20"/>
          <w:szCs w:val="20"/>
          <w:color w:val="auto"/>
        </w:rPr>
        <w:t>All Eligible Directors (other than Chairman of the Board): $35,000</w:t>
      </w:r>
    </w:p>
    <w:p>
      <w:pPr>
        <w:spacing w:after="0" w:line="215" w:lineRule="exact"/>
        <w:rPr>
          <w:rFonts w:ascii="Arial" w:cs="Arial" w:eastAsia="Arial" w:hAnsi="Arial"/>
          <w:sz w:val="20"/>
          <w:szCs w:val="20"/>
          <w:color w:val="auto"/>
        </w:rPr>
      </w:pPr>
    </w:p>
    <w:p>
      <w:pPr>
        <w:ind w:left="1040" w:hanging="519"/>
        <w:spacing w:after="0"/>
        <w:tabs>
          <w:tab w:leader="none" w:pos="1040" w:val="left"/>
        </w:tabs>
        <w:numPr>
          <w:ilvl w:val="1"/>
          <w:numId w:val="11"/>
        </w:numPr>
        <w:rPr>
          <w:rFonts w:ascii="Arial" w:cs="Arial" w:eastAsia="Arial" w:hAnsi="Arial"/>
          <w:sz w:val="20"/>
          <w:szCs w:val="20"/>
          <w:color w:val="auto"/>
        </w:rPr>
      </w:pPr>
      <w:r>
        <w:rPr>
          <w:rFonts w:ascii="Arial" w:cs="Arial" w:eastAsia="Arial" w:hAnsi="Arial"/>
          <w:sz w:val="20"/>
          <w:szCs w:val="20"/>
          <w:color w:val="auto"/>
        </w:rPr>
        <w:t>Non-Executive Chairman of the Board: $68,000</w:t>
      </w:r>
    </w:p>
    <w:p>
      <w:pPr>
        <w:spacing w:after="0" w:line="209" w:lineRule="exact"/>
        <w:rPr>
          <w:rFonts w:ascii="Arial" w:cs="Arial" w:eastAsia="Arial" w:hAnsi="Arial"/>
          <w:sz w:val="20"/>
          <w:szCs w:val="20"/>
          <w:color w:val="auto"/>
        </w:rPr>
      </w:pPr>
    </w:p>
    <w:p>
      <w:pPr>
        <w:ind w:left="540" w:hanging="532"/>
        <w:spacing w:after="0"/>
        <w:tabs>
          <w:tab w:leader="none" w:pos="54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Annual Committee Chair Service Retainer</w:t>
      </w:r>
      <w:r>
        <w:rPr>
          <w:rFonts w:ascii="Arial" w:cs="Arial" w:eastAsia="Arial" w:hAnsi="Arial"/>
          <w:sz w:val="20"/>
          <w:szCs w:val="20"/>
          <w:b w:val="1"/>
          <w:bCs w:val="1"/>
          <w:color w:val="auto"/>
        </w:rPr>
        <w:t>:</w:t>
      </w:r>
    </w:p>
    <w:p>
      <w:pPr>
        <w:spacing w:after="0" w:line="221" w:lineRule="exact"/>
        <w:rPr>
          <w:rFonts w:ascii="Arial" w:cs="Arial" w:eastAsia="Arial" w:hAnsi="Arial"/>
          <w:sz w:val="20"/>
          <w:szCs w:val="20"/>
          <w:b w:val="1"/>
          <w:bCs w:val="1"/>
          <w:color w:val="auto"/>
        </w:rPr>
      </w:pPr>
    </w:p>
    <w:p>
      <w:pPr>
        <w:ind w:left="1300" w:hanging="788"/>
        <w:spacing w:after="0"/>
        <w:tabs>
          <w:tab w:leader="none" w:pos="1300" w:val="left"/>
        </w:tabs>
        <w:numPr>
          <w:ilvl w:val="1"/>
          <w:numId w:val="11"/>
        </w:numPr>
        <w:rPr>
          <w:rFonts w:ascii="Arial" w:cs="Arial" w:eastAsia="Arial" w:hAnsi="Arial"/>
          <w:sz w:val="20"/>
          <w:szCs w:val="20"/>
          <w:color w:val="auto"/>
        </w:rPr>
      </w:pPr>
      <w:r>
        <w:rPr>
          <w:rFonts w:ascii="Arial" w:cs="Arial" w:eastAsia="Arial" w:hAnsi="Arial"/>
          <w:sz w:val="20"/>
          <w:szCs w:val="20"/>
          <w:color w:val="auto"/>
        </w:rPr>
        <w:t>Chairman of the Audit Committee: $16,000</w:t>
      </w:r>
    </w:p>
    <w:p>
      <w:pPr>
        <w:spacing w:after="0" w:line="215" w:lineRule="exact"/>
        <w:rPr>
          <w:rFonts w:ascii="Arial" w:cs="Arial" w:eastAsia="Arial" w:hAnsi="Arial"/>
          <w:sz w:val="20"/>
          <w:szCs w:val="20"/>
          <w:color w:val="auto"/>
        </w:rPr>
      </w:pPr>
    </w:p>
    <w:p>
      <w:pPr>
        <w:ind w:left="1300" w:hanging="788"/>
        <w:spacing w:after="0"/>
        <w:tabs>
          <w:tab w:leader="none" w:pos="1300" w:val="left"/>
        </w:tabs>
        <w:numPr>
          <w:ilvl w:val="1"/>
          <w:numId w:val="11"/>
        </w:numPr>
        <w:rPr>
          <w:rFonts w:ascii="Arial" w:cs="Arial" w:eastAsia="Arial" w:hAnsi="Arial"/>
          <w:sz w:val="20"/>
          <w:szCs w:val="20"/>
          <w:color w:val="auto"/>
        </w:rPr>
      </w:pPr>
      <w:r>
        <w:rPr>
          <w:rFonts w:ascii="Arial" w:cs="Arial" w:eastAsia="Arial" w:hAnsi="Arial"/>
          <w:sz w:val="20"/>
          <w:szCs w:val="20"/>
          <w:color w:val="auto"/>
        </w:rPr>
        <w:t>Chairman of the Compensation Committee: $10,000</w:t>
      </w:r>
    </w:p>
    <w:p>
      <w:pPr>
        <w:spacing w:after="0" w:line="215" w:lineRule="exact"/>
        <w:rPr>
          <w:rFonts w:ascii="Arial" w:cs="Arial" w:eastAsia="Arial" w:hAnsi="Arial"/>
          <w:sz w:val="20"/>
          <w:szCs w:val="20"/>
          <w:color w:val="auto"/>
        </w:rPr>
      </w:pPr>
    </w:p>
    <w:p>
      <w:pPr>
        <w:ind w:left="1300" w:hanging="788"/>
        <w:spacing w:after="0"/>
        <w:tabs>
          <w:tab w:leader="none" w:pos="1300" w:val="left"/>
        </w:tabs>
        <w:numPr>
          <w:ilvl w:val="1"/>
          <w:numId w:val="11"/>
        </w:numPr>
        <w:rPr>
          <w:rFonts w:ascii="Arial" w:cs="Arial" w:eastAsia="Arial" w:hAnsi="Arial"/>
          <w:sz w:val="20"/>
          <w:szCs w:val="20"/>
          <w:color w:val="auto"/>
        </w:rPr>
      </w:pPr>
      <w:r>
        <w:rPr>
          <w:rFonts w:ascii="Arial" w:cs="Arial" w:eastAsia="Arial" w:hAnsi="Arial"/>
          <w:sz w:val="20"/>
          <w:szCs w:val="20"/>
          <w:color w:val="auto"/>
        </w:rPr>
        <w:t>Chairman of the Nominating &amp; Corporate Governance Committee: $7,500</w:t>
      </w:r>
    </w:p>
    <w:p>
      <w:pPr>
        <w:spacing w:after="0" w:line="209" w:lineRule="exact"/>
        <w:rPr>
          <w:rFonts w:ascii="Arial" w:cs="Arial" w:eastAsia="Arial" w:hAnsi="Arial"/>
          <w:sz w:val="20"/>
          <w:szCs w:val="20"/>
          <w:color w:val="auto"/>
        </w:rPr>
      </w:pPr>
    </w:p>
    <w:p>
      <w:pPr>
        <w:ind w:left="540" w:hanging="532"/>
        <w:spacing w:after="0"/>
        <w:tabs>
          <w:tab w:leader="none" w:pos="54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Annual Committee Member (other than Committee Chair) Service Retainer</w:t>
      </w:r>
      <w:r>
        <w:rPr>
          <w:rFonts w:ascii="Arial" w:cs="Arial" w:eastAsia="Arial" w:hAnsi="Arial"/>
          <w:sz w:val="20"/>
          <w:szCs w:val="20"/>
          <w:b w:val="1"/>
          <w:bCs w:val="1"/>
          <w:color w:val="auto"/>
        </w:rPr>
        <w:t>:</w:t>
      </w:r>
    </w:p>
    <w:p>
      <w:pPr>
        <w:spacing w:after="0" w:line="221" w:lineRule="exact"/>
        <w:rPr>
          <w:rFonts w:ascii="Arial" w:cs="Arial" w:eastAsia="Arial" w:hAnsi="Arial"/>
          <w:sz w:val="20"/>
          <w:szCs w:val="20"/>
          <w:b w:val="1"/>
          <w:bCs w:val="1"/>
          <w:color w:val="auto"/>
        </w:rPr>
      </w:pPr>
    </w:p>
    <w:p>
      <w:pPr>
        <w:ind w:left="1300" w:hanging="788"/>
        <w:spacing w:after="0"/>
        <w:tabs>
          <w:tab w:leader="none" w:pos="1300" w:val="left"/>
        </w:tabs>
        <w:numPr>
          <w:ilvl w:val="1"/>
          <w:numId w:val="11"/>
        </w:numPr>
        <w:rPr>
          <w:rFonts w:ascii="Arial" w:cs="Arial" w:eastAsia="Arial" w:hAnsi="Arial"/>
          <w:sz w:val="20"/>
          <w:szCs w:val="20"/>
          <w:color w:val="auto"/>
        </w:rPr>
      </w:pPr>
      <w:r>
        <w:rPr>
          <w:rFonts w:ascii="Arial" w:cs="Arial" w:eastAsia="Arial" w:hAnsi="Arial"/>
          <w:sz w:val="20"/>
          <w:szCs w:val="20"/>
          <w:color w:val="auto"/>
        </w:rPr>
        <w:t>Member of the Audit Committee: $8,000</w:t>
      </w:r>
    </w:p>
    <w:p>
      <w:pPr>
        <w:spacing w:after="0" w:line="215" w:lineRule="exact"/>
        <w:rPr>
          <w:rFonts w:ascii="Arial" w:cs="Arial" w:eastAsia="Arial" w:hAnsi="Arial"/>
          <w:sz w:val="20"/>
          <w:szCs w:val="20"/>
          <w:color w:val="auto"/>
        </w:rPr>
      </w:pPr>
    </w:p>
    <w:p>
      <w:pPr>
        <w:ind w:left="1300" w:hanging="788"/>
        <w:spacing w:after="0"/>
        <w:tabs>
          <w:tab w:leader="none" w:pos="1300" w:val="left"/>
        </w:tabs>
        <w:numPr>
          <w:ilvl w:val="1"/>
          <w:numId w:val="11"/>
        </w:numPr>
        <w:rPr>
          <w:rFonts w:ascii="Arial" w:cs="Arial" w:eastAsia="Arial" w:hAnsi="Arial"/>
          <w:sz w:val="20"/>
          <w:szCs w:val="20"/>
          <w:color w:val="auto"/>
        </w:rPr>
      </w:pPr>
      <w:r>
        <w:rPr>
          <w:rFonts w:ascii="Arial" w:cs="Arial" w:eastAsia="Arial" w:hAnsi="Arial"/>
          <w:sz w:val="20"/>
          <w:szCs w:val="20"/>
          <w:color w:val="auto"/>
        </w:rPr>
        <w:t>Member of the Compensation Committee: $5,000</w:t>
      </w:r>
    </w:p>
    <w:p>
      <w:pPr>
        <w:spacing w:after="0" w:line="215" w:lineRule="exact"/>
        <w:rPr>
          <w:rFonts w:ascii="Arial" w:cs="Arial" w:eastAsia="Arial" w:hAnsi="Arial"/>
          <w:sz w:val="20"/>
          <w:szCs w:val="20"/>
          <w:color w:val="auto"/>
        </w:rPr>
      </w:pPr>
    </w:p>
    <w:p>
      <w:pPr>
        <w:ind w:left="1300" w:hanging="788"/>
        <w:spacing w:after="0"/>
        <w:tabs>
          <w:tab w:leader="none" w:pos="1300" w:val="left"/>
        </w:tabs>
        <w:numPr>
          <w:ilvl w:val="1"/>
          <w:numId w:val="11"/>
        </w:numPr>
        <w:rPr>
          <w:rFonts w:ascii="Arial" w:cs="Arial" w:eastAsia="Arial" w:hAnsi="Arial"/>
          <w:sz w:val="20"/>
          <w:szCs w:val="20"/>
          <w:color w:val="auto"/>
        </w:rPr>
      </w:pPr>
      <w:r>
        <w:rPr>
          <w:rFonts w:ascii="Arial" w:cs="Arial" w:eastAsia="Arial" w:hAnsi="Arial"/>
          <w:sz w:val="20"/>
          <w:szCs w:val="20"/>
          <w:color w:val="auto"/>
        </w:rPr>
        <w:t>Member of the Nominating &amp; Corporate Governance Committee: $5,000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434975</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5" w:name="page36"/>
    <w:bookmarkEnd w:id="35"/>
    <w:p>
      <w:pPr>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QUITY</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OMPENSATION</w:t>
      </w:r>
    </w:p>
    <w:p>
      <w:pPr>
        <w:spacing w:after="0" w:line="222"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auto"/>
        </w:rPr>
        <w:t xml:space="preserve">The equity compensation set forth below will be granted under the Company’s 2018 Omnibus Incentive Plan, as amended from time to time (as amended,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All stock options granted under this policy will be nonstatutory stock options, with an exercise price per share equal to 100% of the Fair Market Value (as defined in the Plan) of the underlying Class A Common Stock on the date of grant, and have a term of ten years from the date of grant (subject to earlier termination in connection with a termination of service as provided in the Plan).</w:t>
      </w:r>
    </w:p>
    <w:p>
      <w:pPr>
        <w:spacing w:after="0" w:line="188"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Annual Equity Award:</w:t>
      </w:r>
    </w:p>
    <w:p>
      <w:pPr>
        <w:spacing w:after="0" w:line="235"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9"/>
          <w:szCs w:val="19"/>
          <w:color w:val="auto"/>
        </w:rPr>
        <w:t xml:space="preserve">On the date of each annual stockholder meeting of the Company commencing with the 2021 annual stockholder meeting, each Eligible Director automatically, and without further action by the Board or Compensation Committee of the Board, will be granted an annual equity award with an approximate target value on the date of grant equal to $50,000 (the </w:t>
      </w:r>
      <w:r>
        <w:rPr>
          <w:rFonts w:ascii="Arial" w:cs="Arial" w:eastAsia="Arial" w:hAnsi="Arial"/>
          <w:sz w:val="19"/>
          <w:szCs w:val="19"/>
          <w:b w:val="1"/>
          <w:bCs w:val="1"/>
          <w:i w:val="1"/>
          <w:iCs w:val="1"/>
          <w:color w:val="auto"/>
        </w:rPr>
        <w:t>“Annual Equity Award”</w:t>
      </w:r>
      <w:r>
        <w:rPr>
          <w:rFonts w:ascii="Arial" w:cs="Arial" w:eastAsia="Arial" w:hAnsi="Arial"/>
          <w:sz w:val="19"/>
          <w:szCs w:val="19"/>
          <w:color w:val="auto"/>
        </w:rPr>
        <w:t>). 70% of the target value of the Annual Equity Award will be issued in the form of an Option (as defined in the Plan), which will vest as follows, subject to an Eligible Director’s Continuous Service (as defined in the Plan): 1/12th of the shares will vest monthly on the last day each month, so that all of the shares will be vested on the one-year anniversary of the date of grant. 30% of the target value of the Annual Equity Award will be issued in the form of a Restricted Stock Unit Award (as defined in the Plan), which will vest as follows, subject to an Eligible Director’s Continuous Service: 1/12th of the shares will vest monthly on the last day of each month , so that all of the shares will be vested on the one-year anniversary of the date of grant.</w:t>
      </w:r>
    </w:p>
    <w:p>
      <w:pPr>
        <w:spacing w:after="0" w:line="198"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color w:val="auto"/>
        </w:rPr>
        <w:t>The number of Restricted Stock Units to be granted to each Eligible Director will be determined by dividing the target value by the 30-trading day average closing price of the Class A Common Stock on the Nasdaq Stock Market, ending on the trading day immediately preceding the grant date, rounded to the nearest whole share. The number of shares of Class A Common Stock underlying the Option to be granted to each Eligible Director will be calculated in accordance with the Black-Scholes option pricing model utilizing the 30-trading day average closing price of the Class A Common Stock on the Nasdaq Stock Market, ending on the trading day immediately preceding the grant date, rounded to the nearest whole share.</w:t>
      </w:r>
    </w:p>
    <w:p>
      <w:pPr>
        <w:spacing w:after="0" w:line="203"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Initial Equity Award:</w:t>
      </w:r>
    </w:p>
    <w:p>
      <w:pPr>
        <w:spacing w:after="0" w:line="343"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color w:val="auto"/>
        </w:rPr>
        <w:t>From and after the 2021 annual stockholder meeting, if an individual first becomes an Eligible Director other than on the date of an annual stockholder meeting of the Company, each such Eligible Director automatically, and without further action by the Board or Compensation Committee of the Board, if any, will be granted, on the date that he or she is first elected or appointed to the Board (or, if such date is not a market trading day, the first market trading day thereafter), an initial annual equity award with an aggregate target value equal to the pro rated target value of the Annual Equity Award to reflect a reduction for each month prior to the date of grant that has elapsed since the preceding annual stockholder meeting of the Company, which will include Options and Restricted Stock Units calculated in the same manner as the Annual Equity Award.</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XPENSES</w:t>
      </w:r>
    </w:p>
    <w:p>
      <w:pPr>
        <w:spacing w:after="0" w:line="114"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The Company will reimburse Eligible Directors for ordinary, necessary and reasonable out-of-pocket travel expenses to cover in-person attendance at and participation in Board and/or Committee meetings; provided, that Eligible Directors timely submit to the Company appropriate documentation substantiating such expenses in accordance with the Company’s travel and expense policy, as in effect from time to time.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549"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Dane C. Andreeff, certify that:</w:t>
      </w:r>
    </w:p>
    <w:p>
      <w:pPr>
        <w:spacing w:after="0" w:line="225" w:lineRule="exact"/>
        <w:rPr>
          <w:sz w:val="20"/>
          <w:szCs w:val="20"/>
          <w:color w:val="auto"/>
        </w:rPr>
      </w:pPr>
    </w:p>
    <w:p>
      <w:pPr>
        <w:ind w:left="680" w:hanging="195"/>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report on Form 10-Q of Helius Medical Technologies, Inc.</w:t>
      </w:r>
    </w:p>
    <w:p>
      <w:pPr>
        <w:spacing w:after="0" w:line="225" w:lineRule="exact"/>
        <w:rPr>
          <w:rFonts w:ascii="Arial" w:cs="Arial" w:eastAsia="Arial" w:hAnsi="Arial"/>
          <w:sz w:val="18"/>
          <w:szCs w:val="18"/>
          <w:color w:val="auto"/>
        </w:rPr>
      </w:pPr>
    </w:p>
    <w:p>
      <w:pPr>
        <w:jc w:val="both"/>
        <w:ind w:left="480" w:firstLine="5"/>
        <w:spacing w:after="0" w:line="263" w:lineRule="auto"/>
        <w:tabs>
          <w:tab w:leader="none" w:pos="678"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80" w:firstLine="5"/>
        <w:spacing w:after="0" w:line="277" w:lineRule="auto"/>
        <w:tabs>
          <w:tab w:leader="none" w:pos="677"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80" w:firstLine="5"/>
        <w:spacing w:after="0" w:line="263" w:lineRule="auto"/>
        <w:tabs>
          <w:tab w:leader="none" w:pos="68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480" w:firstLine="462"/>
        <w:spacing w:after="0" w:line="263" w:lineRule="auto"/>
        <w:tabs>
          <w:tab w:leader="none" w:pos="1126"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480" w:firstLine="462"/>
        <w:spacing w:after="0" w:line="263" w:lineRule="auto"/>
        <w:tabs>
          <w:tab w:leader="none" w:pos="1146"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80" w:firstLine="462"/>
        <w:spacing w:after="0" w:line="308" w:lineRule="auto"/>
        <w:tabs>
          <w:tab w:leader="none" w:pos="1143"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480" w:firstLine="462"/>
        <w:spacing w:after="0" w:line="263" w:lineRule="auto"/>
        <w:tabs>
          <w:tab w:leader="none" w:pos="115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80" w:firstLine="5"/>
        <w:spacing w:after="0" w:line="308" w:lineRule="auto"/>
        <w:tabs>
          <w:tab w:leader="none" w:pos="686"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80" w:firstLine="462"/>
        <w:spacing w:after="0" w:line="277" w:lineRule="auto"/>
        <w:tabs>
          <w:tab w:leader="none" w:pos="1154"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80" w:right="20" w:firstLine="462"/>
        <w:spacing w:after="0" w:line="277" w:lineRule="auto"/>
        <w:tabs>
          <w:tab w:leader="none" w:pos="1146"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520" w:type="dxa"/>
            <w:vAlign w:val="bottom"/>
          </w:tcPr>
          <w:p>
            <w:pPr>
              <w:spacing w:after="0"/>
              <w:rPr>
                <w:sz w:val="20"/>
                <w:szCs w:val="20"/>
                <w:color w:val="auto"/>
              </w:rPr>
            </w:pPr>
            <w:r>
              <w:rPr>
                <w:rFonts w:ascii="Arial" w:cs="Arial" w:eastAsia="Arial" w:hAnsi="Arial"/>
                <w:sz w:val="18"/>
                <w:szCs w:val="18"/>
                <w:color w:val="auto"/>
                <w:w w:val="95"/>
              </w:rPr>
              <w:t>Date: May 17, 2021</w:t>
            </w:r>
          </w:p>
        </w:tc>
        <w:tc>
          <w:tcPr>
            <w:tcW w:w="5240" w:type="dxa"/>
            <w:vAlign w:val="bottom"/>
          </w:tcPr>
          <w:p>
            <w:pPr>
              <w:spacing w:after="0"/>
              <w:rPr>
                <w:sz w:val="22"/>
                <w:szCs w:val="22"/>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Dane C. Andreeff</w:t>
            </w:r>
          </w:p>
        </w:tc>
      </w:tr>
      <w:tr>
        <w:trPr>
          <w:trHeight w:val="222"/>
        </w:trPr>
        <w:tc>
          <w:tcPr>
            <w:tcW w:w="15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Dane C. Andreeff</w:t>
            </w:r>
          </w:p>
        </w:tc>
      </w:tr>
      <w:tr>
        <w:trPr>
          <w:trHeight w:val="230"/>
        </w:trPr>
        <w:tc>
          <w:tcPr>
            <w:tcW w:w="15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Interim Chief Executive Officer and Director</w:t>
            </w:r>
          </w:p>
        </w:tc>
      </w:tr>
      <w:tr>
        <w:trPr>
          <w:trHeight w:val="243"/>
        </w:trPr>
        <w:tc>
          <w:tcPr>
            <w:tcW w:w="1520" w:type="dxa"/>
            <w:vAlign w:val="bottom"/>
          </w:tcPr>
          <w:p>
            <w:pPr>
              <w:spacing w:after="0"/>
              <w:rPr>
                <w:sz w:val="21"/>
                <w:szCs w:val="21"/>
                <w:color w:val="auto"/>
              </w:rPr>
            </w:pPr>
          </w:p>
        </w:tc>
        <w:tc>
          <w:tcPr>
            <w:tcW w:w="9720" w:type="dxa"/>
            <w:vAlign w:val="bottom"/>
            <w:gridSpan w:val="2"/>
          </w:tcPr>
          <w:p>
            <w:pPr>
              <w:ind w:left="6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351"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Joyce LaViscount, certify that:</w:t>
      </w:r>
    </w:p>
    <w:p>
      <w:pPr>
        <w:spacing w:after="0" w:line="225" w:lineRule="exact"/>
        <w:rPr>
          <w:sz w:val="20"/>
          <w:szCs w:val="20"/>
          <w:color w:val="auto"/>
        </w:rPr>
      </w:pPr>
    </w:p>
    <w:p>
      <w:pPr>
        <w:ind w:left="680" w:hanging="195"/>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report on Form 10-Q of Helius Medical Technologies, Inc.</w:t>
      </w:r>
    </w:p>
    <w:p>
      <w:pPr>
        <w:spacing w:after="0" w:line="225" w:lineRule="exact"/>
        <w:rPr>
          <w:rFonts w:ascii="Arial" w:cs="Arial" w:eastAsia="Arial" w:hAnsi="Arial"/>
          <w:sz w:val="18"/>
          <w:szCs w:val="18"/>
          <w:color w:val="auto"/>
        </w:rPr>
      </w:pPr>
    </w:p>
    <w:p>
      <w:pPr>
        <w:jc w:val="both"/>
        <w:ind w:left="480" w:firstLine="5"/>
        <w:spacing w:after="0" w:line="263" w:lineRule="auto"/>
        <w:tabs>
          <w:tab w:leader="none" w:pos="678"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80" w:firstLine="5"/>
        <w:spacing w:after="0" w:line="277" w:lineRule="auto"/>
        <w:tabs>
          <w:tab w:leader="none" w:pos="677"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80" w:firstLine="5"/>
        <w:spacing w:after="0" w:line="263" w:lineRule="auto"/>
        <w:tabs>
          <w:tab w:leader="none" w:pos="689"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480" w:firstLine="462"/>
        <w:spacing w:after="0" w:line="263" w:lineRule="auto"/>
        <w:tabs>
          <w:tab w:leader="none" w:pos="1126"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480" w:firstLine="462"/>
        <w:spacing w:after="0" w:line="263" w:lineRule="auto"/>
        <w:tabs>
          <w:tab w:leader="none" w:pos="1146"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80" w:firstLine="462"/>
        <w:spacing w:after="0" w:line="308" w:lineRule="auto"/>
        <w:tabs>
          <w:tab w:leader="none" w:pos="1143"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480" w:firstLine="462"/>
        <w:spacing w:after="0" w:line="263" w:lineRule="auto"/>
        <w:tabs>
          <w:tab w:leader="none" w:pos="115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80" w:firstLine="5"/>
        <w:spacing w:after="0" w:line="308" w:lineRule="auto"/>
        <w:tabs>
          <w:tab w:leader="none" w:pos="686"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80" w:firstLine="462"/>
        <w:spacing w:after="0" w:line="277" w:lineRule="auto"/>
        <w:tabs>
          <w:tab w:leader="none" w:pos="1154"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80" w:right="20" w:firstLine="462"/>
        <w:spacing w:after="0" w:line="277" w:lineRule="auto"/>
        <w:tabs>
          <w:tab w:leader="none" w:pos="1146"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60" w:type="dxa"/>
            <w:vAlign w:val="bottom"/>
          </w:tcPr>
          <w:p>
            <w:pPr>
              <w:spacing w:after="0"/>
              <w:rPr>
                <w:sz w:val="20"/>
                <w:szCs w:val="20"/>
                <w:color w:val="auto"/>
              </w:rPr>
            </w:pPr>
            <w:r>
              <w:rPr>
                <w:rFonts w:ascii="Arial" w:cs="Arial" w:eastAsia="Arial" w:hAnsi="Arial"/>
                <w:sz w:val="18"/>
                <w:szCs w:val="18"/>
                <w:color w:val="auto"/>
              </w:rPr>
              <w:t>Date: May 17, 2021</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Joyce LaViscount</w:t>
            </w:r>
          </w:p>
        </w:tc>
      </w:tr>
      <w:tr>
        <w:trPr>
          <w:trHeight w:val="155"/>
        </w:trPr>
        <w:tc>
          <w:tcPr>
            <w:tcW w:w="6760" w:type="dxa"/>
            <w:vAlign w:val="bottom"/>
          </w:tcPr>
          <w:p>
            <w:pPr>
              <w:spacing w:after="0"/>
              <w:rPr>
                <w:sz w:val="13"/>
                <w:szCs w:val="13"/>
                <w:color w:val="auto"/>
              </w:rPr>
            </w:pPr>
          </w:p>
        </w:tc>
        <w:tc>
          <w:tcPr>
            <w:tcW w:w="4480" w:type="dxa"/>
            <w:vAlign w:val="bottom"/>
          </w:tcPr>
          <w:p>
            <w:pPr>
              <w:spacing w:after="0" w:line="154" w:lineRule="exact"/>
              <w:rPr>
                <w:sz w:val="20"/>
                <w:szCs w:val="20"/>
                <w:color w:val="auto"/>
              </w:rPr>
            </w:pPr>
            <w:r>
              <w:rPr>
                <w:rFonts w:ascii="Arial" w:cs="Arial" w:eastAsia="Arial" w:hAnsi="Arial"/>
                <w:sz w:val="17"/>
                <w:szCs w:val="17"/>
                <w:color w:val="auto"/>
              </w:rPr>
              <w:t>Joyce LaViscount</w:t>
            </w:r>
          </w:p>
        </w:tc>
      </w:tr>
      <w:tr>
        <w:trPr>
          <w:trHeight w:val="189"/>
        </w:trPr>
        <w:tc>
          <w:tcPr>
            <w:tcW w:w="6760" w:type="dxa"/>
            <w:vAlign w:val="bottom"/>
          </w:tcPr>
          <w:p>
            <w:pPr>
              <w:spacing w:after="0"/>
              <w:rPr>
                <w:sz w:val="16"/>
                <w:szCs w:val="16"/>
                <w:color w:val="auto"/>
              </w:rPr>
            </w:pPr>
          </w:p>
        </w:tc>
        <w:tc>
          <w:tcPr>
            <w:tcW w:w="4480" w:type="dxa"/>
            <w:vAlign w:val="bottom"/>
          </w:tcPr>
          <w:p>
            <w:pPr>
              <w:spacing w:after="0" w:line="189" w:lineRule="exact"/>
              <w:rPr>
                <w:sz w:val="20"/>
                <w:szCs w:val="20"/>
                <w:color w:val="auto"/>
              </w:rPr>
            </w:pPr>
            <w:r>
              <w:rPr>
                <w:rFonts w:ascii="Arial" w:cs="Arial" w:eastAsia="Arial" w:hAnsi="Arial"/>
                <w:sz w:val="18"/>
                <w:szCs w:val="18"/>
                <w:color w:val="auto"/>
              </w:rPr>
              <w:t>Chief Financial Officer</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351"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line="258" w:lineRule="auto"/>
        <w:rPr>
          <w:sz w:val="20"/>
          <w:szCs w:val="20"/>
          <w:color w:val="auto"/>
        </w:rPr>
      </w:pPr>
      <w:r>
        <w:rPr>
          <w:rFonts w:ascii="Arial" w:cs="Arial" w:eastAsia="Arial" w:hAnsi="Arial"/>
          <w:sz w:val="18"/>
          <w:szCs w:val="18"/>
          <w:b w:val="1"/>
          <w:bCs w:val="1"/>
          <w:color w:val="auto"/>
        </w:rPr>
        <w:t>CERTIFICATION OF CHIEF EXECUTIVE OFFICER HELIUS MEDICAL TECHNOLOGIES, INC. FORM 10-Q FOR THE QUARTER ENDED MARCH 31, 2021 PURSUANT TO 18 U.S.C. SECTION 1350, AS ADOPTED PURSUANT TO SECTION 906 OF THE SARBANES-OXLEY ACT OF 2002</w:t>
      </w:r>
    </w:p>
    <w:p>
      <w:pPr>
        <w:spacing w:after="0" w:line="187" w:lineRule="exact"/>
        <w:rPr>
          <w:sz w:val="20"/>
          <w:szCs w:val="20"/>
          <w:color w:val="auto"/>
        </w:rPr>
      </w:pPr>
    </w:p>
    <w:p>
      <w:pPr>
        <w:jc w:val="both"/>
        <w:ind w:firstLine="477"/>
        <w:spacing w:after="0" w:line="263" w:lineRule="auto"/>
        <w:rPr>
          <w:sz w:val="20"/>
          <w:szCs w:val="20"/>
          <w:color w:val="auto"/>
        </w:rPr>
      </w:pPr>
      <w:r>
        <w:rPr>
          <w:rFonts w:ascii="Arial" w:cs="Arial" w:eastAsia="Arial" w:hAnsi="Arial"/>
          <w:sz w:val="18"/>
          <w:szCs w:val="18"/>
          <w:color w:val="auto"/>
        </w:rPr>
        <w:t>I am the Interim Chief Executive Officer of Helius Medical Technologies, Inc., a Delaware corporation (the “Company”). I am delivering this certificate in connection with the Form 10-Q of the Company for the quarter ended March 31, 2021 and filed with the Securities and Exchange Commission (“Form 10-Q”).</w:t>
      </w:r>
    </w:p>
    <w:p>
      <w:pPr>
        <w:spacing w:after="0" w:line="184" w:lineRule="exact"/>
        <w:rPr>
          <w:sz w:val="20"/>
          <w:szCs w:val="20"/>
          <w:color w:val="auto"/>
        </w:rPr>
      </w:pPr>
    </w:p>
    <w:p>
      <w:pPr>
        <w:jc w:val="both"/>
        <w:ind w:firstLine="477"/>
        <w:spacing w:after="0" w:line="286" w:lineRule="auto"/>
        <w:rPr>
          <w:sz w:val="20"/>
          <w:szCs w:val="20"/>
          <w:color w:val="auto"/>
        </w:rPr>
      </w:pPr>
      <w:r>
        <w:rPr>
          <w:rFonts w:ascii="Arial" w:cs="Arial" w:eastAsia="Arial" w:hAnsi="Arial"/>
          <w:sz w:val="17"/>
          <w:szCs w:val="17"/>
          <w:color w:val="auto"/>
        </w:rPr>
        <w:t>Pursuant to 18 U.S.C. Section 1350, as adopted pursuant to Section 906 of the Sarbanes-Oxley Act of 2002, I hereby certify that, to the best of my knowledge, the Form 10-Q fully complies with the requirements of Section 13(a) or Section 15(d) of the Securities Exchange Act of 1934 and that the information contained in the Form 10-Q fairly presents, in all material respects, the financial condition and results of operations of the Company.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 May 17, 2021</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Dane C. Andreeff</w:t>
            </w:r>
          </w:p>
        </w:tc>
      </w:tr>
      <w:tr>
        <w:trPr>
          <w:trHeight w:val="195"/>
        </w:trPr>
        <w:tc>
          <w:tcPr>
            <w:tcW w:w="676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Dane C. Andreeff</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Interim Chief Executive Officer and Director</w:t>
            </w:r>
          </w:p>
        </w:tc>
      </w:tr>
    </w:tbl>
    <w:p>
      <w:pPr>
        <w:sectPr>
          <w:pgSz w:w="11900" w:h="16838" w:orient="portrait"/>
          <w:cols w:equalWidth="0" w:num="1">
            <w:col w:w="11240"/>
          </w:cols>
          <w:pgMar w:left="320" w:top="351"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line="258" w:lineRule="auto"/>
        <w:rPr>
          <w:sz w:val="20"/>
          <w:szCs w:val="20"/>
          <w:color w:val="auto"/>
        </w:rPr>
      </w:pPr>
      <w:r>
        <w:rPr>
          <w:rFonts w:ascii="Arial" w:cs="Arial" w:eastAsia="Arial" w:hAnsi="Arial"/>
          <w:sz w:val="18"/>
          <w:szCs w:val="18"/>
          <w:b w:val="1"/>
          <w:bCs w:val="1"/>
          <w:color w:val="auto"/>
        </w:rPr>
        <w:t>CERTIFICATION OF CHIEF FINANCIAL OFFICER HELIUS MEDICAL TECHNOLOGIES, INC. FORM 10-Q FOR THE QUARTER ENDED MARCH 31, 2021 PURSUANT TO 18 U.S.C. SECTION 1350, AS ADOPTED PURSUANT TO SECTION 906 OF THE SARBANES-OXLEY ACT OF 2002</w:t>
      </w:r>
    </w:p>
    <w:p>
      <w:pPr>
        <w:spacing w:after="0" w:line="187" w:lineRule="exact"/>
        <w:rPr>
          <w:sz w:val="20"/>
          <w:szCs w:val="20"/>
          <w:color w:val="auto"/>
        </w:rPr>
      </w:pPr>
    </w:p>
    <w:p>
      <w:pPr>
        <w:jc w:val="both"/>
        <w:ind w:firstLine="477"/>
        <w:spacing w:after="0" w:line="263" w:lineRule="auto"/>
        <w:rPr>
          <w:sz w:val="20"/>
          <w:szCs w:val="20"/>
          <w:color w:val="auto"/>
        </w:rPr>
      </w:pPr>
      <w:r>
        <w:rPr>
          <w:rFonts w:ascii="Arial" w:cs="Arial" w:eastAsia="Arial" w:hAnsi="Arial"/>
          <w:sz w:val="18"/>
          <w:szCs w:val="18"/>
          <w:color w:val="auto"/>
        </w:rPr>
        <w:t>I am the Chief Financial Officer of Helius Medical Technologies, Inc., a Delaware corporation (the “Company”). I am delivering this certificate in connection with the Form 10-Q of the Company for the quarter ended March 31, 2021 and filed with the Securities and Exchange Commission (“Form 10-Q”).</w:t>
      </w:r>
    </w:p>
    <w:p>
      <w:pPr>
        <w:spacing w:after="0" w:line="184" w:lineRule="exact"/>
        <w:rPr>
          <w:sz w:val="20"/>
          <w:szCs w:val="20"/>
          <w:color w:val="auto"/>
        </w:rPr>
      </w:pPr>
    </w:p>
    <w:p>
      <w:pPr>
        <w:jc w:val="both"/>
        <w:ind w:firstLine="477"/>
        <w:spacing w:after="0" w:line="286" w:lineRule="auto"/>
        <w:rPr>
          <w:sz w:val="20"/>
          <w:szCs w:val="20"/>
          <w:color w:val="auto"/>
        </w:rPr>
      </w:pPr>
      <w:r>
        <w:rPr>
          <w:rFonts w:ascii="Arial" w:cs="Arial" w:eastAsia="Arial" w:hAnsi="Arial"/>
          <w:sz w:val="17"/>
          <w:szCs w:val="17"/>
          <w:color w:val="auto"/>
        </w:rPr>
        <w:t>Pursuant to 18 U.S.C. Section 1350, as adopted pursuant to Section 906 of the Sarbanes-Oxley Act of 2002, I hereby certify that, to the best of my knowledge, the Form 10-Q fully complies with the requirements of Section 13(a) or Section 15(d) of the Securities Exchange Act of 1934 and that the information contained in the Form 10-Q fairly presents, in all material respects, the financial condition and results of operations of the Company.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 May 17, 2021</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Joyce LaViscount</w:t>
            </w:r>
          </w:p>
        </w:tc>
      </w:tr>
      <w:tr>
        <w:trPr>
          <w:trHeight w:val="195"/>
        </w:trPr>
        <w:tc>
          <w:tcPr>
            <w:tcW w:w="676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Joyce LaViscount</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2"/>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lowerRoman"/>
      <w:start w:val="1"/>
    </w:lvl>
  </w:abstractNum>
  <w:abstractNum w:abstractNumId="5">
    <w:nsid w:val="216231B"/>
    <w:multiLevelType w:val="hybridMultilevel"/>
    <w:lvl w:ilvl="0">
      <w:lvlJc w:val="left"/>
      <w:lvlText w:val="(%1)"/>
      <w:numFmt w:val="lowerLetter"/>
      <w:start w:val="1"/>
    </w:lvl>
  </w:abstractNum>
  <w:abstractNum w:abstractNumId="6">
    <w:nsid w:val="1F16E9E8"/>
    <w:multiLevelType w:val="hybridMultilevel"/>
    <w:lvl w:ilvl="0">
      <w:lvlJc w:val="left"/>
      <w:lvlText w:val="(%1)"/>
      <w:numFmt w:val="lowerLetter"/>
      <w:start w:val="3"/>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decimal"/>
      <w:start w:val="1"/>
    </w:lvl>
    <w:lvl w:ilvl="1">
      <w:lvlJc w:val="left"/>
      <w:lvlText w:val="%2."/>
      <w:numFmt w:val="lowerLetter"/>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2"/>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53" Type="http://schemas.openxmlformats.org/officeDocument/2006/relationships/hyperlink" Target="http://www.sec.gov/Archives/edgar/data/1610853/000156459018020736/hsdt-ex31_66.htm" TargetMode="External"/><Relationship Id="rId54" Type="http://schemas.openxmlformats.org/officeDocument/2006/relationships/hyperlink" Target="http://www.sec.gov/Archives/edgar/data/0001610853/000119312518312155/d646047dex31.htm" TargetMode="External"/><Relationship Id="rId55" Type="http://schemas.openxmlformats.org/officeDocument/2006/relationships/hyperlink" Target="http://www.sec.gov/Archives/edgar/data/1610853/000156459020058917/hsdt-ex31_7.htm" TargetMode="External"/><Relationship Id="rId56" Type="http://schemas.openxmlformats.org/officeDocument/2006/relationships/hyperlink" Target="http://www.sec.gov/Archives/edgar/data/0001610853/000156459018020736/hsdt-ex33_68.htm" TargetMode="External"/><Relationship Id="rId57" Type="http://schemas.openxmlformats.org/officeDocument/2006/relationships/hyperlink" Target="http://www.sec.gov/Archives/edgar/data/1610853/000119312521011714/d15508dex41.htm" TargetMode="External"/><Relationship Id="rId58" Type="http://schemas.openxmlformats.org/officeDocument/2006/relationships/hyperlink" Target="http://www.sec.gov/Archives/edgar/data/1610853/000156459021003612/hsdt-ex11_8.htm" TargetMode="External"/><Relationship Id="rId59" Type="http://schemas.openxmlformats.org/officeDocument/2006/relationships/hyperlink" Target="http://www.sec.gov/Archives/edgar/data/1610853/000156459021003612/hsdt-ex42_9.htm" TargetMode="External"/><Relationship Id="rId60" Type="http://schemas.openxmlformats.org/officeDocument/2006/relationships/hyperlink" Target="http://www.sec.gov/Archives/edgar/data/1610853/000119312521011714/d15508dex43.htm" TargetMode="External"/><Relationship Id="rId61" Type="http://schemas.openxmlformats.org/officeDocument/2006/relationships/hyperlink" Target="http://www.sec.gov/Archives/edgar/data/1610853/000156459021012121/hsdt-ex103_292.htm" TargetMode="External"/><Relationship Id="rId62" Type="http://schemas.openxmlformats.org/officeDocument/2006/relationships/hyperlink" Target="http://www.sec.gov/Archives/edgar/data/1610853/000156459021018009/hsdt-ex101_8.htm" TargetMode="External"/><Relationship Id="rId63" Type="http://schemas.openxmlformats.org/officeDocument/2006/relationships/hyperlink" Target="http://www.sec.gov/Archives/edgar/data/1610853/000156459021018009/hsdt-ex102_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2021-05-18T00:06:03Z</dcterms:created>
  <dcterms:modified xsi:type="dcterms:W3CDTF">2021-05-18T00:06:03Z</dcterms:modified>
</cp:coreProperties>
</file>