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dt-20240331x10q.htm"/>
        <w:bookmarkStart w:id="1" w:name="kshsdt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center"/>
        <w:rPr/>
      </w:pPr>
      <w:r>
        <w:rPr/>
        <w:t>​</w:t>
      </w:r>
    </w:p>
    <w:p>
      <w:pPr>
        <w:pStyle w:val="TextBody"/>
        <w:pBdr>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8630e8f6_9863_4810_93d2_07ff4f2bd6c6"/>
      <w:bookmarkStart w:id="3" w:name="_Hlk107881731"/>
      <w:bookmarkEnd w:id="2"/>
      <w:bookmarkEnd w:id="3"/>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60"/>
        <w:ind w:left="0" w:right="0" w:hanging="0"/>
        <w:jc w:val="left"/>
        <w:rPr/>
      </w:pPr>
      <w:r>
        <w:rPr/>
        <w:t>​</w:t>
      </w:r>
    </w:p>
    <w:p>
      <w:pPr>
        <w:pStyle w:val="Normal"/>
        <w:bidi w:val="0"/>
        <w:spacing w:before="0" w:after="0"/>
        <w:jc w:val="left"/>
        <w:rPr>
          <w:sz w:val="4"/>
          <w:szCs w:val="4"/>
        </w:rPr>
      </w:pPr>
      <w:r>
        <w:rPr>
          <w:sz w:val="4"/>
          <w:szCs w:val="4"/>
        </w:rPr>
      </w:r>
      <w:bookmarkStart w:id="4" w:name="Tc_ZrTt7rJZZUiHVXNSeaPRdA_1_1"/>
      <w:bookmarkStart w:id="5" w:name="_729391a9_f110_4b4b_b425_6a3a17cca1bc"/>
      <w:bookmarkStart w:id="6" w:name="Tc_ZrTt7rJZZUiHVXNSeaPRdA_1_1"/>
      <w:bookmarkStart w:id="7" w:name="_729391a9_f110_4b4b_b425_6a3a17cca1bc"/>
      <w:bookmarkEnd w:id="6"/>
      <w:bookmarkEnd w:id="7"/>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2024</w:t>
      </w:r>
    </w:p>
    <w:p>
      <w:pPr>
        <w:pStyle w:val="TextBody"/>
        <w:bidi w:val="0"/>
        <w:spacing w:before="0" w:after="12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or</w:t>
      </w:r>
    </w:p>
    <w:p>
      <w:pPr>
        <w:pStyle w:val="Normal"/>
        <w:bidi w:val="0"/>
        <w:spacing w:before="0" w:after="0"/>
        <w:jc w:val="left"/>
        <w:rPr>
          <w:sz w:val="4"/>
          <w:szCs w:val="4"/>
        </w:rPr>
      </w:pPr>
      <w:r>
        <w:rPr>
          <w:sz w:val="4"/>
          <w:szCs w:val="4"/>
        </w:rPr>
      </w:r>
      <w:bookmarkStart w:id="8" w:name="Tc_FnBQGWc0BUeAkdyRbI7Zqw_1_1"/>
      <w:bookmarkStart w:id="9" w:name="_9f9e2559_491d_42ce_898c_0eb64dc41123"/>
      <w:bookmarkStart w:id="10" w:name="Tc_FnBQGWc0BUeAkdyRbI7Zqw_1_1"/>
      <w:bookmarkStart w:id="11" w:name="_9f9e2559_491d_42ce_898c_0eb64dc41123"/>
      <w:bookmarkEnd w:id="10"/>
      <w:bookmarkEnd w:id="11"/>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Commission File No. 001-38445</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HELIUS MEDICAL TECHNOLOGIES,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2" w:name="Tc_AKrHlgE_RUWlFU27FxtFEQ_2_2"/>
      <w:bookmarkStart w:id="13" w:name="Tc_NmCJqlwRL0y79mXqjXETDA_2_0"/>
      <w:bookmarkStart w:id="14" w:name="_7edaf331_1936_4209_9799_46c13f470a82"/>
      <w:bookmarkStart w:id="15" w:name="Tc_AKrHlgE_RUWlFU27FxtFEQ_2_2"/>
      <w:bookmarkStart w:id="16" w:name="Tc_NmCJqlwRL0y79mXqjXETDA_2_0"/>
      <w:bookmarkStart w:id="17" w:name="_7edaf331_1936_4209_9799_46c13f470a82"/>
      <w:bookmarkEnd w:id="15"/>
      <w:bookmarkEnd w:id="16"/>
      <w:bookmarkEnd w:id="17"/>
    </w:p>
    <w:tbl>
      <w:tblPr>
        <w:tblW w:w="4033" w:type="dxa"/>
        <w:jc w:val="left"/>
        <w:tblInd w:w="0" w:type="dxa"/>
        <w:tblLayout w:type="fixed"/>
        <w:tblCellMar>
          <w:top w:w="0" w:type="dxa"/>
          <w:left w:w="0" w:type="dxa"/>
          <w:bottom w:w="0" w:type="dxa"/>
          <w:right w:w="0" w:type="dxa"/>
        </w:tblCellMar>
      </w:tblPr>
      <w:tblGrid>
        <w:gridCol w:w="2461"/>
        <w:gridCol w:w="326"/>
        <w:gridCol w:w="1246"/>
      </w:tblGrid>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36-4787690</w:t>
            </w:r>
          </w:p>
        </w:tc>
      </w:tr>
      <w:tr>
        <w:trPr/>
        <w:tc>
          <w:tcPr>
            <w:tcW w:w="2461"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240"/>
              <w:ind w:left="0" w:right="0" w:hanging="0"/>
              <w:jc w:val="center"/>
              <w:rPr/>
            </w:pPr>
            <w:r>
              <w:rPr/>
              <w:t>​</w:t>
            </w:r>
          </w:p>
        </w:tc>
      </w:tr>
      <w:tr>
        <w:trPr/>
        <w:tc>
          <w:tcPr>
            <w:tcW w:w="2461"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(State or other jurisdiction of</w:t>
            </w:r>
            <w:r>
              <w:rPr>
                <w:rFonts w:ascii="Times New Roman;Times;serif" w:hAnsi="Times New Roman;Times;serif"/>
                <w:sz w:val="14"/>
              </w:rPr>
              <w:br/>
            </w:r>
            <w:r>
              <w:rPr>
                <w:rFonts w:ascii="Times New Roman;Times;serif" w:hAnsi="Times New Roman;Times;serif"/>
                <w:b/>
                <w:sz w:val="14"/>
              </w:rPr>
              <w:t>incorporation or organization)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642 Newtown Yardley Road, Suite 100</w:t>
            </w:r>
            <w:r>
              <w:rPr>
                <w:rFonts w:ascii="Times New Roman;Times;serif" w:hAnsi="Times New Roman;Times;serif"/>
                <w:sz w:val="14"/>
              </w:rPr>
              <w:br/>
            </w:r>
            <w:r>
              <w:rPr>
                <w:rFonts w:ascii="Times New Roman;Times;serif" w:hAnsi="Times New Roman;Times;serif"/>
                <w:b/>
                <w:sz w:val="14"/>
              </w:rPr>
              <w:t>Newtown, Pennsylvania</w:t>
            </w:r>
            <w:r>
              <w:rPr>
                <w:rFonts w:ascii="Times New Roman;Times;serif" w:hAnsi="Times New Roman;Times;serif"/>
                <w:sz w:val="14"/>
              </w:rPr>
              <w:br/>
            </w:r>
            <w:r>
              <w:rPr>
                <w:rFonts w:ascii="Times New Roman;Times;serif" w:hAnsi="Times New Roman;Times;serif"/>
                <w:b/>
                <w:sz w:val="14"/>
              </w:rPr>
              <w:t xml:space="preserve">(Address of principal executive offices) </w:t>
            </w:r>
          </w:p>
        </w:tc>
        <w:tc>
          <w:tcPr>
            <w:tcW w:w="32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(I.R.S. Employer</w:t>
            </w:r>
            <w:r>
              <w:rPr>
                <w:rFonts w:ascii="Times New Roman;Times;serif" w:hAnsi="Times New Roman;Times;serif"/>
                <w:sz w:val="14"/>
              </w:rPr>
              <w:br/>
            </w:r>
            <w:r>
              <w:rPr>
                <w:rFonts w:ascii="Times New Roman;Times;serif" w:hAnsi="Times New Roman;Times;serif"/>
                <w:b/>
                <w:sz w:val="14"/>
              </w:rPr>
              <w:t>Identification No.)</w:t>
            </w:r>
          </w:p>
          <w:p>
            <w:pPr>
              <w:pStyle w:val="TableContents"/>
              <w:bidi w:val="0"/>
              <w:spacing w:before="0" w:after="160"/>
              <w:ind w:left="0" w:right="0" w:hanging="0"/>
              <w:jc w:val="center"/>
              <w:rPr>
                <w:rFonts w:ascii="Times New Roman;Times;serif" w:hAnsi="Times New Roman;Times;serif"/>
                <w:b/>
                <w:sz w:val="14"/>
              </w:rPr>
            </w:pPr>
            <w:r>
              <w:rPr>
                <w:rFonts w:ascii="Times New Roman;Times;serif" w:hAnsi="Times New Roman;Times;serif"/>
                <w:b/>
                <w:sz w:val="14"/>
              </w:rPr>
              <w:t>18940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(215) 944-6100</w:t>
      </w:r>
    </w:p>
    <w:p>
      <w:pPr>
        <w:pStyle w:val="TextBody"/>
        <w:bidi w:val="0"/>
        <w:spacing w:before="0" w:after="12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8" w:name="Tc_lh0WaP62UE-j7-JokrsmMg_2_4"/>
      <w:bookmarkStart w:id="19" w:name="Tc_Pba-AaUQEESC5pBzSicG9Q_2_2"/>
      <w:bookmarkStart w:id="20" w:name="Tc_6JjUn7G3uEazc61D9oKK4A_2_0"/>
      <w:bookmarkStart w:id="21" w:name="_7877f930_cae4_4c13_8ffe_69656bfdece0"/>
      <w:bookmarkStart w:id="22" w:name="Tc_lh0WaP62UE-j7-JokrsmMg_2_4"/>
      <w:bookmarkStart w:id="23" w:name="Tc_Pba-AaUQEESC5pBzSicG9Q_2_2"/>
      <w:bookmarkStart w:id="24" w:name="Tc_6JjUn7G3uEazc61D9oKK4A_2_0"/>
      <w:bookmarkStart w:id="25" w:name="_7877f930_cae4_4c13_8ffe_69656bfdece0"/>
      <w:bookmarkEnd w:id="22"/>
      <w:bookmarkEnd w:id="23"/>
      <w:bookmarkEnd w:id="24"/>
      <w:bookmarkEnd w:id="25"/>
    </w:p>
    <w:tbl>
      <w:tblPr>
        <w:tblW w:w="9385" w:type="dxa"/>
        <w:jc w:val="left"/>
        <w:tblInd w:w="0" w:type="dxa"/>
        <w:tblLayout w:type="fixed"/>
        <w:tblCellMar>
          <w:top w:w="0" w:type="dxa"/>
          <w:left w:w="0" w:type="dxa"/>
          <w:bottom w:w="0" w:type="dxa"/>
          <w:right w:w="0" w:type="dxa"/>
        </w:tblCellMar>
      </w:tblPr>
      <w:tblGrid>
        <w:gridCol w:w="3811"/>
        <w:gridCol w:w="266"/>
        <w:gridCol w:w="1561"/>
        <w:gridCol w:w="266"/>
        <w:gridCol w:w="3481"/>
      </w:tblGrid>
      <w:tr>
        <w:trPr/>
        <w:tc>
          <w:tcPr>
            <w:tcW w:w="38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66" w:type="dxa"/>
            <w:tcBorders/>
            <w:vAlign w:val="center"/>
          </w:tcPr>
          <w:p>
            <w:pPr>
              <w:pStyle w:val="TableContents"/>
              <w:bidi w:val="0"/>
              <w:spacing w:before="0" w:after="0"/>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66" w:type="dxa"/>
            <w:tcBorders/>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$0.001 par value per share</w:t>
            </w:r>
          </w:p>
        </w:tc>
        <w:tc>
          <w:tcPr>
            <w:tcW w:w="26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HSDT</w:t>
            </w:r>
          </w:p>
        </w:tc>
        <w:tc>
          <w:tcPr>
            <w:tcW w:w="266" w:type="dxa"/>
            <w:tcBorders/>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6" w:name="Tc_xmvSZeufrEmRZ3j9gs1LEg_4_0"/>
      <w:bookmarkStart w:id="27" w:name="Tc_9qCDH7HqR0usdmLXNxBy0A_3_2"/>
      <w:bookmarkStart w:id="28" w:name="Tc_y1oGbM5hiUK9RNP6qDxN1w_3_1"/>
      <w:bookmarkStart w:id="29" w:name="Tc_Z7415mIQfUaDlsPTNKFghA_2_3"/>
      <w:bookmarkStart w:id="30" w:name="Tc_Bk03Bt_r_06ds2XFNPihEw_2_2"/>
      <w:bookmarkStart w:id="31" w:name="Tc_G8bXNV73cEatAbhxz9Ukcw_2_1"/>
      <w:bookmarkStart w:id="32" w:name="Tc_pSJxBPnKNEaZyqbtzfVV3g_2_0"/>
      <w:bookmarkStart w:id="33" w:name="_7d256f44_76a3_4314_a5c5_72bde4cb671c"/>
      <w:bookmarkStart w:id="34" w:name="Tc_xmvSZeufrEmRZ3j9gs1LEg_4_0"/>
      <w:bookmarkStart w:id="35" w:name="Tc_9qCDH7HqR0usdmLXNxBy0A_3_2"/>
      <w:bookmarkStart w:id="36" w:name="Tc_y1oGbM5hiUK9RNP6qDxN1w_3_1"/>
      <w:bookmarkStart w:id="37" w:name="Tc_Z7415mIQfUaDlsPTNKFghA_2_3"/>
      <w:bookmarkStart w:id="38" w:name="Tc_Bk03Bt_r_06ds2XFNPihEw_2_2"/>
      <w:bookmarkStart w:id="39" w:name="Tc_G8bXNV73cEatAbhxz9Ukcw_2_1"/>
      <w:bookmarkStart w:id="40" w:name="Tc_pSJxBPnKNEaZyqbtzfVV3g_2_0"/>
      <w:bookmarkStart w:id="41" w:name="_7d256f44_76a3_4314_a5c5_72bde4cb671c"/>
      <w:bookmarkEnd w:id="34"/>
      <w:bookmarkEnd w:id="35"/>
      <w:bookmarkEnd w:id="36"/>
      <w:bookmarkEnd w:id="37"/>
      <w:bookmarkEnd w:id="38"/>
      <w:bookmarkEnd w:id="39"/>
      <w:bookmarkEnd w:id="40"/>
      <w:bookmarkEnd w:id="41"/>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May 9, 2024, the registrant had 2,529,863 shares of Class A common stock, $0.001 par value per share, outstanding.</w:t>
      </w:r>
    </w:p>
    <w:p>
      <w:pPr>
        <w:pStyle w:val="TextBody"/>
        <w:bidi w:val="0"/>
        <w:spacing w:before="0" w:after="24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 w:name="_34c3c877_722e_4d63_92dd_630c76ab3f63"/>
      <w:bookmarkEnd w:id="42"/>
      <w:r>
        <w:rPr>
          <w:rFonts w:ascii="Times New Roman;Times;serif" w:hAnsi="Times New Roman;Times;serif"/>
          <w:b/>
          <w:sz w:val="20"/>
        </w:rPr>
        <w:t>HELIUS MEDICAL TECHNOLOGIES, INC.</w:t>
      </w:r>
    </w:p>
    <w:p>
      <w:pPr>
        <w:pStyle w:val="TextBody"/>
        <w:bidi w:val="0"/>
        <w:spacing w:before="0" w:after="240"/>
        <w:ind w:left="0" w:right="0" w:hanging="0"/>
        <w:jc w:val="center"/>
        <w:rPr>
          <w:rFonts w:ascii="Times New Roman;Times;serif" w:hAnsi="Times New Roman;Times;serif"/>
          <w:b/>
          <w:sz w:val="20"/>
        </w:rPr>
      </w:pPr>
      <w:bookmarkStart w:id="43" w:name="TOC"/>
      <w:bookmarkEnd w:id="43"/>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76"/>
        <w:gridCol w:w="8868"/>
        <w:gridCol w:w="36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175260"/>
                      <wp:effectExtent l="0" t="0" r="0" b="0"/>
                      <wp:wrapNone/>
                      <wp:docPr id="1" name="Frame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31180" cy="175260"/>
                      <wp:effectExtent l="0" t="0" r="0" b="0"/>
                      <wp:wrapNone/>
                      <wp:docPr id="2" name="Frame2"/>
                      <a:graphic xmlns:a="http://schemas.openxmlformats.org/drawingml/2006/main">
                        <a:graphicData uri="http://schemas.microsoft.com/office/word/2010/wordprocessingShape">
                          <wps:wsp>
                            <wps:cNvSpPr txBox="1"/>
                            <wps:spPr>
                              <a:xfrm>
                                <a:off x="0" y="0"/>
                                <a:ext cx="563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235" cy="175260"/>
                      <wp:effectExtent l="0" t="0" r="0" b="0"/>
                      <wp:wrapNone/>
                      <wp:docPr id="3"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pBdr/>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w:t>
              </w:r>
            </w:hyperlink>
          </w:p>
        </w:tc>
        <w:tc>
          <w:tcPr>
            <w:tcW w:w="8868"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Financial Information</w:t>
              </w:r>
            </w:hyperlink>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CondensedConsolidatedFinancial">
              <w:r>
                <w:rPr>
                  <w:rStyle w:val="InternetLink"/>
                  <w:rFonts w:ascii="Times New Roman;Times;serif" w:hAnsi="Times New Roman;Times;serif"/>
                  <w:b w:val="false"/>
                  <w:i w:val="false"/>
                  <w:caps w:val="false"/>
                  <w:smallCaps w:val="false"/>
                  <w:sz w:val="20"/>
                </w:rPr>
                <w:t>Item 1.</w:t>
              </w:r>
            </w:hyperlink>
          </w:p>
        </w:tc>
        <w:tc>
          <w:tcPr>
            <w:tcW w:w="8868" w:type="dxa"/>
            <w:tcBorders/>
            <w:vAlign w:val="center"/>
          </w:tcPr>
          <w:p>
            <w:pPr>
              <w:pStyle w:val="TableContents"/>
              <w:bidi w:val="0"/>
              <w:spacing w:before="0" w:after="0"/>
              <w:ind w:left="0" w:right="0" w:hanging="0"/>
              <w:jc w:val="left"/>
              <w:rPr/>
            </w:pPr>
            <w:hyperlink w:anchor="ITEM1CondensedConsolidatedFinancial">
              <w:r>
                <w:rPr>
                  <w:rStyle w:val="InternetLink"/>
                  <w:rFonts w:ascii="Times New Roman;Times;serif" w:hAnsi="Times New Roman;Times;serif"/>
                  <w:b w:val="false"/>
                  <w:i w:val="false"/>
                  <w:caps w:val="false"/>
                  <w:smallCaps w:val="false"/>
                  <w:sz w:val="20"/>
                </w:rPr>
                <w:t>Condensed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UnauditedCondensedConsolidatedBalance">
              <w:r>
                <w:rPr>
                  <w:rStyle w:val="InternetLink"/>
                  <w:rFonts w:ascii="Times New Roman;Times;serif" w:hAnsi="Times New Roman;Times;serif"/>
                  <w:b w:val="false"/>
                  <w:i w:val="false"/>
                  <w:caps w:val="false"/>
                  <w:smallCaps w:val="false"/>
                  <w:sz w:val="20"/>
                </w:rPr>
                <w:t>Unaudited Condensed Consolidated Balance Sheets as of March 31, 2024 and December 31, 2023</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OperationsandComprehensi">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months ended March 31, 2024 and 2023</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StockholdersEquity_245144">
              <w:r>
                <w:rPr>
                  <w:rStyle w:val="InternetLink"/>
                  <w:rFonts w:ascii="Times New Roman;Times;serif" w:hAnsi="Times New Roman;Times;serif"/>
                  <w:b w:val="false"/>
                  <w:i w:val="false"/>
                  <w:caps w:val="false"/>
                  <w:smallCaps w:val="false"/>
                  <w:sz w:val="20"/>
                </w:rPr>
                <w:t>Unaudited Condensed Consolidated Statements of Stockholders’ Equity for the three months ended March 31, 2024 and 2023</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ConsolidatedStatementsofCashFlows">
              <w:r>
                <w:rPr>
                  <w:rStyle w:val="InternetLink"/>
                  <w:rFonts w:ascii="Times New Roman;Times;serif" w:hAnsi="Times New Roman;Times;serif"/>
                  <w:b w:val="false"/>
                  <w:i w:val="false"/>
                  <w:caps w:val="false"/>
                  <w:smallCaps w:val="false"/>
                  <w:sz w:val="20"/>
                </w:rPr>
                <w:t>Unaudited Condensed Consolidated Statements of Cash Flows for the three months ended March 31, 2024 and 2023</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Part II.</w:t>
              </w:r>
            </w:hyperlink>
          </w:p>
        </w:tc>
        <w:tc>
          <w:tcPr>
            <w:tcW w:w="8868" w:type="dxa"/>
            <w:tcBorders/>
            <w:vAlign w:val="center"/>
          </w:tcPr>
          <w:p>
            <w:pPr>
              <w:pStyle w:val="TableContents"/>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Item 1.</w:t>
              </w:r>
            </w:hyperlink>
          </w:p>
        </w:tc>
        <w:tc>
          <w:tcPr>
            <w:tcW w:w="8868" w:type="dxa"/>
            <w:tcBorders/>
            <w:vAlign w:val="center"/>
          </w:tcPr>
          <w:p>
            <w:pPr>
              <w:pStyle w:val="TableContents"/>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ARiskFactors_328583">
              <w:r>
                <w:rPr>
                  <w:rStyle w:val="InternetLink"/>
                  <w:rFonts w:ascii="Times New Roman;Times;serif" w:hAnsi="Times New Roman;Times;serif"/>
                  <w:b w:val="false"/>
                  <w:i w:val="false"/>
                  <w:caps w:val="false"/>
                  <w:smallCaps w:val="false"/>
                  <w:sz w:val="20"/>
                </w:rPr>
                <w:t>Item 1A.</w:t>
              </w:r>
            </w:hyperlink>
          </w:p>
        </w:tc>
        <w:tc>
          <w:tcPr>
            <w:tcW w:w="8868" w:type="dxa"/>
            <w:tcBorders/>
            <w:vAlign w:val="center"/>
          </w:tcPr>
          <w:p>
            <w:pPr>
              <w:pStyle w:val="TableContents"/>
              <w:bidi w:val="0"/>
              <w:spacing w:before="0" w:after="0"/>
              <w:ind w:left="0" w:right="0" w:hanging="0"/>
              <w:jc w:val="left"/>
              <w:rPr/>
            </w:pPr>
            <w:hyperlink w:anchor="Item1ARiskFactors_328583">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Item 5.</w:t>
              </w:r>
            </w:hyperlink>
          </w:p>
        </w:tc>
        <w:tc>
          <w:tcPr>
            <w:tcW w:w="8868" w:type="dxa"/>
            <w:tcBorders/>
            <w:vAlign w:val="center"/>
          </w:tcPr>
          <w:p>
            <w:pPr>
              <w:pStyle w:val="TableContents"/>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Item 6.</w:t>
              </w:r>
            </w:hyperlink>
          </w:p>
        </w:tc>
        <w:tc>
          <w:tcPr>
            <w:tcW w:w="8868" w:type="dxa"/>
            <w:tcBorders/>
            <w:vAlign w:val="center"/>
          </w:tcPr>
          <w:p>
            <w:pPr>
              <w:pStyle w:val="TableContents"/>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SIGNATURES_395744">
              <w:r>
                <w:rPr>
                  <w:rStyle w:val="InternetLink"/>
                  <w:rFonts w:ascii="Times New Roman;Times;serif" w:hAnsi="Times New Roman;Times;serif"/>
                  <w:b w:val="false"/>
                  <w:i w:val="false"/>
                  <w:caps w:val="false"/>
                  <w:smallCaps w:val="false"/>
                  <w:sz w:val="20"/>
                </w:rPr>
                <w:t>Signatures</w:t>
              </w:r>
            </w:hyperlink>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4" w:name="PART_I_FINANCIAL_INFORMATION"/>
      <w:bookmarkStart w:id="45" w:name="_1abe5da3_e496_4673_b291_3f908fa2a72c"/>
      <w:bookmarkEnd w:id="44"/>
      <w:bookmarkEnd w:id="45"/>
      <w:r>
        <w:rPr>
          <w:rFonts w:ascii="Times New Roman;Times;serif" w:hAnsi="Times New Roman;Times;serif"/>
          <w:b/>
          <w:sz w:val="20"/>
        </w:rPr>
        <w:t>PART I. FINANCIAL INFORMATION</w:t>
      </w:r>
    </w:p>
    <w:p>
      <w:pPr>
        <w:pStyle w:val="TextBody"/>
        <w:bidi w:val="0"/>
        <w:spacing w:before="0" w:after="240"/>
        <w:ind w:left="0" w:right="0" w:hanging="0"/>
        <w:jc w:val="both"/>
        <w:rPr>
          <w:rFonts w:ascii="Times New Roman;Times;serif" w:hAnsi="Times New Roman;Times;serif"/>
          <w:sz w:val="20"/>
        </w:rPr>
      </w:pPr>
      <w:bookmarkStart w:id="46" w:name="ITEM1CondensedConsolidatedFinancial"/>
      <w:bookmarkEnd w:id="46"/>
      <w:r>
        <w:rPr>
          <w:rFonts w:ascii="Times New Roman;Times;serif" w:hAnsi="Times New Roman;Times;serif"/>
          <w:sz w:val="20"/>
        </w:rPr>
        <w:t>ITEM 1. Condensed Consolidated Financial Statements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47" w:name="UnauditedCondensedConsolidatedBalance"/>
      <w:bookmarkEnd w:id="47"/>
      <w:r>
        <w:rPr>
          <w:rFonts w:ascii="Times New Roman;Times;serif" w:hAnsi="Times New Roman;Times;serif"/>
          <w:b/>
          <w:sz w:val="20"/>
        </w:rPr>
        <w:t>Unaudited Condensed Consolidated Balance Sheets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8" w:name="Tc_oDOaNtfa9UOOQp8Qif7TUA_32_5"/>
      <w:bookmarkStart w:id="49" w:name="Tc_E2J1Ikqvc0eWrbuJ62ATgg_32_2"/>
      <w:bookmarkStart w:id="50" w:name="Tc_qh_TW5l0E0Ky4PiZN2x6NA_32_0"/>
      <w:bookmarkStart w:id="51" w:name="Tc_z3iW8iG4_ES4qbOKt6xXsw_31_0"/>
      <w:bookmarkStart w:id="52" w:name="Tc_tFbexHXYfE6253CJRO6EvA_30_0"/>
      <w:bookmarkStart w:id="53" w:name="Tc_c3SlBl51M0uFC2FoW0hcIA_29_0"/>
      <w:bookmarkStart w:id="54" w:name="Tc_M-xYpqq-uUGK5qf9OYGoYQ_28_0"/>
      <w:bookmarkStart w:id="55" w:name="Tc_beRWHORFL023A_yVzXNMgA_27_0"/>
      <w:bookmarkStart w:id="56" w:name="Tc_i4mW0SI9hEiUAeke7TpJBw_26_0"/>
      <w:bookmarkStart w:id="57" w:name="Tc_ikwbw4_w6US9CXEKiJRXAw_25_0"/>
      <w:bookmarkStart w:id="58" w:name="Tc_c4GG3BmnQkeLW2dcIHsi-w_24_0"/>
      <w:bookmarkStart w:id="59" w:name="Tc_FUqwoofQ20GlvghnoRjz0g_23_0"/>
      <w:bookmarkStart w:id="60" w:name="Tc_0AH4feCan0eG6hkfCuGcEQ_22_0"/>
      <w:bookmarkStart w:id="61" w:name="Tc_XFu-rrOyf0OEoRaKYIV-Qg_21_3"/>
      <w:bookmarkStart w:id="62" w:name="Tc_fpH3W86DtEKgar9NOtcGGA_21_0"/>
      <w:bookmarkStart w:id="63" w:name="Tc_tG4iEztbgUSo4dXVjpdhOg_20_0"/>
      <w:bookmarkStart w:id="64" w:name="Tc_yz6yE9_2dEGe9OwjOeMdwA_19_0"/>
      <w:bookmarkStart w:id="65" w:name="Tc_xfANvLNnFka5_Kzie8y3BA_18_0"/>
      <w:bookmarkStart w:id="66" w:name="Tc_n-PEb6Gxl0qkQFv-GysXmQ_17_0"/>
      <w:bookmarkStart w:id="67" w:name="Tc__tsqKrIoBEORoGGYsnQkxQ_16_5"/>
      <w:bookmarkStart w:id="68" w:name="Tc_4bCpAsp4ekWVtZV40KVukg_16_2"/>
      <w:bookmarkStart w:id="69" w:name="Tc_8rhV4pAQYUavoE4kRwPerg_16_0"/>
      <w:bookmarkStart w:id="70" w:name="Tc_Gsao4KoBFkqXrT5yENa47g_15_0"/>
      <w:bookmarkStart w:id="71" w:name="Tc_ecYmkHWVYEe8MT8TIzQFHw_14_0"/>
      <w:bookmarkStart w:id="72" w:name="Tc_UBl3m5boVkG_H-Xv2TmC8A_13_5"/>
      <w:bookmarkStart w:id="73" w:name="Tc_Fwdc1CLWfkGErnK1uSAlCg_13_2"/>
      <w:bookmarkStart w:id="74" w:name="Tc_P6J6fNalgESwZcvpXEdgAw_13_0"/>
      <w:bookmarkStart w:id="75" w:name="Tc_jox12p4zWEeU-qc2kE8Uxg_12_0"/>
      <w:bookmarkStart w:id="76" w:name="Tc_3IfZ45ym1USADWKWKSs2AQ_11_0"/>
      <w:bookmarkStart w:id="77" w:name="Tc_WgyOctxaTkOBSi4x20-uMA_10_0"/>
      <w:bookmarkStart w:id="78" w:name="Tc_GUkmVBXaBEyk4eN4IxfK1g_9_0"/>
      <w:bookmarkStart w:id="79" w:name="Tc_I1LwxhgxokyTS-J_jt3VDg_8_0"/>
      <w:bookmarkStart w:id="80" w:name="Tc_dCI6guDBwkyVY91GCJcigQ_7_0"/>
      <w:bookmarkStart w:id="81" w:name="Tc_7gWi1iDskkWJjPWFAbVMeg_6_0"/>
      <w:bookmarkStart w:id="82" w:name="Tc_-mJtSZjRyEqFRs_atf7UnQ_5_0"/>
      <w:bookmarkStart w:id="83" w:name="Tc_Ewq0Wn6NPEGO5zzVNs35QQ_4_5"/>
      <w:bookmarkStart w:id="84" w:name="Tc_yOtpWO9c00OcJUcQaqgebA_4_2"/>
      <w:bookmarkStart w:id="85" w:name="Tc_kc9nHwFAG0e54cwYHBSjNg_4_0"/>
      <w:bookmarkStart w:id="86" w:name="Tc_1DvSEYBEgEqABV2eG9x2HQ_3_0"/>
      <w:bookmarkStart w:id="87" w:name="Tc_0Bbimq0bLk-BFkpXvoYolg_2_0"/>
      <w:bookmarkStart w:id="88" w:name="Tc_Pt1VTzyEbUe6gsjuKUnWpA_1_5"/>
      <w:bookmarkStart w:id="89" w:name="Tc_-hBuADheXk2oOOyiENGolQ_1_2"/>
      <w:bookmarkStart w:id="90" w:name="_e48f6a30_a86c_46ed_89c7_8ba36391284f"/>
      <w:bookmarkStart w:id="91" w:name="Tc_oDOaNtfa9UOOQp8Qif7TUA_32_5"/>
      <w:bookmarkStart w:id="92" w:name="Tc_E2J1Ikqvc0eWrbuJ62ATgg_32_2"/>
      <w:bookmarkStart w:id="93" w:name="Tc_qh_TW5l0E0Ky4PiZN2x6NA_32_0"/>
      <w:bookmarkStart w:id="94" w:name="Tc_z3iW8iG4_ES4qbOKt6xXsw_31_0"/>
      <w:bookmarkStart w:id="95" w:name="Tc_tFbexHXYfE6253CJRO6EvA_30_0"/>
      <w:bookmarkStart w:id="96" w:name="Tc_c3SlBl51M0uFC2FoW0hcIA_29_0"/>
      <w:bookmarkStart w:id="97" w:name="Tc_M-xYpqq-uUGK5qf9OYGoYQ_28_0"/>
      <w:bookmarkStart w:id="98" w:name="Tc_beRWHORFL023A_yVzXNMgA_27_0"/>
      <w:bookmarkStart w:id="99" w:name="Tc_i4mW0SI9hEiUAeke7TpJBw_26_0"/>
      <w:bookmarkStart w:id="100" w:name="Tc_ikwbw4_w6US9CXEKiJRXAw_25_0"/>
      <w:bookmarkStart w:id="101" w:name="Tc_c4GG3BmnQkeLW2dcIHsi-w_24_0"/>
      <w:bookmarkStart w:id="102" w:name="Tc_FUqwoofQ20GlvghnoRjz0g_23_0"/>
      <w:bookmarkStart w:id="103" w:name="Tc_0AH4feCan0eG6hkfCuGcEQ_22_0"/>
      <w:bookmarkStart w:id="104" w:name="Tc_XFu-rrOyf0OEoRaKYIV-Qg_21_3"/>
      <w:bookmarkStart w:id="105" w:name="Tc_fpH3W86DtEKgar9NOtcGGA_21_0"/>
      <w:bookmarkStart w:id="106" w:name="Tc_tG4iEztbgUSo4dXVjpdhOg_20_0"/>
      <w:bookmarkStart w:id="107" w:name="Tc_yz6yE9_2dEGe9OwjOeMdwA_19_0"/>
      <w:bookmarkStart w:id="108" w:name="Tc_xfANvLNnFka5_Kzie8y3BA_18_0"/>
      <w:bookmarkStart w:id="109" w:name="Tc_n-PEb6Gxl0qkQFv-GysXmQ_17_0"/>
      <w:bookmarkStart w:id="110" w:name="Tc__tsqKrIoBEORoGGYsnQkxQ_16_5"/>
      <w:bookmarkStart w:id="111" w:name="Tc_4bCpAsp4ekWVtZV40KVukg_16_2"/>
      <w:bookmarkStart w:id="112" w:name="Tc_8rhV4pAQYUavoE4kRwPerg_16_0"/>
      <w:bookmarkStart w:id="113" w:name="Tc_Gsao4KoBFkqXrT5yENa47g_15_0"/>
      <w:bookmarkStart w:id="114" w:name="Tc_ecYmkHWVYEe8MT8TIzQFHw_14_0"/>
      <w:bookmarkStart w:id="115" w:name="Tc_UBl3m5boVkG_H-Xv2TmC8A_13_5"/>
      <w:bookmarkStart w:id="116" w:name="Tc_Fwdc1CLWfkGErnK1uSAlCg_13_2"/>
      <w:bookmarkStart w:id="117" w:name="Tc_P6J6fNalgESwZcvpXEdgAw_13_0"/>
      <w:bookmarkStart w:id="118" w:name="Tc_jox12p4zWEeU-qc2kE8Uxg_12_0"/>
      <w:bookmarkStart w:id="119" w:name="Tc_3IfZ45ym1USADWKWKSs2AQ_11_0"/>
      <w:bookmarkStart w:id="120" w:name="Tc_WgyOctxaTkOBSi4x20-uMA_10_0"/>
      <w:bookmarkStart w:id="121" w:name="Tc_GUkmVBXaBEyk4eN4IxfK1g_9_0"/>
      <w:bookmarkStart w:id="122" w:name="Tc_I1LwxhgxokyTS-J_jt3VDg_8_0"/>
      <w:bookmarkStart w:id="123" w:name="Tc_dCI6guDBwkyVY91GCJcigQ_7_0"/>
      <w:bookmarkStart w:id="124" w:name="Tc_7gWi1iDskkWJjPWFAbVMeg_6_0"/>
      <w:bookmarkStart w:id="125" w:name="Tc_-mJtSZjRyEqFRs_atf7UnQ_5_0"/>
      <w:bookmarkStart w:id="126" w:name="Tc_Ewq0Wn6NPEGO5zzVNs35QQ_4_5"/>
      <w:bookmarkStart w:id="127" w:name="Tc_yOtpWO9c00OcJUcQaqgebA_4_2"/>
      <w:bookmarkStart w:id="128" w:name="Tc_kc9nHwFAG0e54cwYHBSjNg_4_0"/>
      <w:bookmarkStart w:id="129" w:name="Tc_1DvSEYBEgEqABV2eG9x2HQ_3_0"/>
      <w:bookmarkStart w:id="130" w:name="Tc_0Bbimq0bLk-BFkpXvoYolg_2_0"/>
      <w:bookmarkStart w:id="131" w:name="Tc_Pt1VTzyEbUe6gsjuKUnWpA_1_5"/>
      <w:bookmarkStart w:id="132" w:name="Tc_-hBuADheXk2oOOyiENGolQ_1_2"/>
      <w:bookmarkStart w:id="133" w:name="_e48f6a30_a86c_46ed_89c7_8ba36391284f"/>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tbl>
      <w:tblPr>
        <w:tblW w:w="10205" w:type="dxa"/>
        <w:jc w:val="left"/>
        <w:tblInd w:w="0" w:type="dxa"/>
        <w:tblLayout w:type="fixed"/>
        <w:tblCellMar>
          <w:top w:w="0" w:type="dxa"/>
          <w:left w:w="0" w:type="dxa"/>
          <w:bottom w:w="0" w:type="dxa"/>
          <w:right w:w="0" w:type="dxa"/>
        </w:tblCellMar>
      </w:tblPr>
      <w:tblGrid>
        <w:gridCol w:w="7143"/>
        <w:gridCol w:w="109"/>
        <w:gridCol w:w="252"/>
        <w:gridCol w:w="1009"/>
        <w:gridCol w:w="146"/>
        <w:gridCol w:w="297"/>
        <w:gridCol w:w="1249"/>
      </w:tblGrid>
      <w:tr>
        <w:trPr/>
        <w:tc>
          <w:tcPr>
            <w:tcW w:w="7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35805" cy="175260"/>
                      <wp:effectExtent l="0" t="0" r="0" b="0"/>
                      <wp:wrapNone/>
                      <wp:docPr id="4" name="Frame4"/>
                      <a:graphic xmlns:a="http://schemas.openxmlformats.org/drawingml/2006/main">
                        <a:graphicData uri="http://schemas.microsoft.com/office/word/2010/wordprocessingShape">
                          <wps:wsp>
                            <wps:cNvSpPr txBox="1"/>
                            <wps:spPr>
                              <a:xfrm>
                                <a:off x="0" y="0"/>
                                <a:ext cx="4535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0020" cy="175260"/>
                      <wp:effectExtent l="0" t="0" r="0" b="0"/>
                      <wp:wrapNone/>
                      <wp:docPr id="6" name="Frame6"/>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0715" cy="175260"/>
                      <wp:effectExtent l="0" t="0" r="0" b="0"/>
                      <wp:wrapNone/>
                      <wp:docPr id="7" name="Frame7"/>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175260"/>
                      <wp:effectExtent l="0" t="0" r="0" b="0"/>
                      <wp:wrapNone/>
                      <wp:docPr id="8" name="Frame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8595" cy="175260"/>
                      <wp:effectExtent l="0" t="0" r="0" b="0"/>
                      <wp:wrapNone/>
                      <wp:docPr id="9" name="Frame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93115" cy="175260"/>
                      <wp:effectExtent l="0" t="0" r="0" b="0"/>
                      <wp:wrapNone/>
                      <wp:docPr id="10" name="Frame1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146"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714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009"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  </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  </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5,524</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7,438</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 net</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7,692</w:t>
            </w:r>
          </w:p>
        </w:tc>
      </w:tr>
      <w:tr>
        <w:trPr/>
        <w:tc>
          <w:tcPr>
            <w:tcW w:w="7143"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3,323</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3,771</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5,342</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stock, $0.001 par value; 150,000,000 shares authorized; 887,847 and 714,590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2024 and December 31, 2023, respectively</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164,843</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162,979</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(162,473)</w:t>
            </w:r>
          </w:p>
        </w:tc>
        <w:tc>
          <w:tcPr>
            <w:tcW w:w="1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(159,957)</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7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14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w:t>
            </w:r>
          </w:p>
        </w:tc>
      </w:tr>
      <w:tr>
        <w:trPr/>
        <w:tc>
          <w:tcPr>
            <w:tcW w:w="71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w:t>
            </w:r>
          </w:p>
        </w:tc>
        <w:tc>
          <w:tcPr>
            <w:tcW w:w="14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7,692</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4" w:name="_a673d958_8fc2_4458_ae7b_f9804966c858"/>
      <w:bookmarkEnd w:id="134"/>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135" w:name="StatementsofOperationsandComprehensi"/>
      <w:bookmarkEnd w:id="135"/>
      <w:r>
        <w:rPr>
          <w:rFonts w:ascii="Times New Roman;Times;serif" w:hAnsi="Times New Roman;Times;serif"/>
          <w:b/>
          <w:sz w:val="20"/>
        </w:rPr>
        <w:t>Unaudited Condensed Consolidated Statements of Operations and Comprehensive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6" w:name="Tc_I0JNW4zPQU-Pc9Od1qE_3Q_34_0"/>
      <w:bookmarkStart w:id="137" w:name="Tc_DrzeSqbqCUqk2g_jFg61jA_33_0"/>
      <w:bookmarkStart w:id="138" w:name="Tc_tJu_e5Wqs0KQoLClD1hdgA_32_0"/>
      <w:bookmarkStart w:id="139" w:name="Tc_j3Addgj6-0KzNY3vvK0Zgw_31_5"/>
      <w:bookmarkStart w:id="140" w:name="Tc_j6BG3wm39Uud0tzhcNkecw_31_2"/>
      <w:bookmarkStart w:id="141" w:name="Tc_5a6ABwIUXkeDtHwIvNqPcQ_31_0"/>
      <w:bookmarkStart w:id="142" w:name="Tc_4CGMtz1Na0K51bPIeHa-mg_30_5"/>
      <w:bookmarkStart w:id="143" w:name="Tc_rDIdqlJ7akCWiknclYWQyQ_30_2"/>
      <w:bookmarkStart w:id="144" w:name="Tc_EGKdkLlvRE6Gn1wnDFakhg_30_0"/>
      <w:bookmarkStart w:id="145" w:name="Tc_S831NouIbE6mc985Tg0pPQ_29_0"/>
      <w:bookmarkStart w:id="146" w:name="Tc_OpENK2f4MkG16_Rh2WHKUA_28_5"/>
      <w:bookmarkStart w:id="147" w:name="Tc_ENmra2QXhESQ9lmfIjfF7g_28_2"/>
      <w:bookmarkStart w:id="148" w:name="Tc_Z9Dlr6O6L0mlrHgC12gyTg_28_0"/>
      <w:bookmarkStart w:id="149" w:name="Tc_WAfktE2KpE6IwiP2hG_2jg_27_0"/>
      <w:bookmarkStart w:id="150" w:name="Tc_6R6s40BYbkacEH3VfAN_YA_26_0"/>
      <w:bookmarkStart w:id="151" w:name="Tc_AbJNKla8wka_Gdl33nvQBQ_25_0"/>
      <w:bookmarkStart w:id="152" w:name="Tc_VWc2CZhsuE-joRNrmjrPjQ_24_0"/>
      <w:bookmarkStart w:id="153" w:name="Tc_mg96jwVVZ0q4M6bJ7VNofg_23_0"/>
      <w:bookmarkStart w:id="154" w:name="Tc_9A0I0q-uLEmISJz_EKCYMg_22_0"/>
      <w:bookmarkStart w:id="155" w:name="Tc_ViwvtiCGxEipUjNXZ0aw5g_21_6"/>
      <w:bookmarkStart w:id="156" w:name="Tc_Nr3Y3st74EqjgcApx14jOw_21_0"/>
      <w:bookmarkStart w:id="157" w:name="Tc_3-tFyV43PEm90w5Ba4afXg_20_0"/>
      <w:bookmarkStart w:id="158" w:name="Tc_IgeLT7x3fUGj5Z-YvNOODg_19_0"/>
      <w:bookmarkStart w:id="159" w:name="Tc_EhfgyeDym0eNsQwOMZB8KQ_18_0"/>
      <w:bookmarkStart w:id="160" w:name="Tc_gaZVJR6m60yVPaKaTNk5dg_17_0"/>
      <w:bookmarkStart w:id="161" w:name="Tc_CKDv7k0TfU-cMuoaYcTDNQ_16_0"/>
      <w:bookmarkStart w:id="162" w:name="Tc_OpYx_Erhe0ygSUOxw1cLFg_15_0"/>
      <w:bookmarkStart w:id="163" w:name="Tc_Y__UY2IUbEe8M2z8M4QB9g_14_0"/>
      <w:bookmarkStart w:id="164" w:name="Tc_p9TOEqRmhEGoubN0uhi2ng_13_0"/>
      <w:bookmarkStart w:id="165" w:name="Tc_bplBNOryekipW30W_k7d1g_12_0"/>
      <w:bookmarkStart w:id="166" w:name="Tc_AziX-EVf5EWL7_oRJsbjMw_11_0"/>
      <w:bookmarkStart w:id="167" w:name="Tc_Va14NTMktkSYCWWff0KLgg_10_0"/>
      <w:bookmarkStart w:id="168" w:name="Tc_x9bNQavgoE2kvgHwK5WvCw_8_0"/>
      <w:bookmarkStart w:id="169" w:name="Tc_BF3kx2Gbakic5vjwZXPt2A_7_0"/>
      <w:bookmarkStart w:id="170" w:name="Tc_LtB83mRvyUmDcj-H3E124w_6_5"/>
      <w:bookmarkStart w:id="171" w:name="Tc_LX-C03WN8Eq-4g4ehP_ZKw_6_2"/>
      <w:bookmarkStart w:id="172" w:name="Tc__QSMsTCBC0Wzw_ClpnAyTA_5_0"/>
      <w:bookmarkStart w:id="173" w:name="Tc_EICrpYwGUkGnroRoVRJIWg_3_5"/>
      <w:bookmarkStart w:id="174" w:name="Tc_nTCLihZf2EeYhN0UmwLf3w_3_2"/>
      <w:bookmarkStart w:id="175" w:name="Tc_L7T2G9QE7EOotKsUa8fI9A_2_2"/>
      <w:bookmarkStart w:id="176" w:name="Tc_v7jw9fb5WkOAOq4ESNyvHw_1_2"/>
      <w:bookmarkStart w:id="177" w:name="_c0fb68e0_bef2_477c_8aff_5e73db344d49"/>
      <w:bookmarkStart w:id="178" w:name="Tc_I0JNW4zPQU-Pc9Od1qE_3Q_34_0"/>
      <w:bookmarkStart w:id="179" w:name="Tc_DrzeSqbqCUqk2g_jFg61jA_33_0"/>
      <w:bookmarkStart w:id="180" w:name="Tc_tJu_e5Wqs0KQoLClD1hdgA_32_0"/>
      <w:bookmarkStart w:id="181" w:name="Tc_j3Addgj6-0KzNY3vvK0Zgw_31_5"/>
      <w:bookmarkStart w:id="182" w:name="Tc_j6BG3wm39Uud0tzhcNkecw_31_2"/>
      <w:bookmarkStart w:id="183" w:name="Tc_5a6ABwIUXkeDtHwIvNqPcQ_31_0"/>
      <w:bookmarkStart w:id="184" w:name="Tc_4CGMtz1Na0K51bPIeHa-mg_30_5"/>
      <w:bookmarkStart w:id="185" w:name="Tc_rDIdqlJ7akCWiknclYWQyQ_30_2"/>
      <w:bookmarkStart w:id="186" w:name="Tc_EGKdkLlvRE6Gn1wnDFakhg_30_0"/>
      <w:bookmarkStart w:id="187" w:name="Tc_S831NouIbE6mc985Tg0pPQ_29_0"/>
      <w:bookmarkStart w:id="188" w:name="Tc_OpENK2f4MkG16_Rh2WHKUA_28_5"/>
      <w:bookmarkStart w:id="189" w:name="Tc_ENmra2QXhESQ9lmfIjfF7g_28_2"/>
      <w:bookmarkStart w:id="190" w:name="Tc_Z9Dlr6O6L0mlrHgC12gyTg_28_0"/>
      <w:bookmarkStart w:id="191" w:name="Tc_WAfktE2KpE6IwiP2hG_2jg_27_0"/>
      <w:bookmarkStart w:id="192" w:name="Tc_6R6s40BYbkacEH3VfAN_YA_26_0"/>
      <w:bookmarkStart w:id="193" w:name="Tc_AbJNKla8wka_Gdl33nvQBQ_25_0"/>
      <w:bookmarkStart w:id="194" w:name="Tc_VWc2CZhsuE-joRNrmjrPjQ_24_0"/>
      <w:bookmarkStart w:id="195" w:name="Tc_mg96jwVVZ0q4M6bJ7VNofg_23_0"/>
      <w:bookmarkStart w:id="196" w:name="Tc_9A0I0q-uLEmISJz_EKCYMg_22_0"/>
      <w:bookmarkStart w:id="197" w:name="Tc_ViwvtiCGxEipUjNXZ0aw5g_21_6"/>
      <w:bookmarkStart w:id="198" w:name="Tc_Nr3Y3st74EqjgcApx14jOw_21_0"/>
      <w:bookmarkStart w:id="199" w:name="Tc_3-tFyV43PEm90w5Ba4afXg_20_0"/>
      <w:bookmarkStart w:id="200" w:name="Tc_IgeLT7x3fUGj5Z-YvNOODg_19_0"/>
      <w:bookmarkStart w:id="201" w:name="Tc_EhfgyeDym0eNsQwOMZB8KQ_18_0"/>
      <w:bookmarkStart w:id="202" w:name="Tc_gaZVJR6m60yVPaKaTNk5dg_17_0"/>
      <w:bookmarkStart w:id="203" w:name="Tc_CKDv7k0TfU-cMuoaYcTDNQ_16_0"/>
      <w:bookmarkStart w:id="204" w:name="Tc_OpYx_Erhe0ygSUOxw1cLFg_15_0"/>
      <w:bookmarkStart w:id="205" w:name="Tc_Y__UY2IUbEe8M2z8M4QB9g_14_0"/>
      <w:bookmarkStart w:id="206" w:name="Tc_p9TOEqRmhEGoubN0uhi2ng_13_0"/>
      <w:bookmarkStart w:id="207" w:name="Tc_bplBNOryekipW30W_k7d1g_12_0"/>
      <w:bookmarkStart w:id="208" w:name="Tc_AziX-EVf5EWL7_oRJsbjMw_11_0"/>
      <w:bookmarkStart w:id="209" w:name="Tc_Va14NTMktkSYCWWff0KLgg_10_0"/>
      <w:bookmarkStart w:id="210" w:name="Tc_x9bNQavgoE2kvgHwK5WvCw_8_0"/>
      <w:bookmarkStart w:id="211" w:name="Tc_BF3kx2Gbakic5vjwZXPt2A_7_0"/>
      <w:bookmarkStart w:id="212" w:name="Tc_LtB83mRvyUmDcj-H3E124w_6_5"/>
      <w:bookmarkStart w:id="213" w:name="Tc_LX-C03WN8Eq-4g4ehP_ZKw_6_2"/>
      <w:bookmarkStart w:id="214" w:name="Tc__QSMsTCBC0Wzw_ClpnAyTA_5_0"/>
      <w:bookmarkStart w:id="215" w:name="Tc_EICrpYwGUkGnroRoVRJIWg_3_5"/>
      <w:bookmarkStart w:id="216" w:name="Tc_nTCLihZf2EeYhN0UmwLf3w_3_2"/>
      <w:bookmarkStart w:id="217" w:name="Tc_L7T2G9QE7EOotKsUa8fI9A_2_2"/>
      <w:bookmarkStart w:id="218" w:name="Tc_v7jw9fb5WkOAOq4ESNyvHw_1_2"/>
      <w:bookmarkStart w:id="219" w:name="_c0fb68e0_bef2_477c_8aff_5e73db344d49"/>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tbl>
      <w:tblPr>
        <w:tblW w:w="7988" w:type="dxa"/>
        <w:jc w:val="left"/>
        <w:tblInd w:w="0" w:type="dxa"/>
        <w:tblLayout w:type="fixed"/>
        <w:tblCellMar>
          <w:top w:w="0" w:type="dxa"/>
          <w:left w:w="0" w:type="dxa"/>
          <w:bottom w:w="0" w:type="dxa"/>
          <w:right w:w="0" w:type="dxa"/>
        </w:tblCellMar>
      </w:tblPr>
      <w:tblGrid>
        <w:gridCol w:w="4981"/>
        <w:gridCol w:w="326"/>
        <w:gridCol w:w="211"/>
        <w:gridCol w:w="781"/>
        <w:gridCol w:w="326"/>
        <w:gridCol w:w="211"/>
        <w:gridCol w:w="781"/>
        <w:gridCol w:w="371"/>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162935" cy="175260"/>
                      <wp:effectExtent l="0" t="0" r="0" b="0"/>
                      <wp:wrapNone/>
                      <wp:docPr id="11" name="Frame11"/>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5935" cy="175260"/>
                      <wp:effectExtent l="0" t="0" r="0" b="0"/>
                      <wp:wrapNone/>
                      <wp:docPr id="17" name="Frame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35585" cy="175260"/>
                      <wp:effectExtent l="0" t="0" r="0" b="0"/>
                      <wp:wrapNone/>
                      <wp:docPr id="18" name="Frame1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exchange loss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817,327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564,134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4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817,327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564,134</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20" w:name="_e16c5d1f_76f8_4dbc_8f4c_51d4d72f47ca"/>
      <w:bookmarkEnd w:id="220"/>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221" w:name="StatementsofStockholdersEquity_245144"/>
      <w:bookmarkEnd w:id="221"/>
      <w:r>
        <w:rPr>
          <w:rFonts w:ascii="Times New Roman;Times;serif" w:hAnsi="Times New Roman;Times;serif"/>
          <w:b/>
          <w:sz w:val="20"/>
        </w:rPr>
        <w:t xml:space="preserve">Unaudited Condensed Consolidated Statements of Stockholders’ Equity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22" w:name="Tc_iydKlVdQEEObCgFBTr30_g_13_16"/>
      <w:bookmarkStart w:id="223" w:name="Tc_S_qAc56330-Fmc5Pz9ETHA_13_13"/>
      <w:bookmarkStart w:id="224" w:name="Tc_6_fTJZgPNU6OR0L30-BWoA_13_10"/>
      <w:bookmarkStart w:id="225" w:name="Tc_ohjyGXA3nUuSlkXS0Uuo0w_13_7"/>
      <w:bookmarkStart w:id="226" w:name="Tc_MMQihUZ9FECaitUaxUusYg_13_4"/>
      <w:bookmarkStart w:id="227" w:name="Tc_cJh-jliUe0qmc_-Pe3UHFw_13_0"/>
      <w:bookmarkStart w:id="228" w:name="Tc_nO3yNDN7pU6aIiwQC1Z8DA_12_14"/>
      <w:bookmarkStart w:id="229" w:name="Tc_F3k94Tg_CECT2l6KX9GusQ_12_8"/>
      <w:bookmarkStart w:id="230" w:name="Tc_LONISDCiWE-iN1-VOBwldA_12_5"/>
      <w:bookmarkStart w:id="231" w:name="Tc_nK6N7hSyikyG8A1DdIvTMA_12_2"/>
      <w:bookmarkStart w:id="232" w:name="Tc_R_LcS7OccUKtTmytCkNfZg_12_0"/>
      <w:bookmarkStart w:id="233" w:name="Tc_uo1fHcEXUEaBrpNtmbx-sw_11_11"/>
      <w:bookmarkStart w:id="234" w:name="Tc_YJ0LOZVplUu4f9rveQLpoQ_11_8"/>
      <w:bookmarkStart w:id="235" w:name="Tc_rV66c-iAL0GKDsFAbxw5fA_11_5"/>
      <w:bookmarkStart w:id="236" w:name="Tc_0vzAuDj6bkW5y9jWWucjaA_11_2"/>
      <w:bookmarkStart w:id="237" w:name="Tc_tO7POecy0EKpQs9AOemPOw_11_0"/>
      <w:bookmarkStart w:id="238" w:name="Tc_5VHlW-kgiEixNqkuvo-wFg_10_14"/>
      <w:bookmarkStart w:id="239" w:name="Tc_E90pFBvqsU2vCWlx2wwtAg_10_11"/>
      <w:bookmarkStart w:id="240" w:name="Tc_BPKWiurpTkureBeNIo4xIQ_10_5"/>
      <w:bookmarkStart w:id="241" w:name="Tc_S4mNPum55UemLA1Tix5i5A_10_2"/>
      <w:bookmarkStart w:id="242" w:name="Tc_Q56aIsBphUexpWitq8FMjg_10_0"/>
      <w:bookmarkStart w:id="243" w:name="Tc_vz6fFibj9E62CJJbW34NAw_9_17"/>
      <w:bookmarkStart w:id="244" w:name="Tc_OSIY8U06zk-No96O8ecaUg_9_14"/>
      <w:bookmarkStart w:id="245" w:name="Tc_6kPJ9sQhl0qA5KwlOoHYlg_9_11"/>
      <w:bookmarkStart w:id="246" w:name="Tc_qRmG4OgL5Uu_7O9cHbFUmQ_9_8"/>
      <w:bookmarkStart w:id="247" w:name="Tc_Kp1UQUcM4Uy8j1QCvsdp8A_9_5"/>
      <w:bookmarkStart w:id="248" w:name="Tc_3iFBYtREN0uNB6ju3gXeWA_9_0"/>
      <w:bookmarkStart w:id="249" w:name="Tc_WY6pLE0FSkGGGUki5LJPyg_8_14"/>
      <w:bookmarkStart w:id="250" w:name="Tc_dNm06EXoO0O5phbtEDVf1A_8_11"/>
      <w:bookmarkStart w:id="251" w:name="Tc_q8lH4vC2qUOSQmVzwRKncA_8_5"/>
      <w:bookmarkStart w:id="252" w:name="Tc_WSYNErAj_UCZm9qnT6Oj_w_8_0"/>
      <w:bookmarkStart w:id="253" w:name="Tc_bMef70Pjkkm5sf0TcDg4ug_7_14"/>
      <w:bookmarkStart w:id="254" w:name="Tc_UFa6EZI8bEy8Jri0xCbRjw_7_11"/>
      <w:bookmarkStart w:id="255" w:name="Tc_2fGgJgy_BkWnDOrxJIft7w_7_5"/>
      <w:bookmarkStart w:id="256" w:name="Tc_saMk6hVV10uZK8D5SWB0Pg_7_2"/>
      <w:bookmarkStart w:id="257" w:name="Tc_blUbNw5Tm0CXNbwccLOREQ_7_0"/>
      <w:bookmarkStart w:id="258" w:name="Tc_m3HpoCHwlk2xlHMXz72m_Q_6_14"/>
      <w:bookmarkStart w:id="259" w:name="Tc_3C76UAwlxE-5sDHL6RLsbw_6_11"/>
      <w:bookmarkStart w:id="260" w:name="Tc_RjAXHGHgLEyMex7jPSxRVA_6_5"/>
      <w:bookmarkStart w:id="261" w:name="Tc_51aILs2IaEGFRwUVmg-D2g_6_0"/>
      <w:bookmarkStart w:id="262" w:name="Tc_sCAQ4gLusUafrUUOEvdloA_5_16"/>
      <w:bookmarkStart w:id="263" w:name="Tc_JmY-CtXB8UaJL0Cv0QigYA_5_13"/>
      <w:bookmarkStart w:id="264" w:name="Tc_Iq0bB9jvDUSK7p-c9xl7_A_5_10"/>
      <w:bookmarkStart w:id="265" w:name="Tc_XsjkMNkba0e_rCWtiBEBvQ_5_7"/>
      <w:bookmarkStart w:id="266" w:name="Tc_TYbQXl6FkE6uOlbbvKs6OA_5_4"/>
      <w:bookmarkStart w:id="267" w:name="Tc_CiJ2gQgQYEaXcCTZ3ysX4g_5_0"/>
      <w:bookmarkStart w:id="268" w:name="Tc_IIEg_ZJpy0GQNVAwYnYQPA_4_16"/>
      <w:bookmarkStart w:id="269" w:name="Tc_dwP_1r4tyUW6mDS1qL6yMQ_4_13"/>
      <w:bookmarkStart w:id="270" w:name="Tc_Gu4gz7JuS0ult8RWxlqFYQ_4_10"/>
      <w:bookmarkStart w:id="271" w:name="Tc__XApe23R8UaEIWLZQ7H3Wg_4_7"/>
      <w:bookmarkStart w:id="272" w:name="Tc_Y-Janfm8oEG8Elttk22mUQ_4_4"/>
      <w:bookmarkStart w:id="273" w:name="Tc_89-S9EulpUy9Agbumte_hQ_4_2"/>
      <w:bookmarkStart w:id="274" w:name="Tc_U3YdnjEFPkOe8AH7z1viaw_3_13"/>
      <w:bookmarkStart w:id="275" w:name="Tc_kaGWAn99s06ZbtshPJvWcw_3_10"/>
      <w:bookmarkStart w:id="276" w:name="Tc_cR0c0fASBEK5mQpe9CCV9Q_3_7"/>
      <w:bookmarkStart w:id="277" w:name="Tc_UjHm1X_kh0e4Lw8V-7b0CQ_3_2"/>
      <w:bookmarkStart w:id="278" w:name="Tc_miStyZCPvEOw95vraztOpw_2_13"/>
      <w:bookmarkStart w:id="279" w:name="Tc_Zy1spnBFUU66kdewpjok3Q_2_7"/>
      <w:bookmarkStart w:id="280" w:name="Tc_jAWygV-8BUWRgVaj6dZQ1w_1_13"/>
      <w:bookmarkStart w:id="281" w:name="_89d3c19a_cc74_46b4_8f11_afd5eb750fe7"/>
      <w:bookmarkStart w:id="282" w:name="Tc_iydKlVdQEEObCgFBTr30_g_13_16"/>
      <w:bookmarkStart w:id="283" w:name="Tc_S_qAc56330-Fmc5Pz9ETHA_13_13"/>
      <w:bookmarkStart w:id="284" w:name="Tc_6_fTJZgPNU6OR0L30-BWoA_13_10"/>
      <w:bookmarkStart w:id="285" w:name="Tc_ohjyGXA3nUuSlkXS0Uuo0w_13_7"/>
      <w:bookmarkStart w:id="286" w:name="Tc_MMQihUZ9FECaitUaxUusYg_13_4"/>
      <w:bookmarkStart w:id="287" w:name="Tc_cJh-jliUe0qmc_-Pe3UHFw_13_0"/>
      <w:bookmarkStart w:id="288" w:name="Tc_nO3yNDN7pU6aIiwQC1Z8DA_12_14"/>
      <w:bookmarkStart w:id="289" w:name="Tc_F3k94Tg_CECT2l6KX9GusQ_12_8"/>
      <w:bookmarkStart w:id="290" w:name="Tc_LONISDCiWE-iN1-VOBwldA_12_5"/>
      <w:bookmarkStart w:id="291" w:name="Tc_nK6N7hSyikyG8A1DdIvTMA_12_2"/>
      <w:bookmarkStart w:id="292" w:name="Tc_R_LcS7OccUKtTmytCkNfZg_12_0"/>
      <w:bookmarkStart w:id="293" w:name="Tc_uo1fHcEXUEaBrpNtmbx-sw_11_11"/>
      <w:bookmarkStart w:id="294" w:name="Tc_YJ0LOZVplUu4f9rveQLpoQ_11_8"/>
      <w:bookmarkStart w:id="295" w:name="Tc_rV66c-iAL0GKDsFAbxw5fA_11_5"/>
      <w:bookmarkStart w:id="296" w:name="Tc_0vzAuDj6bkW5y9jWWucjaA_11_2"/>
      <w:bookmarkStart w:id="297" w:name="Tc_tO7POecy0EKpQs9AOemPOw_11_0"/>
      <w:bookmarkStart w:id="298" w:name="Tc_5VHlW-kgiEixNqkuvo-wFg_10_14"/>
      <w:bookmarkStart w:id="299" w:name="Tc_E90pFBvqsU2vCWlx2wwtAg_10_11"/>
      <w:bookmarkStart w:id="300" w:name="Tc_BPKWiurpTkureBeNIo4xIQ_10_5"/>
      <w:bookmarkStart w:id="301" w:name="Tc_S4mNPum55UemLA1Tix5i5A_10_2"/>
      <w:bookmarkStart w:id="302" w:name="Tc_Q56aIsBphUexpWitq8FMjg_10_0"/>
      <w:bookmarkStart w:id="303" w:name="Tc_vz6fFibj9E62CJJbW34NAw_9_17"/>
      <w:bookmarkStart w:id="304" w:name="Tc_OSIY8U06zk-No96O8ecaUg_9_14"/>
      <w:bookmarkStart w:id="305" w:name="Tc_6kPJ9sQhl0qA5KwlOoHYlg_9_11"/>
      <w:bookmarkStart w:id="306" w:name="Tc_qRmG4OgL5Uu_7O9cHbFUmQ_9_8"/>
      <w:bookmarkStart w:id="307" w:name="Tc_Kp1UQUcM4Uy8j1QCvsdp8A_9_5"/>
      <w:bookmarkStart w:id="308" w:name="Tc_3iFBYtREN0uNB6ju3gXeWA_9_0"/>
      <w:bookmarkStart w:id="309" w:name="Tc_WY6pLE0FSkGGGUki5LJPyg_8_14"/>
      <w:bookmarkStart w:id="310" w:name="Tc_dNm06EXoO0O5phbtEDVf1A_8_11"/>
      <w:bookmarkStart w:id="311" w:name="Tc_q8lH4vC2qUOSQmVzwRKncA_8_5"/>
      <w:bookmarkStart w:id="312" w:name="Tc_WSYNErAj_UCZm9qnT6Oj_w_8_0"/>
      <w:bookmarkStart w:id="313" w:name="Tc_bMef70Pjkkm5sf0TcDg4ug_7_14"/>
      <w:bookmarkStart w:id="314" w:name="Tc_UFa6EZI8bEy8Jri0xCbRjw_7_11"/>
      <w:bookmarkStart w:id="315" w:name="Tc_2fGgJgy_BkWnDOrxJIft7w_7_5"/>
      <w:bookmarkStart w:id="316" w:name="Tc_saMk6hVV10uZK8D5SWB0Pg_7_2"/>
      <w:bookmarkStart w:id="317" w:name="Tc_blUbNw5Tm0CXNbwccLOREQ_7_0"/>
      <w:bookmarkStart w:id="318" w:name="Tc_m3HpoCHwlk2xlHMXz72m_Q_6_14"/>
      <w:bookmarkStart w:id="319" w:name="Tc_3C76UAwlxE-5sDHL6RLsbw_6_11"/>
      <w:bookmarkStart w:id="320" w:name="Tc_RjAXHGHgLEyMex7jPSxRVA_6_5"/>
      <w:bookmarkStart w:id="321" w:name="Tc_51aILs2IaEGFRwUVmg-D2g_6_0"/>
      <w:bookmarkStart w:id="322" w:name="Tc_sCAQ4gLusUafrUUOEvdloA_5_16"/>
      <w:bookmarkStart w:id="323" w:name="Tc_JmY-CtXB8UaJL0Cv0QigYA_5_13"/>
      <w:bookmarkStart w:id="324" w:name="Tc_Iq0bB9jvDUSK7p-c9xl7_A_5_10"/>
      <w:bookmarkStart w:id="325" w:name="Tc_XsjkMNkba0e_rCWtiBEBvQ_5_7"/>
      <w:bookmarkStart w:id="326" w:name="Tc_TYbQXl6FkE6uOlbbvKs6OA_5_4"/>
      <w:bookmarkStart w:id="327" w:name="Tc_CiJ2gQgQYEaXcCTZ3ysX4g_5_0"/>
      <w:bookmarkStart w:id="328" w:name="Tc_IIEg_ZJpy0GQNVAwYnYQPA_4_16"/>
      <w:bookmarkStart w:id="329" w:name="Tc_dwP_1r4tyUW6mDS1qL6yMQ_4_13"/>
      <w:bookmarkStart w:id="330" w:name="Tc_Gu4gz7JuS0ult8RWxlqFYQ_4_10"/>
      <w:bookmarkStart w:id="331" w:name="Tc__XApe23R8UaEIWLZQ7H3Wg_4_7"/>
      <w:bookmarkStart w:id="332" w:name="Tc_Y-Janfm8oEG8Elttk22mUQ_4_4"/>
      <w:bookmarkStart w:id="333" w:name="Tc_89-S9EulpUy9Agbumte_hQ_4_2"/>
      <w:bookmarkStart w:id="334" w:name="Tc_U3YdnjEFPkOe8AH7z1viaw_3_13"/>
      <w:bookmarkStart w:id="335" w:name="Tc_kaGWAn99s06ZbtshPJvWcw_3_10"/>
      <w:bookmarkStart w:id="336" w:name="Tc_cR0c0fASBEK5mQpe9CCV9Q_3_7"/>
      <w:bookmarkStart w:id="337" w:name="Tc_UjHm1X_kh0e4Lw8V-7b0CQ_3_2"/>
      <w:bookmarkStart w:id="338" w:name="Tc_miStyZCPvEOw95vraztOpw_2_13"/>
      <w:bookmarkStart w:id="339" w:name="Tc_Zy1spnBFUU66kdewpjok3Q_2_7"/>
      <w:bookmarkStart w:id="340" w:name="Tc_jAWygV-8BUWRgVaj6dZQ1w_1_13"/>
      <w:bookmarkStart w:id="341" w:name="_89d3c19a_cc74_46b4_8f11_afd5eb750fe7"/>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tbl>
      <w:tblPr>
        <w:tblW w:w="10205" w:type="dxa"/>
        <w:jc w:val="left"/>
        <w:tblInd w:w="0" w:type="dxa"/>
        <w:tblLayout w:type="fixed"/>
        <w:tblCellMar>
          <w:top w:w="0" w:type="dxa"/>
          <w:left w:w="0" w:type="dxa"/>
          <w:bottom w:w="0" w:type="dxa"/>
          <w:right w:w="0" w:type="dxa"/>
        </w:tblCellMar>
      </w:tblPr>
      <w:tblGrid>
        <w:gridCol w:w="2530"/>
        <w:gridCol w:w="326"/>
        <w:gridCol w:w="811"/>
        <w:gridCol w:w="338"/>
        <w:gridCol w:w="261"/>
        <w:gridCol w:w="430"/>
        <w:gridCol w:w="326"/>
        <w:gridCol w:w="211"/>
        <w:gridCol w:w="781"/>
        <w:gridCol w:w="326"/>
        <w:gridCol w:w="211"/>
        <w:gridCol w:w="869"/>
        <w:gridCol w:w="326"/>
        <w:gridCol w:w="370"/>
        <w:gridCol w:w="846"/>
        <w:gridCol w:w="326"/>
        <w:gridCol w:w="211"/>
        <w:gridCol w:w="706"/>
      </w:tblGrid>
      <w:tr>
        <w:trPr/>
        <w:tc>
          <w:tcPr>
            <w:tcW w:w="25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606550" cy="175260"/>
                      <wp:effectExtent l="0" t="0" r="0" b="0"/>
                      <wp:wrapNone/>
                      <wp:docPr id="19" name="Frame19"/>
                      <a:graphic xmlns:a="http://schemas.openxmlformats.org/drawingml/2006/main">
                        <a:graphicData uri="http://schemas.microsoft.com/office/word/2010/wordprocessingShape">
                          <wps:wsp>
                            <wps:cNvSpPr txBox="1"/>
                            <wps:spPr>
                              <a:xfrm>
                                <a:off x="0" y="0"/>
                                <a:ext cx="1606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14985" cy="175260"/>
                      <wp:effectExtent l="0" t="0" r="0" b="0"/>
                      <wp:wrapNone/>
                      <wp:docPr id="21" name="Frame2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4630" cy="175260"/>
                      <wp:effectExtent l="0" t="0" r="0" b="0"/>
                      <wp:wrapNone/>
                      <wp:docPr id="22" name="Frame22"/>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5735" cy="175260"/>
                      <wp:effectExtent l="0" t="0" r="0" b="0"/>
                      <wp:wrapNone/>
                      <wp:docPr id="23" name="Frame23"/>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73050" cy="175260"/>
                      <wp:effectExtent l="0" t="0" r="0" b="0"/>
                      <wp:wrapNone/>
                      <wp:docPr id="24" name="Frame24"/>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5935" cy="175260"/>
                      <wp:effectExtent l="0" t="0" r="0" b="0"/>
                      <wp:wrapNone/>
                      <wp:docPr id="27" name="Frame2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51815" cy="175260"/>
                      <wp:effectExtent l="0" t="0" r="0" b="0"/>
                      <wp:wrapNone/>
                      <wp:docPr id="30" name="Frame3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4950" cy="175260"/>
                      <wp:effectExtent l="0" t="0" r="0" b="0"/>
                      <wp:wrapNone/>
                      <wp:docPr id="32" name="Frame32"/>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37210" cy="175260"/>
                      <wp:effectExtent l="0" t="0" r="0" b="0"/>
                      <wp:wrapNone/>
                      <wp:docPr id="33" name="Frame33"/>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48310" cy="175260"/>
                      <wp:effectExtent l="0" t="0" r="0" b="0"/>
                      <wp:wrapNone/>
                      <wp:docPr id="36" name="Frame36"/>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38"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2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0"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2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4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25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38"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2024</w:t>
            </w:r>
          </w:p>
        </w:tc>
        <w:tc>
          <w:tcPr>
            <w:tcW w:w="326" w:type="dxa"/>
            <w:tcBorders/>
            <w:shd w:fill="CCEEFF" w:val="clear"/>
            <w:vAlign w:val="center"/>
          </w:tcPr>
          <w:p>
            <w:pPr>
              <w:pStyle w:val="TableContents"/>
              <w:bidi w:val="0"/>
              <w:spacing w:before="0" w:after="0"/>
              <w:ind w:left="0" w:right="0" w:hanging="0"/>
              <w:jc w:val="righ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714,590</w:t>
            </w:r>
          </w:p>
        </w:tc>
        <w:tc>
          <w:tcPr>
            <w:tcW w:w="338"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(159,957)</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w:t>
            </w:r>
          </w:p>
        </w:tc>
      </w:tr>
      <w:tr>
        <w:trPr/>
        <w:tc>
          <w:tcPr>
            <w:tcW w:w="2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public offering</w:t>
            </w:r>
          </w:p>
        </w:tc>
        <w:tc>
          <w:tcPr>
            <w:tcW w:w="326" w:type="dxa"/>
            <w:tcBorders/>
            <w:vAlign w:val="center"/>
          </w:tcPr>
          <w:p>
            <w:pPr>
              <w:pStyle w:val="TableContents"/>
              <w:bidi w:val="0"/>
              <w:spacing w:before="0" w:after="0"/>
              <w:ind w:left="0" w:right="0" w:hanging="0"/>
              <w:jc w:val="righ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148,201</w:t>
            </w:r>
          </w:p>
        </w:tc>
        <w:tc>
          <w:tcPr>
            <w:tcW w:w="338"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r>
      <w:tr>
        <w:trPr/>
        <w:tc>
          <w:tcPr>
            <w:tcW w:w="2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2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2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warrants</w:t>
            </w:r>
          </w:p>
        </w:tc>
        <w:tc>
          <w:tcPr>
            <w:tcW w:w="32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23,400</w:t>
            </w:r>
          </w:p>
        </w:tc>
        <w:tc>
          <w:tcPr>
            <w:tcW w:w="338"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2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38"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r>
      <w:tr>
        <w:trPr/>
        <w:tc>
          <w:tcPr>
            <w:tcW w:w="2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right"/>
              <w:rPr/>
            </w:pPr>
            <w:r>
              <w:rPr/>
              <w:t> </w:t>
            </w:r>
          </w:p>
        </w:tc>
        <w:tc>
          <w:tcPr>
            <w:tcW w:w="811" w:type="dxa"/>
            <w:tcBorders/>
            <w:vAlign w:val="center"/>
          </w:tcPr>
          <w:p>
            <w:pPr>
              <w:pStyle w:val="TableContents"/>
              <w:bidi w:val="0"/>
              <w:spacing w:before="0" w:after="0"/>
              <w:ind w:left="0" w:right="0" w:hanging="0"/>
              <w:jc w:val="right"/>
              <w:rPr/>
            </w:pPr>
            <w:r>
              <w:rPr/>
              <w:t>—</w:t>
            </w:r>
          </w:p>
        </w:tc>
        <w:tc>
          <w:tcPr>
            <w:tcW w:w="338"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2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shd w:fill="CCEEFF" w:val="clear"/>
            <w:vAlign w:val="center"/>
          </w:tcPr>
          <w:p>
            <w:pPr>
              <w:pStyle w:val="TableContents"/>
              <w:bidi w:val="0"/>
              <w:spacing w:before="0" w:after="0"/>
              <w:ind w:left="0" w:right="0" w:hanging="0"/>
              <w:jc w:val="righ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38"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5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righ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8" w:type="dxa"/>
            <w:tcBorders/>
            <w:vAlign w:val="center"/>
          </w:tcPr>
          <w:p>
            <w:pPr>
              <w:pStyle w:val="TableContents"/>
              <w:bidi w:val="0"/>
              <w:spacing w:before="0" w:after="0"/>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326" w:type="dxa"/>
            <w:tcBorders/>
            <w:vAlign w:val="center"/>
          </w:tcPr>
          <w:p>
            <w:pPr>
              <w:pStyle w:val="TableContents"/>
              <w:bidi w:val="0"/>
              <w:spacing w:before="0" w:after="0"/>
              <w:ind w:left="0" w:right="0" w:hanging="0"/>
              <w:jc w:val="left"/>
              <w:rPr/>
            </w:pPr>
            <w:r>
              <w:rPr/>
              <w:t> </w:t>
            </w:r>
          </w:p>
        </w:tc>
        <w:tc>
          <w:tcPr>
            <w:tcW w:w="3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r>
      <w:tr>
        <w:trPr/>
        <w:tc>
          <w:tcPr>
            <w:tcW w:w="25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887,847</w:t>
            </w:r>
          </w:p>
        </w:tc>
        <w:tc>
          <w:tcPr>
            <w:tcW w:w="338"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(162,473)</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2" w:name="Tc_RVHCWcmn7UGgb_wux0sXzg_10_16"/>
      <w:bookmarkStart w:id="343" w:name="Tc_2UlROwBMJ0uNOK7jGxWITw_10_13"/>
      <w:bookmarkStart w:id="344" w:name="Tc_Y5_a03A6XEWZicUmvni10Q_10_10"/>
      <w:bookmarkStart w:id="345" w:name="Tc_o01HYD730EKcMmyg6WuFmg_10_7"/>
      <w:bookmarkStart w:id="346" w:name="Tc_zZbbEi5iIkmv7Qa63tYB8Q_10_4"/>
      <w:bookmarkStart w:id="347" w:name="Tc_HnOiPRfJw0KVclmWazD3ew_10_0"/>
      <w:bookmarkStart w:id="348" w:name="Tc_xlTeZPIxGECgEGwNr7EV7w_9_14"/>
      <w:bookmarkStart w:id="349" w:name="Tc_hcN8KHrAYUq-_uOPuE4OWg_9_8"/>
      <w:bookmarkStart w:id="350" w:name="Tc_93HZjAlp3E27WMrWxPIdvg_9_5"/>
      <w:bookmarkStart w:id="351" w:name="Tc_OGliBQAJakm_3UO2cOZV0Q_9_2"/>
      <w:bookmarkStart w:id="352" w:name="Tc_CpMYzcCjuk-QX6ebii7_Ew_9_0"/>
      <w:bookmarkStart w:id="353" w:name="Tc_k8_m6CBtIEmswiBtaZKqHg_8_11"/>
      <w:bookmarkStart w:id="354" w:name="Tc_mWSYxs8_IUy-hDi57Q-mjg_8_8"/>
      <w:bookmarkStart w:id="355" w:name="Tc_DB8Q7L5OHEe7OoWkUyDYVQ_8_5"/>
      <w:bookmarkStart w:id="356" w:name="Tc_Rz-xOVleIEyXnhvrlF2ksg_8_2"/>
      <w:bookmarkStart w:id="357" w:name="Tc_3zcaqF5Rh0aJgSuAsmqVJg_8_0"/>
      <w:bookmarkStart w:id="358" w:name="Tc_Jxf8HGPA0kagxfTfGDuAyQ_7_14"/>
      <w:bookmarkStart w:id="359" w:name="Tc_EXY4rvhjLE22XdKiP9QNdw_7_11"/>
      <w:bookmarkStart w:id="360" w:name="Tc_Urww-5mh_EeQkKJD1Cv5Og_7_5"/>
      <w:bookmarkStart w:id="361" w:name="Tc_2oJ3n7LdSEqtI3TmiM2rJg_7_2"/>
      <w:bookmarkStart w:id="362" w:name="Tc_C4I9V5vqtEaHfc2uyrZnOw_7_0"/>
      <w:bookmarkStart w:id="363" w:name="Tc_Z4egR-iUM0WrECJWAhWnaA_6_17"/>
      <w:bookmarkStart w:id="364" w:name="Tc_0Ki-u7zwqk63rxFkM7R58Q_6_14"/>
      <w:bookmarkStart w:id="365" w:name="Tc_TiOnyeakuEa_lKFmbkx7Uw_6_11"/>
      <w:bookmarkStart w:id="366" w:name="Tc_JJyHlKU7w06q_PSKCRo_Qw_6_8"/>
      <w:bookmarkStart w:id="367" w:name="Tc_u8qGUwu77EWowhxBfblRQw_6_5"/>
      <w:bookmarkStart w:id="368" w:name="Tc_3QyHK9TWKEyV8Ck4J2IqEw_6_0"/>
      <w:bookmarkStart w:id="369" w:name="Tc_d2ePhF628EG3jx4ZNwVIBQ_5_16"/>
      <w:bookmarkStart w:id="370" w:name="Tc_LVtdkyUYoUKwQZXaPEzqBg_5_13"/>
      <w:bookmarkStart w:id="371" w:name="Tc_n0MRMIBHpECkEC-ZekRJIw_5_10"/>
      <w:bookmarkStart w:id="372" w:name="Tc_aKb-SJub1kmgqzRR6RKboA_5_7"/>
      <w:bookmarkStart w:id="373" w:name="Tc_KqthsO4T90W3IjChpqlFEA_5_4"/>
      <w:bookmarkStart w:id="374" w:name="Tc_TrqWdc7H80OeXaYDmoLN6A_5_0"/>
      <w:bookmarkStart w:id="375" w:name="Tc_fEwffIXG40GYY8bH9EWKWg_4_16"/>
      <w:bookmarkStart w:id="376" w:name="Tc_wnduss1eZUi0jaTUC9TahQ_4_13"/>
      <w:bookmarkStart w:id="377" w:name="Tc_elWjoBLoPE-ZIaskCtyOXA_4_10"/>
      <w:bookmarkStart w:id="378" w:name="Tc_ldL_MWuiy0OY3n1uOHYyKQ_4_7"/>
      <w:bookmarkStart w:id="379" w:name="Tc_r3dVsQTLg0uc_eDNUGK6vQ_4_4"/>
      <w:bookmarkStart w:id="380" w:name="Tc_XJxSkJdsQU-7Muv1w6XMWQ_4_2"/>
      <w:bookmarkStart w:id="381" w:name="Tc_KPRlWL28Mkibj9HiotE0Xg_3_13"/>
      <w:bookmarkStart w:id="382" w:name="Tc_ffd5qvb6oEuJ9b0LrZTMUA_3_10"/>
      <w:bookmarkStart w:id="383" w:name="Tc_28xOXoLyHUOrmWbHCNYTXQ_3_7"/>
      <w:bookmarkStart w:id="384" w:name="Tc_inGd-YfXpk-EM_uHqaBn_A_3_2"/>
      <w:bookmarkStart w:id="385" w:name="Tc_yGdStzCyu0yMYgpsQWsoCQ_2_13"/>
      <w:bookmarkStart w:id="386" w:name="Tc_k4Q3uXsSaU6EahJQvjfuGg_2_7"/>
      <w:bookmarkStart w:id="387" w:name="Tc_JriqMeebqkKyWY7pA1m4PQ_1_13"/>
      <w:bookmarkStart w:id="388" w:name="_ad37c6c9_f3b7_4124_b8e6_bc294e84dc30"/>
      <w:bookmarkStart w:id="389" w:name="Tc_RVHCWcmn7UGgb_wux0sXzg_10_16"/>
      <w:bookmarkStart w:id="390" w:name="Tc_2UlROwBMJ0uNOK7jGxWITw_10_13"/>
      <w:bookmarkStart w:id="391" w:name="Tc_Y5_a03A6XEWZicUmvni10Q_10_10"/>
      <w:bookmarkStart w:id="392" w:name="Tc_o01HYD730EKcMmyg6WuFmg_10_7"/>
      <w:bookmarkStart w:id="393" w:name="Tc_zZbbEi5iIkmv7Qa63tYB8Q_10_4"/>
      <w:bookmarkStart w:id="394" w:name="Tc_HnOiPRfJw0KVclmWazD3ew_10_0"/>
      <w:bookmarkStart w:id="395" w:name="Tc_xlTeZPIxGECgEGwNr7EV7w_9_14"/>
      <w:bookmarkStart w:id="396" w:name="Tc_hcN8KHrAYUq-_uOPuE4OWg_9_8"/>
      <w:bookmarkStart w:id="397" w:name="Tc_93HZjAlp3E27WMrWxPIdvg_9_5"/>
      <w:bookmarkStart w:id="398" w:name="Tc_OGliBQAJakm_3UO2cOZV0Q_9_2"/>
      <w:bookmarkStart w:id="399" w:name="Tc_CpMYzcCjuk-QX6ebii7_Ew_9_0"/>
      <w:bookmarkStart w:id="400" w:name="Tc_k8_m6CBtIEmswiBtaZKqHg_8_11"/>
      <w:bookmarkStart w:id="401" w:name="Tc_mWSYxs8_IUy-hDi57Q-mjg_8_8"/>
      <w:bookmarkStart w:id="402" w:name="Tc_DB8Q7L5OHEe7OoWkUyDYVQ_8_5"/>
      <w:bookmarkStart w:id="403" w:name="Tc_Rz-xOVleIEyXnhvrlF2ksg_8_2"/>
      <w:bookmarkStart w:id="404" w:name="Tc_3zcaqF5Rh0aJgSuAsmqVJg_8_0"/>
      <w:bookmarkStart w:id="405" w:name="Tc_Jxf8HGPA0kagxfTfGDuAyQ_7_14"/>
      <w:bookmarkStart w:id="406" w:name="Tc_EXY4rvhjLE22XdKiP9QNdw_7_11"/>
      <w:bookmarkStart w:id="407" w:name="Tc_Urww-5mh_EeQkKJD1Cv5Og_7_5"/>
      <w:bookmarkStart w:id="408" w:name="Tc_2oJ3n7LdSEqtI3TmiM2rJg_7_2"/>
      <w:bookmarkStart w:id="409" w:name="Tc_C4I9V5vqtEaHfc2uyrZnOw_7_0"/>
      <w:bookmarkStart w:id="410" w:name="Tc_Z4egR-iUM0WrECJWAhWnaA_6_17"/>
      <w:bookmarkStart w:id="411" w:name="Tc_0Ki-u7zwqk63rxFkM7R58Q_6_14"/>
      <w:bookmarkStart w:id="412" w:name="Tc_TiOnyeakuEa_lKFmbkx7Uw_6_11"/>
      <w:bookmarkStart w:id="413" w:name="Tc_JJyHlKU7w06q_PSKCRo_Qw_6_8"/>
      <w:bookmarkStart w:id="414" w:name="Tc_u8qGUwu77EWowhxBfblRQw_6_5"/>
      <w:bookmarkStart w:id="415" w:name="Tc_3QyHK9TWKEyV8Ck4J2IqEw_6_0"/>
      <w:bookmarkStart w:id="416" w:name="Tc_d2ePhF628EG3jx4ZNwVIBQ_5_16"/>
      <w:bookmarkStart w:id="417" w:name="Tc_LVtdkyUYoUKwQZXaPEzqBg_5_13"/>
      <w:bookmarkStart w:id="418" w:name="Tc_n0MRMIBHpECkEC-ZekRJIw_5_10"/>
      <w:bookmarkStart w:id="419" w:name="Tc_aKb-SJub1kmgqzRR6RKboA_5_7"/>
      <w:bookmarkStart w:id="420" w:name="Tc_KqthsO4T90W3IjChpqlFEA_5_4"/>
      <w:bookmarkStart w:id="421" w:name="Tc_TrqWdc7H80OeXaYDmoLN6A_5_0"/>
      <w:bookmarkStart w:id="422" w:name="Tc_fEwffIXG40GYY8bH9EWKWg_4_16"/>
      <w:bookmarkStart w:id="423" w:name="Tc_wnduss1eZUi0jaTUC9TahQ_4_13"/>
      <w:bookmarkStart w:id="424" w:name="Tc_elWjoBLoPE-ZIaskCtyOXA_4_10"/>
      <w:bookmarkStart w:id="425" w:name="Tc_ldL_MWuiy0OY3n1uOHYyKQ_4_7"/>
      <w:bookmarkStart w:id="426" w:name="Tc_r3dVsQTLg0uc_eDNUGK6vQ_4_4"/>
      <w:bookmarkStart w:id="427" w:name="Tc_XJxSkJdsQU-7Muv1w6XMWQ_4_2"/>
      <w:bookmarkStart w:id="428" w:name="Tc_KPRlWL28Mkibj9HiotE0Xg_3_13"/>
      <w:bookmarkStart w:id="429" w:name="Tc_ffd5qvb6oEuJ9b0LrZTMUA_3_10"/>
      <w:bookmarkStart w:id="430" w:name="Tc_28xOXoLyHUOrmWbHCNYTXQ_3_7"/>
      <w:bookmarkStart w:id="431" w:name="Tc_inGd-YfXpk-EM_uHqaBn_A_3_2"/>
      <w:bookmarkStart w:id="432" w:name="Tc_yGdStzCyu0yMYgpsQWsoCQ_2_13"/>
      <w:bookmarkStart w:id="433" w:name="Tc_k4Q3uXsSaU6EahJQvjfuGg_2_7"/>
      <w:bookmarkStart w:id="434" w:name="Tc_JriqMeebqkKyWY7pA1m4PQ_1_13"/>
      <w:bookmarkStart w:id="435" w:name="_ad37c6c9_f3b7_4124_b8e6_bc294e84dc30"/>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tbl>
      <w:tblPr>
        <w:tblW w:w="10205" w:type="dxa"/>
        <w:jc w:val="left"/>
        <w:tblInd w:w="0" w:type="dxa"/>
        <w:tblLayout w:type="fixed"/>
        <w:tblCellMar>
          <w:top w:w="0" w:type="dxa"/>
          <w:left w:w="0" w:type="dxa"/>
          <w:bottom w:w="0" w:type="dxa"/>
          <w:right w:w="0" w:type="dxa"/>
        </w:tblCellMar>
      </w:tblPr>
      <w:tblGrid>
        <w:gridCol w:w="2483"/>
        <w:gridCol w:w="326"/>
        <w:gridCol w:w="825"/>
        <w:gridCol w:w="344"/>
        <w:gridCol w:w="261"/>
        <w:gridCol w:w="430"/>
        <w:gridCol w:w="326"/>
        <w:gridCol w:w="211"/>
        <w:gridCol w:w="781"/>
        <w:gridCol w:w="326"/>
        <w:gridCol w:w="211"/>
        <w:gridCol w:w="882"/>
        <w:gridCol w:w="326"/>
        <w:gridCol w:w="370"/>
        <w:gridCol w:w="846"/>
        <w:gridCol w:w="326"/>
        <w:gridCol w:w="211"/>
        <w:gridCol w:w="720"/>
      </w:tblGrid>
      <w:tr>
        <w:trPr/>
        <w:tc>
          <w:tcPr>
            <w:tcW w:w="2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576705" cy="175260"/>
                      <wp:effectExtent l="0" t="0" r="0" b="0"/>
                      <wp:wrapNone/>
                      <wp:docPr id="37" name="Frame37"/>
                      <a:graphic xmlns:a="http://schemas.openxmlformats.org/drawingml/2006/main">
                        <a:graphicData uri="http://schemas.microsoft.com/office/word/2010/wordprocessingShape">
                          <wps:wsp>
                            <wps:cNvSpPr txBox="1"/>
                            <wps:spPr>
                              <a:xfrm>
                                <a:off x="0" y="0"/>
                                <a:ext cx="157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23875" cy="175260"/>
                      <wp:effectExtent l="0" t="0" r="0" b="0"/>
                      <wp:wrapNone/>
                      <wp:docPr id="39" name="Frame3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8440" cy="175260"/>
                      <wp:effectExtent l="0" t="0" r="0" b="0"/>
                      <wp:wrapNone/>
                      <wp:docPr id="40" name="Frame40"/>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65735" cy="175260"/>
                      <wp:effectExtent l="0" t="0" r="0" b="0"/>
                      <wp:wrapNone/>
                      <wp:docPr id="41" name="Frame4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73050" cy="175260"/>
                      <wp:effectExtent l="0" t="0" r="0" b="0"/>
                      <wp:wrapNone/>
                      <wp:docPr id="42" name="Frame42"/>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95935" cy="175260"/>
                      <wp:effectExtent l="0" t="0" r="0" b="0"/>
                      <wp:wrapNone/>
                      <wp:docPr id="45" name="Frame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60070" cy="175260"/>
                      <wp:effectExtent l="0" t="0" r="0" b="0"/>
                      <wp:wrapNone/>
                      <wp:docPr id="48" name="Frame48"/>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34950" cy="175260"/>
                      <wp:effectExtent l="0" t="0" r="0" b="0"/>
                      <wp:wrapNone/>
                      <wp:docPr id="50" name="Frame5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37210" cy="175260"/>
                      <wp:effectExtent l="0" t="0" r="0" b="0"/>
                      <wp:wrapNone/>
                      <wp:docPr id="51" name="Frame51"/>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57200" cy="175260"/>
                      <wp:effectExtent l="0" t="0" r="0" b="0"/>
                      <wp:wrapNone/>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60"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center"/>
              <w:rPr/>
            </w:pPr>
            <w:r>
              <w:rPr/>
              <w:t>​</w:t>
            </w:r>
          </w:p>
        </w:tc>
      </w:tr>
      <w:tr>
        <w:trPr/>
        <w:tc>
          <w:tcPr>
            <w:tcW w:w="24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60"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center"/>
              <w:rPr/>
            </w:pPr>
            <w:r>
              <w:rPr/>
              <w:t>​</w:t>
            </w:r>
          </w:p>
        </w:tc>
      </w:tr>
      <w:tr>
        <w:trPr/>
        <w:tc>
          <w:tcPr>
            <w:tcW w:w="24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6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center"/>
              <w:rPr/>
            </w:pPr>
            <w:r>
              <w:rPr/>
              <w:t>​</w:t>
            </w:r>
          </w:p>
        </w:tc>
      </w:tr>
      <w:tr>
        <w:trPr/>
        <w:tc>
          <w:tcPr>
            <w:tcW w:w="248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4"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564,094</w:t>
            </w:r>
          </w:p>
        </w:tc>
        <w:tc>
          <w:tcPr>
            <w:tcW w:w="344"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(151,107)</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r>
      <w:tr>
        <w:trPr/>
        <w:tc>
          <w:tcPr>
            <w:tcW w:w="2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4"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r>
      <w:tr>
        <w:trPr/>
        <w:tc>
          <w:tcPr>
            <w:tcW w:w="2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825"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24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gain</w:t>
            </w:r>
          </w:p>
        </w:tc>
        <w:tc>
          <w:tcPr>
            <w:tcW w:w="326" w:type="dxa"/>
            <w:tcBorders/>
            <w:vAlign w:val="center"/>
          </w:tcPr>
          <w:p>
            <w:pPr>
              <w:pStyle w:val="TableContents"/>
              <w:bidi w:val="0"/>
              <w:spacing w:before="0" w:after="0"/>
              <w:ind w:left="0" w:right="0" w:hanging="0"/>
              <w:jc w:val="left"/>
              <w:rPr/>
            </w:pPr>
            <w:r>
              <w:rPr/>
              <w:t> </w:t>
            </w:r>
          </w:p>
        </w:tc>
        <w:tc>
          <w:tcPr>
            <w:tcW w:w="825" w:type="dxa"/>
            <w:tcBorders/>
            <w:vAlign w:val="center"/>
          </w:tcPr>
          <w:p>
            <w:pPr>
              <w:pStyle w:val="TableContents"/>
              <w:bidi w:val="0"/>
              <w:spacing w:before="0" w:after="0"/>
              <w:ind w:left="0" w:right="0" w:hanging="0"/>
              <w:jc w:val="right"/>
              <w:rPr/>
            </w:pPr>
            <w:r>
              <w:rPr/>
              <w:t>—</w:t>
            </w:r>
          </w:p>
        </w:tc>
        <w:tc>
          <w:tcPr>
            <w:tcW w:w="344"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4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248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March 31, 2023</w:t>
            </w:r>
          </w:p>
        </w:tc>
        <w:tc>
          <w:tcPr>
            <w:tcW w:w="326" w:type="dxa"/>
            <w:tcBorders/>
            <w:vAlign w:val="center"/>
          </w:tcPr>
          <w:p>
            <w:pPr>
              <w:pStyle w:val="TableContents"/>
              <w:bidi w:val="0"/>
              <w:spacing w:before="0" w:after="0"/>
              <w:ind w:left="0" w:right="0" w:hanging="0"/>
              <w:jc w:val="left"/>
              <w:rPr/>
            </w:pPr>
            <w:r>
              <w:rPr/>
              <w:t> </w:t>
            </w:r>
          </w:p>
        </w:tc>
        <w:tc>
          <w:tcPr>
            <w:tcW w:w="8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564,214</w:t>
            </w:r>
          </w:p>
        </w:tc>
        <w:tc>
          <w:tcPr>
            <w:tcW w:w="344"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(153,601)</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6,067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36" w:name="_41485e31_609f_4ec2_b4b0_d3cc758af205"/>
      <w:bookmarkEnd w:id="436"/>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437" w:name="ConsolidatedStatementsofCashFlows"/>
      <w:bookmarkEnd w:id="437"/>
      <w:r>
        <w:rPr>
          <w:rFonts w:ascii="Times New Roman;Times;serif" w:hAnsi="Times New Roman;Times;serif"/>
          <w:b/>
          <w:sz w:val="20"/>
        </w:rPr>
        <w:t>Unaudited Condensed Consolidated Statements of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38" w:name="Tc_Min5O14m60y8wSfOSQxDaA_41_6"/>
      <w:bookmarkStart w:id="439" w:name="Tc_idMvJKcXQkio_Xp_tiDW7A_41_5"/>
      <w:bookmarkStart w:id="440" w:name="Tc_yAALqaClxUOSj9zzWHufBQ_41_2"/>
      <w:bookmarkStart w:id="441" w:name="Tc_aeUvH7gT0UKZk8JzTQYtPA_41_0"/>
      <w:bookmarkStart w:id="442" w:name="Tc_2TpSdUhZuEeQltggkvCUyw_40_6"/>
      <w:bookmarkStart w:id="443" w:name="Tc_Xf_rM2Bwq0OcnTlIcxgzMQ_40_5"/>
      <w:bookmarkStart w:id="444" w:name="Tc_tzPCYQ2evEyksPjPekwuow_40_2"/>
      <w:bookmarkStart w:id="445" w:name="Tc_4KqutjWNnESAGY3EFaZeSg_40_0"/>
      <w:bookmarkStart w:id="446" w:name="Tc_irACvShSWkOciJkTxWE4DA_39_0"/>
      <w:bookmarkStart w:id="447" w:name="Tc_SCbwIpa7VUunVEKpNEzv2A_38_0"/>
      <w:bookmarkStart w:id="448" w:name="Tc_jL37h93qGEGjVWCvbDmpPQ_37_5"/>
      <w:bookmarkStart w:id="449" w:name="Tc_jgJ2GK4JKku_qwsWmO25pg_37_2"/>
      <w:bookmarkStart w:id="450" w:name="Tc_9BBeCdC8gECGUj5bqTEJKg_37_0"/>
      <w:bookmarkStart w:id="451" w:name="Tc_2AOWUXXQQkGjALvQBjbXmg_36_0"/>
      <w:bookmarkStart w:id="452" w:name="Tc_xqfQkFfd2EuXR9WOb87jhQ_35_0"/>
      <w:bookmarkStart w:id="453" w:name="Tc_s0xtyq33X0yKjFjfNzxs0w_34_6"/>
      <w:bookmarkStart w:id="454" w:name="Tc_hGHD2_ldxEGFzBpmr3IKAA_34_0"/>
      <w:bookmarkStart w:id="455" w:name="Tc_RkgYmvoaSkC-f3u9bwHV1w_33_6"/>
      <w:bookmarkStart w:id="456" w:name="Tc_jlY9LoloVEOdAV4M4NIImQ_33_0"/>
      <w:bookmarkStart w:id="457" w:name="Tc_CTo7XQnTdE-XpxbXir3WSQ_32_6"/>
      <w:bookmarkStart w:id="458" w:name="Tc_Lo34yWQzyU6kF7Ny97yCXQ_32_0"/>
      <w:bookmarkStart w:id="459" w:name="Tc_nc4AhtkZo0umHmS1vO3VHQ_31_6"/>
      <w:bookmarkStart w:id="460" w:name="Tc_-tN7W5CgYEiZME-ziKQCUA_31_0"/>
      <w:bookmarkStart w:id="461" w:name="Tc_C_IOuE3SmU6pRSDEXSOwzQ_30_6"/>
      <w:bookmarkStart w:id="462" w:name="Tc_K7MjDXuvX0yUWpYbbPRXZQ_30_0"/>
      <w:bookmarkStart w:id="463" w:name="Tc_68oGMU0AsEutBwnuyEcLWg_29_6"/>
      <w:bookmarkStart w:id="464" w:name="Tc_lmF9lkw2dk2mXblxjGCXyA_29_0"/>
      <w:bookmarkStart w:id="465" w:name="Tc_nZ0ueLsbh0ueAFxaDTWvew_28_0"/>
      <w:bookmarkStart w:id="466" w:name="Tc_K-jNAwWCCUigX0iB1pqoMw_27_0"/>
      <w:bookmarkStart w:id="467" w:name="Tc_OlxsNqKWi0y0kDp8AKQg3A_26_0"/>
      <w:bookmarkStart w:id="468" w:name="Tc_nh4tQhnpcEGULAZFo-6-9g_25_0"/>
      <w:bookmarkStart w:id="469" w:name="Tc_orL5GBmD4E22xLgFYdjkPQ_24_0"/>
      <w:bookmarkStart w:id="470" w:name="Tc_dMt0FNM2uku9kWXuhzHp0g_23_0"/>
      <w:bookmarkStart w:id="471" w:name="Tc_noojjJrJqE65sR0gjutxFQ_22_0"/>
      <w:bookmarkStart w:id="472" w:name="Tc_xNorBLltZkGWWOF_-XSiUg_21_0"/>
      <w:bookmarkStart w:id="473" w:name="Tc_r0hxpcFSUUCiYdHBdqVmqQ_20_0"/>
      <w:bookmarkStart w:id="474" w:name="Tc__qNJiP59sEuELvHChVtBag_19_0"/>
      <w:bookmarkStart w:id="475" w:name="Tc_reXee-d4-Eu2B0PBQ_HTTw_18_0"/>
      <w:bookmarkStart w:id="476" w:name="Tc_aOnj0PS-iU2bwqGBrgmfpQ_17_0"/>
      <w:bookmarkStart w:id="477" w:name="Tc_U3rwVfsKmEWas39e9eAAxQ_16_0"/>
      <w:bookmarkStart w:id="478" w:name="Tc_xOqCNROpH0KO17vXM5MtJw_15_0"/>
      <w:bookmarkStart w:id="479" w:name="Tc_h9xV_NCLw0CTW4339wBMsw_14_0"/>
      <w:bookmarkStart w:id="480" w:name="Tc_ATG-YjDNpkKpdthpV1n7lQ_13_6"/>
      <w:bookmarkStart w:id="481" w:name="Tc_ZT2-nNJCAUq0-h3EWpuOqA_13_0"/>
      <w:bookmarkStart w:id="482" w:name="Tc_MOh3Jel280q0ZYMnDJjKEw_12_0"/>
      <w:bookmarkStart w:id="483" w:name="Tc_eEjWl-w7wkGtwXoF0_U2XA_11_0"/>
      <w:bookmarkStart w:id="484" w:name="Tc_FM7ftLf9akK9fDbd_E6PRw_10_0"/>
      <w:bookmarkStart w:id="485" w:name="Tc_E5DlZrLWZEK3m-MZklnNWg_9_0"/>
      <w:bookmarkStart w:id="486" w:name="Tc_yV4A-GTfBEe4SuoVEyRikw_8_0"/>
      <w:bookmarkStart w:id="487" w:name="Tc_a_GB2G48SESJM5tXTeXk6Q_7_0"/>
      <w:bookmarkStart w:id="488" w:name="Tc_jfLXPRVCG0eqQEvcVCmYmQ_6_5"/>
      <w:bookmarkStart w:id="489" w:name="Tc_5c89AR6gO0e-jqJoPVEWVA_6_2"/>
      <w:bookmarkStart w:id="490" w:name="Tc_fZORlCkeVkq-gUWeuHyehg_6_0"/>
      <w:bookmarkStart w:id="491" w:name="Tc_wb7ABIxT2UukCEboe4fhPw_5_0"/>
      <w:bookmarkStart w:id="492" w:name="Tc_I9ptpTj3zUuuYC4_HDMMwA_3_5"/>
      <w:bookmarkStart w:id="493" w:name="Tc_OqVfmh0oF0mH1Z9ZxIi5jA_3_2"/>
      <w:bookmarkStart w:id="494" w:name="Tc_6uV9diicO06oCiWokefH9Q_2_2"/>
      <w:bookmarkStart w:id="495" w:name="Tc_KTOrhrz7_0SqLceqKTnpLg_1_2"/>
      <w:bookmarkStart w:id="496" w:name="_f39bc365_c84b_477c_930f_0427cc694de1"/>
      <w:bookmarkStart w:id="497" w:name="Tc_Min5O14m60y8wSfOSQxDaA_41_6"/>
      <w:bookmarkStart w:id="498" w:name="Tc_idMvJKcXQkio_Xp_tiDW7A_41_5"/>
      <w:bookmarkStart w:id="499" w:name="Tc_yAALqaClxUOSj9zzWHufBQ_41_2"/>
      <w:bookmarkStart w:id="500" w:name="Tc_aeUvH7gT0UKZk8JzTQYtPA_41_0"/>
      <w:bookmarkStart w:id="501" w:name="Tc_2TpSdUhZuEeQltggkvCUyw_40_6"/>
      <w:bookmarkStart w:id="502" w:name="Tc_Xf_rM2Bwq0OcnTlIcxgzMQ_40_5"/>
      <w:bookmarkStart w:id="503" w:name="Tc_tzPCYQ2evEyksPjPekwuow_40_2"/>
      <w:bookmarkStart w:id="504" w:name="Tc_4KqutjWNnESAGY3EFaZeSg_40_0"/>
      <w:bookmarkStart w:id="505" w:name="Tc_irACvShSWkOciJkTxWE4DA_39_0"/>
      <w:bookmarkStart w:id="506" w:name="Tc_SCbwIpa7VUunVEKpNEzv2A_38_0"/>
      <w:bookmarkStart w:id="507" w:name="Tc_jL37h93qGEGjVWCvbDmpPQ_37_5"/>
      <w:bookmarkStart w:id="508" w:name="Tc_jgJ2GK4JKku_qwsWmO25pg_37_2"/>
      <w:bookmarkStart w:id="509" w:name="Tc_9BBeCdC8gECGUj5bqTEJKg_37_0"/>
      <w:bookmarkStart w:id="510" w:name="Tc_2AOWUXXQQkGjALvQBjbXmg_36_0"/>
      <w:bookmarkStart w:id="511" w:name="Tc_xqfQkFfd2EuXR9WOb87jhQ_35_0"/>
      <w:bookmarkStart w:id="512" w:name="Tc_s0xtyq33X0yKjFjfNzxs0w_34_6"/>
      <w:bookmarkStart w:id="513" w:name="Tc_hGHD2_ldxEGFzBpmr3IKAA_34_0"/>
      <w:bookmarkStart w:id="514" w:name="Tc_RkgYmvoaSkC-f3u9bwHV1w_33_6"/>
      <w:bookmarkStart w:id="515" w:name="Tc_jlY9LoloVEOdAV4M4NIImQ_33_0"/>
      <w:bookmarkStart w:id="516" w:name="Tc_CTo7XQnTdE-XpxbXir3WSQ_32_6"/>
      <w:bookmarkStart w:id="517" w:name="Tc_Lo34yWQzyU6kF7Ny97yCXQ_32_0"/>
      <w:bookmarkStart w:id="518" w:name="Tc_nc4AhtkZo0umHmS1vO3VHQ_31_6"/>
      <w:bookmarkStart w:id="519" w:name="Tc_-tN7W5CgYEiZME-ziKQCUA_31_0"/>
      <w:bookmarkStart w:id="520" w:name="Tc_C_IOuE3SmU6pRSDEXSOwzQ_30_6"/>
      <w:bookmarkStart w:id="521" w:name="Tc_K7MjDXuvX0yUWpYbbPRXZQ_30_0"/>
      <w:bookmarkStart w:id="522" w:name="Tc_68oGMU0AsEutBwnuyEcLWg_29_6"/>
      <w:bookmarkStart w:id="523" w:name="Tc_lmF9lkw2dk2mXblxjGCXyA_29_0"/>
      <w:bookmarkStart w:id="524" w:name="Tc_nZ0ueLsbh0ueAFxaDTWvew_28_0"/>
      <w:bookmarkStart w:id="525" w:name="Tc_K-jNAwWCCUigX0iB1pqoMw_27_0"/>
      <w:bookmarkStart w:id="526" w:name="Tc_OlxsNqKWi0y0kDp8AKQg3A_26_0"/>
      <w:bookmarkStart w:id="527" w:name="Tc_nh4tQhnpcEGULAZFo-6-9g_25_0"/>
      <w:bookmarkStart w:id="528" w:name="Tc_orL5GBmD4E22xLgFYdjkPQ_24_0"/>
      <w:bookmarkStart w:id="529" w:name="Tc_dMt0FNM2uku9kWXuhzHp0g_23_0"/>
      <w:bookmarkStart w:id="530" w:name="Tc_noojjJrJqE65sR0gjutxFQ_22_0"/>
      <w:bookmarkStart w:id="531" w:name="Tc_xNorBLltZkGWWOF_-XSiUg_21_0"/>
      <w:bookmarkStart w:id="532" w:name="Tc_r0hxpcFSUUCiYdHBdqVmqQ_20_0"/>
      <w:bookmarkStart w:id="533" w:name="Tc__qNJiP59sEuELvHChVtBag_19_0"/>
      <w:bookmarkStart w:id="534" w:name="Tc_reXee-d4-Eu2B0PBQ_HTTw_18_0"/>
      <w:bookmarkStart w:id="535" w:name="Tc_aOnj0PS-iU2bwqGBrgmfpQ_17_0"/>
      <w:bookmarkStart w:id="536" w:name="Tc_U3rwVfsKmEWas39e9eAAxQ_16_0"/>
      <w:bookmarkStart w:id="537" w:name="Tc_xOqCNROpH0KO17vXM5MtJw_15_0"/>
      <w:bookmarkStart w:id="538" w:name="Tc_h9xV_NCLw0CTW4339wBMsw_14_0"/>
      <w:bookmarkStart w:id="539" w:name="Tc_ATG-YjDNpkKpdthpV1n7lQ_13_6"/>
      <w:bookmarkStart w:id="540" w:name="Tc_ZT2-nNJCAUq0-h3EWpuOqA_13_0"/>
      <w:bookmarkStart w:id="541" w:name="Tc_MOh3Jel280q0ZYMnDJjKEw_12_0"/>
      <w:bookmarkStart w:id="542" w:name="Tc_eEjWl-w7wkGtwXoF0_U2XA_11_0"/>
      <w:bookmarkStart w:id="543" w:name="Tc_FM7ftLf9akK9fDbd_E6PRw_10_0"/>
      <w:bookmarkStart w:id="544" w:name="Tc_E5DlZrLWZEK3m-MZklnNWg_9_0"/>
      <w:bookmarkStart w:id="545" w:name="Tc_yV4A-GTfBEe4SuoVEyRikw_8_0"/>
      <w:bookmarkStart w:id="546" w:name="Tc_a_GB2G48SESJM5tXTeXk6Q_7_0"/>
      <w:bookmarkStart w:id="547" w:name="Tc_jfLXPRVCG0eqQEvcVCmYmQ_6_5"/>
      <w:bookmarkStart w:id="548" w:name="Tc_5c89AR6gO0e-jqJoPVEWVA_6_2"/>
      <w:bookmarkStart w:id="549" w:name="Tc_fZORlCkeVkq-gUWeuHyehg_6_0"/>
      <w:bookmarkStart w:id="550" w:name="Tc_wb7ABIxT2UukCEboe4fhPw_5_0"/>
      <w:bookmarkStart w:id="551" w:name="Tc_I9ptpTj3zUuuYC4_HDMMwA_3_5"/>
      <w:bookmarkStart w:id="552" w:name="Tc_OqVfmh0oF0mH1Z9ZxIi5jA_3_2"/>
      <w:bookmarkStart w:id="553" w:name="Tc_6uV9diicO06oCiWokefH9Q_2_2"/>
      <w:bookmarkStart w:id="554" w:name="Tc_KTOrhrz7_0SqLceqKTnpLg_1_2"/>
      <w:bookmarkStart w:id="555" w:name="_f39bc365_c84b_477c_930f_0427cc694de1"/>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tbl>
      <w:tblPr>
        <w:tblW w:w="8532" w:type="dxa"/>
        <w:jc w:val="left"/>
        <w:tblInd w:w="0" w:type="dxa"/>
        <w:tblLayout w:type="fixed"/>
        <w:tblCellMar>
          <w:top w:w="0" w:type="dxa"/>
          <w:left w:w="0" w:type="dxa"/>
          <w:bottom w:w="0" w:type="dxa"/>
          <w:right w:w="0" w:type="dxa"/>
        </w:tblCellMar>
      </w:tblPr>
      <w:tblGrid>
        <w:gridCol w:w="6031"/>
        <w:gridCol w:w="326"/>
        <w:gridCol w:w="211"/>
        <w:gridCol w:w="691"/>
        <w:gridCol w:w="326"/>
        <w:gridCol w:w="211"/>
        <w:gridCol w:w="73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829685" cy="175260"/>
                      <wp:effectExtent l="0" t="0" r="0" b="0"/>
                      <wp:wrapNone/>
                      <wp:docPr id="55" name="Frame55"/>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8" name="Frame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7360" cy="175260"/>
                      <wp:effectExtent l="0" t="0" r="0" b="0"/>
                      <wp:wrapNone/>
                      <wp:docPr id="61" name="Frame6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exchange loss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inventory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deferred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reclassified to equity on exercise of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costs reclassified to equity upon public offering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56" w:name="_df73379a_7cab_463a_a349_591f260c56c0"/>
      <w:bookmarkEnd w:id="556"/>
      <w:r>
        <w:rPr>
          <w:rFonts w:ascii="Times New Roman;Times;serif" w:hAnsi="Times New Roman;Times;serif"/>
          <w:b/>
          <w:sz w:val="20"/>
        </w:rPr>
        <w:t>Helius Medical Technologies, Inc.</w:t>
      </w:r>
    </w:p>
    <w:p>
      <w:pPr>
        <w:pStyle w:val="TextBody"/>
        <w:bidi w:val="0"/>
        <w:spacing w:before="0" w:after="240"/>
        <w:ind w:left="0" w:right="0" w:hanging="0"/>
        <w:jc w:val="left"/>
        <w:rPr>
          <w:rFonts w:ascii="Times New Roman;Times;serif" w:hAnsi="Times New Roman;Times;serif"/>
          <w:b/>
          <w:sz w:val="20"/>
        </w:rPr>
      </w:pPr>
      <w:bookmarkStart w:id="557" w:name="NotestoUnauditedCondensedConsolidatedFin"/>
      <w:bookmarkEnd w:id="557"/>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accompanying interim Unaudited Condensed Consolidated Financial Statements of Helius Medical Technologies, Inc. (together with its wholly owned subsidiaries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2023 that was filed with the Securities and Exchange Commission on March 28, 2024 (“2023 10-K”). Certain information and footnote disclosures normally included in financial statements prepared in accordance with generally accepted accounting principles in the United States of America ("GAAP") have been condensed or omitted.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from those described in the 2023 Form 10-K. Certain prior period amounts have been reclassified to conform to the current period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financial statements. Actual results could differ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opinion of management, the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Reverse Stock Split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the annual meeting of stockholders on May 24, 2023, our stockholders voted to approve a reverse stock split of our outstanding Class A common stock (“Common Stock”) at a ratio in the range of 1-for-</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to 1-for-</w:t>
      </w:r>
      <w:r>
        <w:rPr>
          <w:rFonts w:ascii="Times New Roman;Times;serif" w:hAnsi="Times New Roman;Times;serif"/>
          <w:b w:val="false"/>
          <w:i w:val="false"/>
          <w:caps w:val="false"/>
          <w:smallCaps w:val="false"/>
          <w:sz w:val="20"/>
        </w:rPr>
        <w:t>80</w:t>
      </w:r>
      <w:r>
        <w:rPr>
          <w:rFonts w:ascii="Times New Roman;Times;serif" w:hAnsi="Times New Roman;Times;serif"/>
          <w:sz w:val="20"/>
        </w:rPr>
        <w:t xml:space="preserve"> to be determined at the discretion of the Company’s Board of Directors (the “Board”). On August 11, 2023, the Board approved a 1-for-</w:t>
      </w:r>
      <w:r>
        <w:rPr>
          <w:rFonts w:ascii="Times New Roman;Times;serif" w:hAnsi="Times New Roman;Times;serif"/>
          <w:b w:val="false"/>
          <w:i w:val="false"/>
          <w:caps w:val="false"/>
          <w:smallCaps w:val="false"/>
          <w:sz w:val="20"/>
        </w:rPr>
        <w:t>50</w:t>
      </w:r>
      <w:r>
        <w:rPr>
          <w:rFonts w:ascii="Times New Roman;Times;serif" w:hAnsi="Times New Roman;Times;serif"/>
          <w:sz w:val="20"/>
        </w:rPr>
        <w:t xml:space="preserve"> reverse stock split of the Company’s issued and outstanding Common Stock (the “Reverse Stock Split”). Refer to Note 6 for 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issued and outstanding Common Stock and per share amounts contained in the financial statements have been retroactively adjusted to reflect this Reverse Stock Split for all periods presented. In addition, a proportionate adjustment was made to the per share exercise price and the number of shares issuable upon the exercise of all outstanding stock options, restricted stock units and warrants to purchase shares of Common Stock. In accordance with the terms of the warrant agreement for the Public Warrants described further in Note 6, the exercise price for these warrants was reset to the volume-weighted average price for the five days following the Reverse Stock Split. A proportionate adjustment was also made to the number of shares reserved for issuance pursuant to the Company’s equity incentive compensation plans to reflect the Reverse Stock Split. Any fraction of a share of Common Stock that was created as a result of the Reverse Stock Split was rounded down to the next whole share and stockholders received cash settlement equal to the market value of the fractional share, determined by multiplying such fraction by the closing sales price of the Company’s Common Stock as reported on Nasdaq on the last trading day before the Reverse Stock Split effective date. The authorized shares and par value of the Common Stock and preferred stock were not adjusted as a result of the Reverse Stock Split.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Going Concern Uncertainty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March 31, 2024, the Company had cash, cash equivalents of $3.6 million. For the three months ended March 31, 2024, the Company had an operating loss of $3.4 million, and as of March 31, 2024, its accumulated deficit was $162.5 million. For the three months ended March 31, 2024, the Company had $0.1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about the Company’s ability to continue as a going concern within one year after the date the consolidated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Global Economic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Generally, worldwide economic conditions remain uncertain, particularly due to the conflict between Russia and Ukraine, as well as in the Middle East between Israel and Hamas, disruptions in the banking system and financial markets and increased inflation. The general economic and capital market conditions both in the United States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economic conditions, supply chain constraints, logistics challenges, labor shortages, the effects of conflicts in Ukraine and the Middle East, disruptions in the banking system and financial markets, high levels of inflation and an increase in interest rates have increased costs and have had and may continue to have a negative impact on the Company’s business. Although the Company has taken and may continue to take measures to mitigate these impacts, if these measures are not effective, the Company’s business, financial condition, results of operations, and liquidity could be materially adversely affected.</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color w:val="212529"/>
          <w:sz w:val="20"/>
          <w:shd w:fill="FFFFFF" w:val="clear"/>
        </w:rPr>
      </w:pPr>
      <w:r>
        <w:rPr>
          <w:rFonts w:ascii="Times New Roman;Times;serif" w:hAnsi="Times New Roman;Times;serif"/>
          <w:b/>
          <w:color w:val="212529"/>
          <w:sz w:val="20"/>
          <w:shd w:fill="FFFFFF" w:val="clear"/>
        </w:rPr>
        <w:t>2.    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November 2023, the Financial Accounting Standards Board (“FASB”) issued Accounting Standards Update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2024 Form 10-K and interim periods thereafter. The Company is currently evaluating the ASU to determine its impact on the Company's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The guidance requires expanded annual disclosures including the standardization and disaggregation of income tax rate reconciliation categories and the amount of income taxes paid by jurisdiction. The guidance is effective for the Company’s fiscal 2025 Form 10-K. The Company is currently evaluating the ASU to determine its impact on the Company’s disclosures.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558" w:name="Tc_34pROq_8FUe2PZHoFa9RNQ_8_5"/>
      <w:bookmarkStart w:id="559" w:name="Tc_wNulWykmoECPPjfgWacBUw_8_2"/>
      <w:bookmarkStart w:id="560" w:name="Tc_iOQmJIGIEUG-zRhTKtMqHQ_8_0"/>
      <w:bookmarkStart w:id="561" w:name="Tc_8jk7f5n7NESLZ561xZguyQ_7_0"/>
      <w:bookmarkStart w:id="562" w:name="Tc_36A6fS4IaE62M0I-TPEJEQ_6_0"/>
      <w:bookmarkStart w:id="563" w:name="Tc_DFf3M0--ekuSa0w19IkBZQ_5_0"/>
      <w:bookmarkStart w:id="564" w:name="Tc_hYZIaa6Z9E-EKUIraVfa8g_4_0"/>
      <w:bookmarkStart w:id="565" w:name="Tc_M9qY5ntvT0-kKDCdp2k7rg_3_5"/>
      <w:bookmarkStart w:id="566" w:name="Tc_-O9cJAsGQU2nazHUU4j_5g_3_2"/>
      <w:bookmarkStart w:id="567" w:name="Tc_7qw-K1B_8U68opTt2ETkuA_3_0"/>
      <w:bookmarkStart w:id="568" w:name="Tc_wPeDoGF5b0-EQ_2ubGDJKw_2_5"/>
      <w:bookmarkStart w:id="569" w:name="Tc_ESNI1h_AD0-zMajoTJlkNA_2_2"/>
      <w:bookmarkStart w:id="570" w:name="Tc_RThH8Ir7hkKVyVUe3hB40g_1_5"/>
      <w:bookmarkStart w:id="571" w:name="Tc_1zBA8f_xMECi8QQNheivPA_1_2"/>
      <w:bookmarkStart w:id="572" w:name="_8c1ca188_55b9_478e_abe0_50a99d54dd36"/>
      <w:bookmarkStart w:id="573" w:name="Tc_OdsrtpUEW0aEUKkuTwAkEA_6_5"/>
      <w:bookmarkStart w:id="574" w:name="Tc_5L3l7NfpO0a-KoJ5e6zPwA_6_2"/>
      <w:bookmarkStart w:id="575" w:name="Tc_hNT8X3vr4k6YB4eOJyK-Sw_6_0"/>
      <w:bookmarkStart w:id="576" w:name="Tc_ZX8IZUj8TUiSCgND6pM9xA_5_0"/>
      <w:bookmarkStart w:id="577" w:name="Tc_F8nf-Na5Vk2pTncwGvJBOA_4_0"/>
      <w:bookmarkStart w:id="578" w:name="Tc_vevb7ZqDokSmVW-K_zXkgg_3_5"/>
      <w:bookmarkStart w:id="579" w:name="Tc_J2ftUsCDc0WTjI_PONMIuw_3_2"/>
      <w:bookmarkStart w:id="580" w:name="Tc_TIK4IhavOECBMhxrouDlCw_3_0"/>
      <w:bookmarkStart w:id="581" w:name="Tc_W2asgpOcEkK7PPTqTJRFPA_2_5"/>
      <w:bookmarkStart w:id="582" w:name="Tc_OQfadwrxcEyVnnHRxMggYQ_2_2"/>
      <w:bookmarkStart w:id="583" w:name="Tc_gcZT55wv1EWTrmtiGnNSsg_1_5"/>
      <w:bookmarkStart w:id="584" w:name="Tc_yQATNQLI2UCth3UFG_N1gA_1_2"/>
      <w:bookmarkStart w:id="585" w:name="_985e0c22_2f7b_4544_a34a_5d36ee4bdbef"/>
      <w:bookmarkStart w:id="586" w:name="Tc_JKvNmaRw7k2HC666J9TFjw_8_5"/>
      <w:bookmarkStart w:id="587" w:name="Tc_mRml05L2Kk2cKCsI9ZG8Dw_8_2"/>
      <w:bookmarkStart w:id="588" w:name="Tc_YqKPDJ5bJU-RhjGLuY0KTQ_8_0"/>
      <w:bookmarkStart w:id="589" w:name="Tc_gZb-wSA2kEOCcnzkqSQnJg_7_0"/>
      <w:bookmarkStart w:id="590" w:name="Tc__rjFL8tD40ahxl9IFE4zCQ_6_0"/>
      <w:bookmarkStart w:id="591" w:name="Tc_O0HGLftSZk2fBNvU3cKAYQ_5_0"/>
      <w:bookmarkStart w:id="592" w:name="Tc_lVg9WoaFdk2YJO1FloCjoA_4_0"/>
      <w:bookmarkStart w:id="593" w:name="Tc_tvA-5cXue0G2YZ4deEY2ew_3_5"/>
      <w:bookmarkStart w:id="594" w:name="Tc_wT0Filwt1kyl53JvuB9oYw_3_2"/>
      <w:bookmarkStart w:id="595" w:name="Tc_rqwJyTYbI0CLXXJbP24kwA_3_0"/>
      <w:bookmarkStart w:id="596" w:name="Tc_y5yiCUgd-EKPvv-sNEDe1g_2_5"/>
      <w:bookmarkStart w:id="597" w:name="Tc_LDyDuOEQY0OM1m_JFazFlg_2_2"/>
      <w:bookmarkStart w:id="598" w:name="Tc_nqqMbZn2zk-J70y4dFAceg_1_5"/>
      <w:bookmarkStart w:id="599" w:name="Tc_JDGgc6mBbEaUHxf51wELGg_1_2"/>
      <w:bookmarkStart w:id="600" w:name="_16a8c32a_0ec2_48e7_90f5_6b1164d1c4d4"/>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rPr>
          <w:rFonts w:ascii="Times New Roman;Times;serif" w:hAnsi="Times New Roman;Times;serif"/>
          <w:b/>
          <w:sz w:val="20"/>
        </w:rPr>
        <w:t>3.    SUPPLEMENTAL BALANCE SHEET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selected captions in the unaudited condensed consolidated balance sheets consisted of the following:</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Accounts receivable, net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from product sales are net of allowance for credit losses of less than $1 thousand as of both March 31, 2024 and December 31, 2023.</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Inventory, net (in thousands) </w:t>
      </w:r>
    </w:p>
    <w:tbl>
      <w:tblPr>
        <w:tblW w:w="4268" w:type="dxa"/>
        <w:jc w:val="left"/>
        <w:tblInd w:w="0" w:type="dxa"/>
        <w:tblLayout w:type="fixed"/>
        <w:tblCellMar>
          <w:top w:w="0" w:type="dxa"/>
          <w:left w:w="0" w:type="dxa"/>
          <w:bottom w:w="0" w:type="dxa"/>
          <w:right w:w="0" w:type="dxa"/>
        </w:tblCellMar>
      </w:tblPr>
      <w:tblGrid>
        <w:gridCol w:w="1531"/>
        <w:gridCol w:w="326"/>
        <w:gridCol w:w="299"/>
        <w:gridCol w:w="601"/>
        <w:gridCol w:w="326"/>
        <w:gridCol w:w="338"/>
        <w:gridCol w:w="847"/>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72185" cy="175260"/>
                      <wp:effectExtent l="0" t="0" r="0" b="0"/>
                      <wp:wrapNone/>
                      <wp:docPr id="62" name="Frame62"/>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89865" cy="175260"/>
                      <wp:effectExtent l="0" t="0" r="0" b="0"/>
                      <wp:wrapNone/>
                      <wp:docPr id="64" name="Frame6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81635" cy="175260"/>
                      <wp:effectExtent l="0" t="0" r="0" b="0"/>
                      <wp:wrapNone/>
                      <wp:docPr id="65" name="Frame6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4630" cy="175260"/>
                      <wp:effectExtent l="0" t="0" r="0" b="0"/>
                      <wp:wrapNone/>
                      <wp:docPr id="67" name="Frame67"/>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37845" cy="175260"/>
                      <wp:effectExtent l="0" t="0" r="0" b="0"/>
                      <wp:wrapNone/>
                      <wp:docPr id="68" name="Frame68"/>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gross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Inventory, net </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2024, $0 and $14 thousand of inventory was written off to the inventory reserve.</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Prepaid expenses and other current assets (in thousands)</w:t>
      </w:r>
    </w:p>
    <w:tbl>
      <w:tblPr>
        <w:tblW w:w="6668" w:type="dxa"/>
        <w:jc w:val="left"/>
        <w:tblInd w:w="0" w:type="dxa"/>
        <w:tblLayout w:type="fixed"/>
        <w:tblCellMar>
          <w:top w:w="0" w:type="dxa"/>
          <w:left w:w="0" w:type="dxa"/>
          <w:bottom w:w="0" w:type="dxa"/>
          <w:right w:w="0" w:type="dxa"/>
        </w:tblCellMar>
      </w:tblPr>
      <w:tblGrid>
        <w:gridCol w:w="3931"/>
        <w:gridCol w:w="326"/>
        <w:gridCol w:w="299"/>
        <w:gridCol w:w="601"/>
        <w:gridCol w:w="326"/>
        <w:gridCol w:w="281"/>
        <w:gridCol w:w="90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496185" cy="175260"/>
                      <wp:effectExtent l="0" t="0" r="0" b="0"/>
                      <wp:wrapNone/>
                      <wp:docPr id="69" name="Frame69"/>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9865" cy="175260"/>
                      <wp:effectExtent l="0" t="0" r="0" b="0"/>
                      <wp:wrapNone/>
                      <wp:docPr id="71" name="Frame7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81635" cy="175260"/>
                      <wp:effectExtent l="0" t="0" r="0" b="0"/>
                      <wp:wrapNone/>
                      <wp:docPr id="72" name="Frame7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78435" cy="175260"/>
                      <wp:effectExtent l="0" t="0" r="0" b="0"/>
                      <wp:wrapNone/>
                      <wp:docPr id="74" name="Frame7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74040" cy="175260"/>
                      <wp:effectExtent l="0" t="0" r="0" b="0"/>
                      <wp:wrapNone/>
                      <wp:docPr id="75" name="Frame75"/>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related</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1,162</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Accrued and other current liabilities (in thousands)</w:t>
      </w:r>
    </w:p>
    <w:tbl>
      <w:tblPr>
        <w:tblW w:w="6218" w:type="dxa"/>
        <w:jc w:val="left"/>
        <w:tblInd w:w="0" w:type="dxa"/>
        <w:tblLayout w:type="fixed"/>
        <w:tblCellMar>
          <w:top w:w="0" w:type="dxa"/>
          <w:left w:w="0" w:type="dxa"/>
          <w:bottom w:w="0" w:type="dxa"/>
          <w:right w:w="0" w:type="dxa"/>
        </w:tblCellMar>
      </w:tblPr>
      <w:tblGrid>
        <w:gridCol w:w="3481"/>
        <w:gridCol w:w="326"/>
        <w:gridCol w:w="299"/>
        <w:gridCol w:w="601"/>
        <w:gridCol w:w="326"/>
        <w:gridCol w:w="281"/>
        <w:gridCol w:w="904"/>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210435" cy="175260"/>
                      <wp:effectExtent l="0" t="0" r="0" b="0"/>
                      <wp:wrapNone/>
                      <wp:docPr id="76" name="Frame76"/>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9865" cy="175260"/>
                      <wp:effectExtent l="0" t="0" r="0" b="0"/>
                      <wp:wrapNone/>
                      <wp:docPr id="78" name="Frame7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81635" cy="175260"/>
                      <wp:effectExtent l="0" t="0" r="0" b="0"/>
                      <wp:wrapNone/>
                      <wp:docPr id="79" name="Frame7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78435" cy="175260"/>
                      <wp:effectExtent l="0" t="0" r="0" b="0"/>
                      <wp:wrapNone/>
                      <wp:docPr id="81" name="Frame81"/>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74040" cy="175260"/>
                      <wp:effectExtent l="0" t="0" r="0" b="0"/>
                      <wp:wrapNone/>
                      <wp:docPr id="82" name="Frame82"/>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Employees benefits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 </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Franchise tax</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and other current liabilities</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1,260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Deferred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Distribution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will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Agreement. The initial term of the Exclusivity Agreement expires on December 31, 2027, and is renewable by HTC for one additional five-year term upon sixty days’ written notice 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Deferred revenue as of both March 31, 2024 and December 31, 2023 is comprised of the remaining unamortized amount under these agreements. Revenue recognized is included in Other revenue in the Unaudited Condensed Consolidated Statements of Operations and Comprehensive Loss. </w:t>
      </w:r>
    </w:p>
    <w:p>
      <w:pPr>
        <w:pStyle w:val="TextBody"/>
        <w:bidi w:val="0"/>
        <w:spacing w:before="0" w:after="240"/>
        <w:ind w:left="0" w:right="0" w:hanging="0"/>
        <w:jc w:val="left"/>
        <w:rPr>
          <w:rFonts w:ascii="Times New Roman;Times;serif" w:hAnsi="Times New Roman;Times;serif"/>
          <w:b/>
          <w:sz w:val="20"/>
        </w:rPr>
      </w:pPr>
      <w:bookmarkStart w:id="601" w:name="Tc_6B3M5UtJDU-qc0HfIlhefQ_5_2"/>
      <w:bookmarkStart w:id="602" w:name="Tc_j5xUKfDjFkSwPDhA2k0TTg_5_0"/>
      <w:bookmarkStart w:id="603" w:name="Tc_3LsP7vys9USEvmY9AkvDmg_4_0"/>
      <w:bookmarkStart w:id="604" w:name="Tc_lPaysfmkkUme93TaLdv6mA_3_0"/>
      <w:bookmarkStart w:id="605" w:name="Tc_I-_ZgOhbK0mpHrvP33RL6Q_2_0"/>
      <w:bookmarkStart w:id="606" w:name="Tc_zlcTYcsbe0mogKEJFjKpVA_1_2"/>
      <w:bookmarkStart w:id="607" w:name="Tc_NTDrhqVTtEGgoE7EovkD_Q_1_0"/>
      <w:bookmarkStart w:id="608" w:name="_d53e8574_1144_46bc_ae17_63cb399e07bc"/>
      <w:bookmarkEnd w:id="601"/>
      <w:bookmarkEnd w:id="602"/>
      <w:bookmarkEnd w:id="603"/>
      <w:bookmarkEnd w:id="604"/>
      <w:bookmarkEnd w:id="605"/>
      <w:bookmarkEnd w:id="606"/>
      <w:bookmarkEnd w:id="607"/>
      <w:bookmarkEnd w:id="608"/>
      <w:r>
        <w:rPr>
          <w:rFonts w:ascii="Times New Roman;Times;serif" w:hAnsi="Times New Roman;Times;serif"/>
          <w:b/>
          <w:sz w:val="20"/>
        </w:rPr>
        <w:t>4.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w:t>
      </w:r>
      <w:r>
        <w:rPr>
          <w:rFonts w:ascii="Times New Roman;Times;serif" w:hAnsi="Times New Roman;Times;serif"/>
          <w:b w:val="false"/>
          <w:i w:val="false"/>
          <w:caps w:val="false"/>
          <w:smallCaps w:val="false"/>
          <w:sz w:val="20"/>
        </w:rPr>
        <w:t>an</w:t>
      </w:r>
      <w:r>
        <w:rPr>
          <w:rFonts w:ascii="Times New Roman;Times;serif" w:hAnsi="Times New Roman;Times;serif"/>
          <w:sz w:val="20"/>
        </w:rPr>
        <w:t xml:space="preserve"> operating lease for office space with lease terms expiring in March 2025. The lease does not contain any </w:t>
      </w:r>
      <w:r>
        <w:rPr>
          <w:rFonts w:ascii="Times New Roman;Times;serif" w:hAnsi="Times New Roman;Times;serif"/>
          <w:b w:val="false"/>
          <w:i w:val="false"/>
          <w:caps w:val="false"/>
          <w:smallCaps w:val="false"/>
          <w:sz w:val="20"/>
        </w:rPr>
        <w:t>options to extend</w:t>
      </w:r>
      <w:r>
        <w:rPr>
          <w:rFonts w:ascii="Times New Roman;Times;serif" w:hAnsi="Times New Roman;Times;serif"/>
          <w:sz w:val="20"/>
        </w:rPr>
        <w:t>. Operating lease costs for the three months ended March 31, 2024 and 2023 were $10 thousand and $14 thousand,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as of March 31, 2024 were as follows (in thousands):</w:t>
      </w:r>
    </w:p>
    <w:tbl>
      <w:tblPr>
        <w:tblW w:w="2647" w:type="dxa"/>
        <w:jc w:val="left"/>
        <w:tblInd w:w="0" w:type="dxa"/>
        <w:tblLayout w:type="fixed"/>
        <w:tblCellMar>
          <w:top w:w="0" w:type="dxa"/>
          <w:left w:w="0" w:type="dxa"/>
          <w:bottom w:w="0" w:type="dxa"/>
          <w:right w:w="0" w:type="dxa"/>
        </w:tblCellMar>
      </w:tblPr>
      <w:tblGrid>
        <w:gridCol w:w="1906"/>
        <w:gridCol w:w="109"/>
        <w:gridCol w:w="211"/>
        <w:gridCol w:w="42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10310" cy="175260"/>
                      <wp:effectExtent l="0" t="0" r="0" b="0"/>
                      <wp:wrapNone/>
                      <wp:docPr id="83" name="Frame83"/>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67335" cy="175260"/>
                      <wp:effectExtent l="0" t="0" r="0" b="0"/>
                      <wp:wrapNone/>
                      <wp:docPr id="86" name="Frame8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3 – Unobservable inputs that are not corroborated by market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Unaudited Condensed Consolidated Financial Statements include financial instruments for which the fair market value of such instruments may differ from amounts reflected on a historical cost basis. As of March 31, 2024 and December 31, 2023, financial instruments of the Company consist of cash equivalents, which were comprised of deposits of excess cash in an unrestricted money market savings account and a money market mutual fund. The carrying value of cash equivalents generally approximates fair value due to their short-term 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liability as of March 31, 2024 and December 31, 2023 is comprised of warrants issued in connection with the registered public offering completed in August 2022 (“August 2022 Public Offering”) discussed in more detail in Note 8 to our Consolidated Financial Statements included our 2023 10-K. The derivative liability is classified as Level 3 within the fair value hierarchy and is required to be recorded at fair value on a recurring basis. See Note 6 for further information on the fair value of the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majority of the Company’s non-financial instruments, which include intangible assets, lease assets, inventories and property and equipment, are not required to be carried at fair value on a recurring basis. However, if certain triggering events occur (or at least annually for indefinite-lived intangible assets), a non-financial instrument is required to be evaluated for impairment. If the Company determines that the non-financial instrument is impaired, the Company would be required to write down the non-financial instrument to its fair value.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COMMON STOCK, PREFERRED STOCK AND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At-The-Market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23, 2023, the Company entered into a Sales Agreement (the “Sales Agreement”) with Roth Capital Partners, LLC (“Roth”) to create an at-the-market offering program (“ATM”) under which the Company may offer and sell shares with an aggregate offering price of up to $2.0 million. Roth is entitled to a fixed commission rate equal to up to 3% of the gross proceeds pursuant to the Sales Agreement. As of March 31, 2024, 201,211 shares have been sold under the ATM generating net proceeds of $1.8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Series B Preferred Stock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March 23, 2023, the Board of Directors declared a dividend of one </w:t>
      </w:r>
      <w:r>
        <w:rPr>
          <w:rFonts w:ascii="Times New Roman;Times;serif" w:hAnsi="Times New Roman;Times;serif"/>
          <w:b w:val="false"/>
          <w:i w:val="false"/>
          <w:caps w:val="false"/>
          <w:smallCaps w:val="false"/>
          <w:sz w:val="20"/>
        </w:rPr>
        <w:t>one</w:t>
      </w:r>
      <w:r>
        <w:rPr>
          <w:rFonts w:ascii="Times New Roman;Times;serif" w:hAnsi="Times New Roman;Times;serif"/>
          <w:sz w:val="20"/>
        </w:rPr>
        <w:t>-thousandth of a share of Series B Preferred Stock (“Series B Preferred Stock”) for each outstanding share of Common Stock held of record on April 3, 2023. The value of the Series B Preferred Stock issued in connection with the stock dividend was immaterial.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outstanding shares of Series B Preferred Stock will vote together with the outstanding shares of the Company’s Common Stock, as a single class, exclusively with respect to a proposal giving the Board of Directors the authority, as it determines appropriate, to implement a reverse stock split within twelve months following the approval of such proposal by the Company’s stockholders as well as any proposal to adjourn any meeting of stockholders called for the purpose of voting on the foregoing matters.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share of Series B Preferred Stock entitled the holder to 1,000,000 votes per share and each fraction of a share of Series B Preferred Stock had a ratable number of votes. The holder of Series B Preferred Stock, as such, will not be entitled to receive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the annual meeting of stockholders of the Company held on May 24, 2023, the Company’s stockholders approved an amendment to the Company’s Certificate of Incorporation to effect a reverse stock split of its outstanding Common Stock. All shares of Series B Preferred Stock that did not vote in person or by proxy were redeemed in whole by the Company. Shares of Series B Preferred Stock that did vote in person or by proxy will need to request redemption from the Company at a rate of $0.001 per share in cash. As of March 31, 2024, no shareholders of Series B Preferred Stock have requested such redemption.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Warrants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issued warrants to purchase an aggregate of 720,000 shares of Common Stock (“2022 Warrants”) in connection with the August 2022 Public Offering, as more fully described in Note 8 to our Consolidated Financial Statements included our 2023 10-K. The 2022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Accordingly, the 2022 Warrants are being accounted for as a derivative liability instrument. As a result of the Company’s Reverse Stock Split on August 16, 2023, refer to Note 1, the exercise price on the 2022 Warrants was reset to $6.9135 per share based on the volume-weighted average price for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stock trading days immediately following the Reverse Stock Split.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09" w:name="Tc_diHIxvKHeUapOl7RhllpLg_7_7"/>
      <w:bookmarkStart w:id="610" w:name="Tc_nopnRJaqc0CEXAAVxyhj7Q_7_4"/>
      <w:bookmarkStart w:id="611" w:name="Tc_jcDJw4QxJUW3DuA3zoxNig_7_0"/>
      <w:bookmarkStart w:id="612" w:name="Tc_xdvmNbvoEEye0r8MlXBVpQ_6_7"/>
      <w:bookmarkStart w:id="613" w:name="Tc_AxxUY_1M6k-sGJsARbrC0g_6_4"/>
      <w:bookmarkStart w:id="614" w:name="Tc_fi9Nc-V0nEC0KkyUCa5-sg_6_0"/>
      <w:bookmarkStart w:id="615" w:name="Tc_5ma7tkD960Wr3yEswRXzeQ_5_7"/>
      <w:bookmarkStart w:id="616" w:name="Tc_z55YeEa6jU2u8YhF3glC9A_5_4"/>
      <w:bookmarkStart w:id="617" w:name="Tc_pzkKlAakiEmg05kByDpfEA_5_0"/>
      <w:bookmarkStart w:id="618" w:name="Tc_TSDdFz89zkSYCRRsvqd2-Q_4_0"/>
      <w:bookmarkStart w:id="619" w:name="Tc_bQDgSad7p0W0jKU9PDwg5g_3_5"/>
      <w:bookmarkStart w:id="620" w:name="Tc_jlVboilIMUmPq9Nf19YSPg_3_2"/>
      <w:bookmarkStart w:id="621" w:name="Tc_OyYPsmkUjUSIu2mYwQTNbw_3_0"/>
      <w:bookmarkStart w:id="622" w:name="Tc_k2lGVxciI0-_MbTSB61vUA_2_5"/>
      <w:bookmarkStart w:id="623" w:name="Tc_lmm6XSb7Z0CpjMEVvGDgUA_2_2"/>
      <w:bookmarkStart w:id="624" w:name="Tc_OA8TMIXIl0qXBglBTSez-g_1_5"/>
      <w:bookmarkStart w:id="625" w:name="Tc_nXykjSdJ60CuzffYdlhG4A_1_2"/>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Fonts w:ascii="Times New Roman;Times;serif" w:hAnsi="Times New Roman;Times;serif"/>
          <w:sz w:val="20"/>
        </w:rPr>
        <w:t xml:space="preserve">The fair value of the 2022 Warrants as of March 31, 2024 and December 31, 2023 was determined using both a Monte Carlo simulation model, which uses multiple input variables to determine the probability of the occurrence of a price reset or a fundamental transaction and the Black-Scholes option pricing model. The following table includes the share price and the inputs used to estimate the fair value of the warrants: </w:t>
      </w:r>
    </w:p>
    <w:p>
      <w:pPr>
        <w:pStyle w:val="TextBody"/>
        <w:bidi w:val="0"/>
        <w:spacing w:before="0" w:after="0"/>
        <w:ind w:left="0" w:right="0" w:hanging="0"/>
        <w:jc w:val="left"/>
        <w:rPr/>
      </w:pPr>
      <w:r>
        <w:rPr/>
        <w:t>​</w:t>
      </w:r>
    </w:p>
    <w:tbl>
      <w:tblPr>
        <w:tblW w:w="4919" w:type="dxa"/>
        <w:jc w:val="left"/>
        <w:tblInd w:w="0" w:type="dxa"/>
        <w:tblLayout w:type="fixed"/>
        <w:tblCellMar>
          <w:top w:w="0" w:type="dxa"/>
          <w:left w:w="0" w:type="dxa"/>
          <w:bottom w:w="0" w:type="dxa"/>
          <w:right w:w="0" w:type="dxa"/>
        </w:tblCellMar>
      </w:tblPr>
      <w:tblGrid>
        <w:gridCol w:w="1966"/>
        <w:gridCol w:w="326"/>
        <w:gridCol w:w="242"/>
        <w:gridCol w:w="658"/>
        <w:gridCol w:w="271"/>
        <w:gridCol w:w="307"/>
        <w:gridCol w:w="833"/>
        <w:gridCol w:w="31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8410" cy="175260"/>
                      <wp:effectExtent l="0" t="0" r="0" b="0"/>
                      <wp:wrapNone/>
                      <wp:docPr id="87" name="Frame87"/>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3670" cy="175260"/>
                      <wp:effectExtent l="0" t="0" r="0" b="0"/>
                      <wp:wrapNone/>
                      <wp:docPr id="89" name="Frame8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17830" cy="175260"/>
                      <wp:effectExtent l="0" t="0" r="0" b="0"/>
                      <wp:wrapNone/>
                      <wp:docPr id="90" name="Frame90"/>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72085" cy="175260"/>
                      <wp:effectExtent l="0" t="0" r="0" b="0"/>
                      <wp:wrapNone/>
                      <wp:docPr id="91" name="Frame9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94945" cy="175260"/>
                      <wp:effectExtent l="0" t="0" r="0" b="0"/>
                      <wp:wrapNone/>
                      <wp:docPr id="92" name="Frame9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28955" cy="175260"/>
                      <wp:effectExtent l="0" t="0" r="0" b="0"/>
                      <wp:wrapNone/>
                      <wp:docPr id="93" name="Frame9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0660" cy="175260"/>
                      <wp:effectExtent l="0" t="0" r="0" b="0"/>
                      <wp:wrapNone/>
                      <wp:docPr id="94" name="Frame9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271"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1"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 </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 price </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271"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term (in years)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w:t>
            </w:r>
          </w:p>
        </w:tc>
        <w:tc>
          <w:tcPr>
            <w:tcW w:w="271"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82.10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rate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fair value of the derivative liability associated with the 2022 Warrants as of March 31, 2024 and December 31, 2023 was $2.1</w:t>
      </w:r>
      <w:r>
        <w:rPr>
          <w:rFonts w:ascii="Times New Roman;Times;serif" w:hAnsi="Times New Roman;Times;serif"/>
          <w:color w:val="FF0000"/>
          <w:sz w:val="20"/>
        </w:rPr>
        <w:t xml:space="preserve"> </w:t>
      </w:r>
      <w:r>
        <w:rPr>
          <w:rFonts w:ascii="Times New Roman;Times;serif" w:hAnsi="Times New Roman;Times;serif"/>
          <w:sz w:val="20"/>
        </w:rPr>
        <w:t xml:space="preserve">million and $3.3 million, respectively. The change in the fair value of the derivative liability was recognized as a component of nonoperating income (expense) in the Company’s Unaudited Condensed Consolidated Statements of Operations and Comprehensive Loss. 2022 Warrants were exercised to purchase of 23,400 shares of Common Stock at $6.9135 per share for $162 thousand in net proceeds and no 2022 Warrants were cancelled during the three months ended March 31, 2024. The portion of the derivative liability relating to the exercised warrants of $101 thousand was reclassified into stockholders’ equity based on the fair value on the date of reclassification. The remaining outstanding 2022 Warrants to purchase 603,690 shares of Common Stock are classified as a derivative liability as of March 31, 2024, are exercisable upon issuance and will expire five years following the date of issuance.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On May 9, 2024, in connection with the 2024 Public Offering (as defined below), the exercise price of the 2022 Warrants was repriced again. Refer to Note 11 for 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outstanding equity-classified warrants to purchase 9,969 shares of Common Stock at a weighted average exercise price of $819.77, with expiration dates ranging from October 2023 to February 2026. During the three months ended March 31, 2024, no equity-classified warrants were </w:t>
      </w:r>
      <w:r>
        <w:rPr>
          <w:rFonts w:ascii="Times New Roman;Times;serif" w:hAnsi="Times New Roman;Times;serif"/>
          <w:b w:val="false"/>
          <w:i w:val="false"/>
          <w:caps w:val="false"/>
          <w:smallCaps w:val="false"/>
          <w:sz w:val="20"/>
        </w:rPr>
        <w:t>exercised</w:t>
      </w:r>
      <w:r>
        <w:rPr>
          <w:rFonts w:ascii="Times New Roman;Times;serif" w:hAnsi="Times New Roman;Times;serif"/>
          <w:sz w:val="20"/>
        </w:rPr>
        <w:t xml:space="preserve"> or cancelled.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The Company may issue stock-based compensation awards under the Helius Medical Technologies, Inc. 2022 Equity Incentive Plan (“2022 Plan”) or the Helius Medical Technologies, Inc. 2021 Inducement Plan (as amended, the “Inducement Plan”), as described more fully in the 2023 10-K. On January 1, 2023, pursuant to the automatic increase provision of the 2022 Plan, the number of shares authorized for issuance increased from 264,319</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319,941. As of March 31, 2024, the remaining shares available for grant were 74,643</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2022 Plan and 9,240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March 31, 2024, the Company did not grant </w:t>
      </w:r>
      <w:r>
        <w:rPr>
          <w:rFonts w:ascii="Times New Roman;Times;serif" w:hAnsi="Times New Roman;Times;serif"/>
          <w:b w:val="false"/>
          <w:i w:val="false"/>
          <w:caps w:val="false"/>
          <w:smallCaps w:val="false"/>
          <w:sz w:val="20"/>
        </w:rPr>
        <w:t>any</w:t>
      </w:r>
      <w:r>
        <w:rPr>
          <w:rFonts w:ascii="Times New Roman;Times;serif" w:hAnsi="Times New Roman;Times;serif"/>
          <w:sz w:val="20"/>
        </w:rPr>
        <w:t xml:space="preserve"> stock options or </w:t>
      </w:r>
      <w:r>
        <w:rPr>
          <w:rFonts w:ascii="Times New Roman;Times;serif" w:hAnsi="Times New Roman;Times;serif"/>
          <w:b w:val="false"/>
          <w:i w:val="false"/>
          <w:caps w:val="false"/>
          <w:smallCaps w:val="false"/>
          <w:sz w:val="20"/>
        </w:rPr>
        <w:t>restricted stock</w:t>
      </w:r>
      <w:r>
        <w:rPr>
          <w:rFonts w:ascii="Times New Roman;Times;serif" w:hAnsi="Times New Roman;Times;serif"/>
          <w:sz w:val="20"/>
        </w:rPr>
        <w:t xml:space="preserve"> units out of the </w:t>
      </w:r>
      <w:r>
        <w:rPr>
          <w:rFonts w:ascii="Times New Roman;Times;serif" w:hAnsi="Times New Roman;Times;serif"/>
          <w:b w:val="false"/>
          <w:i w:val="false"/>
          <w:caps w:val="false"/>
          <w:smallCaps w:val="false"/>
          <w:sz w:val="20"/>
        </w:rPr>
        <w:t>2022 Plan</w:t>
      </w:r>
      <w:r>
        <w:rPr>
          <w:rFonts w:ascii="Times New Roman;Times;serif" w:hAnsi="Times New Roman;Times;serif"/>
          <w:sz w:val="20"/>
        </w:rPr>
        <w:t xml:space="preserve"> or the Inducement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2024, there were an aggregate of 245,830 stock options outstanding with a weighted average exercise price of $76.28 per share and 572 unvested restricted stock units outstanding with a weighted average grant date fair value of $7.81 per share.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26" w:name="Tc_D6d-iSOKek6UwkJrAftUGA_7_5"/>
      <w:bookmarkStart w:id="627" w:name="Tc_3Y1JSOQd4kStU2xby3PZaA_7_2"/>
      <w:bookmarkStart w:id="628" w:name="Tc_hdVQsiHbZkSbUyXx4Lx-Zw_7_0"/>
      <w:bookmarkStart w:id="629" w:name="Tc_5hSd4R9Wb0ekj5DRA0d_sg_6_0"/>
      <w:bookmarkStart w:id="630" w:name="Tc_ISKejArVR02lixuqGpYE4g_5_0"/>
      <w:bookmarkStart w:id="631" w:name="Tc_IjTA2wDmqESk_UStuD6AJg_4_5"/>
      <w:bookmarkStart w:id="632" w:name="Tc_lw7IN9iMjEKPF0eI8iwpDg_4_2"/>
      <w:bookmarkStart w:id="633" w:name="Tc_cr5r_GUyCkaFvNgFF5RaRA_4_0"/>
      <w:bookmarkStart w:id="634" w:name="Tc_ZPbrO5IOlEuzj7sjAahFNQ_3_5"/>
      <w:bookmarkStart w:id="635" w:name="Tc_wCN98AM2aUyhVCtGUhBEVw_3_2"/>
      <w:bookmarkStart w:id="636" w:name="Tc_Wmga3g9w_kqnrYT6KB7QiQ_2_2"/>
      <w:bookmarkStart w:id="637" w:name="Tc_d5zHnOW-SEi8bz_flnfhnA_1_2"/>
      <w:bookmarkStart w:id="638" w:name="_6635c0de_4af1_4cc2_a57c_514be6c3ed22"/>
      <w:bookmarkEnd w:id="626"/>
      <w:bookmarkEnd w:id="627"/>
      <w:bookmarkEnd w:id="628"/>
      <w:bookmarkEnd w:id="629"/>
      <w:bookmarkEnd w:id="630"/>
      <w:bookmarkEnd w:id="631"/>
      <w:bookmarkEnd w:id="632"/>
      <w:bookmarkEnd w:id="633"/>
      <w:bookmarkEnd w:id="634"/>
      <w:bookmarkEnd w:id="635"/>
      <w:bookmarkEnd w:id="636"/>
      <w:bookmarkEnd w:id="637"/>
      <w:bookmarkEnd w:id="638"/>
      <w:r>
        <w:rPr>
          <w:rFonts w:ascii="Times New Roman;Times;serif" w:hAnsi="Times New Roman;Times;serif"/>
          <w:sz w:val="20"/>
        </w:rPr>
        <w:t>Total stock-based compensation expense was as follows (in thousands):</w:t>
      </w:r>
    </w:p>
    <w:tbl>
      <w:tblPr>
        <w:tblW w:w="5255" w:type="dxa"/>
        <w:jc w:val="left"/>
        <w:tblInd w:w="0" w:type="dxa"/>
        <w:tblLayout w:type="fixed"/>
        <w:tblCellMar>
          <w:top w:w="0" w:type="dxa"/>
          <w:left w:w="0" w:type="dxa"/>
          <w:bottom w:w="0" w:type="dxa"/>
          <w:right w:w="0" w:type="dxa"/>
        </w:tblCellMar>
      </w:tblPr>
      <w:tblGrid>
        <w:gridCol w:w="3451"/>
        <w:gridCol w:w="109"/>
        <w:gridCol w:w="242"/>
        <w:gridCol w:w="483"/>
        <w:gridCol w:w="125"/>
        <w:gridCol w:w="242"/>
        <w:gridCol w:w="60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1385" cy="175260"/>
                      <wp:effectExtent l="0" t="0" r="0" b="0"/>
                      <wp:wrapNone/>
                      <wp:docPr id="95" name="Frame95"/>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53670" cy="175260"/>
                      <wp:effectExtent l="0" t="0" r="0" b="0"/>
                      <wp:wrapNone/>
                      <wp:docPr id="97" name="Frame9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06705" cy="175260"/>
                      <wp:effectExtent l="0" t="0" r="0" b="0"/>
                      <wp:wrapNone/>
                      <wp:docPr id="98" name="Frame98"/>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9375" cy="175260"/>
                      <wp:effectExtent l="0" t="0" r="0" b="0"/>
                      <wp:wrapNone/>
                      <wp:docPr id="99" name="Frame99"/>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53670" cy="175260"/>
                      <wp:effectExtent l="0" t="0" r="0" b="0"/>
                      <wp:wrapNone/>
                      <wp:docPr id="100" name="Frame10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82905" cy="175260"/>
                      <wp:effectExtent l="0" t="0" r="0" b="0"/>
                      <wp:wrapNone/>
                      <wp:docPr id="101" name="Frame101"/>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5"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125"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405</w:t>
            </w:r>
          </w:p>
        </w:tc>
      </w:tr>
    </w:tbl>
    <w:p>
      <w:pPr>
        <w:pStyle w:val="TextBody"/>
        <w:bidi w:val="0"/>
        <w:spacing w:before="0" w:after="0"/>
        <w:ind w:left="0" w:right="0" w:hanging="0"/>
        <w:jc w:val="left"/>
        <w:rPr/>
      </w:pPr>
      <w:r>
        <w:rPr/>
        <w: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As of March 31, 2024, the total remaining unrecognized compensation expense related to nonvested stock options and restricted stock units was $2.1 million which will be amortized over the weighted-average remaining requisite service period of 0.9 years.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639" w:name="Tc_ke_xMgimfEKh6_82b7wPqw_6_0"/>
      <w:bookmarkStart w:id="640" w:name="Tc_0lS-Ivwv1kK6sKjWUbrZQQ_5_0"/>
      <w:bookmarkStart w:id="641" w:name="Tc_-ZI9BUwGH0C5CZoIDA8xlg_4_0"/>
      <w:bookmarkStart w:id="642" w:name="Tc_DM9rZBQfY0erpDmLKuR71w_3_4"/>
      <w:bookmarkStart w:id="643" w:name="Tc_69YjcYe6mEycdssWk4M3Sg_3_2"/>
      <w:bookmarkStart w:id="644" w:name="Tc_ilHvKC4qSEyclkCy5hX3VA_2_2"/>
      <w:bookmarkStart w:id="645" w:name="Tc_zBpvjf0Gs0Whdj_j1VEC5Q_1_2"/>
      <w:bookmarkStart w:id="646" w:name="Tc_F-znAnk2Q06W-p6NvPVzuQ_12_5"/>
      <w:bookmarkStart w:id="647" w:name="Tc_Mu6mFQZeE02o-WecG7ZVfQ_12_2"/>
      <w:bookmarkStart w:id="648" w:name="Tc_HMwWi8PRLkGK8qixpv0TZw_12_0"/>
      <w:bookmarkStart w:id="649" w:name="Tc_S_vPCEB130mxomf1r4063A_11_0"/>
      <w:bookmarkStart w:id="650" w:name="Tc_47Z2mce8DE21lk1t7c4Y3w_10_5"/>
      <w:bookmarkStart w:id="651" w:name="Tc_xv5BrTGeCEuJY66SUuJUsw_10_2"/>
      <w:bookmarkStart w:id="652" w:name="Tc_A3iFhsnqSE2GuT_h4AmaSg_10_0"/>
      <w:bookmarkStart w:id="653" w:name="Tc_sv67WXNlbEWSZJc6Om-xgg_9_0"/>
      <w:bookmarkStart w:id="654" w:name="Tc_cr6Q7FLDAUCa1Yh8-9Yd8Q_7_5"/>
      <w:bookmarkStart w:id="655" w:name="Tc_NlcfYiBkuUif4HNEWL4NIA_7_2"/>
      <w:bookmarkStart w:id="656" w:name="Tc_9mLSzLco7Ee2XlujBowZYQ_7_0"/>
      <w:bookmarkStart w:id="657" w:name="Tc_cnet9_Dp30CqQ6a0FATuvA_6_0"/>
      <w:bookmarkStart w:id="658" w:name="Tc_aAIW2QU3ZUCTgdXNk_FbHA_5_5"/>
      <w:bookmarkStart w:id="659" w:name="Tc_DSEPuNj8OE2L2zQkditbpA_5_2"/>
      <w:bookmarkStart w:id="660" w:name="Tc_EnEfD2BQ2kadcLzV7hyMdw_5_0"/>
      <w:bookmarkStart w:id="661" w:name="Tc_8aTuyNfq6UGjsajHHngnAQ_4_0"/>
      <w:bookmarkStart w:id="662" w:name="Tc_K1FSy2IvL0yvhSWcRcpOrg_3_5"/>
      <w:bookmarkStart w:id="663" w:name="Tc_UzwTvMYWrEasMJ7mTQoeLw_3_2"/>
      <w:bookmarkStart w:id="664" w:name="Tc_cXpfzsSUhUKKaaeW-KmxWA_2_2"/>
      <w:bookmarkStart w:id="665" w:name="Tc_xtk1wqJD50GWNALIm6z9eA_1_2"/>
      <w:bookmarkStart w:id="666" w:name="_b799a3e0_3906_4dd0_b2eb_407424773b43"/>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Pr>
          <w:rFonts w:ascii="Times New Roman;Times;serif" w:hAnsi="Times New Roman;Times;serif"/>
          <w:b/>
          <w:sz w:val="20"/>
        </w:rPr>
        <w:t>8.    BASIC AND DILUTED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table below presents the computation of basic and diluted loss per share (in thousands, except share and per share information): </w:t>
      </w:r>
    </w:p>
    <w:tbl>
      <w:tblPr>
        <w:tblW w:w="7370" w:type="dxa"/>
        <w:jc w:val="left"/>
        <w:tblInd w:w="0" w:type="dxa"/>
        <w:tblLayout w:type="fixed"/>
        <w:tblCellMar>
          <w:top w:w="0" w:type="dxa"/>
          <w:left w:w="0" w:type="dxa"/>
          <w:bottom w:w="0" w:type="dxa"/>
          <w:right w:w="0" w:type="dxa"/>
        </w:tblCellMar>
      </w:tblPr>
      <w:tblGrid>
        <w:gridCol w:w="4966"/>
        <w:gridCol w:w="109"/>
        <w:gridCol w:w="211"/>
        <w:gridCol w:w="781"/>
        <w:gridCol w:w="266"/>
        <w:gridCol w:w="211"/>
        <w:gridCol w:w="826"/>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153410" cy="175260"/>
                      <wp:effectExtent l="0" t="0" r="0" b="0"/>
                      <wp:wrapNone/>
                      <wp:docPr id="102" name="Frame102"/>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8910" cy="175260"/>
                      <wp:effectExtent l="0" t="0" r="0" b="0"/>
                      <wp:wrapNone/>
                      <wp:docPr id="106" name="Frame10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24510" cy="175260"/>
                      <wp:effectExtent l="0" t="0" r="0" b="0"/>
                      <wp:wrapNone/>
                      <wp:docPr id="108" name="Frame10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 — 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817,327</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564,134</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 basic</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26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496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 xml:space="preserve">Net loss available to common stockholders — diluted </w:t>
            </w:r>
            <w:r>
              <w:rPr>
                <w:rFonts w:ascii="Times New Roman;Times;serif" w:hAnsi="Times New Roman;Times;serif"/>
                <w:sz w:val="12"/>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(2,494)</w:t>
            </w:r>
          </w:p>
        </w:tc>
      </w:tr>
      <w:tr>
        <w:trPr/>
        <w:tc>
          <w:tcPr>
            <w:tcW w:w="4966"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 xml:space="preserve">Weighted average common shares outstanding — diluted </w:t>
            </w:r>
            <w:r>
              <w:rPr>
                <w:rFonts w:ascii="Times New Roman;Times;serif" w:hAnsi="Times New Roman;Times;serif"/>
                <w:sz w:val="12"/>
              </w:rPr>
              <w:t>(1)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817,327</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564,134</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 diluted</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26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24"/>
        <w:gridCol w:w="98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and March 31, 2023, no adjustment was made to the numerator and no incremental shares were added to the denominator for the Public Warrants being accounted for as a derivative liability, as the Public Warrants were out-of-the-money during the periods. Refer to Note 6 for additional information about the Public Warrants.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pStyle w:val="TextBody"/>
        <w:bidi w:val="0"/>
        <w:spacing w:before="0" w:after="0"/>
        <w:ind w:left="0" w:right="0" w:hanging="0"/>
        <w:jc w:val="left"/>
        <w:rPr/>
      </w:pPr>
      <w:r>
        <w:rPr/>
        <w:t>​</w:t>
      </w:r>
    </w:p>
    <w:tbl>
      <w:tblPr>
        <w:tblW w:w="3963" w:type="dxa"/>
        <w:jc w:val="left"/>
        <w:tblInd w:w="0" w:type="dxa"/>
        <w:tblLayout w:type="fixed"/>
        <w:tblCellMar>
          <w:top w:w="0" w:type="dxa"/>
          <w:left w:w="0" w:type="dxa"/>
          <w:bottom w:w="0" w:type="dxa"/>
          <w:right w:w="0" w:type="dxa"/>
        </w:tblCellMar>
      </w:tblPr>
      <w:tblGrid>
        <w:gridCol w:w="1921"/>
        <w:gridCol w:w="109"/>
        <w:gridCol w:w="781"/>
        <w:gridCol w:w="266"/>
        <w:gridCol w:w="88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19835" cy="175260"/>
                      <wp:effectExtent l="0" t="0" r="0" b="0"/>
                      <wp:wrapNone/>
                      <wp:docPr id="109" name="Frame109"/>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95935" cy="175260"/>
                      <wp:effectExtent l="0" t="0" r="0" b="0"/>
                      <wp:wrapNone/>
                      <wp:docPr id="111" name="Frame1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8910" cy="175260"/>
                      <wp:effectExtent l="0" t="0" r="0" b="0"/>
                      <wp:wrapNone/>
                      <wp:docPr id="112" name="Frame11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62610" cy="175260"/>
                      <wp:effectExtent l="0" t="0" r="0" b="0"/>
                      <wp:wrapNone/>
                      <wp:docPr id="113" name="Frame11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93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19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6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245,830</w:t>
            </w:r>
          </w:p>
        </w:tc>
        <w:tc>
          <w:tcPr>
            <w:tcW w:w="26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222,424</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26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613,659</w:t>
            </w:r>
          </w:p>
        </w:tc>
        <w:tc>
          <w:tcPr>
            <w:tcW w:w="26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731,853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The Company is obligated under a license agreement with Advanced NeuroRehabilitation, LLC to pay a 4%</w:t>
      </w:r>
      <w:r>
        <w:rPr>
          <w:rFonts w:ascii="Times New Roman;Times;serif" w:hAnsi="Times New Roman;Times;serif"/>
          <w:b/>
          <w:sz w:val="20"/>
        </w:rPr>
        <w:t xml:space="preserve"> </w:t>
      </w:r>
      <w:r>
        <w:rPr>
          <w:rFonts w:ascii="Times New Roman;Times;serif" w:hAnsi="Times New Roman;Times;serif"/>
          <w:b w:val="false"/>
          <w:sz w:val="20"/>
        </w:rPr>
        <w:t>royalty on net revenue collected from the sale of devices covered by the patent-pending technology. During the three months ended March 31, 2024 and 2023, the Company recorded royalty expense from the sale of devices of approximately $5</w:t>
      </w:r>
      <w:r>
        <w:rPr>
          <w:rFonts w:ascii="Times New Roman;Times;serif" w:hAnsi="Times New Roman;Times;serif"/>
          <w:b/>
          <w:sz w:val="20"/>
        </w:rPr>
        <w:t xml:space="preserve"> </w:t>
      </w:r>
      <w:r>
        <w:rPr>
          <w:rFonts w:ascii="Times New Roman;Times;serif" w:hAnsi="Times New Roman;Times;serif"/>
          <w:b w:val="false"/>
          <w:sz w:val="20"/>
        </w:rPr>
        <w:t>thousand and $4</w:t>
      </w:r>
      <w:r>
        <w:rPr>
          <w:rFonts w:ascii="Times New Roman;Times;serif" w:hAnsi="Times New Roman;Times;serif"/>
          <w:b/>
          <w:sz w:val="20"/>
        </w:rPr>
        <w:t xml:space="preserve"> </w:t>
      </w:r>
      <w:r>
        <w:rPr>
          <w:rFonts w:ascii="Times New Roman;Times;serif" w:hAnsi="Times New Roman;Times;serif"/>
          <w:b w:val="false"/>
          <w:sz w:val="20"/>
        </w:rPr>
        <w:t>thousand, respectively, in its Unaudited Condensed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67" w:name="Tc_NpRrjypmk02lz_XyZrJqaw_9_5"/>
      <w:bookmarkStart w:id="668" w:name="Tc_-6WvUFUTREC_cDxrlBb05g_9_2"/>
      <w:bookmarkStart w:id="669" w:name="Tc_xyGlQBIUT0KtGhuc6juwow_9_0"/>
      <w:bookmarkStart w:id="670" w:name="Tc_-NI1pHocVk-gx8CtBnpcsw_8_0"/>
      <w:bookmarkStart w:id="671" w:name="Tc_zEF4LGtAtU-m-PL5YXvnwA_7_0"/>
      <w:bookmarkStart w:id="672" w:name="Tc_beX0h3Z5tUeuIl0VabjmXg_6_0"/>
      <w:bookmarkStart w:id="673" w:name="Tc_lZnf01OJYEuhpIgbux_uRw_5_5"/>
      <w:bookmarkStart w:id="674" w:name="Tc_PongIDc5iUWL_AijrA3dsA_5_2"/>
      <w:bookmarkStart w:id="675" w:name="Tc_mLnzEl0ZK0Gsvn7_1lSrmQ_5_0"/>
      <w:bookmarkStart w:id="676" w:name="Tc_dr7jLWrEk0iXm6R9us2Luw_4_0"/>
      <w:bookmarkStart w:id="677" w:name="Tc_BQc1uYJzdE-BDj5npDdqdQ_3_5"/>
      <w:bookmarkStart w:id="678" w:name="Tc_my1xaM9DR0KA8HO1G3ElBA_3_2"/>
      <w:bookmarkStart w:id="679" w:name="Tc_BEsTPiq0fUu7iGnIzwPihg_2_2"/>
      <w:bookmarkStart w:id="680" w:name="Tc_UTX6DamDokG1U_lJDic-eA_1_2"/>
      <w:bookmarkStart w:id="681" w:name="_7843c5a3_07f1_45d6_a9ba_1e663d345a2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r>
        <w:rPr>
          <w:rFonts w:ascii="Times New Roman;Times;serif" w:hAnsi="Times New Roman;Times;serif"/>
          <w:b/>
          <w:sz w:val="20"/>
        </w:rPr>
        <w:t>10.    ENTERPRISE-WIDE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related to the sale of PoNS devices directly to patients in the United States and to clinics in Canada.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revenue disaggregated by geographic area (in thousands):</w:t>
      </w:r>
    </w:p>
    <w:tbl>
      <w:tblPr>
        <w:tblW w:w="4032" w:type="dxa"/>
        <w:jc w:val="left"/>
        <w:tblInd w:w="0" w:type="dxa"/>
        <w:tblLayout w:type="fixed"/>
        <w:tblCellMar>
          <w:top w:w="0" w:type="dxa"/>
          <w:left w:w="0" w:type="dxa"/>
          <w:bottom w:w="0" w:type="dxa"/>
          <w:right w:w="0" w:type="dxa"/>
        </w:tblCellMar>
      </w:tblPr>
      <w:tblGrid>
        <w:gridCol w:w="2011"/>
        <w:gridCol w:w="326"/>
        <w:gridCol w:w="242"/>
        <w:gridCol w:w="483"/>
        <w:gridCol w:w="125"/>
        <w:gridCol w:w="242"/>
        <w:gridCol w:w="603"/>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276985" cy="175260"/>
                      <wp:effectExtent l="0" t="0" r="0" b="0"/>
                      <wp:wrapNone/>
                      <wp:docPr id="114" name="Frame114"/>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3670" cy="175260"/>
                      <wp:effectExtent l="0" t="0" r="0" b="0"/>
                      <wp:wrapNone/>
                      <wp:docPr id="116" name="Frame11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06705" cy="175260"/>
                      <wp:effectExtent l="0" t="0" r="0" b="0"/>
                      <wp:wrapNone/>
                      <wp:docPr id="117" name="Frame117"/>
                      <a:graphic xmlns:a="http://schemas.openxmlformats.org/drawingml/2006/main">
                        <a:graphicData uri="http://schemas.microsoft.com/office/word/2010/wordprocessingShape">
                          <wps:wsp>
                            <wps:cNvSpPr txBox="1"/>
                            <wps:spPr>
                              <a:xfrm>
                                <a:off x="0" y="0"/>
                                <a:ext cx="306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79375" cy="175260"/>
                      <wp:effectExtent l="0" t="0" r="0" b="0"/>
                      <wp:wrapNone/>
                      <wp:docPr id="118" name="Frame118"/>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3670" cy="175260"/>
                      <wp:effectExtent l="0" t="0" r="0" b="0"/>
                      <wp:wrapNone/>
                      <wp:docPr id="119" name="Frame11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82905" cy="175260"/>
                      <wp:effectExtent l="0" t="0" r="0" b="0"/>
                      <wp:wrapNone/>
                      <wp:docPr id="120" name="Frame120"/>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5" w:type="dxa"/>
            <w:tcBorders/>
            <w:vAlign w:val="center"/>
          </w:tcPr>
          <w:p>
            <w:pPr>
              <w:pStyle w:val="TableContents"/>
              <w:bidi w:val="0"/>
              <w:spacing w:before="0" w:after="1"/>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483" w:type="dxa"/>
            <w:tcBorders/>
            <w:shd w:fill="CCEEFF" w:val="clear"/>
            <w:vAlign w:val="center"/>
          </w:tcPr>
          <w:p>
            <w:pPr>
              <w:pStyle w:val="TableContents"/>
              <w:bidi w:val="0"/>
              <w:spacing w:before="0" w:after="1"/>
              <w:ind w:left="0" w:right="0" w:hanging="0"/>
              <w:jc w:val="right"/>
              <w:rPr/>
            </w:pPr>
            <w:r>
              <w:rPr/>
              <w:t>​</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03" w:type="dxa"/>
            <w:tcBorders/>
            <w:shd w:fill="CCEEFF" w:val="clear"/>
            <w:vAlign w:val="center"/>
          </w:tcPr>
          <w:p>
            <w:pPr>
              <w:pStyle w:val="TableContents"/>
              <w:bidi w:val="0"/>
              <w:spacing w:before="0" w:after="1"/>
              <w:ind w:left="0" w:right="0" w:hanging="0"/>
              <w:jc w:val="right"/>
              <w:rPr/>
            </w:pPr>
            <w:r>
              <w:rPr/>
              <w:t>​</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4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125"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111</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Two customers accounted for 94% of net product sales for the three months ended March 31, 2024 and a single customer accounted for 14% of net product sales for the three months ended March 31, 2023. Two customers accounted for 94% of accounts receivable, net as of March 31, 2024 and a single customer accounted for 68% of accounts receivable, net as of March 31, 2023.</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9, 2024, the Company closed on a registered public offering consisting of 704,999 shares of Common Stock (the “2024 Public Offering”), pre-funded warrants to purchase 2,147,222 shares of Common Stock (the “Pre-funded Warrants”) and accompanying Series A Warrants to purchase up to 2,852,221 shares of its Common Stock (“Series A Warrants”) and Series B Warrants to purchase up to 2,852,221 shares of its Common Stock (“Series B Warrants”, and together with the Series A Warrants, the “2024 Public Warrants”). The 2024 Public Offering price per share of Common Stock and accompanying Series A Warrants and Series B Warrants was $2.25, the public offering price per Pre-funded Warrant and accompanying Series A and Series B warrant was $2.249. The Pre-funded Warrants have an exercise price of $0.001 per share and 1,076,445 were exercised on the closing date. Net proceeds from the 2024 Public Offering, after deducting placement agent fees and expenses and other offering costs, were approximately $5.6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2024 Public Warrants have an exercise price of $2.25 per share, are exercisable upon issuance, and the Series A Warrants will expire five years following the date of issuance and the Series B Warrants will expire twelve months following the date of issuance. The Pre-funded Warrants are exercisable upon issuance and may be exercised at any time until the Pre-funded Warrants are exercised in full.</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As a result of the 2024 Public Offering, the exercise price of the 2022 Warrants will be repriced per the terms of the warrant agreement.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2" w:name="ITEM2MANAGEMENTSDISCUSSIONANDANALYSISOFF"/>
      <w:bookmarkStart w:id="683" w:name="_a737a96b_ee10_4a38_b079_4b2923b86940"/>
      <w:bookmarkEnd w:id="682"/>
      <w:bookmarkEnd w:id="68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specified or the context otherwise requires, references to “we,” “us,” “our,” “Helius” or “Company” mean Helius Medical Technologies, Inc. and its wholly owned operating subsidiaries, Helius Medical, Inc. (“HMI”) and Helius Medical Technologies (Canada), Inc. (“HMC”). The interim financial statements and this Management’s Discussion and Analysis of Financial Condition and Results of Operations should be read in conjunction with the financial statements and notes thereto for the year ended December 31, 2023, and the related Management’s Discussion and Analysis of Financial Condition and Results of Operations, both of which are contained in our Annual Report on Form 10-K for the year ended December 31, 2023 filed with the Securities and Exchange Commission (“SEC”) on March 28, 2024 (the “2023 10-K”). All financial information is stated in U.S. dollars unless otherwise specified. Our Unaudited Condensed Consolidated Financial Statements are prepared in accordance with accounting principles generally accepted in the United States (“U.S.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that involve risks and uncertainties, including statements regarding the Company’s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the Company’s future growth and operational progress including expected enrollment, receipt of prescriptions and progress of commercialization of the PoNS device in the U.S., the impacts of the current global macroeconomic environment on the Company, the issuance by the Centers for Medicare &amp; Medicaid Services (“CMS”) of rules regarding coverage of emerging technologies, clinical development plans, product development activities, the safety and effectiveness of the Company’s product, the manufacturing plans for the Company’s product, sufficiency of cash and availability of funds, and operating costs. Such forward-looking statements involve risks and uncertainties, known and unknown, including capital requirements to achieve the Company’s business objectives, the impact on the Company of global macroeconomic conditions including effects from supply chain constraints, logistics challenges, labor shortages, disruptions in the banking system and financial markets, high levels of inflation and increased interest rates on the Company’s ability to operate its business and access capital markets, the success of the Company’s business plan, including the Company’s ability to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the Company’s ability to maintain and enforce its intellectual property rights, clinical trials and the clinical development process, the product development process, the regulatory submission review and approval process, the Company’s operating costs and use of cash, and the Company’s ability to achieve significant revenues and other factors discussed in the section entitled “Item 1A. Risk Factors” in our 2023 10-K and those described from time to time in the Company’s future reports filed with the SEC. While these forward-looking statements, and any assumptions upon which they are based, are made in good faith, based on information available to the Company as of the date hereof, and reflect the Company’s current judgment regarding its business plans, Helius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discussion and analysis of the Company’s financial condition and results of operations should be read in conjunction with its unaudited condensed consolidated financial statements and related notes appearing elsewhere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are a neurotechnology company focused on neurological wellness. Our purpose is to develop, license or acquire non-implantable technologies targeted at reducing symptoms of neurological disease or trauma.</w:t>
      </w:r>
    </w:p>
    <w:p>
      <w:pPr>
        <w:pStyle w:val="TextBody"/>
        <w:bidi w:val="0"/>
        <w:spacing w:lineRule="auto" w:line="240" w:before="0" w:after="240"/>
        <w:ind w:left="0" w:right="0" w:hanging="0"/>
        <w:jc w:val="left"/>
        <w:rPr>
          <w:rFonts w:ascii="Times New Roman;Times;serif" w:hAnsi="Times New Roman;Times;serif"/>
          <w:b/>
          <w:sz w:val="20"/>
        </w:rPr>
      </w:pPr>
      <w:r>
        <w:rPr>
          <w:rFonts w:ascii="Times New Roman;Times;serif" w:hAnsi="Times New Roman;Times;serif"/>
          <w:b w:val="false"/>
          <w:sz w:val="20"/>
        </w:rPr>
        <w:t>Our product, known as the Portable Neuromodulation Stimulator, or PoNS</w:t>
      </w:r>
      <w:r>
        <w:rPr>
          <w:rFonts w:ascii="Times New Roman;Times;serif" w:hAnsi="Times New Roman;Times;serif"/>
          <w:b w:val="false"/>
          <w:sz w:val="15"/>
        </w:rPr>
        <w:t>®</w:t>
      </w:r>
      <w:r>
        <w:rPr>
          <w:rFonts w:ascii="Times New Roman;Times;serif" w:hAnsi="Times New Roman;Times;serif"/>
          <w:b w:val="false"/>
          <w:sz w:val="20"/>
        </w:rPr>
        <w:t>, is an innovative non-implantable medical device, inclusive of a controller and mouthpiece, which delivers mild electrical stimulation to the surface of the tongue to provide treatment of gait deficit and chronic balance deficit. PoNS Therapy</w:t>
      </w:r>
      <w:r>
        <w:rPr>
          <w:rFonts w:ascii="Times New Roman;Times;serif" w:hAnsi="Times New Roman;Times;serif"/>
          <w:b w:val="false"/>
          <w:sz w:val="15"/>
        </w:rPr>
        <w:t>®</w:t>
      </w:r>
      <w:r>
        <w:rPr>
          <w:rFonts w:ascii="Times New Roman;Times;serif" w:hAnsi="Times New Roman;Times;serif"/>
          <w:b/>
          <w:sz w:val="20"/>
        </w:rPr>
        <w:t xml:space="preserve"> </w:t>
      </w:r>
      <w:r>
        <w:rPr>
          <w:rFonts w:ascii="Times New Roman;Times;serif" w:hAnsi="Times New Roman;Times;serif"/>
          <w:b w:val="false"/>
          <w:sz w:val="20"/>
        </w:rPr>
        <w:t>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Updates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further in Note 6 to our unaudited condensed consolidated financial statements, in May 2024, the Company closed on a public offering of its Class A common stock (“Common Stock”) and warrants and received net proceeds of approximately 5.6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2, 2024, CMS published a proposed fee schedule payment rates for the PoNS Controller and PoNS Mouthpiece to be discussed at CMS' bi-annual Healthcare Common Procedure Coding System (“HCPCS”) public meeting to be held on May 29, 2024. For the PoNS Controller (HCPCS Code A4593), CMS preliminarily set pricing by mapping reimbursement to existing code E0745, (Neuromuscular stimulator, electronic shock unit), resulting in a capped fee of $1,206.53. For the PoNS Mouthpiece (HCPCS code A4594), CMS based pricing on the cash pay price of $4,500, resulting in a total capped payment of $3,075.53.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4, 2024, the Company received written notice from the Nasdaq Stock Market LLC (“Nasdaq”) stating that the Company no longer complies with the minimum stockholders’ equity requirement under Nasdaq Listing Rule 5550(b)(1) for continued listing on The Nasdaq Stock Market LLC because the Company’s stockholders' equity, as reported in our 2023 10-K, has fallen below $2.5 million. The notice also indicates that the Company does not meet the alternative compliance standards. Under applicable Nasdaq rules, the Company has 45 calendar days from the date of the notice, or until May 20, 2024, to submit a plan to regain compliance. The Company intends to timely submit such a plan to Nasdaq. If the Company’s plan is accepted, Nasdaq may grant the Company an extension of up to 180 calendar days from the date of the notice to evidence compliance. The notice has no immediate impact on the listing of the Company’s Common Stock, which will continue to trade on The Nasdaq Stock Market LLC under the symbol “HSDT”.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first quarter of 2024, the Company partnered with Lovell Government Services (“Lovell”), an SBA-certified Service-Disabled Veteran-Owned Small Business (“SDVOSB”), to make the PoNS device available to federal healthcare systems.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29, 2024, CMS assigned HCPCS Level II codes to the PoNS controller and PoNS mouthpiece, effective April 1, 2024.  The Company has since provided CMS additional information to support reimbursement economics ahead of the public meetings expected in late May 2024 for consideration by CMS for determination of a reimbursement amount for each of the PoNS controller and mouthpiece in our efforts to secure reimbursement by CMS to be effective October 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first quarter of 2024, the Company reached alignment with the FDA on the stroke program that consists of two studies a clinical trial of PoNS Therapy in stroke participants in collaboration with Medical University of South Carolina that commenced in 2023 and an open label study to evaluate the therapeutic benefit of PoNS in chronic stroke subjects started enrolling participants in the first quarter of 2024 in three sites in the U.S. and Canada as part of our registrational program for gait and balance deficit due to stroke. Enrollment for both studies is expected to be completed by the end of 2024 with a submission to FDA targeted for mid-to-late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third quarter of 2023, the Company began implementing the transition of the manufacturing of PoNS device controllers and mouthpieces to Minnetronix, Inc. from its previous contract manufacturer, Key Tronic Corporation. The Company expects the transition to be fully completed in the third quarter of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Presently, PoNS Therapy is not covered by CMS or reimbursed by any third-party payers in the U.S. We are pursuing commercial insurance coverage and Medicare reimbursement for PoNS within the Durable Medical Equipment, or DME, benefit category. We expect to interact again with CMS in late May 2024 to seek Medicare final payment determinations for both codes to be effective at the next scheduled date of October 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continue to monitor the development of CMS’s new pathway for coverage of innovative new devices, Transitional Coverage of Emerging Technology (“TCET”), which is replacing the repealed Medicare Coverage of Innovative Technologies rule. CMS is expected to provide additional information about TCET to the public for comments in 2024. As we follow the evolution of TCET, we will continue to assess our evidence generation strategy to reach the greatest potential to gain CMS reimbursement benefits as a result of our Breakthrough designation in 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 once the HCPCS codes become effective.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Trends and Uncertainties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Global Economic Conditions </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worldwide economic conditions remain uncertain, in part due to supply chain disruptions, labor shortages, global conflicts and increased inflation. The general economic and capital market conditions both in the U.S. and worldwide, have been volatile in recent years and at times have adversely affected our access to capital and have increased the cost of capital. The capital and credit markets may not be available to support future capital raising activity on favorable terms. If economic conditions continue to remain volatile or decline, our future cost of equity or debt capital and access to the capital markets could be adversely affected.</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operating results could be materially impacted by changes in the overall macroeconomic environment and other economic factors. Changes in economic conditions,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March 31, 2024 compared to the Three Months Ended March 31,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March 31, 2024 and 2023 (in thousands):</w:t>
      </w:r>
    </w:p>
    <w:tbl>
      <w:tblPr>
        <w:tblW w:w="7629" w:type="dxa"/>
        <w:jc w:val="left"/>
        <w:tblInd w:w="0" w:type="dxa"/>
        <w:tblLayout w:type="fixed"/>
        <w:tblCellMar>
          <w:top w:w="0" w:type="dxa"/>
          <w:left w:w="0" w:type="dxa"/>
          <w:bottom w:w="0" w:type="dxa"/>
          <w:right w:w="0" w:type="dxa"/>
        </w:tblCellMar>
      </w:tblPr>
      <w:tblGrid>
        <w:gridCol w:w="3736"/>
        <w:gridCol w:w="326"/>
        <w:gridCol w:w="242"/>
        <w:gridCol w:w="793"/>
        <w:gridCol w:w="374"/>
        <w:gridCol w:w="242"/>
        <w:gridCol w:w="793"/>
        <w:gridCol w:w="326"/>
        <w:gridCol w:w="211"/>
        <w:gridCol w:w="58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372360" cy="175260"/>
                      <wp:effectExtent l="0" t="0" r="0" b="0"/>
                      <wp:wrapNone/>
                      <wp:docPr id="121" name="Frame12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3670" cy="175260"/>
                      <wp:effectExtent l="0" t="0" r="0" b="0"/>
                      <wp:wrapNone/>
                      <wp:docPr id="123" name="Frame12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03555" cy="175260"/>
                      <wp:effectExtent l="0" t="0" r="0" b="0"/>
                      <wp:wrapNone/>
                      <wp:docPr id="124" name="Frame12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7490" cy="175260"/>
                      <wp:effectExtent l="0" t="0" r="0" b="0"/>
                      <wp:wrapNone/>
                      <wp:docPr id="125" name="Frame125"/>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3670" cy="175260"/>
                      <wp:effectExtent l="0" t="0" r="0" b="0"/>
                      <wp:wrapNone/>
                      <wp:docPr id="126" name="Frame12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03555" cy="175260"/>
                      <wp:effectExtent l="0" t="0" r="0" b="0"/>
                      <wp:wrapNone/>
                      <wp:docPr id="127" name="Frame12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72110" cy="175260"/>
                      <wp:effectExtent l="0" t="0" r="0" b="0"/>
                      <wp:wrapNone/>
                      <wp:docPr id="130" name="Frame13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 </w:t>
            </w:r>
          </w:p>
        </w:tc>
        <w:tc>
          <w:tcPr>
            <w:tcW w:w="24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left"/>
              <w:rPr/>
            </w:pPr>
            <w:r>
              <w:rPr/>
              <w:t>​</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2,633</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4"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3,428</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(3,416)</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74"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900</w:t>
            </w:r>
          </w:p>
        </w:tc>
        <w:tc>
          <w:tcPr>
            <w:tcW w:w="374"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(2,516)</w:t>
            </w:r>
          </w:p>
        </w:tc>
        <w:tc>
          <w:tcPr>
            <w:tcW w:w="374"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product sales for the three months ended March 31, 2024 were comparable to the same period in the prior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Cost of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cost of revenue for the three months ended March 31, 2024 as compared with the same period in the prior year remained relatively flat year to year and is comprised of product costs from net product sales and fixed overhead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Gross profit for the three months ended March 31, 2024 was $12 thousand compared to gross loss of $11 thousand for the same period in the prior year. The increase was primarily a result of a decrease in inventory reserve and an increase in other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selling, general and administrative expenses in the first quarter of 2024 as compared to 2023 resulted primarily from a $0.4 million decrease in professional fees and payroll related expenses, partially offset by a $0.1 million increase in contract manufacturer expense associated with the transition to the new contract manufacturer during the current year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decrease in research and development expenses was driven primarily by a decrease in product development expenses and clinical trial activities as we transitioned our focus from product development and clinical trials to U.S. commercialization activities.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was primarily comprised of the amortization of acquired finite-lived intangible assets. The change in amortization expense period over period is primarily due to certain intangible assets becoming fully amortized.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Nonoperating income (expense)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Interest Income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interest expense for the three months ended March 31, 2024 compared to net interest income in the prior year period resulted from lower balances earning interest income year to year, respectively, offset by interest expense related to lease commitments.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discussed in more detail in Note 6 to our Unaudited Condensed Consolidated Financial Statements, the warrants issued in connection with the public offering completed on August 9, 2022 are being accounted for as a derivative liability instrument. The gain on change in fair value of derivative liability for the three months ended March 31, 2024 of $1.1 million was primarily due to a decrease in our stock price. </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Foreign Exchange Loss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foreign exchange (loss) gain was primarily due to fluctuations in the Canadian to U.S. dollar exchange rates.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Income,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income for the three months ended March 31, 2024 was primarily attributable to dividend income earned on investments of excess cash in money market mutual funds.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and cash equivalents and working capital as of the end of the periods indicated in the table below (in thousands):</w:t>
      </w:r>
    </w:p>
    <w:tbl>
      <w:tblPr>
        <w:tblW w:w="4786" w:type="dxa"/>
        <w:jc w:val="left"/>
        <w:tblInd w:w="0" w:type="dxa"/>
        <w:tblLayout w:type="fixed"/>
        <w:tblCellMar>
          <w:top w:w="0" w:type="dxa"/>
          <w:left w:w="0" w:type="dxa"/>
          <w:bottom w:w="0" w:type="dxa"/>
          <w:right w:w="0" w:type="dxa"/>
        </w:tblCellMar>
      </w:tblPr>
      <w:tblGrid>
        <w:gridCol w:w="2266"/>
        <w:gridCol w:w="326"/>
        <w:gridCol w:w="242"/>
        <w:gridCol w:w="658"/>
        <w:gridCol w:w="109"/>
        <w:gridCol w:w="281"/>
        <w:gridCol w:w="904"/>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8910" cy="175260"/>
                      <wp:effectExtent l="0" t="0" r="0" b="0"/>
                      <wp:wrapNone/>
                      <wp:docPr id="131" name="Frame131"/>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53670" cy="175260"/>
                      <wp:effectExtent l="0" t="0" r="0" b="0"/>
                      <wp:wrapNone/>
                      <wp:docPr id="133" name="Frame13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17830" cy="175260"/>
                      <wp:effectExtent l="0" t="0" r="0" b="0"/>
                      <wp:wrapNone/>
                      <wp:docPr id="134" name="Frame13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8435" cy="175260"/>
                      <wp:effectExtent l="0" t="0" r="0" b="0"/>
                      <wp:wrapNone/>
                      <wp:docPr id="136" name="Frame13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74040" cy="175260"/>
                      <wp:effectExtent l="0" t="0" r="0" b="0"/>
                      <wp:wrapNone/>
                      <wp:docPr id="137" name="Frame13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3,638</w:t>
            </w:r>
          </w:p>
        </w:tc>
        <w:tc>
          <w:tcPr>
            <w:tcW w:w="109"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5,182</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3,948</w:t>
            </w:r>
          </w:p>
        </w:tc>
        <w:tc>
          <w:tcPr>
            <w:tcW w:w="109"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4"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5,559</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most recently included $16.3 million in net proceeds we received from a public offering of our Common Stock and warrants completed in August 2022 as discussed in more detail in Note 8 to our Consolidated Financial Statements included our 2023 10-K. As discussed in more detail in Note 6 to our Unaudited Condensed Consolidated Financial Statements, the Company entered into a sales agreement related to our at-the-market offering program (“ATM”) under which we may offer and sell shares having gross proceeds up to $2.0 million. During the three months ended March 31, 2024 the Company issued and sold shares with gross proceeds of $1.4 million under the ATM. As discussed in more detail in Note 6, the Company received gross proceeds of $0.2 million from the issuance of shares upon the exercise of warrants in the three months ended March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Statement of Cash Flows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2024 and 2023 (in thousands):</w:t>
      </w:r>
    </w:p>
    <w:p>
      <w:pPr>
        <w:pStyle w:val="TextBody"/>
        <w:bidi w:val="0"/>
        <w:spacing w:before="0" w:after="240"/>
        <w:ind w:left="0" w:right="0" w:hanging="0"/>
        <w:jc w:val="left"/>
        <w:rPr/>
      </w:pPr>
      <w:r>
        <w:rPr/>
        <w:t>​</w:t>
      </w:r>
    </w:p>
    <w:tbl>
      <w:tblPr>
        <w:tblW w:w="8040" w:type="dxa"/>
        <w:jc w:val="left"/>
        <w:tblInd w:w="0" w:type="dxa"/>
        <w:tblLayout w:type="fixed"/>
        <w:tblCellMar>
          <w:top w:w="0" w:type="dxa"/>
          <w:left w:w="0" w:type="dxa"/>
          <w:bottom w:w="0" w:type="dxa"/>
          <w:right w:w="0" w:type="dxa"/>
        </w:tblCellMar>
      </w:tblPr>
      <w:tblGrid>
        <w:gridCol w:w="3976"/>
        <w:gridCol w:w="326"/>
        <w:gridCol w:w="242"/>
        <w:gridCol w:w="793"/>
        <w:gridCol w:w="374"/>
        <w:gridCol w:w="242"/>
        <w:gridCol w:w="793"/>
        <w:gridCol w:w="326"/>
        <w:gridCol w:w="292"/>
        <w:gridCol w:w="67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524760" cy="175260"/>
                      <wp:effectExtent l="0" t="0" r="0" b="0"/>
                      <wp:wrapNone/>
                      <wp:docPr id="138" name="Frame138"/>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3670" cy="175260"/>
                      <wp:effectExtent l="0" t="0" r="0" b="0"/>
                      <wp:wrapNone/>
                      <wp:docPr id="140" name="Frame140"/>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03555" cy="175260"/>
                      <wp:effectExtent l="0" t="0" r="0" b="0"/>
                      <wp:wrapNone/>
                      <wp:docPr id="141" name="Frame14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7490" cy="175260"/>
                      <wp:effectExtent l="0" t="0" r="0" b="0"/>
                      <wp:wrapNone/>
                      <wp:docPr id="142" name="Frame142"/>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3670" cy="175260"/>
                      <wp:effectExtent l="0" t="0" r="0" b="0"/>
                      <wp:wrapNone/>
                      <wp:docPr id="143" name="Frame143"/>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503555" cy="175260"/>
                      <wp:effectExtent l="0" t="0" r="0" b="0"/>
                      <wp:wrapNone/>
                      <wp:docPr id="144" name="Frame14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85420" cy="175260"/>
                      <wp:effectExtent l="0" t="0" r="0" b="0"/>
                      <wp:wrapNone/>
                      <wp:docPr id="146" name="Frame146"/>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260" cy="175260"/>
                      <wp:effectExtent l="0" t="0" r="0" b="0"/>
                      <wp:wrapNone/>
                      <wp:docPr id="147" name="Frame1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74"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(3,001)</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4"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w:t>
            </w:r>
          </w:p>
        </w:tc>
        <w:tc>
          <w:tcPr>
            <w:tcW w:w="326"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4"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74" w:type="dxa"/>
            <w:tcBorders/>
            <w:shd w:fill="CCEEFF" w:val="clear"/>
            <w:vAlign w:val="center"/>
          </w:tcPr>
          <w:p>
            <w:pPr>
              <w:pStyle w:val="TableContents"/>
              <w:bidi w:val="0"/>
              <w:spacing w:before="0" w:after="0"/>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(3,209)</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1,665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level of cash used in operating activities in the three months ended March 31, 2024 primarily resulted from the decrease in selling, general and administrative expenses and research and development expenses as compared with the same period in the prior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investing activities are primarily related to the purchases of property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March 31, 2024, we received net proceeds of $1.3 million from the issuance and sale of shares under the ATM. In addition, we received $0.2 million in net proceeds from the exercise of warrants.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Requirements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product revenues sufficient to achieve profitability will depend heavily on the successful commercialization of PoNS Therapy in the U.S. Our net loss was $2.5 million for each of the three months ended March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31, 2024 and 2023. As of March 31, 2024, we had an accumulated deficit of $162.5 million. We expect to continue to incur significant expenses and operating losses for the foreseeable future. These and other factors indicate substantial doubt about our ability to continue as a going concern. Refer to Note 1 to our Unaudited Condensed Consolidated Financial Statements for additional discussion about our going concern uncertainty.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as well as the 5.6 million net proceeds from the issuance of Common Stock in May 2024 will be sufficient to fund our operations into 2025,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critical accounting policies and estimates are described in Item 7 “Management’s Discussion and Analysis of Financial Condition and Results of Operations — Critical Accounting Policies and Estimates” of our 2023 10-K. There have been no changes in critical accounting policies in the current year from those described in our 2023 10-K.</w:t>
      </w:r>
    </w:p>
    <w:p>
      <w:pPr>
        <w:pStyle w:val="TextBody"/>
        <w:bidi w:val="0"/>
        <w:spacing w:before="0" w:after="240"/>
        <w:ind w:left="0" w:right="0" w:hanging="0"/>
        <w:jc w:val="left"/>
        <w:rPr>
          <w:rFonts w:ascii="Times New Roman;Times;serif" w:hAnsi="Times New Roman;Times;serif"/>
          <w:b/>
          <w:sz w:val="20"/>
        </w:rPr>
      </w:pPr>
      <w:bookmarkStart w:id="684" w:name="ITEM3QuantitativeandQualitativeDisclosur"/>
      <w:bookmarkStart w:id="685" w:name="_897587f3_2b25_4338_b49b_e4e95a4b6d08"/>
      <w:bookmarkEnd w:id="684"/>
      <w:bookmarkEnd w:id="685"/>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86" w:name="ITEM4ControlsandProcedures_561590"/>
      <w:bookmarkStart w:id="687" w:name="_b7dec30a_8a1d_4515_8395_0228f35b93b1"/>
      <w:bookmarkEnd w:id="686"/>
      <w:bookmarkEnd w:id="68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88" w:name="PARTIIOTHERINFORMATION_747688"/>
      <w:bookmarkStart w:id="689" w:name="_0cf39508_e7d8_4251_89d2_d722bf0f0edc"/>
      <w:bookmarkEnd w:id="688"/>
      <w:bookmarkEnd w:id="689"/>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690" w:name="Item1LegalProceedings_648425"/>
      <w:bookmarkEnd w:id="690"/>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pStyle w:val="TextBody"/>
        <w:bidi w:val="0"/>
        <w:spacing w:before="0" w:after="240"/>
        <w:ind w:left="0" w:right="0" w:hanging="0"/>
        <w:jc w:val="left"/>
        <w:rPr>
          <w:rFonts w:ascii="Times New Roman;Times;serif" w:hAnsi="Times New Roman;Times;serif"/>
          <w:b/>
          <w:sz w:val="20"/>
        </w:rPr>
      </w:pPr>
      <w:bookmarkStart w:id="691" w:name="Item1ARiskFactors_328583"/>
      <w:bookmarkStart w:id="692" w:name="_c2429eb2_fe9d_472a_9e84_935a54b58e2d"/>
      <w:bookmarkEnd w:id="691"/>
      <w:bookmarkEnd w:id="692"/>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During the three months ended March 31, 2024, our risk factors have not changed materially from those risk factors previously disclosed in our 2023 10-K except as set forth below. You should carefully consider the risk factors discussed in Part I, “Item 1A. Risk Factors” in our 2023 10-K. The risks described in our 2023 10-K are not the only risks facing us. Additional risks and uncertainties not currently known to us or that we currently deem to be immaterial also may materially and adversely affect our business, financial condition and/or 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currently in the process of transitioning our manufacturing functions to a new contract manufacturer and any delays in the manufacturing process as a result of this transition could harm our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depended on our third-party contract manufacturing partner, Key Tronic Corporation, to manufacture and supply our PoNS device for clinical and commercial purposes. During the third quarter of 2023, the Company began implementing the transition of the manufacturing of PoNS systems and mouthpieces to Minnetronix, Inc. While the Company expects this transition to be fully completed in the third quarter of 2024, it is possible that the transition could create delays or disruptions in the manufacturing process. Any delays or disruptions in the manufacturing of our PoNS device during this transition could negatively impact our business.</w:t>
      </w:r>
    </w:p>
    <w:p>
      <w:pPr>
        <w:pStyle w:val="TextBody"/>
        <w:bidi w:val="0"/>
        <w:spacing w:before="0" w:after="240"/>
        <w:ind w:left="0" w:right="0" w:hanging="0"/>
        <w:jc w:val="left"/>
        <w:rPr>
          <w:rFonts w:ascii="Times New Roman;Times;serif" w:hAnsi="Times New Roman;Times;serif"/>
          <w:b/>
          <w:sz w:val="20"/>
        </w:rPr>
      </w:pPr>
      <w:bookmarkStart w:id="693" w:name="Item2UnregisteredSalesofEquitySecurities"/>
      <w:bookmarkStart w:id="694" w:name="_8135c555_7a2e_4962_9108_b90d4c69bb3f"/>
      <w:bookmarkEnd w:id="693"/>
      <w:bookmarkEnd w:id="694"/>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695" w:name="Item3DefaultsuponSeniorSecurities_357636"/>
      <w:bookmarkStart w:id="696" w:name="_1e9bf08e_c21c_448f_920c_549cbe4126e7"/>
      <w:bookmarkEnd w:id="695"/>
      <w:bookmarkEnd w:id="696"/>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0" w:after="240"/>
        <w:ind w:left="0" w:right="0" w:hanging="0"/>
        <w:jc w:val="left"/>
        <w:rPr>
          <w:rFonts w:ascii="Times New Roman;Times;serif" w:hAnsi="Times New Roman;Times;serif"/>
          <w:b/>
          <w:sz w:val="20"/>
        </w:rPr>
      </w:pPr>
      <w:bookmarkStart w:id="697" w:name="Item4MineSafetyDisclosures_501310"/>
      <w:bookmarkStart w:id="698" w:name="_dfa2aedc_f40a_4e21_a60b_e864aa932ae1"/>
      <w:bookmarkEnd w:id="697"/>
      <w:bookmarkEnd w:id="698"/>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699" w:name="Item5OtherInformation_487176"/>
      <w:bookmarkStart w:id="700" w:name="_f483c9c9_5cd2_45ac_af9f_fd1a4474303f"/>
      <w:bookmarkEnd w:id="699"/>
      <w:bookmarkEnd w:id="700"/>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12, 2024, the Company’s Board of Directors approved and adopted the Company’s Second Amended and Restated Bylaws (the “Second Amended and Restated Bylaws”), which became effective the same day. Among other things, the amendments contained in the Second Amended and Restated Bylaws: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quorum requirement for all meetings of stockholders of the Company from a majority of the voting power of the outstanding shares of stock entitled to vote to one-third of the voting power of the outstanding shares of stock entitled to vote;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the universal proxy rules adopted by the U.S. Securities and Exchange Commission, by providing that no person may solicit proxies in support of a director nominee other than the Board’s nominees unless such person has, or is part of a group that has, complied with Rule 14a-19 under the Securities Exchange Act of 1934, as amended (the “Exchange Act”), including applicable notice and solicitation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disclosure requirements in connection with stockholder nominations of directors and submissions of proposals regarding other business at stockholder meetings (other than proposals to be included in the Company’s proxy materials pursuant to Rule 14a-8 under the Exchange Act), including, without limitation, disclosure of derivative security interests and material interests, agreements and relationships between a proposing stockholder (and other participants in a solicitation) and the Company as well as between proposed director nominees and a proposing stockholder and providing that the Board may request a proposing stockholder or proposed director nominee to provide additional information as reasonably required by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stockholder or group of stockholders calling a special meeting in order to nominate a person to the Board to hold 10% of the votes at the meeting, to be a stockholder at the time of the notice, and at the record date of the meeting; and</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clarify personal jurisdiction and service of process matters for foreign actions.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Second Amended and Restated Bylaws also incorporate certain technical, modernizing, clarifying and conforming changes, including to reflect updates in the Delaware General Corporation Law.</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Rule 10b5-1 Trading Plans – Directors and Section 16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2024,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1" w:name="Item6Exhibits_175156"/>
      <w:bookmarkStart w:id="702" w:name="_420a1903_0a1e_49df_897a_b6f7bba5d9dd"/>
      <w:bookmarkEnd w:id="701"/>
      <w:bookmarkEnd w:id="702"/>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81"/>
        <w:gridCol w:w="326"/>
        <w:gridCol w:w="9098"/>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8" name="Frame1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777230" cy="175260"/>
                      <wp:effectExtent l="0" t="0" r="0" b="0"/>
                      <wp:wrapNone/>
                      <wp:docPr id="149" name="Frame149"/>
                      <a:graphic xmlns:a="http://schemas.openxmlformats.org/drawingml/2006/main">
                        <a:graphicData uri="http://schemas.microsoft.com/office/word/2010/wordprocessingShape">
                          <wps:wsp>
                            <wps:cNvSpPr txBox="1"/>
                            <wps:spPr>
                              <a:xfrm>
                                <a:off x="0" y="0"/>
                                <a:ext cx="577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26" w:type="dxa"/>
            <w:tcBorders/>
            <w:vAlign w:val="center"/>
          </w:tcPr>
          <w:p>
            <w:pPr>
              <w:pStyle w:val="TableContents"/>
              <w:bidi w:val="0"/>
              <w:spacing w:before="0" w:after="0"/>
              <w:ind w:left="0" w:right="0" w:hanging="0"/>
              <w:jc w:val="left"/>
              <w:rPr/>
            </w:pPr>
            <w:r>
              <w:rPr/>
              <w:t>    </w:t>
            </w:r>
          </w:p>
        </w:tc>
        <w:tc>
          <w:tcPr>
            <w:tcW w:w="90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Exhibit</w:t>
            </w:r>
          </w:p>
        </w:tc>
      </w:tr>
      <w:tr>
        <w:trPr/>
        <w:tc>
          <w:tcPr>
            <w:tcW w:w="7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098"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Certificate of Conversion filed with the Delaware Secretary of State on July 18, 2018 (incorporated by reference to Exhibit 3.1 to the Form 10-Q filed August 9,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as corrected (incorporated by reference to Exhibit 3.1 to the Form 8-K filed October 30,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December 31, 2020)</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Designation of the Series B Preferred Stock of the Registrant (incorporated by reference to Exhibit 3.1(a) to the Registrant’s Registration Statement on Form 8-A, filed with the Securities and Exchange Commission on March 24, 2023)</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Corrected Certificate of Amendment to Certificate of Incorporation (incorporated by reference to Exhibit 3.1 to the Form 8-K filed on August 16, 2023)</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Second Amended and Restated Bylaws (incorporated by reference to Exhibit 3.1 to the Form 8-K filed March 15, 2024)</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40331xex31d1.htm">
              <w:r>
                <w:rPr>
                  <w:rStyle w:val="InternetLink"/>
                  <w:rFonts w:ascii="Times New Roman;Times;serif" w:hAnsi="Times New Roman;Times;serif"/>
                  <w:b w:val="false"/>
                  <w:i w:val="false"/>
                  <w:caps w:val="false"/>
                  <w:smallCaps w:val="false"/>
                  <w:sz w:val="20"/>
                </w:rPr>
                <w:t>Certification of Chief Executive Officer pursuant to Rule 13a-14(a) and Rule 15d-14(a), as adopted pursuant to Section 302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40331xex31d2.htm">
              <w:r>
                <w:rPr>
                  <w:rStyle w:val="InternetLink"/>
                  <w:rFonts w:ascii="Times New Roman;Times;serif" w:hAnsi="Times New Roman;Times;serif"/>
                  <w:b w:val="false"/>
                  <w:i w:val="false"/>
                  <w:caps w:val="false"/>
                  <w:smallCaps w:val="false"/>
                  <w:sz w:val="20"/>
                </w:rPr>
                <w:t>Certification of Chief Financial Officer pursuant to Rule 13a-14(a) and Rule 15d-14(a), as adopted pursuant to Section 302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4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4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03" w:name="SIGNATURES_395744"/>
      <w:bookmarkStart w:id="704" w:name="_7be0a7b9_f5b9_4963_84eb_2e87f678a802"/>
      <w:bookmarkEnd w:id="703"/>
      <w:bookmarkEnd w:id="704"/>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393" w:type="dxa"/>
        <w:jc w:val="left"/>
        <w:tblInd w:w="0" w:type="dxa"/>
        <w:tblLayout w:type="fixed"/>
        <w:tblCellMar>
          <w:top w:w="0" w:type="dxa"/>
          <w:left w:w="0" w:type="dxa"/>
          <w:bottom w:w="0" w:type="dxa"/>
          <w:right w:w="0" w:type="dxa"/>
        </w:tblCellMar>
      </w:tblPr>
      <w:tblGrid>
        <w:gridCol w:w="1846"/>
        <w:gridCol w:w="406"/>
        <w:gridCol w:w="414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5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TECHNOLOGIES,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13,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13,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Chief Financial Officer, Treasurer and Secretary</w:t>
            </w:r>
            <w:r>
              <w:rPr>
                <w:rFonts w:ascii="Times New Roman;Times;serif" w:hAnsi="Times New Roman;Times;serif"/>
                <w:sz w:val="20"/>
              </w:rPr>
              <w:br/>
            </w:r>
            <w:r>
              <w:rPr>
                <w:rFonts w:ascii="Times New Roman;Times;serif" w:hAnsi="Times New Roman;Times;serif"/>
                <w:i/>
                <w:sz w:val="20"/>
              </w:rPr>
              <w:t>(Principal Financial</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Officer and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right"/>
        <w:rPr>
          <w:rFonts w:ascii="Times New Roman;Times;serif" w:hAnsi="Times New Roman;Times;serif"/>
          <w:b/>
          <w:sz w:val="20"/>
        </w:rPr>
      </w:pPr>
      <w:bookmarkStart w:id="705" w:name="hsdt-20240331xex31d1.htm"/>
      <w:bookmarkStart w:id="706" w:name="kshsdt20240331xex31d1"/>
      <w:bookmarkEnd w:id="705"/>
      <w:bookmarkEnd w:id="706"/>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Dane C. Andreeff,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March 31, 2024 of Helius Medical Technologies, 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4138" w:type="dxa"/>
        <w:jc w:val="center"/>
        <w:tblInd w:w="0" w:type="dxa"/>
        <w:tblLayout w:type="fixed"/>
        <w:tblCellMar>
          <w:top w:w="0" w:type="dxa"/>
          <w:left w:w="0" w:type="dxa"/>
          <w:bottom w:w="0" w:type="dxa"/>
          <w:right w:w="0" w:type="dxa"/>
        </w:tblCellMar>
      </w:tblPr>
      <w:tblGrid>
        <w:gridCol w:w="1741"/>
        <w:gridCol w:w="326"/>
        <w:gridCol w:w="2071"/>
      </w:tblGrid>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2024</w:t>
            </w:r>
          </w:p>
        </w:tc>
        <w:tc>
          <w:tcPr>
            <w:tcW w:w="326" w:type="dxa"/>
            <w:tcBorders/>
            <w:vAlign w:val="center"/>
          </w:tcPr>
          <w:p>
            <w:pPr>
              <w:pStyle w:val="TableContents"/>
              <w:bidi w:val="0"/>
              <w:spacing w:before="0" w:after="0"/>
              <w:ind w:left="0" w:right="0" w:hanging="0"/>
              <w:jc w:val="left"/>
              <w:rPr/>
            </w:pPr>
            <w:r>
              <w:rPr/>
              <w:t>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7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7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07" w:name="hsdt-20240331xex31d2.htm"/>
      <w:bookmarkStart w:id="708" w:name="kshsdt20240331xex31d2"/>
      <w:bookmarkEnd w:id="707"/>
      <w:bookmarkEnd w:id="708"/>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S. Mathiesen,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March 31, 2024 of Helius Medical Technologies, 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3876" w:type="dxa"/>
        <w:jc w:val="center"/>
        <w:tblInd w:w="0" w:type="dxa"/>
        <w:tblLayout w:type="fixed"/>
        <w:tblCellMar>
          <w:top w:w="0" w:type="dxa"/>
          <w:left w:w="0" w:type="dxa"/>
          <w:bottom w:w="0" w:type="dxa"/>
          <w:right w:w="0" w:type="dxa"/>
        </w:tblCellMar>
      </w:tblPr>
      <w:tblGrid>
        <w:gridCol w:w="1741"/>
        <w:gridCol w:w="109"/>
        <w:gridCol w:w="2026"/>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2024</w:t>
            </w:r>
          </w:p>
        </w:tc>
        <w:tc>
          <w:tcPr>
            <w:tcW w:w="109" w:type="dxa"/>
            <w:tcBorders/>
            <w:vAlign w:val="center"/>
          </w:tcPr>
          <w:p>
            <w:pPr>
              <w:pStyle w:val="TableContents"/>
              <w:bidi w:val="0"/>
              <w:spacing w:before="0" w:after="0"/>
              <w:ind w:left="0" w:right="0" w:hanging="0"/>
              <w:jc w:val="left"/>
              <w:rPr/>
            </w:pPr>
            <w:r>
              <w:rPr/>
              <w:t>​</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09" w:name="hsdt-20240331xex32d1.htm"/>
      <w:bookmarkStart w:id="710" w:name="kshsdt20240331xex32d1"/>
      <w:bookmarkEnd w:id="709"/>
      <w:bookmarkEnd w:id="710"/>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MARCH 31,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am the Chief Executive Officer of Helius Medical Technologies, Inc., a Delaware corporation (the “Company”). I am delivering this certificate in connection with the Form 10-Q of the Company for the quarter ended March 31, 2024 and filed with the Securities and Exchange Commission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tbl>
      <w:tblPr>
        <w:tblW w:w="4138" w:type="dxa"/>
        <w:jc w:val="center"/>
        <w:tblInd w:w="0" w:type="dxa"/>
        <w:tblLayout w:type="fixed"/>
        <w:tblCellMar>
          <w:top w:w="0" w:type="dxa"/>
          <w:left w:w="0" w:type="dxa"/>
          <w:bottom w:w="0" w:type="dxa"/>
          <w:right w:w="0" w:type="dxa"/>
        </w:tblCellMar>
      </w:tblPr>
      <w:tblGrid>
        <w:gridCol w:w="1741"/>
        <w:gridCol w:w="326"/>
        <w:gridCol w:w="207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105535" cy="175260"/>
                      <wp:effectExtent l="0" t="0" r="0" b="0"/>
                      <wp:wrapNone/>
                      <wp:docPr id="150" name="Frame150"/>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15720" cy="175260"/>
                      <wp:effectExtent l="0" t="0" r="0" b="0"/>
                      <wp:wrapNone/>
                      <wp:docPr id="151" name="Frame151"/>
                      <a:graphic xmlns:a="http://schemas.openxmlformats.org/drawingml/2006/main">
                        <a:graphicData uri="http://schemas.microsoft.com/office/word/2010/wordprocessingShape">
                          <wps:wsp>
                            <wps:cNvSpPr txBox="1"/>
                            <wps:spPr>
                              <a:xfrm>
                                <a:off x="0" y="0"/>
                                <a:ext cx="1315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2024</w:t>
            </w:r>
          </w:p>
        </w:tc>
        <w:tc>
          <w:tcPr>
            <w:tcW w:w="326" w:type="dxa"/>
            <w:tcBorders/>
            <w:vAlign w:val="center"/>
          </w:tcPr>
          <w:p>
            <w:pPr>
              <w:pStyle w:val="TableContents"/>
              <w:bidi w:val="0"/>
              <w:spacing w:before="0" w:after="0"/>
              <w:ind w:left="0" w:right="0" w:hanging="0"/>
              <w:jc w:val="left"/>
              <w:rPr/>
            </w:pPr>
            <w:r>
              <w:rPr/>
              <w:t>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711" w:name="hsdt-20240331xex32d2.htm"/>
      <w:bookmarkStart w:id="712" w:name="kshsdt20240331xex32d2"/>
      <w:bookmarkEnd w:id="711"/>
      <w:bookmarkEnd w:id="712"/>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MARCH 31,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am the Chief Financial Officer of Helius Medical Technologies, Inc., a Delaware corporation (the “Company”). I am delivering this certificate in connection with the Form 10-Q of the Company for the quarter ended March 31, 2024 and filed with the Securities and Exchange Commission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tbl>
      <w:tblPr>
        <w:tblW w:w="3876" w:type="dxa"/>
        <w:jc w:val="left"/>
        <w:tblInd w:w="0" w:type="dxa"/>
        <w:tblLayout w:type="fixed"/>
        <w:tblCellMar>
          <w:top w:w="0" w:type="dxa"/>
          <w:left w:w="0" w:type="dxa"/>
          <w:bottom w:w="0" w:type="dxa"/>
          <w:right w:w="0" w:type="dxa"/>
        </w:tblCellMar>
      </w:tblPr>
      <w:tblGrid>
        <w:gridCol w:w="1741"/>
        <w:gridCol w:w="109"/>
        <w:gridCol w:w="2026"/>
      </w:tblGrid>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86510" cy="175260"/>
                      <wp:effectExtent l="0" t="0" r="0" b="0"/>
                      <wp:wrapNone/>
                      <wp:docPr id="152" name="Frame152"/>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2024</w:t>
            </w:r>
          </w:p>
        </w:tc>
        <w:tc>
          <w:tcPr>
            <w:tcW w:w="109" w:type="dxa"/>
            <w:tcBorders/>
            <w:vAlign w:val="center"/>
          </w:tcPr>
          <w:p>
            <w:pPr>
              <w:pStyle w:val="TableContents"/>
              <w:bidi w:val="0"/>
              <w:spacing w:before="0" w:after="0"/>
              <w:ind w:left="0" w:right="0" w:hanging="0"/>
              <w:jc w:val="left"/>
              <w:rPr/>
            </w:pPr>
            <w:r>
              <w:rPr/>
              <w:t>​</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10853/000156459018020736/hsdt-ex31_66.htm" TargetMode="External"/><Relationship Id="rId3" Type="http://schemas.openxmlformats.org/officeDocument/2006/relationships/hyperlink" Target="https://www.sec.gov/Archives/edgar/data/0001610853/000119312518312155/d646047dex31.htm" TargetMode="External"/><Relationship Id="rId4" Type="http://schemas.openxmlformats.org/officeDocument/2006/relationships/hyperlink" Target="https://www.sec.gov/Archives/edgar/data/0001610853/000156459020058917/hsdt-ex31_7.htm" TargetMode="External"/><Relationship Id="rId5" Type="http://schemas.openxmlformats.org/officeDocument/2006/relationships/hyperlink" Target="https://www.sec.gov/Archives/edgar/data/1610853/000110465923036609/tm2310398d1_ex3-1.htm" TargetMode="External"/><Relationship Id="rId6" Type="http://schemas.openxmlformats.org/officeDocument/2006/relationships/hyperlink" Target="https://www.sec.gov/Archives/edgar/data/1610853/000110465923092276/tm2323789d1_ex3-1.htm" TargetMode="External"/><Relationship Id="rId7" Type="http://schemas.openxmlformats.org/officeDocument/2006/relationships/hyperlink" Target="https://www.sec.gov/Archives/edgar/data/1610853/000155837024003414/hsdt-20240312xex3d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11913</Words>
  <Characters>65024</Characters>
  <CharactersWithSpaces>77574</CharactersWithSpaces>
  <Paragraphs>2736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