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600"/>
        <w:jc w:val="left"/>
        <w:rPr/>
      </w:pPr>
      <w:hyperlink w:anchor="i0ebdfcd9a9954e93ad9dca5484ad363d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100"/>
        <w:jc w:val="center"/>
        <w:rPr>
          <w:rFonts w:ascii="Times New Roman;serif" w:hAnsi="Times New Roman;serif"/>
          <w:b/>
          <w:color w:val="000000"/>
          <w:sz w:val="28"/>
        </w:rPr>
      </w:pPr>
      <w:r>
        <w:rPr>
          <w:rFonts w:ascii="Times New Roman;serif" w:hAnsi="Times New Roman;serif"/>
          <w:b/>
          <w:color w:val="000000"/>
          <w:sz w:val="28"/>
        </w:rPr>
        <w:t>FORM 10-Q</w:t>
      </w:r>
    </w:p>
    <w:tbl>
      <w:tblPr>
        <w:tblW w:w="9780" w:type="dxa"/>
        <w:jc w:val="left"/>
        <w:tblInd w:w="0" w:type="dxa"/>
        <w:tblLayout w:type="fixed"/>
        <w:tblCellMar>
          <w:top w:w="28" w:type="dxa"/>
          <w:left w:w="28" w:type="dxa"/>
          <w:bottom w:w="28" w:type="dxa"/>
          <w:right w:w="28" w:type="dxa"/>
        </w:tblCellMar>
      </w:tblPr>
      <w:tblGrid>
        <w:gridCol w:w="130"/>
        <w:gridCol w:w="115"/>
        <w:gridCol w:w="116"/>
        <w:gridCol w:w="2759"/>
        <w:gridCol w:w="2759"/>
        <w:gridCol w:w="390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color w:val="000000"/>
                <w:sz w:val="22"/>
              </w:rPr>
            </w:pPr>
            <w:r>
              <w:rPr>
                <w:rFonts w:ascii="Wingdings;sans-serif" w:hAnsi="Wingdings;sans-serif"/>
                <w:b/>
                <w:color w:val="000000"/>
                <w:sz w:val="22"/>
              </w:rPr>
              <w:t>x</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For the quarterly period ended June 30, 2026</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color w:val="000000"/>
                <w:sz w:val="22"/>
              </w:rPr>
            </w:pPr>
            <w:r>
              <w:rPr>
                <w:rFonts w:ascii="Wingdings;sans-serif" w:hAnsi="Wingdings;sans-serif"/>
                <w:b/>
                <w:color w:val="000000"/>
                <w:sz w:val="22"/>
              </w:rPr>
              <w:t>o</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For the transition period from     to</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Commission File No. 001-38445</w:t>
      </w:r>
    </w:p>
    <w:p>
      <w:pPr>
        <w:pStyle w:val="TextBody"/>
        <w:bidi w:val="0"/>
        <w:spacing w:before="0" w:after="80"/>
        <w:jc w:val="center"/>
        <w:rPr/>
      </w:pPr>
      <w:r>
        <w:rPr/>
        <w:drawing>
          <wp:inline distT="0" distB="0" distL="0" distR="0">
            <wp:extent cx="571500"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1500" cy="5048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SOLANA COMPANY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______________________________________________________________</w:t>
      </w:r>
    </w:p>
    <w:tbl>
      <w:tblPr>
        <w:tblW w:w="4168" w:type="dxa"/>
        <w:jc w:val="left"/>
        <w:tblInd w:w="0" w:type="dxa"/>
        <w:tblLayout w:type="fixed"/>
        <w:tblCellMar>
          <w:top w:w="28" w:type="dxa"/>
          <w:left w:w="28" w:type="dxa"/>
          <w:bottom w:w="28" w:type="dxa"/>
          <w:right w:w="28" w:type="dxa"/>
        </w:tblCellMar>
      </w:tblPr>
      <w:tblGrid>
        <w:gridCol w:w="1059"/>
        <w:gridCol w:w="928"/>
        <w:gridCol w:w="937"/>
        <w:gridCol w:w="363"/>
        <w:gridCol w:w="363"/>
        <w:gridCol w:w="518"/>
      </w:tblGrid>
      <w:tr>
        <w:trPr/>
        <w:tc>
          <w:tcPr>
            <w:tcW w:w="105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Delaware</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36-4787690</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(State or other jurisdiction of</w:t>
            </w:r>
          </w:p>
          <w:p>
            <w:pPr>
              <w:pStyle w:val="TableContents"/>
              <w:bidi w:val="0"/>
              <w:spacing w:lineRule="auto" w:line="288" w:before="0" w:after="160"/>
              <w:jc w:val="center"/>
              <w:rPr>
                <w:rFonts w:ascii="Times New Roman;serif" w:hAnsi="Times New Roman;serif"/>
                <w:b/>
                <w:color w:val="000000"/>
                <w:sz w:val="14"/>
              </w:rPr>
            </w:pPr>
            <w:r>
              <w:rPr>
                <w:rFonts w:ascii="Times New Roman;serif" w:hAnsi="Times New Roman;serif"/>
                <w:b/>
                <w:color w:val="000000"/>
                <w:sz w:val="14"/>
              </w:rPr>
              <w:t>incorporation or organization)</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1650 Market Street, Suite 3600, PMB 17139084</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Philadelphia, Pennsylvania</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(Address of principal executive offices) </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(I.R.S. Employer</w:t>
            </w:r>
          </w:p>
          <w:p>
            <w:pPr>
              <w:pStyle w:val="TableContents"/>
              <w:bidi w:val="0"/>
              <w:spacing w:lineRule="auto" w:line="288" w:before="0" w:after="160"/>
              <w:jc w:val="center"/>
              <w:rPr>
                <w:rFonts w:ascii="Times New Roman;serif" w:hAnsi="Times New Roman;serif"/>
                <w:b/>
                <w:color w:val="000000"/>
                <w:sz w:val="14"/>
              </w:rPr>
            </w:pPr>
            <w:r>
              <w:rPr>
                <w:rFonts w:ascii="Times New Roman;serif" w:hAnsi="Times New Roman;serif"/>
                <w:b/>
                <w:color w:val="000000"/>
                <w:sz w:val="14"/>
              </w:rPr>
              <w:t>Identification No.)</w:t>
            </w:r>
          </w:p>
          <w:p>
            <w:pPr>
              <w:pStyle w:val="TableContents"/>
              <w:bidi w:val="0"/>
              <w:spacing w:lineRule="auto" w:line="288" w:before="0" w:after="160"/>
              <w:jc w:val="center"/>
              <w:rPr>
                <w:rFonts w:ascii="Times New Roman;serif" w:hAnsi="Times New Roman;serif"/>
                <w:b/>
                <w:color w:val="000000"/>
                <w:sz w:val="14"/>
              </w:rPr>
            </w:pPr>
            <w:r>
              <w:rPr>
                <w:rFonts w:ascii="Times New Roman;serif" w:hAnsi="Times New Roman;serif"/>
                <w:b/>
                <w:color w:val="000000"/>
                <w:sz w:val="14"/>
              </w:rPr>
              <w:t>19103</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(267) 207-2717</w:t>
      </w:r>
    </w:p>
    <w:p>
      <w:pPr>
        <w:pStyle w:val="TextBody"/>
        <w:bidi w:val="0"/>
        <w:spacing w:lineRule="auto" w:line="288" w:before="0" w:after="80"/>
        <w:jc w:val="center"/>
        <w:rPr>
          <w:rFonts w:ascii="Times New Roman;serif" w:hAnsi="Times New Roman;serif"/>
          <w:b/>
          <w:color w:val="000000"/>
          <w:sz w:val="14"/>
        </w:rPr>
      </w:pPr>
      <w:r>
        <w:rPr>
          <w:rFonts w:ascii="Times New Roman;serif" w:hAnsi="Times New Roman;serif"/>
          <w:b/>
          <w:color w:val="000000"/>
          <w:sz w:val="14"/>
        </w:rPr>
        <w:t>(Registrant’s telephone number, including area code)</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9501" w:type="dxa"/>
        <w:jc w:val="left"/>
        <w:tblInd w:w="0" w:type="dxa"/>
        <w:tblLayout w:type="fixed"/>
        <w:tblCellMar>
          <w:top w:w="28" w:type="dxa"/>
          <w:left w:w="28" w:type="dxa"/>
          <w:bottom w:w="28" w:type="dxa"/>
          <w:right w:w="28" w:type="dxa"/>
        </w:tblCellMar>
      </w:tblPr>
      <w:tblGrid>
        <w:gridCol w:w="1377"/>
        <w:gridCol w:w="1212"/>
        <w:gridCol w:w="1220"/>
        <w:gridCol w:w="109"/>
        <w:gridCol w:w="109"/>
        <w:gridCol w:w="109"/>
        <w:gridCol w:w="519"/>
        <w:gridCol w:w="519"/>
        <w:gridCol w:w="521"/>
        <w:gridCol w:w="109"/>
        <w:gridCol w:w="109"/>
        <w:gridCol w:w="109"/>
        <w:gridCol w:w="1019"/>
        <w:gridCol w:w="1019"/>
        <w:gridCol w:w="1441"/>
      </w:tblGrid>
      <w:tr>
        <w:trPr/>
        <w:tc>
          <w:tcPr>
            <w:tcW w:w="137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80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Class A 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HSDT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lineRule="auto" w:line="288" w:before="0" w:after="100"/>
        <w:jc w:val="both"/>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No  </w:t>
      </w:r>
      <w:r>
        <w:rPr>
          <w:rFonts w:ascii="Wingdings;sans-serif" w:hAnsi="Wingdings;sans-serif"/>
          <w:b w:val="false"/>
          <w:color w:val="000000"/>
          <w:sz w:val="16"/>
        </w:rPr>
        <w:t>o</w:t>
      </w:r>
    </w:p>
    <w:p>
      <w:pPr>
        <w:pStyle w:val="TextBody"/>
        <w:bidi w:val="0"/>
        <w:spacing w:lineRule="auto" w:line="288" w:before="0" w:after="100"/>
        <w:jc w:val="both"/>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No  </w:t>
      </w:r>
      <w:r>
        <w:rPr>
          <w:rFonts w:ascii="Wingdings;sans-serif" w:hAnsi="Wingdings;sans-serif"/>
          <w:b w:val="false"/>
          <w:color w:val="000000"/>
          <w:sz w:val="16"/>
        </w:rPr>
        <w:t>o</w:t>
      </w:r>
    </w:p>
    <w:p>
      <w:pPr>
        <w:pStyle w:val="TextBody"/>
        <w:bidi w:val="0"/>
        <w:spacing w:lineRule="auto" w:line="288" w:before="0" w:after="10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32"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109"/>
        <w:gridCol w:w="109"/>
        <w:gridCol w:w="109"/>
        <w:gridCol w:w="674"/>
        <w:gridCol w:w="674"/>
        <w:gridCol w:w="677"/>
        <w:gridCol w:w="109"/>
        <w:gridCol w:w="109"/>
        <w:gridCol w:w="109"/>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both"/>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0" w:after="100"/>
        <w:jc w:val="both"/>
        <w:rPr/>
      </w:pPr>
      <w:r>
        <w:rPr>
          <w:rFonts w:ascii="Times New Roman;serif" w:hAnsi="Times New Roman;serif"/>
          <w:b w:val="false"/>
          <w:color w:val="000000"/>
          <w:sz w:val="16"/>
        </w:rPr>
        <w:t>Indicate by check mark whether the registrant is a shell company (as defined in Rule 12b-2 of the Exchange Act).   Yes  </w:t>
      </w:r>
      <w:r>
        <w:rPr>
          <w:rFonts w:ascii="Wingdings;sans-serif" w:hAnsi="Wingdings;sans-serif"/>
          <w:b w:val="false"/>
          <w:color w:val="000000"/>
          <w:sz w:val="16"/>
        </w:rPr>
        <w:t>o</w:t>
      </w:r>
      <w:r>
        <w:rPr>
          <w:color w:val="000000"/>
        </w:rPr>
        <w:t>    </w:t>
      </w:r>
      <w:r>
        <w:rPr>
          <w:rFonts w:ascii="Times New Roman;serif" w:hAnsi="Times New Roman;serif"/>
          <w:b w:val="false"/>
          <w:color w:val="000000"/>
          <w:sz w:val="16"/>
        </w:rPr>
        <w:t xml:space="preserve">No </w:t>
      </w:r>
      <w:r>
        <w:rPr>
          <w:color w:val="000000"/>
        </w:rPr>
        <w:t> </w:t>
      </w:r>
      <w:r>
        <w:rPr>
          <w:rFonts w:ascii="Wingdings;sans-serif" w:hAnsi="Wingdings;sans-serif"/>
          <w:b w:val="false"/>
          <w:color w:val="000000"/>
          <w:sz w:val="16"/>
        </w:rPr>
        <w:t>x</w:t>
      </w:r>
    </w:p>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As of August 12, 2026, the registrant had 60,458,703 shares of Class A common stock, $0.001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600"/>
        <w:jc w:val="left"/>
        <w:rPr/>
      </w:pPr>
      <w:hyperlink w:anchor="i0ebdfcd9a9954e93ad9dca5484ad36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SOLANA COMPANY</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left"/>
        <w:tblInd w:w="0" w:type="dxa"/>
        <w:tblLayout w:type="fixed"/>
        <w:tblCellMar>
          <w:top w:w="28" w:type="dxa"/>
          <w:left w:w="28" w:type="dxa"/>
          <w:bottom w:w="28" w:type="dxa"/>
          <w:right w:w="28" w:type="dxa"/>
        </w:tblCellMar>
      </w:tblPr>
      <w:tblGrid>
        <w:gridCol w:w="261"/>
        <w:gridCol w:w="230"/>
        <w:gridCol w:w="231"/>
        <w:gridCol w:w="3078"/>
        <w:gridCol w:w="3012"/>
        <w:gridCol w:w="3018"/>
        <w:gridCol w:w="109"/>
        <w:gridCol w:w="109"/>
        <w:gridCol w:w="157"/>
      </w:tblGrid>
      <w:tr>
        <w:trPr/>
        <w:tc>
          <w:tcPr>
            <w:tcW w:w="26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078" w:type="dxa"/>
            <w:tcBorders/>
            <w:vAlign w:val="center"/>
          </w:tcPr>
          <w:p>
            <w:pPr>
              <w:pStyle w:val="TableContents"/>
              <w:bidi w:val="0"/>
              <w:spacing w:before="0" w:after="283"/>
              <w:jc w:val="left"/>
              <w:rPr>
                <w:sz w:val="4"/>
                <w:szCs w:val="4"/>
              </w:rPr>
            </w:pPr>
            <w:r>
              <w:rPr>
                <w:sz w:val="4"/>
                <w:szCs w:val="4"/>
              </w:rPr>
            </w:r>
          </w:p>
        </w:tc>
        <w:tc>
          <w:tcPr>
            <w:tcW w:w="3012" w:type="dxa"/>
            <w:tcBorders/>
            <w:vAlign w:val="center"/>
          </w:tcPr>
          <w:p>
            <w:pPr>
              <w:pStyle w:val="TableContents"/>
              <w:bidi w:val="0"/>
              <w:spacing w:before="0" w:after="283"/>
              <w:jc w:val="left"/>
              <w:rPr>
                <w:sz w:val="4"/>
                <w:szCs w:val="4"/>
              </w:rPr>
            </w:pPr>
            <w:r>
              <w:rPr>
                <w:sz w:val="4"/>
                <w:szCs w:val="4"/>
              </w:rPr>
            </w:r>
          </w:p>
        </w:tc>
        <w:tc>
          <w:tcPr>
            <w:tcW w:w="3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bdfcd9a9954e93ad9dca5484ad363d_10">
              <w:r>
                <w:rPr>
                  <w:rStyle w:val="InternetLink"/>
                  <w:rFonts w:ascii="Times New Roman;serif" w:hAnsi="Times New Roman;serif"/>
                  <w:b/>
                  <w:color w:val="0000FF"/>
                  <w:sz w:val="20"/>
                  <w:u w:val="single"/>
                </w:rPr>
                <w:t>Part I.</w:t>
              </w:r>
            </w:hyperlink>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bdfcd9a9954e93ad9dca5484ad363d_10">
              <w:r>
                <w:rPr>
                  <w:rStyle w:val="InternetLink"/>
                  <w:rFonts w:ascii="Times New Roman;serif" w:hAnsi="Times New Roman;serif"/>
                  <w:b/>
                  <w:color w:val="0000FF"/>
                  <w:sz w:val="20"/>
                  <w:u w:val="single"/>
                </w:rPr>
                <w:t>Financial Information</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bdfcd9a9954e93ad9dca5484ad363d_13">
              <w:r>
                <w:rPr>
                  <w:rStyle w:val="InternetLink"/>
                  <w:rFonts w:ascii="Times New Roman;serif" w:hAnsi="Times New Roman;serif"/>
                  <w:b w:val="false"/>
                  <w:color w:val="0000FF"/>
                  <w:sz w:val="20"/>
                  <w:u w:val="single"/>
                </w:rPr>
                <w:t>Item 1.</w:t>
              </w:r>
            </w:hyperlink>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bdfcd9a9954e93ad9dca5484ad363d_13">
              <w:r>
                <w:rPr>
                  <w:rStyle w:val="InternetLink"/>
                  <w:rFonts w:ascii="Times New Roman;serif" w:hAnsi="Times New Roman;serif"/>
                  <w:b w:val="false"/>
                  <w:color w:val="0000FF"/>
                  <w:sz w:val="20"/>
                  <w:u w:val="single"/>
                </w:rPr>
                <w:t>Condensed Consolidated Financial Statements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bdfcd9a9954e93ad9dca5484ad363d_13">
              <w:r>
                <w:rPr>
                  <w:rStyle w:val="InternetLink"/>
                  <w:rFonts w:ascii="Times New Roman;serif" w:hAnsi="Times New Roman;serif"/>
                  <w:b w:val="false"/>
                  <w:strike w:val="false"/>
                  <w:dstrike w:val="false"/>
                  <w:color w:val="000000"/>
                  <w:sz w:val="20"/>
                  <w:u w:val="none"/>
                  <w:effect w:val="none"/>
                </w:rPr>
                <w:t>3</w:t>
              </w:r>
            </w:hyperlink>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bdfcd9a9954e93ad9dca5484ad363d_16">
              <w:r>
                <w:rPr>
                  <w:rStyle w:val="InternetLink"/>
                  <w:rFonts w:ascii="Times New Roman;serif" w:hAnsi="Times New Roman;serif"/>
                  <w:b w:val="false"/>
                  <w:color w:val="000080"/>
                  <w:sz w:val="20"/>
                  <w:u w:val="single"/>
                </w:rPr>
                <w:t xml:space="preserve">Condensed Consolidated Balance Sheets as of </w:t>
              </w:r>
            </w:hyperlink>
            <w:hyperlink w:anchor="i0ebdfcd9a9954e93ad9dca5484ad363d_16">
              <w:r>
                <w:rPr>
                  <w:rStyle w:val="InternetLink"/>
                  <w:rFonts w:ascii="Times New Roman;serif" w:hAnsi="Times New Roman;serif"/>
                  <w:b w:val="false"/>
                  <w:color w:val="000080"/>
                  <w:sz w:val="20"/>
                  <w:u w:val="single"/>
                </w:rPr>
                <w:t>J</w:t>
              </w:r>
            </w:hyperlink>
            <w:hyperlink w:anchor="i0ebdfcd9a9954e93ad9dca5484ad363d_16">
              <w:r>
                <w:rPr>
                  <w:rStyle w:val="InternetLink"/>
                  <w:rFonts w:ascii="Times New Roman;serif" w:hAnsi="Times New Roman;serif"/>
                  <w:b w:val="false"/>
                  <w:color w:val="000080"/>
                  <w:sz w:val="20"/>
                  <w:u w:val="single"/>
                </w:rPr>
                <w:t>une 30</w:t>
              </w:r>
            </w:hyperlink>
            <w:hyperlink w:anchor="i0ebdfcd9a9954e93ad9dca5484ad363d_16">
              <w:r>
                <w:rPr>
                  <w:rStyle w:val="InternetLink"/>
                  <w:rFonts w:ascii="Times New Roman;serif" w:hAnsi="Times New Roman;serif"/>
                  <w:b w:val="false"/>
                  <w:color w:val="000080"/>
                  <w:sz w:val="20"/>
                  <w:u w:val="single"/>
                </w:rPr>
                <w:t>, 2026 (Unaudited) and December 31, 2025</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bdfcd9a9954e93ad9dca5484ad363d_16">
              <w:r>
                <w:rPr>
                  <w:rStyle w:val="InternetLink"/>
                  <w:rFonts w:ascii="Times New Roman;serif" w:hAnsi="Times New Roman;serif"/>
                  <w:b w:val="false"/>
                  <w:strike w:val="false"/>
                  <w:dstrike w:val="false"/>
                  <w:color w:val="000000"/>
                  <w:sz w:val="20"/>
                  <w:u w:val="none"/>
                  <w:effect w:val="none"/>
                </w:rPr>
                <w:t>3</w:t>
              </w:r>
            </w:hyperlink>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bdfcd9a9954e93ad9dca5484ad363d_19">
              <w:r>
                <w:rPr>
                  <w:rStyle w:val="InternetLink"/>
                  <w:rFonts w:ascii="Times New Roman;serif" w:hAnsi="Times New Roman;serif"/>
                  <w:b w:val="false"/>
                  <w:color w:val="000080"/>
                  <w:sz w:val="20"/>
                  <w:u w:val="single"/>
                </w:rPr>
                <w:t>Unaudited Condensed Consolidated Statements of Operations and Comprehensive Loss for the three</w:t>
              </w:r>
            </w:hyperlink>
            <w:hyperlink w:anchor="i0ebdfcd9a9954e93ad9dca5484ad363d_19">
              <w:r>
                <w:rPr>
                  <w:rStyle w:val="InternetLink"/>
                  <w:rFonts w:ascii="Times New Roman;serif" w:hAnsi="Times New Roman;serif"/>
                  <w:b w:val="false"/>
                  <w:color w:val="000080"/>
                  <w:sz w:val="20"/>
                  <w:u w:val="single"/>
                </w:rPr>
                <w:t xml:space="preserve"> and six </w:t>
              </w:r>
            </w:hyperlink>
            <w:hyperlink w:anchor="i0ebdfcd9a9954e93ad9dca5484ad363d_19">
              <w:r>
                <w:rPr>
                  <w:rStyle w:val="InternetLink"/>
                  <w:rFonts w:ascii="Times New Roman;serif" w:hAnsi="Times New Roman;serif"/>
                  <w:b w:val="false"/>
                  <w:color w:val="000080"/>
                  <w:sz w:val="20"/>
                  <w:u w:val="single"/>
                </w:rPr>
                <w:t xml:space="preserve">months ended </w:t>
              </w:r>
            </w:hyperlink>
            <w:hyperlink w:anchor="i0ebdfcd9a9954e93ad9dca5484ad363d_19">
              <w:r>
                <w:rPr>
                  <w:rStyle w:val="InternetLink"/>
                  <w:rFonts w:ascii="Times New Roman;serif" w:hAnsi="Times New Roman;serif"/>
                  <w:b w:val="false"/>
                  <w:color w:val="000080"/>
                  <w:sz w:val="20"/>
                  <w:u w:val="single"/>
                </w:rPr>
                <w:t>June</w:t>
              </w:r>
            </w:hyperlink>
            <w:hyperlink w:anchor="i0ebdfcd9a9954e93ad9dca5484ad363d_19">
              <w:r>
                <w:rPr>
                  <w:rStyle w:val="InternetLink"/>
                  <w:rFonts w:ascii="Times New Roman;serif" w:hAnsi="Times New Roman;serif"/>
                  <w:b w:val="false"/>
                  <w:color w:val="000080"/>
                  <w:sz w:val="20"/>
                  <w:u w:val="single"/>
                </w:rPr>
                <w:t xml:space="preserve"> 3</w:t>
              </w:r>
            </w:hyperlink>
            <w:hyperlink w:anchor="i0ebdfcd9a9954e93ad9dca5484ad363d_19">
              <w:r>
                <w:rPr>
                  <w:rStyle w:val="InternetLink"/>
                  <w:rFonts w:ascii="Times New Roman;serif" w:hAnsi="Times New Roman;serif"/>
                  <w:b w:val="false"/>
                  <w:color w:val="000080"/>
                  <w:sz w:val="20"/>
                  <w:u w:val="single"/>
                </w:rPr>
                <w:t>0</w:t>
              </w:r>
            </w:hyperlink>
            <w:hyperlink w:anchor="i0ebdfcd9a9954e93ad9dca5484ad363d_19">
              <w:r>
                <w:rPr>
                  <w:rStyle w:val="InternetLink"/>
                  <w:rFonts w:ascii="Times New Roman;serif" w:hAnsi="Times New Roman;serif"/>
                  <w:b w:val="false"/>
                  <w:color w:val="000080"/>
                  <w:sz w:val="20"/>
                  <w:u w:val="single"/>
                </w:rPr>
                <w:t>, 2026 and 2025</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bdfcd9a9954e93ad9dca5484ad363d_19">
              <w:r>
                <w:rPr>
                  <w:rStyle w:val="InternetLink"/>
                  <w:rFonts w:ascii="Times New Roman;serif" w:hAnsi="Times New Roman;serif"/>
                  <w:b w:val="false"/>
                  <w:strike w:val="false"/>
                  <w:dstrike w:val="false"/>
                  <w:color w:val="000000"/>
                  <w:sz w:val="20"/>
                  <w:u w:val="none"/>
                  <w:effect w:val="none"/>
                </w:rPr>
                <w:t>4</w:t>
              </w:r>
            </w:hyperlink>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bdfcd9a9954e93ad9dca5484ad363d_22">
              <w:r>
                <w:rPr>
                  <w:rStyle w:val="InternetLink"/>
                  <w:rFonts w:ascii="Times New Roman;serif" w:hAnsi="Times New Roman;serif"/>
                  <w:b w:val="false"/>
                  <w:color w:val="000080"/>
                  <w:sz w:val="20"/>
                  <w:u w:val="single"/>
                </w:rPr>
                <w:t xml:space="preserve">Unaudited Condensed Consolidated Statements of Stockholders’ Equity for the </w:t>
              </w:r>
            </w:hyperlink>
            <w:hyperlink w:anchor="i0ebdfcd9a9954e93ad9dca5484ad363d_22">
              <w:r>
                <w:rPr>
                  <w:rStyle w:val="InternetLink"/>
                  <w:rFonts w:ascii="Times New Roman;serif" w:hAnsi="Times New Roman;serif"/>
                  <w:b w:val="false"/>
                  <w:color w:val="000080"/>
                  <w:sz w:val="20"/>
                  <w:u w:val="single"/>
                </w:rPr>
                <w:t xml:space="preserve">three and </w:t>
              </w:r>
            </w:hyperlink>
            <w:hyperlink w:anchor="i0ebdfcd9a9954e93ad9dca5484ad363d_22">
              <w:r>
                <w:rPr>
                  <w:rStyle w:val="InternetLink"/>
                  <w:rFonts w:ascii="Times New Roman;serif" w:hAnsi="Times New Roman;serif"/>
                  <w:b w:val="false"/>
                  <w:color w:val="000080"/>
                  <w:sz w:val="20"/>
                  <w:u w:val="single"/>
                </w:rPr>
                <w:t>six</w:t>
              </w:r>
            </w:hyperlink>
            <w:hyperlink w:anchor="i0ebdfcd9a9954e93ad9dca5484ad363d_22">
              <w:r>
                <w:rPr>
                  <w:rStyle w:val="InternetLink"/>
                  <w:rFonts w:ascii="Times New Roman;serif" w:hAnsi="Times New Roman;serif"/>
                  <w:b w:val="false"/>
                  <w:color w:val="000080"/>
                  <w:sz w:val="20"/>
                  <w:u w:val="single"/>
                </w:rPr>
                <w:t xml:space="preserve"> months ended </w:t>
              </w:r>
            </w:hyperlink>
            <w:hyperlink w:anchor="i0ebdfcd9a9954e93ad9dca5484ad363d_22">
              <w:r>
                <w:rPr>
                  <w:rStyle w:val="InternetLink"/>
                  <w:rFonts w:ascii="Times New Roman;serif" w:hAnsi="Times New Roman;serif"/>
                  <w:b w:val="false"/>
                  <w:color w:val="000080"/>
                  <w:sz w:val="20"/>
                  <w:u w:val="single"/>
                </w:rPr>
                <w:t>June 30</w:t>
              </w:r>
            </w:hyperlink>
            <w:hyperlink w:anchor="i0ebdfcd9a9954e93ad9dca5484ad363d_22">
              <w:r>
                <w:rPr>
                  <w:rStyle w:val="InternetLink"/>
                  <w:rFonts w:ascii="Times New Roman;serif" w:hAnsi="Times New Roman;serif"/>
                  <w:b w:val="false"/>
                  <w:color w:val="000080"/>
                  <w:sz w:val="20"/>
                  <w:u w:val="single"/>
                </w:rPr>
                <w:t>, 2026 and 2025</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bdfcd9a9954e93ad9dca5484ad363d_22">
              <w:r>
                <w:rPr>
                  <w:rStyle w:val="InternetLink"/>
                  <w:rFonts w:ascii="Times New Roman;serif" w:hAnsi="Times New Roman;serif"/>
                  <w:b w:val="false"/>
                  <w:strike w:val="false"/>
                  <w:dstrike w:val="false"/>
                  <w:color w:val="000000"/>
                  <w:sz w:val="20"/>
                  <w:u w:val="none"/>
                  <w:effect w:val="none"/>
                </w:rPr>
                <w:t>5</w:t>
              </w:r>
            </w:hyperlink>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bdfcd9a9954e93ad9dca5484ad363d_25">
              <w:r>
                <w:rPr>
                  <w:rStyle w:val="InternetLink"/>
                  <w:rFonts w:ascii="Times New Roman;serif" w:hAnsi="Times New Roman;serif"/>
                  <w:b w:val="false"/>
                  <w:color w:val="000080"/>
                  <w:sz w:val="20"/>
                  <w:u w:val="single"/>
                </w:rPr>
                <w:t xml:space="preserve">Unaudited Condensed Consolidated Statements of Cash Flows for the </w:t>
              </w:r>
            </w:hyperlink>
            <w:hyperlink w:anchor="i0ebdfcd9a9954e93ad9dca5484ad363d_25">
              <w:r>
                <w:rPr>
                  <w:rStyle w:val="InternetLink"/>
                  <w:rFonts w:ascii="Times New Roman;serif" w:hAnsi="Times New Roman;serif"/>
                  <w:b w:val="false"/>
                  <w:color w:val="000080"/>
                  <w:sz w:val="20"/>
                  <w:u w:val="single"/>
                </w:rPr>
                <w:t>six</w:t>
              </w:r>
            </w:hyperlink>
            <w:hyperlink w:anchor="i0ebdfcd9a9954e93ad9dca5484ad363d_25">
              <w:r>
                <w:rPr>
                  <w:rStyle w:val="InternetLink"/>
                  <w:rFonts w:ascii="Times New Roman;serif" w:hAnsi="Times New Roman;serif"/>
                  <w:b w:val="false"/>
                  <w:color w:val="000080"/>
                  <w:sz w:val="20"/>
                  <w:u w:val="single"/>
                </w:rPr>
                <w:t xml:space="preserve"> months ended</w:t>
              </w:r>
            </w:hyperlink>
            <w:hyperlink w:anchor="i0ebdfcd9a9954e93ad9dca5484ad363d_25">
              <w:r>
                <w:rPr>
                  <w:rStyle w:val="InternetLink"/>
                  <w:rFonts w:ascii="Times New Roman;serif" w:hAnsi="Times New Roman;serif"/>
                  <w:b w:val="false"/>
                  <w:color w:val="000080"/>
                  <w:sz w:val="20"/>
                  <w:u w:val="single"/>
                </w:rPr>
                <w:t xml:space="preserve"> </w:t>
              </w:r>
            </w:hyperlink>
            <w:hyperlink w:anchor="i0ebdfcd9a9954e93ad9dca5484ad363d_25">
              <w:r>
                <w:rPr>
                  <w:rStyle w:val="InternetLink"/>
                  <w:rFonts w:ascii="Times New Roman;serif" w:hAnsi="Times New Roman;serif"/>
                  <w:b w:val="false"/>
                  <w:color w:val="000080"/>
                  <w:sz w:val="20"/>
                  <w:u w:val="single"/>
                </w:rPr>
                <w:t>June 30</w:t>
              </w:r>
            </w:hyperlink>
            <w:hyperlink w:anchor="i0ebdfcd9a9954e93ad9dca5484ad363d_25">
              <w:r>
                <w:rPr>
                  <w:rStyle w:val="InternetLink"/>
                  <w:rFonts w:ascii="Times New Roman;serif" w:hAnsi="Times New Roman;serif"/>
                  <w:b w:val="false"/>
                  <w:color w:val="000080"/>
                  <w:sz w:val="20"/>
                  <w:u w:val="single"/>
                </w:rPr>
                <w:t>, 2026 and 2025</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bdfcd9a9954e93ad9dca5484ad363d_25">
              <w:r>
                <w:rPr>
                  <w:rStyle w:val="InternetLink"/>
                  <w:rFonts w:ascii="Times New Roman;serif" w:hAnsi="Times New Roman;serif"/>
                  <w:b w:val="false"/>
                  <w:strike w:val="false"/>
                  <w:dstrike w:val="false"/>
                  <w:color w:val="000000"/>
                  <w:sz w:val="20"/>
                  <w:u w:val="none"/>
                  <w:effect w:val="none"/>
                </w:rPr>
                <w:t>7</w:t>
              </w:r>
            </w:hyperlink>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bdfcd9a9954e93ad9dca5484ad363d_28">
              <w:r>
                <w:rPr>
                  <w:rStyle w:val="InternetLink"/>
                  <w:rFonts w:ascii="Times New Roman;serif" w:hAnsi="Times New Roman;serif"/>
                  <w:b w:val="false"/>
                  <w:color w:val="0000FF"/>
                  <w:sz w:val="20"/>
                  <w:u w:val="single"/>
                </w:rPr>
                <w:t>Notes to Unaudited Condensed Consolidated Financial Statements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bdfcd9a9954e93ad9dca5484ad363d_28">
              <w:r>
                <w:rPr>
                  <w:rStyle w:val="InternetLink"/>
                  <w:rFonts w:ascii="Times New Roman;serif" w:hAnsi="Times New Roman;serif"/>
                  <w:b w:val="false"/>
                  <w:strike w:val="false"/>
                  <w:dstrike w:val="false"/>
                  <w:color w:val="000000"/>
                  <w:sz w:val="20"/>
                  <w:u w:val="none"/>
                  <w:effect w:val="none"/>
                </w:rPr>
                <w:t>8</w:t>
              </w:r>
            </w:hyperlink>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bdfcd9a9954e93ad9dca5484ad363d_70">
              <w:r>
                <w:rPr>
                  <w:rStyle w:val="InternetLink"/>
                  <w:rFonts w:ascii="Times New Roman;serif" w:hAnsi="Times New Roman;serif"/>
                  <w:b w:val="false"/>
                  <w:color w:val="0000FF"/>
                  <w:sz w:val="20"/>
                  <w:u w:val="single"/>
                </w:rPr>
                <w:t>Item 2.</w:t>
              </w:r>
            </w:hyperlink>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bdfcd9a9954e93ad9dca5484ad363d_7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bdfcd9a9954e93ad9dca5484ad363d_70">
              <w:r>
                <w:rPr>
                  <w:rStyle w:val="InternetLink"/>
                  <w:rFonts w:ascii="Times New Roman;serif" w:hAnsi="Times New Roman;serif"/>
                  <w:b w:val="false"/>
                  <w:strike w:val="false"/>
                  <w:dstrike w:val="false"/>
                  <w:color w:val="000000"/>
                  <w:sz w:val="20"/>
                  <w:u w:val="none"/>
                  <w:effect w:val="none"/>
                </w:rPr>
                <w:t>27</w:t>
              </w:r>
            </w:hyperlink>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bdfcd9a9954e93ad9dca5484ad363d_103">
              <w:r>
                <w:rPr>
                  <w:rStyle w:val="InternetLink"/>
                  <w:rFonts w:ascii="Times New Roman;serif" w:hAnsi="Times New Roman;serif"/>
                  <w:b w:val="false"/>
                  <w:color w:val="0000FF"/>
                  <w:sz w:val="20"/>
                  <w:u w:val="single"/>
                </w:rPr>
                <w:t>Item 3.</w:t>
              </w:r>
            </w:hyperlink>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bdfcd9a9954e93ad9dca5484ad363d_103">
              <w:r>
                <w:rPr>
                  <w:rStyle w:val="InternetLink"/>
                  <w:rFonts w:ascii="Times New Roman;serif" w:hAnsi="Times New Roman;serif"/>
                  <w:b w:val="false"/>
                  <w:color w:val="0000FF"/>
                  <w:sz w:val="20"/>
                  <w:u w:val="single"/>
                </w:rPr>
                <w:t>Quantitative and Qualitative Disclosures About Market Risk</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bdfcd9a9954e93ad9dca5484ad363d_103">
              <w:r>
                <w:rPr>
                  <w:rStyle w:val="InternetLink"/>
                  <w:rFonts w:ascii="Times New Roman;serif" w:hAnsi="Times New Roman;serif"/>
                  <w:b w:val="false"/>
                  <w:strike w:val="false"/>
                  <w:dstrike w:val="false"/>
                  <w:color w:val="000000"/>
                  <w:sz w:val="20"/>
                  <w:u w:val="none"/>
                  <w:effect w:val="none"/>
                </w:rPr>
                <w:t>36</w:t>
              </w:r>
            </w:hyperlink>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bdfcd9a9954e93ad9dca5484ad363d_106">
              <w:r>
                <w:rPr>
                  <w:rStyle w:val="InternetLink"/>
                  <w:rFonts w:ascii="Times New Roman;serif" w:hAnsi="Times New Roman;serif"/>
                  <w:b w:val="false"/>
                  <w:color w:val="0000FF"/>
                  <w:sz w:val="20"/>
                  <w:u w:val="single"/>
                </w:rPr>
                <w:t>Item 4.</w:t>
              </w:r>
            </w:hyperlink>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bdfcd9a9954e93ad9dca5484ad363d_106">
              <w:r>
                <w:rPr>
                  <w:rStyle w:val="InternetLink"/>
                  <w:rFonts w:ascii="Times New Roman;serif" w:hAnsi="Times New Roman;serif"/>
                  <w:b w:val="false"/>
                  <w:color w:val="0000FF"/>
                  <w:sz w:val="20"/>
                  <w:u w:val="single"/>
                </w:rPr>
                <w:t>Controls and Procedures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bdfcd9a9954e93ad9dca5484ad363d_106">
              <w:r>
                <w:rPr>
                  <w:rStyle w:val="InternetLink"/>
                  <w:rFonts w:ascii="Times New Roman;serif" w:hAnsi="Times New Roman;serif"/>
                  <w:b w:val="false"/>
                  <w:strike w:val="false"/>
                  <w:dstrike w:val="false"/>
                  <w:color w:val="000000"/>
                  <w:sz w:val="20"/>
                  <w:u w:val="none"/>
                  <w:effect w:val="none"/>
                </w:rPr>
                <w:t>36</w:t>
              </w:r>
            </w:hyperlink>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bdfcd9a9954e93ad9dca5484ad363d_109">
              <w:r>
                <w:rPr>
                  <w:rStyle w:val="InternetLink"/>
                  <w:rFonts w:ascii="Times New Roman;serif" w:hAnsi="Times New Roman;serif"/>
                  <w:b/>
                  <w:color w:val="0000FF"/>
                  <w:sz w:val="20"/>
                  <w:u w:val="single"/>
                </w:rPr>
                <w:t>Part II.</w:t>
              </w:r>
            </w:hyperlink>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bdfcd9a9954e93ad9dca5484ad363d_109">
              <w:r>
                <w:rPr>
                  <w:rStyle w:val="InternetLink"/>
                  <w:rFonts w:ascii="Times New Roman;serif" w:hAnsi="Times New Roman;serif"/>
                  <w:b/>
                  <w:color w:val="0000FF"/>
                  <w:sz w:val="20"/>
                  <w:u w:val="single"/>
                </w:rPr>
                <w:t>Other Information</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bdfcd9a9954e93ad9dca5484ad363d_109">
              <w:r>
                <w:rPr>
                  <w:rStyle w:val="InternetLink"/>
                  <w:rFonts w:ascii="Times New Roman;serif" w:hAnsi="Times New Roman;serif"/>
                  <w:b w:val="false"/>
                  <w:strike w:val="false"/>
                  <w:dstrike w:val="false"/>
                  <w:color w:val="000000"/>
                  <w:sz w:val="20"/>
                  <w:u w:val="none"/>
                  <w:effect w:val="none"/>
                </w:rPr>
                <w:t>36</w:t>
              </w:r>
            </w:hyperlink>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bdfcd9a9954e93ad9dca5484ad363d_112">
              <w:r>
                <w:rPr>
                  <w:rStyle w:val="InternetLink"/>
                  <w:rFonts w:ascii="Times New Roman;serif" w:hAnsi="Times New Roman;serif"/>
                  <w:b w:val="false"/>
                  <w:color w:val="0000FF"/>
                  <w:sz w:val="20"/>
                  <w:u w:val="single"/>
                </w:rPr>
                <w:t>Item 1.</w:t>
              </w:r>
            </w:hyperlink>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bdfcd9a9954e93ad9dca5484ad363d_112">
              <w:r>
                <w:rPr>
                  <w:rStyle w:val="InternetLink"/>
                  <w:rFonts w:ascii="Times New Roman;serif" w:hAnsi="Times New Roman;serif"/>
                  <w:b w:val="false"/>
                  <w:color w:val="0000FF"/>
                  <w:sz w:val="20"/>
                  <w:u w:val="single"/>
                </w:rPr>
                <w:t>Legal Proceedings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bdfcd9a9954e93ad9dca5484ad363d_112">
              <w:r>
                <w:rPr>
                  <w:rStyle w:val="InternetLink"/>
                  <w:rFonts w:ascii="Times New Roman;serif" w:hAnsi="Times New Roman;serif"/>
                  <w:b w:val="false"/>
                  <w:strike w:val="false"/>
                  <w:dstrike w:val="false"/>
                  <w:color w:val="000000"/>
                  <w:sz w:val="20"/>
                  <w:u w:val="none"/>
                  <w:effect w:val="none"/>
                </w:rPr>
                <w:t>36</w:t>
              </w:r>
            </w:hyperlink>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bdfcd9a9954e93ad9dca5484ad363d_115">
              <w:r>
                <w:rPr>
                  <w:rStyle w:val="InternetLink"/>
                  <w:rFonts w:ascii="Times New Roman;serif" w:hAnsi="Times New Roman;serif"/>
                  <w:b w:val="false"/>
                  <w:color w:val="0000FF"/>
                  <w:sz w:val="20"/>
                  <w:u w:val="single"/>
                </w:rPr>
                <w:t>Item 1A.</w:t>
              </w:r>
            </w:hyperlink>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bdfcd9a9954e93ad9dca5484ad363d_115">
              <w:r>
                <w:rPr>
                  <w:rStyle w:val="InternetLink"/>
                  <w:rFonts w:ascii="Times New Roman;serif" w:hAnsi="Times New Roman;serif"/>
                  <w:b w:val="false"/>
                  <w:color w:val="0000FF"/>
                  <w:sz w:val="20"/>
                  <w:u w:val="single"/>
                </w:rPr>
                <w:t>Risk Factors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bdfcd9a9954e93ad9dca5484ad363d_115">
              <w:r>
                <w:rPr>
                  <w:rStyle w:val="InternetLink"/>
                  <w:rFonts w:ascii="Times New Roman;serif" w:hAnsi="Times New Roman;serif"/>
                  <w:b w:val="false"/>
                  <w:strike w:val="false"/>
                  <w:dstrike w:val="false"/>
                  <w:color w:val="000000"/>
                  <w:sz w:val="20"/>
                  <w:u w:val="none"/>
                  <w:effect w:val="none"/>
                </w:rPr>
                <w:t>36</w:t>
              </w:r>
            </w:hyperlink>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bdfcd9a9954e93ad9dca5484ad363d_118">
              <w:r>
                <w:rPr>
                  <w:rStyle w:val="InternetLink"/>
                  <w:rFonts w:ascii="Times New Roman;serif" w:hAnsi="Times New Roman;serif"/>
                  <w:b w:val="false"/>
                  <w:color w:val="0000FF"/>
                  <w:sz w:val="20"/>
                  <w:u w:val="single"/>
                </w:rPr>
                <w:t>Item 2.</w:t>
              </w:r>
            </w:hyperlink>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bdfcd9a9954e93ad9dca5484ad363d_118">
              <w:r>
                <w:rPr>
                  <w:rStyle w:val="InternetLink"/>
                  <w:rFonts w:ascii="Times New Roman;serif" w:hAnsi="Times New Roman;serif"/>
                  <w:b w:val="false"/>
                  <w:color w:val="0000FF"/>
                  <w:sz w:val="20"/>
                  <w:u w:val="single"/>
                </w:rPr>
                <w:t>Unregistered Sales of Equity Securities and Use of Proceeds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bdfcd9a9954e93ad9dca5484ad363d_118">
              <w:r>
                <w:rPr>
                  <w:rStyle w:val="InternetLink"/>
                  <w:rFonts w:ascii="Times New Roman;serif" w:hAnsi="Times New Roman;serif"/>
                  <w:b w:val="false"/>
                  <w:strike w:val="false"/>
                  <w:dstrike w:val="false"/>
                  <w:color w:val="000000"/>
                  <w:sz w:val="20"/>
                  <w:u w:val="none"/>
                  <w:effect w:val="none"/>
                </w:rPr>
                <w:t>39</w:t>
              </w:r>
            </w:hyperlink>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bdfcd9a9954e93ad9dca5484ad363d_121">
              <w:r>
                <w:rPr>
                  <w:rStyle w:val="InternetLink"/>
                  <w:rFonts w:ascii="Times New Roman;serif" w:hAnsi="Times New Roman;serif"/>
                  <w:b w:val="false"/>
                  <w:color w:val="0000FF"/>
                  <w:sz w:val="20"/>
                  <w:u w:val="single"/>
                </w:rPr>
                <w:t>Item 3.</w:t>
              </w:r>
            </w:hyperlink>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bdfcd9a9954e93ad9dca5484ad363d_121">
              <w:r>
                <w:rPr>
                  <w:rStyle w:val="InternetLink"/>
                  <w:rFonts w:ascii="Times New Roman;serif" w:hAnsi="Times New Roman;serif"/>
                  <w:b w:val="false"/>
                  <w:color w:val="0000FF"/>
                  <w:sz w:val="20"/>
                  <w:u w:val="single"/>
                </w:rPr>
                <w:t>Defaults Upon Senior Securities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bdfcd9a9954e93ad9dca5484ad363d_121">
              <w:r>
                <w:rPr>
                  <w:rStyle w:val="InternetLink"/>
                  <w:rFonts w:ascii="Times New Roman;serif" w:hAnsi="Times New Roman;serif"/>
                  <w:b w:val="false"/>
                  <w:strike w:val="false"/>
                  <w:dstrike w:val="false"/>
                  <w:color w:val="000000"/>
                  <w:sz w:val="20"/>
                  <w:u w:val="none"/>
                  <w:effect w:val="none"/>
                </w:rPr>
                <w:t>40</w:t>
              </w:r>
            </w:hyperlink>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bdfcd9a9954e93ad9dca5484ad363d_124">
              <w:r>
                <w:rPr>
                  <w:rStyle w:val="InternetLink"/>
                  <w:rFonts w:ascii="Times New Roman;serif" w:hAnsi="Times New Roman;serif"/>
                  <w:b w:val="false"/>
                  <w:color w:val="0000FF"/>
                  <w:sz w:val="20"/>
                  <w:u w:val="single"/>
                </w:rPr>
                <w:t>Item 4.</w:t>
              </w:r>
            </w:hyperlink>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bdfcd9a9954e93ad9dca5484ad363d_124">
              <w:r>
                <w:rPr>
                  <w:rStyle w:val="InternetLink"/>
                  <w:rFonts w:ascii="Times New Roman;serif" w:hAnsi="Times New Roman;serif"/>
                  <w:b w:val="false"/>
                  <w:color w:val="0000FF"/>
                  <w:sz w:val="20"/>
                  <w:u w:val="single"/>
                </w:rPr>
                <w:t>Mine Safety Disclosures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bdfcd9a9954e93ad9dca5484ad363d_124">
              <w:r>
                <w:rPr>
                  <w:rStyle w:val="InternetLink"/>
                  <w:rFonts w:ascii="Times New Roman;serif" w:hAnsi="Times New Roman;serif"/>
                  <w:b w:val="false"/>
                  <w:strike w:val="false"/>
                  <w:dstrike w:val="false"/>
                  <w:color w:val="000000"/>
                  <w:sz w:val="20"/>
                  <w:u w:val="none"/>
                  <w:effect w:val="none"/>
                </w:rPr>
                <w:t>40</w:t>
              </w:r>
            </w:hyperlink>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bdfcd9a9954e93ad9dca5484ad363d_127">
              <w:r>
                <w:rPr>
                  <w:rStyle w:val="InternetLink"/>
                  <w:rFonts w:ascii="Times New Roman;serif" w:hAnsi="Times New Roman;serif"/>
                  <w:b w:val="false"/>
                  <w:color w:val="0000FF"/>
                  <w:sz w:val="20"/>
                  <w:u w:val="single"/>
                </w:rPr>
                <w:t>Item 5.</w:t>
              </w:r>
            </w:hyperlink>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bdfcd9a9954e93ad9dca5484ad363d_127">
              <w:r>
                <w:rPr>
                  <w:rStyle w:val="InternetLink"/>
                  <w:rFonts w:ascii="Times New Roman;serif" w:hAnsi="Times New Roman;serif"/>
                  <w:b w:val="false"/>
                  <w:color w:val="0000FF"/>
                  <w:sz w:val="20"/>
                  <w:u w:val="single"/>
                </w:rPr>
                <w:t>Other Information</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bdfcd9a9954e93ad9dca5484ad363d_127">
              <w:r>
                <w:rPr>
                  <w:rStyle w:val="InternetLink"/>
                  <w:rFonts w:ascii="Times New Roman;serif" w:hAnsi="Times New Roman;serif"/>
                  <w:b w:val="false"/>
                  <w:strike w:val="false"/>
                  <w:dstrike w:val="false"/>
                  <w:color w:val="000000"/>
                  <w:sz w:val="20"/>
                  <w:u w:val="none"/>
                  <w:effect w:val="none"/>
                </w:rPr>
                <w:t>40</w:t>
              </w:r>
            </w:hyperlink>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bdfcd9a9954e93ad9dca5484ad363d_130">
              <w:r>
                <w:rPr>
                  <w:rStyle w:val="InternetLink"/>
                  <w:rFonts w:ascii="Times New Roman;serif" w:hAnsi="Times New Roman;serif"/>
                  <w:b w:val="false"/>
                  <w:color w:val="0000FF"/>
                  <w:sz w:val="20"/>
                  <w:u w:val="single"/>
                </w:rPr>
                <w:t>Item 6.</w:t>
              </w:r>
            </w:hyperlink>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bdfcd9a9954e93ad9dca5484ad363d_130">
              <w:r>
                <w:rPr>
                  <w:rStyle w:val="InternetLink"/>
                  <w:rFonts w:ascii="Times New Roman;serif" w:hAnsi="Times New Roman;serif"/>
                  <w:b w:val="false"/>
                  <w:color w:val="0000FF"/>
                  <w:sz w:val="20"/>
                  <w:u w:val="single"/>
                </w:rPr>
                <w:t>Exhibits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bdfcd9a9954e93ad9dca5484ad363d_130">
              <w:r>
                <w:rPr>
                  <w:rStyle w:val="InternetLink"/>
                  <w:rFonts w:ascii="Times New Roman;serif" w:hAnsi="Times New Roman;serif"/>
                  <w:b w:val="false"/>
                  <w:strike w:val="false"/>
                  <w:dstrike w:val="false"/>
                  <w:color w:val="000000"/>
                  <w:sz w:val="20"/>
                  <w:u w:val="none"/>
                  <w:effect w:val="none"/>
                </w:rPr>
                <w:t>41</w:t>
              </w:r>
            </w:hyperlink>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ebdfcd9a9954e93ad9dca5484ad363d_133">
              <w:r>
                <w:rPr>
                  <w:rStyle w:val="InternetLink"/>
                  <w:rFonts w:ascii="Times New Roman;serif" w:hAnsi="Times New Roman;serif"/>
                  <w:b w:val="false"/>
                  <w:color w:val="0000FF"/>
                  <w:sz w:val="20"/>
                  <w:u w:val="single"/>
                </w:rPr>
                <w:t>Signatures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bdfcd9a9954e93ad9dca5484ad363d_133">
              <w:r>
                <w:rPr>
                  <w:rStyle w:val="InternetLink"/>
                  <w:rFonts w:ascii="Times New Roman;serif" w:hAnsi="Times New Roman;serif"/>
                  <w:b w:val="false"/>
                  <w:strike w:val="false"/>
                  <w:dstrike w:val="false"/>
                  <w:color w:val="000000"/>
                  <w:sz w:val="20"/>
                  <w:u w:val="none"/>
                  <w:effect w:val="none"/>
                </w:rPr>
                <w:t>42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0" w:after="600"/>
        <w:jc w:val="left"/>
        <w:rPr/>
      </w:pPr>
      <w:hyperlink w:anchor="i0ebdfcd9a9954e93ad9dca5484ad36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Solana Company</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3137"/>
        <w:gridCol w:w="2179"/>
        <w:gridCol w:w="2146"/>
        <w:gridCol w:w="211"/>
        <w:gridCol w:w="826"/>
        <w:gridCol w:w="109"/>
        <w:gridCol w:w="109"/>
        <w:gridCol w:w="109"/>
        <w:gridCol w:w="109"/>
        <w:gridCol w:w="224"/>
        <w:gridCol w:w="880"/>
        <w:gridCol w:w="166"/>
      </w:tblGrid>
      <w:tr>
        <w:trPr/>
        <w:tc>
          <w:tcPr>
            <w:tcW w:w="3137"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7,282 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Digital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Digital assets collateral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31,155 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Digital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196,724 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Digital assets, restricted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39,219 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Digital assets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31,139 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Digital assets fund investment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5,617 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176,054 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303,929 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MEZZANINE AND STOCKHOLDERS’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3,016 </w:t>
            </w:r>
          </w:p>
        </w:tc>
        <w:tc>
          <w:tcPr>
            <w:tcW w:w="16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Mezzanine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 subject to possible redemption, $0.001 par value; 3,076,922 and 0 shares issued and outstanding, with an aggregate redemption value of $8,100 and $0 as of June 30, 2026 and December 31, 2025,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 $0.001 par value; 800,000,000 shares authorized; 60,354,067 shares issued and 57,416,984 outstanding as of June 30, 2026 and 43,744,207 shares issued and outstanding December 31, 2025 (excluding 3,076,922 and 0 shares subject to possible redemption as of June 30, 2026 and December 31, 2025,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513,857 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513,719 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at cost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(342,644)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(212,589)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165,645 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300,913 </w:t>
            </w:r>
          </w:p>
        </w:tc>
        <w:tc>
          <w:tcPr>
            <w:tcW w:w="16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mezzanine and stockholders' equity</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176,054 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303,929 </w:t>
            </w:r>
          </w:p>
        </w:tc>
        <w:tc>
          <w:tcPr>
            <w:tcW w:w="16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0" w:after="600"/>
        <w:jc w:val="left"/>
        <w:rPr/>
      </w:pPr>
      <w:hyperlink w:anchor="i0ebdfcd9a9954e93ad9dca5484ad36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Solana Company</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 Condensed Consolidated Statements of Operations and Comprehensive Loss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846"/>
        <w:gridCol w:w="1561"/>
        <w:gridCol w:w="1563"/>
        <w:gridCol w:w="211"/>
        <w:gridCol w:w="787"/>
        <w:gridCol w:w="109"/>
        <w:gridCol w:w="109"/>
        <w:gridCol w:w="109"/>
        <w:gridCol w:w="109"/>
        <w:gridCol w:w="211"/>
        <w:gridCol w:w="787"/>
        <w:gridCol w:w="109"/>
        <w:gridCol w:w="211"/>
        <w:gridCol w:w="892"/>
        <w:gridCol w:w="109"/>
        <w:gridCol w:w="109"/>
        <w:gridCol w:w="109"/>
        <w:gridCol w:w="109"/>
        <w:gridCol w:w="211"/>
        <w:gridCol w:w="787"/>
        <w:gridCol w:w="157"/>
      </w:tblGrid>
      <w:tr>
        <w:trPr/>
        <w:tc>
          <w:tcPr>
            <w:tcW w:w="18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26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21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10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Staking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998"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2,526 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6,147 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7"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(loss)</w:t>
            </w:r>
          </w:p>
        </w:tc>
        <w:tc>
          <w:tcPr>
            <w:tcW w:w="9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expenses</w:t>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digital assets and digital assets receivable</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on digital assets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digital assets fund investment</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digital asset derivatives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expenses</w:t>
            </w:r>
          </w:p>
        </w:tc>
        <w:tc>
          <w:tcPr>
            <w:tcW w:w="998"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35,122 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138,181 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7,208 </w:t>
            </w:r>
          </w:p>
        </w:tc>
        <w:tc>
          <w:tcPr>
            <w:tcW w:w="15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(32,673)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(132,291)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(7,333)</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Nonoperating income (expense)</w:t>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liability</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(5,919)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costs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income (expense), net</w:t>
            </w:r>
          </w:p>
        </w:tc>
        <w:tc>
          <w:tcPr>
            <w:tcW w:w="9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(6,511)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(6,338)</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9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(9,833)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(130,055)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(13,671)</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998"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(30,256)</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(9,833)</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(130,055)</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(13,671)</w:t>
            </w:r>
          </w:p>
        </w:tc>
        <w:tc>
          <w:tcPr>
            <w:tcW w:w="15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loss</w:t>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(29,985)</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(10,410)</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(129,567)</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(14,299)</w:t>
            </w:r>
          </w:p>
        </w:tc>
        <w:tc>
          <w:tcPr>
            <w:tcW w:w="157"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per share</w:t>
            </w:r>
          </w:p>
        </w:tc>
        <w:tc>
          <w:tcPr>
            <w:tcW w:w="11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(201.55)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number of common shares outstanding</w:t>
            </w:r>
          </w:p>
        </w:tc>
        <w:tc>
          <w:tcPr>
            <w:tcW w:w="11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107"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79,756,908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123,335</w:t>
            </w:r>
          </w:p>
        </w:tc>
        <w:tc>
          <w:tcPr>
            <w:tcW w:w="1212"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78,254,877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67,828</w:t>
            </w:r>
          </w:p>
        </w:tc>
      </w:tr>
    </w:tbl>
    <w:p>
      <w:pPr>
        <w:pStyle w:val="TextBody"/>
        <w:bidi w:val="0"/>
        <w:spacing w:lineRule="auto" w:line="288" w:before="0" w:after="4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0" w:after="600"/>
        <w:jc w:val="left"/>
        <w:rPr/>
      </w:pPr>
      <w:hyperlink w:anchor="i0ebdfcd9a9954e93ad9dca5484ad36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Solana Company</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 Condensed Consolidated Statements of Mezzanine and Stockholders’ Equity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thousands, except share data)</w:t>
      </w:r>
    </w:p>
    <w:tbl>
      <w:tblPr>
        <w:tblW w:w="14811" w:type="dxa"/>
        <w:jc w:val="left"/>
        <w:tblInd w:w="0" w:type="dxa"/>
        <w:tblLayout w:type="fixed"/>
        <w:tblCellMar>
          <w:top w:w="28" w:type="dxa"/>
          <w:left w:w="28" w:type="dxa"/>
          <w:bottom w:w="28" w:type="dxa"/>
          <w:right w:w="28" w:type="dxa"/>
        </w:tblCellMar>
      </w:tblPr>
      <w:tblGrid>
        <w:gridCol w:w="834"/>
        <w:gridCol w:w="258"/>
        <w:gridCol w:w="259"/>
        <w:gridCol w:w="344"/>
        <w:gridCol w:w="344"/>
        <w:gridCol w:w="348"/>
        <w:gridCol w:w="109"/>
        <w:gridCol w:w="109"/>
        <w:gridCol w:w="109"/>
        <w:gridCol w:w="221"/>
        <w:gridCol w:w="361"/>
        <w:gridCol w:w="109"/>
        <w:gridCol w:w="109"/>
        <w:gridCol w:w="109"/>
        <w:gridCol w:w="109"/>
        <w:gridCol w:w="211"/>
        <w:gridCol w:w="826"/>
        <w:gridCol w:w="109"/>
        <w:gridCol w:w="109"/>
        <w:gridCol w:w="109"/>
        <w:gridCol w:w="109"/>
        <w:gridCol w:w="309"/>
        <w:gridCol w:w="309"/>
        <w:gridCol w:w="313"/>
        <w:gridCol w:w="109"/>
        <w:gridCol w:w="109"/>
        <w:gridCol w:w="109"/>
        <w:gridCol w:w="211"/>
        <w:gridCol w:w="631"/>
        <w:gridCol w:w="109"/>
        <w:gridCol w:w="109"/>
        <w:gridCol w:w="109"/>
        <w:gridCol w:w="109"/>
        <w:gridCol w:w="211"/>
        <w:gridCol w:w="841"/>
        <w:gridCol w:w="109"/>
        <w:gridCol w:w="109"/>
        <w:gridCol w:w="109"/>
        <w:gridCol w:w="109"/>
        <w:gridCol w:w="326"/>
        <w:gridCol w:w="720"/>
        <w:gridCol w:w="170"/>
        <w:gridCol w:w="109"/>
        <w:gridCol w:w="109"/>
        <w:gridCol w:w="109"/>
        <w:gridCol w:w="211"/>
        <w:gridCol w:w="826"/>
        <w:gridCol w:w="109"/>
        <w:gridCol w:w="109"/>
        <w:gridCol w:w="109"/>
        <w:gridCol w:w="109"/>
        <w:gridCol w:w="109"/>
        <w:gridCol w:w="109"/>
        <w:gridCol w:w="109"/>
        <w:gridCol w:w="309"/>
        <w:gridCol w:w="309"/>
        <w:gridCol w:w="313"/>
        <w:gridCol w:w="109"/>
        <w:gridCol w:w="109"/>
        <w:gridCol w:w="109"/>
        <w:gridCol w:w="211"/>
        <w:gridCol w:w="616"/>
        <w:gridCol w:w="154"/>
      </w:tblGrid>
      <w:tr>
        <w:trPr/>
        <w:tc>
          <w:tcPr>
            <w:tcW w:w="83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Mezzanine Equity</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Other</w:t>
              <w:br/>
              <w:t>Comprehensive</w:t>
              <w:b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Redeemable</w:t>
              <w:br/>
              <w:t>Class A Common Stock</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shd w:fill="FFFFFF" w:val="clear"/>
            <w:tcMar>
              <w:top w:w="52"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shd w:fill="FFFFFF" w:val="clear"/>
            <w:tcMar>
              <w:top w:w="52"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shd w:fill="FFFFFF" w:val="clear"/>
            <w:tcMar>
              <w:top w:w="52"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April 1, 2026</w:t>
            </w:r>
          </w:p>
        </w:tc>
        <w:tc>
          <w:tcPr>
            <w:tcW w:w="103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56,565,079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513,796 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(3,524)</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(312,388)</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7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197,897 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registered direct offering</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3,076,922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1,333,112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warrants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2,666,910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restricted stock units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1,122,078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1036"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60,354,067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513,857 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2,937,083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(5,855)</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(342,644)</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7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165,645 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3,076,922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4,043 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414" w:type="dxa"/>
        <w:jc w:val="left"/>
        <w:tblInd w:w="0" w:type="dxa"/>
        <w:tblLayout w:type="fixed"/>
        <w:tblCellMar>
          <w:top w:w="28" w:type="dxa"/>
          <w:left w:w="28" w:type="dxa"/>
          <w:bottom w:w="28" w:type="dxa"/>
          <w:right w:w="28" w:type="dxa"/>
        </w:tblCellMar>
      </w:tblPr>
      <w:tblGrid>
        <w:gridCol w:w="834"/>
        <w:gridCol w:w="258"/>
        <w:gridCol w:w="259"/>
        <w:gridCol w:w="258"/>
        <w:gridCol w:w="258"/>
        <w:gridCol w:w="265"/>
        <w:gridCol w:w="109"/>
        <w:gridCol w:w="109"/>
        <w:gridCol w:w="109"/>
        <w:gridCol w:w="211"/>
        <w:gridCol w:w="406"/>
        <w:gridCol w:w="109"/>
        <w:gridCol w:w="109"/>
        <w:gridCol w:w="109"/>
        <w:gridCol w:w="109"/>
        <w:gridCol w:w="211"/>
        <w:gridCol w:w="826"/>
        <w:gridCol w:w="109"/>
        <w:gridCol w:w="109"/>
        <w:gridCol w:w="109"/>
        <w:gridCol w:w="109"/>
        <w:gridCol w:w="315"/>
        <w:gridCol w:w="316"/>
        <w:gridCol w:w="196"/>
        <w:gridCol w:w="109"/>
        <w:gridCol w:w="109"/>
        <w:gridCol w:w="109"/>
        <w:gridCol w:w="211"/>
        <w:gridCol w:w="616"/>
        <w:gridCol w:w="109"/>
        <w:gridCol w:w="109"/>
        <w:gridCol w:w="109"/>
        <w:gridCol w:w="109"/>
        <w:gridCol w:w="211"/>
        <w:gridCol w:w="841"/>
        <w:gridCol w:w="109"/>
        <w:gridCol w:w="109"/>
        <w:gridCol w:w="109"/>
        <w:gridCol w:w="109"/>
        <w:gridCol w:w="320"/>
        <w:gridCol w:w="730"/>
        <w:gridCol w:w="166"/>
        <w:gridCol w:w="109"/>
        <w:gridCol w:w="109"/>
        <w:gridCol w:w="109"/>
        <w:gridCol w:w="211"/>
        <w:gridCol w:w="616"/>
        <w:gridCol w:w="154"/>
      </w:tblGrid>
      <w:tr>
        <w:trPr/>
        <w:tc>
          <w:tcPr>
            <w:tcW w:w="83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 to be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April 1, 2025</w:t>
            </w:r>
          </w:p>
        </w:tc>
        <w:tc>
          <w:tcPr>
            <w:tcW w:w="781"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174,692 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(175,537)</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6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public offering</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warrants in public offering</w:t>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 issuance costs</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warrants</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618,342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781"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680,475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191,690 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(185,370)</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16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6,026 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0" w:after="600"/>
        <w:jc w:val="left"/>
        <w:rPr/>
      </w:pPr>
      <w:hyperlink w:anchor="i0ebdfcd9a9954e93ad9dca5484ad36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Solana Company</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 Condensed Consolidated Statements of Mezzanine and Stockholders’ Equity</w:t>
      </w:r>
    </w:p>
    <w:p>
      <w:pPr>
        <w:pStyle w:val="TextBody"/>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(in thousands, except share data)</w:t>
      </w:r>
    </w:p>
    <w:tbl>
      <w:tblPr>
        <w:tblW w:w="14811" w:type="dxa"/>
        <w:jc w:val="left"/>
        <w:tblInd w:w="0" w:type="dxa"/>
        <w:tblLayout w:type="fixed"/>
        <w:tblCellMar>
          <w:top w:w="28" w:type="dxa"/>
          <w:left w:w="28" w:type="dxa"/>
          <w:bottom w:w="28" w:type="dxa"/>
          <w:right w:w="28" w:type="dxa"/>
        </w:tblCellMar>
      </w:tblPr>
      <w:tblGrid>
        <w:gridCol w:w="814"/>
        <w:gridCol w:w="268"/>
        <w:gridCol w:w="269"/>
        <w:gridCol w:w="344"/>
        <w:gridCol w:w="344"/>
        <w:gridCol w:w="348"/>
        <w:gridCol w:w="109"/>
        <w:gridCol w:w="109"/>
        <w:gridCol w:w="109"/>
        <w:gridCol w:w="221"/>
        <w:gridCol w:w="361"/>
        <w:gridCol w:w="109"/>
        <w:gridCol w:w="109"/>
        <w:gridCol w:w="109"/>
        <w:gridCol w:w="109"/>
        <w:gridCol w:w="211"/>
        <w:gridCol w:w="826"/>
        <w:gridCol w:w="109"/>
        <w:gridCol w:w="109"/>
        <w:gridCol w:w="109"/>
        <w:gridCol w:w="109"/>
        <w:gridCol w:w="309"/>
        <w:gridCol w:w="309"/>
        <w:gridCol w:w="313"/>
        <w:gridCol w:w="109"/>
        <w:gridCol w:w="109"/>
        <w:gridCol w:w="109"/>
        <w:gridCol w:w="211"/>
        <w:gridCol w:w="631"/>
        <w:gridCol w:w="109"/>
        <w:gridCol w:w="109"/>
        <w:gridCol w:w="109"/>
        <w:gridCol w:w="109"/>
        <w:gridCol w:w="211"/>
        <w:gridCol w:w="841"/>
        <w:gridCol w:w="109"/>
        <w:gridCol w:w="109"/>
        <w:gridCol w:w="109"/>
        <w:gridCol w:w="109"/>
        <w:gridCol w:w="320"/>
        <w:gridCol w:w="730"/>
        <w:gridCol w:w="166"/>
        <w:gridCol w:w="109"/>
        <w:gridCol w:w="109"/>
        <w:gridCol w:w="109"/>
        <w:gridCol w:w="211"/>
        <w:gridCol w:w="826"/>
        <w:gridCol w:w="109"/>
        <w:gridCol w:w="109"/>
        <w:gridCol w:w="109"/>
        <w:gridCol w:w="109"/>
        <w:gridCol w:w="109"/>
        <w:gridCol w:w="109"/>
        <w:gridCol w:w="109"/>
        <w:gridCol w:w="309"/>
        <w:gridCol w:w="309"/>
        <w:gridCol w:w="313"/>
        <w:gridCol w:w="109"/>
        <w:gridCol w:w="109"/>
        <w:gridCol w:w="109"/>
        <w:gridCol w:w="211"/>
        <w:gridCol w:w="616"/>
        <w:gridCol w:w="154"/>
      </w:tblGrid>
      <w:tr>
        <w:trPr/>
        <w:tc>
          <w:tcPr>
            <w:tcW w:w="81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7" w:type="dxa"/>
            <w:gridSpan w:val="4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Mezzanine Equity</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Other</w:t>
              <w:br/>
              <w:t>Comprehensive</w:t>
              <w:b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Redeemable</w:t>
              <w:br/>
              <w:t>Class A Common Stock</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shd w:fill="FFFFFF" w:val="clear"/>
            <w:tcMar>
              <w:top w:w="52"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shd w:fill="FFFFFF" w:val="clear"/>
            <w:tcMar>
              <w:top w:w="52"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shd w:fill="FFFFFF" w:val="clear"/>
            <w:tcMar>
              <w:top w:w="52"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January 1, 2026</w:t>
            </w:r>
          </w:p>
        </w:tc>
        <w:tc>
          <w:tcPr>
            <w:tcW w:w="103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43,744,207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513,719 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(212,589)</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16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300,913 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registered direct offering</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3,076,922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2,937,083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warrants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15,487,782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restricted stock units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1,122,078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(130,055)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(130,055)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1036"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60,354,067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513,857 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2,937,083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(5,855)</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(342,644)</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6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165,645 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3,076,922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4,043 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47"/>
        <w:gridCol w:w="671"/>
        <w:gridCol w:w="674"/>
        <w:gridCol w:w="258"/>
        <w:gridCol w:w="258"/>
        <w:gridCol w:w="265"/>
        <w:gridCol w:w="123"/>
        <w:gridCol w:w="123"/>
        <w:gridCol w:w="123"/>
        <w:gridCol w:w="239"/>
        <w:gridCol w:w="460"/>
        <w:gridCol w:w="123"/>
        <w:gridCol w:w="109"/>
        <w:gridCol w:w="109"/>
        <w:gridCol w:w="109"/>
        <w:gridCol w:w="211"/>
        <w:gridCol w:w="826"/>
        <w:gridCol w:w="109"/>
        <w:gridCol w:w="109"/>
        <w:gridCol w:w="109"/>
        <w:gridCol w:w="109"/>
        <w:gridCol w:w="211"/>
        <w:gridCol w:w="867"/>
        <w:gridCol w:w="109"/>
        <w:gridCol w:w="109"/>
        <w:gridCol w:w="109"/>
        <w:gridCol w:w="109"/>
        <w:gridCol w:w="320"/>
        <w:gridCol w:w="730"/>
        <w:gridCol w:w="166"/>
        <w:gridCol w:w="109"/>
        <w:gridCol w:w="109"/>
        <w:gridCol w:w="109"/>
        <w:gridCol w:w="211"/>
        <w:gridCol w:w="616"/>
        <w:gridCol w:w="157"/>
      </w:tblGrid>
      <w:tr>
        <w:trPr/>
        <w:tc>
          <w:tcPr>
            <w:tcW w:w="1047"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69"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January 1, 2025</w:t>
            </w:r>
          </w:p>
        </w:tc>
        <w:tc>
          <w:tcPr>
            <w:tcW w:w="781"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4,936</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172,425 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(171,699)</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6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15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public offering</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54,125</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warrants in public offering</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 issuance costs</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warrants, net of issuance costs</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621,414</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12,955 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(13,671)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781"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680,475</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191,690 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(185,370)</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16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6,026 </w:t>
            </w:r>
          </w:p>
        </w:tc>
        <w:tc>
          <w:tcPr>
            <w:tcW w:w="15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0" w:after="600"/>
        <w:jc w:val="left"/>
        <w:rPr/>
      </w:pPr>
      <w:hyperlink w:anchor="i0ebdfcd9a9954e93ad9dca5484ad36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Solana Company</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 Condensed Consolidated Statements of Cash Flows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9354" w:type="dxa"/>
        <w:jc w:val="left"/>
        <w:tblInd w:w="0" w:type="dxa"/>
        <w:tblLayout w:type="fixed"/>
        <w:tblCellMar>
          <w:top w:w="28" w:type="dxa"/>
          <w:left w:w="28" w:type="dxa"/>
          <w:bottom w:w="28" w:type="dxa"/>
          <w:right w:w="28" w:type="dxa"/>
        </w:tblCellMar>
      </w:tblPr>
      <w:tblGrid>
        <w:gridCol w:w="2478"/>
        <w:gridCol w:w="2172"/>
        <w:gridCol w:w="2190"/>
        <w:gridCol w:w="196"/>
        <w:gridCol w:w="811"/>
        <w:gridCol w:w="109"/>
        <w:gridCol w:w="109"/>
        <w:gridCol w:w="109"/>
        <w:gridCol w:w="109"/>
        <w:gridCol w:w="196"/>
        <w:gridCol w:w="721"/>
        <w:gridCol w:w="154"/>
      </w:tblGrid>
      <w:tr>
        <w:trPr/>
        <w:tc>
          <w:tcPr>
            <w:tcW w:w="2478"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(130,055)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(13,671)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discount and imputed 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Staking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business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derivative liability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digital assets and digital assets receivable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fair value of digital assets fund investment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loss on sale of digital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digital asset derivatives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 and other current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current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(16,723)</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(6,293)</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Digital assets purchased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Digital assets sold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posted as derivative margin collateral</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returned from derivative margin collateral</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digital asset derivative contracts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digital asset derivative contracts and settlements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sale of business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Deposit on acquisition of business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investing activities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10,942 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in registered direct offering</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issuances of common stock in ATM</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issuances of common stock and common stock warrants in private placement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9,364 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warrants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Share issuance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notes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notes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2,146 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11,283 </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increase in cash and cash equivalents</w:t>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(3,635)</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4,990 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end of period</w:t>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3,647 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6,078 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cash flow information</w:t>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investing and financing transactions: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SOL transferred from digital assets receivable to digital assets upon restricted SOL unlock</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SOL distributed from digital asset fund investment to digital assets upon restricted SOL unlock</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SOL transferred from digital assets to digital asset receivable as margin collateral</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SOL transferred from digital assets receivable to digital assets upon return of margin collateral</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warrant liability reclassified to equity on exercise of warrants    </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offering costs reclassified to equity upon public offering</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Share issuance costs included in 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0" w:after="600"/>
        <w:jc w:val="left"/>
        <w:rPr/>
      </w:pPr>
      <w:hyperlink w:anchor="i0ebdfcd9a9954e93ad9dca5484ad36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Solana Company</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    OVERVIEW</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Background and Nature of Business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Solana Company (the “Company” or “we”) is a listed digital asset treasury (“DAT”) dedicated to acquiring and holding Solana tokens (“SOL”). Solana Company’s DAT objective is to maximize SOL per share through strategic use of capital markets and on-chain opportunities, offering public market investors direct exposure to Solana.</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Liquidity and Management’s Plans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of this Quarterly Report on Form 10-Q (“10-Q”) have been prepared assuming the Company will continue as a going concern, which contemplates, among other things, the realization of assets and satisfaction of liabilities in the ordinary course of business. The Company had an accumulated deficit of $342.6 million and working capital of $26.6 million, including $21.0 million of digital assets classified as current assets that can be readily liquidated as needed, as of June 30, 2026, incurred a net loss of $130.1 million and used $16.7 million of cash in operating activities during the six months ended June 30, 2026. The Company had a cash balance of approximately $3.6 million at June 30, 2026. Based on our forecasted cash flows, the Company believes its existing cash balance and working capital will be sufficient to meet its liquidity needs for at least the next twelve months.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financial condition is substantially dependent on the market price and liquidity of SOL, which are subject to extreme volatility and limited trading venues. Substantially all of the Company’s treasury assets are concentrated in SOL, the native cryptocurrency of the Solana protocol, or exposed to SOL indirectly. SOL has experienced significant price volatility, and the Company’s financial results and carrying value of its digital assets, digital assets, restricted, digital assets receivable and digital asset fund investment will fluctuate materially based on SOL price movements. The Company depends on the continued success and adoption of the Solana protocol for the value of its treasury holdings. While the Company plans to hold its digital assets as part of a long-term treasury strategy and to deploy its assets for productive purposes including staking, the Company’s management has the discretion and ability to sell its digital assets as needed to cover liquidity obligations. The Company’s ability to liquidate SOL to meet its obligations is subject to the liquidity of SOL and the SOL market price, and there is no guarantee that the Company will be able to liquidate SOL at all or at terms that are preferable to the Company.</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Sale of PoNS Assets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April 8, 2026, the Company entered into and closed a purchase and sale agreement with Bioness Medical, Inc. (the “Buyer”), pursuant to which the Company sold the assets related to its Portable Neuromodulation Stimulator ("PoNS") business to the Buyer (the “PoNS Asset Sale”), and the Buyer assumed certain liabilities related to the PoNS business. The purchase price of the PoNS Asset Sale consisted of an upfront payment of $5.0 million, and the right to receive post-closing cash earnout payments of up to $20.0 million in the aggregate based on a specified formula that takes into account the revenues of the PoNS business through the 2028 fiscal year. Transaction costs for the PoNS Asset Sale were $0.8 million resulting in net cash proceeds of $4.2 million. After deducting the net assets of the PoNS business held immediately prior to the closing of $1.1 million, the resulting gain on the PoNS Asset Sale was $3.1 million.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connection with the PoNS Asset Sale, in April 2026, the Company terminated the employment of certain employees supporting the PoNS business, for which severance was offered and paid to such employees totaling $1.4 million. On May 12, 2026, the Company entered into separation agreements with the Company's former Chief Executive Officer and former Chief Financial Officer and it paid lump-sum severance of $3.0 million and $2.4 million, respectively. Together with the $1.4 million of PoNS-related severance described above, severance expense was $6.8 million and presented in "General and administrative expenses" in the unaudited condensed consolidated statement of operations and comprehensive loss for each of the three and six months ended June 30, 2026. The agreements did not accelerate or otherwise modify the former officers' equity awards; vested options remain exercisable under their original terms and unvested awards were forfeited as of the separation date. See Note 10.</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0" w:after="600"/>
        <w:jc w:val="left"/>
        <w:rPr/>
      </w:pPr>
      <w:hyperlink w:anchor="i0ebdfcd9a9954e93ad9dca5484ad36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24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Basis of presentation</w:t>
      </w:r>
    </w:p>
    <w:p>
      <w:pPr>
        <w:pStyle w:val="TextBody"/>
        <w:bidi w:val="0"/>
        <w:spacing w:lineRule="auto" w:line="288" w:before="0" w:after="240"/>
        <w:jc w:val="left"/>
        <w:rPr/>
      </w:pPr>
      <w:r>
        <w:rPr>
          <w:rFonts w:ascii="Times New Roman;serif" w:hAnsi="Times New Roman;serif"/>
          <w:b w:val="false"/>
          <w:color w:val="000000"/>
          <w:sz w:val="20"/>
          <w:shd w:fill="FFFFFF" w:val="clear"/>
        </w:rPr>
        <w:t xml:space="preserve">The accompanying unaudited condensed consolidated financial statements have been prepared in accordance with accounting principles generally accepted in the United States of America (“U.S. GAAP”) for interim financial information and with the instructions to Form 10-Q and Article 8 of Regulation S-X. Accordingly, they do not include all of the information and disclosures required by U.S. GAAP for complete financial statements. In the opinion of management, such statements include all adjustments (consisting only of normal recurring items) which are considered necessary for a fair presentation of the unaudited condensed consolidated financial statements of the Company as of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for the three and six months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2025. The results of operations for the three and six months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are not necessarily indicative of the operating results for the full year ending December 31, 2026 or any other period. These unaudited condensed consolidated financial statements should be read in conjunction with the audited financial statements and related disclosures of the Company as of December 31, 2025 and for the year then ended, which were included in the Company’s Annual Report on Form 10-K for the year ended December 31, 2025, filed with the Securities and Exchange Commission (“SEC”) on </w:t>
      </w:r>
      <w:r>
        <w:rPr>
          <w:rFonts w:ascii="Times New Roman;serif" w:hAnsi="Times New Roman;serif"/>
          <w:b w:val="false"/>
          <w:color w:val="000000"/>
          <w:sz w:val="20"/>
        </w:rPr>
        <w:t>March 31, 2026</w:t>
      </w:r>
      <w:r>
        <w:rPr>
          <w:color w:val="000000"/>
          <w:shd w:fill="FFFFFF" w:val="clear"/>
        </w:rPr>
        <w:t xml:space="preserve"> </w:t>
      </w:r>
      <w:r>
        <w:rPr>
          <w:rFonts w:ascii="Times New Roman;serif" w:hAnsi="Times New Roman;serif"/>
          <w:b w:val="false"/>
          <w:color w:val="000000"/>
          <w:sz w:val="20"/>
          <w:shd w:fill="FFFFFF" w:val="clear"/>
        </w:rPr>
        <w:t>(the “2025 Form 10-K”).</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Accounting Estimates</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preparation of the Company’s condensed consolidated financial statements in conformity with GAAP requires management to make estimates and assumptions that affect the reported amounts of assets and liabilities at the date of the financial statements and the reported amounts of revenues and expenses during the reporting periods. Actual results could differ from those estimates and assumptions. Within this report, certain dollar amounts and percentages have been rounded to their approximate values.</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Reclassifications</w:t>
      </w:r>
    </w:p>
    <w:p>
      <w:pPr>
        <w:pStyle w:val="TextBody"/>
        <w:bidi w:val="0"/>
        <w:spacing w:lineRule="auto" w:line="288" w:before="0" w:after="2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Certain amounts recorded in the prior period unaudited condensed consolidated financial statements have been reclassified to conform to the current period financial statement presentation. These reclassifications had no effect on previously reported operating results.</w:t>
      </w:r>
    </w:p>
    <w:p>
      <w:pPr>
        <w:pStyle w:val="TextBody"/>
        <w:bidi w:val="0"/>
        <w:spacing w:lineRule="auto" w:line="288" w:before="0" w:after="20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Reverse Stock Splits</w:t>
      </w:r>
    </w:p>
    <w:p>
      <w:pPr>
        <w:pStyle w:val="TextBody"/>
        <w:bidi w:val="0"/>
        <w:spacing w:lineRule="auto" w:line="288" w:before="0" w:after="2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April 21, 2025, at the annual meeting of stockholders the stockholders of the Company approved a potential reverse stock split at a ratio of 1-to-2 to 1-to-30. The Board subsequently approved a reverse stock split of 1-for-15, which became effective on May 2, 2025 (the “May 2025 Reverse Stock Split”).</w:t>
      </w:r>
    </w:p>
    <w:p>
      <w:pPr>
        <w:pStyle w:val="TextBody"/>
        <w:bidi w:val="0"/>
        <w:spacing w:lineRule="auto" w:line="288" w:before="0" w:after="2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May 23, 2025, at a special meeting of stockholders the stockholders of the Company approved a potential reverse stock split at a ratio of 1-to-2 to 1-to-250. The Board subsequently approved a reverse stock split of 1-for-50, which became effective on July 1, 2025 (the “July 2025 Reverse Stock Split” and together with the May 2025 Reverse Stock Split, the “Reverse Stock Splits”).</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All issued and outstanding Class A common stock and per share amounts contained in the unaudited condensed consolidated financial statements have been retroactively adjusted to reflect the Reverse Stock Splits for all periods presented. In addition, a proportionate adjustment was made to the per share exercise price and the number of shares issuable upon the exercise of all outstanding stock options and warrants to purchase shares of Class A common stock. A proportionate adjustment was also made to the number of shares reserved for issuance pursuant to the Company’s equity incentive compensation plans to reflect the Reverse Stock Splits. Any fraction of a share of Class A common stock that was created as a result of the Reverse Stock Splits was rounded down to the next whole share and stockholders received cash settlement equal to the market value of the fractional share, determined by multiplying such fraction by the closing sales price of the Company’s Class A common stock as reported on Nasdaq on the last trading day before the Reverse Stock Splits effective dates. The authorized shares and par value of the Class A common stock and preferred stock were not adjusted as a result of the Reverse Stock Splits.</w:t>
      </w:r>
    </w:p>
    <w:p>
      <w:pPr>
        <w:pStyle w:val="TextBody"/>
        <w:bidi w:val="0"/>
        <w:spacing w:lineRule="auto" w:line="288" w:before="0" w:after="20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Treasury Stock</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accounts for treasury stock using the cost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0" w:after="600"/>
        <w:jc w:val="left"/>
        <w:rPr/>
      </w:pPr>
      <w:hyperlink w:anchor="i0ebdfcd9a9954e93ad9dca5484ad36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Mezzanine Equity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applies the guidance in Accounting Standards Codification (“ASC") 480-10-S99, Classification and Measurement of Redeemable Securities, to determine the appropriate classification of redeemable equity instruments. Shares of Class A common stock that are redeemable upon the occurrence of events that are not solely within the control of the Company are classified as mezzanine equity, presented on the unaudited condensed consolidated balance sheets between total liabilities and permanent stockholders' equity.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Mezzanine equity is initially measured at the gross proceeds allocated to the redeemable shares, reduced by (i) the fair value of the associated put option derivative liability recognized at inception and (ii) direct share issuance costs allocated to the redeemable shares. The carrying value of the mezzanine equity is accreted toward the contractual redemption value to the extent that the combined carrying value of the mezzanine equity and the associated put option derivative liability is less than the accreted contractual redemption value at the reporting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Option Contracts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option contracts are freestanding derivative instruments and have not been designated under hedge accounting. Premiums received at options contract inception are initially recorded on the unaudited condensed consolidated balance sheets, and subsequently reflected in earnings consistent with the subsequent fair value changes of the related options. The fair value of these written options is measured using standard option-pricing models incorporating SOL spot prices, time to expiration, and volatility. Because no observable market implied-volatility surface for SOL is available, volatility is estimated using trailing realized volatility of SOL and is not corroborated by observable market data. Accordingly, the options are classified as Level 3 within the fair value hierarchy. Changes in the fair value of the options are recognized on the unaudited condensed consolidated statements of operations and comprehensive loss within “Loss on digital asset derivatives”. Outstanding derivative liabilities as of June 30, 2026 are presented on the condensed balance sheets within "Accrued and other current liabilities".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Premiums received and paid on option contracts, cash settlements of option contracts, and cash posted and returned as margin collateral are presented within investing activities on the unaudited condensed consolidated statements of cash flows. Changes in the fair value of the options are non-cash and are reversed in the reconciliation of net loss to net cash used in operating activities.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Segment Information</w:t>
      </w:r>
    </w:p>
    <w:p>
      <w:pPr>
        <w:pStyle w:val="TextBody"/>
        <w:bidi w:val="0"/>
        <w:spacing w:lineRule="auto" w:line="268" w:before="0" w:after="0"/>
        <w:jc w:val="left"/>
        <w:rPr/>
      </w:pPr>
      <w:r>
        <w:rPr>
          <w:rFonts w:ascii="Times New Roman;serif" w:hAnsi="Times New Roman;serif"/>
          <w:b w:val="false"/>
          <w:color w:val="000000"/>
          <w:sz w:val="20"/>
          <w:shd w:fill="FFFFFF" w:val="clear"/>
        </w:rPr>
        <w:t xml:space="preserve">Operating segments are components of an enterprise for which separate financial information is available and are evaluated regularly by the Company’s chief operating decision maker (“CODM”) in deciding how to allocate resources and assessing performance. The Company’s CODM is its </w:t>
      </w:r>
      <w:r>
        <w:rPr>
          <w:rFonts w:ascii="Times New Roman;serif" w:hAnsi="Times New Roman;serif"/>
          <w:b w:val="false"/>
          <w:color w:val="000000"/>
          <w:sz w:val="20"/>
        </w:rPr>
        <w:t>Chief Executive Officer</w:t>
      </w:r>
      <w:r>
        <w:rPr>
          <w:rFonts w:ascii="Times New Roman;serif" w:hAnsi="Times New Roman;serif"/>
          <w:b w:val="false"/>
          <w:color w:val="000000"/>
          <w:sz w:val="20"/>
          <w:shd w:fill="FFFFFF" w:val="clear"/>
        </w:rPr>
        <w:t xml:space="preserve">. The Company’s </w:t>
      </w:r>
      <w:r>
        <w:rPr>
          <w:rFonts w:ascii="Times New Roman;serif" w:hAnsi="Times New Roman;serif"/>
          <w:b w:val="false"/>
          <w:color w:val="000000"/>
          <w:sz w:val="20"/>
        </w:rPr>
        <w:t xml:space="preserve">Chief Executive Officer </w:t>
      </w:r>
      <w:r>
        <w:rPr>
          <w:rFonts w:ascii="Times New Roman;serif" w:hAnsi="Times New Roman;serif"/>
          <w:b w:val="false"/>
          <w:color w:val="000000"/>
          <w:sz w:val="20"/>
          <w:shd w:fill="FFFFFF" w:val="clear"/>
        </w:rPr>
        <w:t>views the Company’s operations and manages its business based solely on consolidated financial results and does not evaluate these operating segments separately, therefore, the Company has a single reporting segment and the determination of the single segment is consistent with the information provided to the CODM. The CODM reviews assets as presented on the consolidated balance sheets and reviews significant segment expenses in the same manner that they are reviewed on the consolidated statement of operations and comprehensive loss.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Recent Accounting Pronouncements Not Yet Adopted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Accounting Standards Update (“ASU”) 2024-03, Income Statement—Reporting Comprehensive Income—Expense Disaggregation Disclosures (Subtopic 220-40): Disaggregation of Income Statement Expenses (“ASU 2024-03”). ASU 2024-03 requires interim and annual tabular disclosure of disaggregated information for certain income statement expense captions. Specific expense categories required to be disclosed quantitatively include inventory purchases, employee compensation, depreciation, and intangible asset amortization, as well as other specified expense categories currently disclosed under existing disclosure requirements. Additionally, any remaining amounts that are not separately disaggregated are required to be described qualitatively. ASU 2024-03 also requires separate disclosure of total selling expenses incurred each reporting period, with annual disclosure of the entity's definition of selling expenses. The annual disclosures required by ASU 2024-03 are effective for the Company beginning in its fiscal year ending December 31, 2027, with interim disclosures effective beginning in its fiscal year ending December 31, 2028. The provisions of ASU 2024-03 are to be applied prospectively, although retrospective application is permitted. Early adoption is also permitted. The Company is currently evaluating the ASU to determine its impact on the Company’s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0" w:after="600"/>
        <w:jc w:val="left"/>
        <w:rPr/>
      </w:pPr>
      <w:hyperlink w:anchor="i0ebdfcd9a9954e93ad9dca5484ad36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3.    DIGITAL ASSETS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Company’s holdings of digital assets were concentrated with two custodians used by the Company to hold digital assets, including unrestricted SOL (“Unlocked SOL”), which unless qualified otherwise, shall only refer to unrestricted SOL tokens that are readily transferable on-chain on the Solana network or staked SOL subject to the normal unbonding period and restricted SOL subject to contractual lock-up (“Locked SOL”). The Company primarily holds SOL at custodians but may also hold cash and cash equivalents. As of June 30, 2026, the Company held $2.7 million in fiat currency at custodians which is presented on the unaudited condensed consolidated balance sheets within "Cash and cash equivalents". The Company does not hold a significant portion of digital assets at an exchange. As of June 30, 2026, the Company held less than 1% of the total supply of SOL.</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Digital Assets Subject to Lock-up Schedules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Certain digital assets, digital assets receivable and digital assets underlying equity investments are subject to sale restrictions through lock-up schedules typically associated with lock-up agreements with digital asset foundations such as the Solana Foundation.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Locked SOL that are held directly in the Company’s custodial digital asset wallets are recorded as digital assets, restricted on the consolidated balance sheets, and include the Locked SOL contributed to the Company as part of the September 2025 private placement (“Locked PIPE SOL”), see Note 9 for additional details. The underlying restricted SOL for the Locked PIPE SOL unlock on a monthly basis in relatively even intervals and amounts through January 2028.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quantity of tokens that will unlock for the Company’s Locked PIPE SOL summarized by year as of June 30, 2026:</w:t>
      </w:r>
    </w:p>
    <w:tbl>
      <w:tblPr>
        <w:tblW w:w="2025" w:type="dxa"/>
        <w:jc w:val="left"/>
        <w:tblInd w:w="0" w:type="dxa"/>
        <w:tblLayout w:type="fixed"/>
        <w:tblCellMar>
          <w:top w:w="28" w:type="dxa"/>
          <w:left w:w="28" w:type="dxa"/>
          <w:bottom w:w="28" w:type="dxa"/>
          <w:right w:w="28" w:type="dxa"/>
        </w:tblCellMar>
      </w:tblPr>
      <w:tblGrid>
        <w:gridCol w:w="201"/>
        <w:gridCol w:w="176"/>
        <w:gridCol w:w="179"/>
        <w:gridCol w:w="430"/>
        <w:gridCol w:w="430"/>
        <w:gridCol w:w="609"/>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Locked PIPE SOL</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86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72,509 </w:t>
            </w:r>
          </w:p>
        </w:tc>
        <w:tc>
          <w:tcPr>
            <w:tcW w:w="6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161,431 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17,262 </w:t>
            </w:r>
          </w:p>
        </w:tc>
        <w:tc>
          <w:tcPr>
            <w:tcW w:w="6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Total</w:t>
            </w:r>
          </w:p>
        </w:tc>
        <w:tc>
          <w:tcPr>
            <w:tcW w:w="860"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251,202 </w:t>
            </w:r>
          </w:p>
        </w:tc>
        <w:tc>
          <w:tcPr>
            <w:tcW w:w="6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Staked Digital Assets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has staked the majority of its digital assets as of June 30, 2026 as shown in the table below. The Company’s ability to sell or transfer staked digital assets is subject to restrictions related to the unbonding period on the blockchain. As of June 30, 2026, all the Company’s staked digital assets were SOL and were staked on the Solana network and the unbonding period is between 2 and 3 days.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Digital Asset Holdings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digital assets holdings as of June 30, 2026:</w:t>
      </w:r>
    </w:p>
    <w:tbl>
      <w:tblPr>
        <w:tblW w:w="7203" w:type="dxa"/>
        <w:jc w:val="left"/>
        <w:tblInd w:w="0" w:type="dxa"/>
        <w:tblLayout w:type="fixed"/>
        <w:tblCellMar>
          <w:top w:w="28" w:type="dxa"/>
          <w:left w:w="28" w:type="dxa"/>
          <w:bottom w:w="28" w:type="dxa"/>
          <w:right w:w="28" w:type="dxa"/>
        </w:tblCellMar>
      </w:tblPr>
      <w:tblGrid>
        <w:gridCol w:w="596"/>
        <w:gridCol w:w="525"/>
        <w:gridCol w:w="529"/>
        <w:gridCol w:w="309"/>
        <w:gridCol w:w="309"/>
        <w:gridCol w:w="313"/>
        <w:gridCol w:w="109"/>
        <w:gridCol w:w="109"/>
        <w:gridCol w:w="109"/>
        <w:gridCol w:w="434"/>
        <w:gridCol w:w="434"/>
        <w:gridCol w:w="436"/>
        <w:gridCol w:w="109"/>
        <w:gridCol w:w="109"/>
        <w:gridCol w:w="109"/>
        <w:gridCol w:w="211"/>
        <w:gridCol w:w="826"/>
        <w:gridCol w:w="109"/>
        <w:gridCol w:w="109"/>
        <w:gridCol w:w="109"/>
        <w:gridCol w:w="109"/>
        <w:gridCol w:w="211"/>
        <w:gridCol w:w="826"/>
        <w:gridCol w:w="154"/>
      </w:tblGrid>
      <w:tr>
        <w:trPr/>
        <w:tc>
          <w:tcPr>
            <w:tcW w:w="59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Quantity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Quantity Staked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Cost Basis </w:t>
              <w:b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br/>
              <w:t>(in thousands)</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w:t>
            </w:r>
          </w:p>
        </w:tc>
        <w:tc>
          <w:tcPr>
            <w:tcW w:w="931"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1,812,866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1,728,626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374,555 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133,329 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Locked PIPE SOL</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digital assets</w:t>
            </w:r>
          </w:p>
        </w:tc>
        <w:tc>
          <w:tcPr>
            <w:tcW w:w="931"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2,064,068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1,979,828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428,389 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151,803 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0" w:after="600"/>
        <w:jc w:val="left"/>
        <w:rPr/>
      </w:pPr>
      <w:hyperlink w:anchor="i0ebdfcd9a9954e93ad9dca5484ad36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pPr>
      <w:r>
        <w:rPr>
          <w:rFonts w:ascii="Times New Roman;serif" w:hAnsi="Times New Roman;serif"/>
          <w:b w:val="false"/>
          <w:color w:val="000000"/>
          <w:sz w:val="20"/>
        </w:rPr>
        <w:t xml:space="preserve">The Company’s digital asset holdings represent 86.2% of the Company’s total assets as of June 30, 2026. The following table presents a roll-forward of digital assets fair value for the </w:t>
      </w:r>
      <w:r>
        <w:rPr>
          <w:rFonts w:ascii="Times New Roman;serif" w:hAnsi="Times New Roman;serif"/>
          <w:b w:val="false"/>
          <w:color w:val="000000"/>
          <w:sz w:val="20"/>
          <w:shd w:fill="FFFFFF" w:val="clear"/>
        </w:rPr>
        <w:t>three and six</w:t>
      </w:r>
      <w:r>
        <w:rPr>
          <w:color w:val="000000"/>
        </w:rPr>
        <w:t xml:space="preserve"> </w:t>
      </w:r>
      <w:r>
        <w:rPr>
          <w:rFonts w:ascii="Times New Roman;serif" w:hAnsi="Times New Roman;serif"/>
          <w:b w:val="false"/>
          <w:color w:val="000000"/>
          <w:sz w:val="20"/>
        </w:rPr>
        <w:t>months ended June 30, 2026 (in thousands):</w:t>
      </w:r>
    </w:p>
    <w:tbl>
      <w:tblPr>
        <w:tblW w:w="7416" w:type="dxa"/>
        <w:jc w:val="left"/>
        <w:tblInd w:w="0" w:type="dxa"/>
        <w:tblLayout w:type="fixed"/>
        <w:tblCellMar>
          <w:top w:w="28" w:type="dxa"/>
          <w:left w:w="28" w:type="dxa"/>
          <w:bottom w:w="28" w:type="dxa"/>
          <w:right w:w="28" w:type="dxa"/>
        </w:tblCellMar>
      </w:tblPr>
      <w:tblGrid>
        <w:gridCol w:w="1086"/>
        <w:gridCol w:w="954"/>
        <w:gridCol w:w="960"/>
        <w:gridCol w:w="211"/>
        <w:gridCol w:w="826"/>
        <w:gridCol w:w="109"/>
        <w:gridCol w:w="109"/>
        <w:gridCol w:w="109"/>
        <w:gridCol w:w="109"/>
        <w:gridCol w:w="289"/>
        <w:gridCol w:w="987"/>
        <w:gridCol w:w="149"/>
        <w:gridCol w:w="109"/>
        <w:gridCol w:w="109"/>
        <w:gridCol w:w="109"/>
        <w:gridCol w:w="211"/>
        <w:gridCol w:w="826"/>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Locked PIPE SOL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December 31, 2025</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217,724 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39,219 </w:t>
            </w:r>
          </w:p>
        </w:tc>
        <w:tc>
          <w:tcPr>
            <w:tcW w:w="14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256,943 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Staking rewards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SOL unlocked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Losses</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March 31, 2026</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23,564 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172,151 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to margin collateral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of margin collateral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Staking rewards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SOL unlocked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Losses</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June 30, 2026</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133,329 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18,474 </w:t>
            </w:r>
          </w:p>
        </w:tc>
        <w:tc>
          <w:tcPr>
            <w:tcW w:w="14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151,803 </w:t>
            </w:r>
          </w:p>
        </w:tc>
        <w:tc>
          <w:tcPr>
            <w:tcW w:w="1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(1)Includes realized losses of $7.0 million for the three months ended March 31, 2026. Does not include losses from digital assets receivable or digital asset fund investment.</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(2)Includes realized losses of $25.4 million for the three months ended June 30, 2026. Does not include losses from digital assets receivable or digital asset fund investment.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4.    DIGITAL ASSETS RECEIVABLE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holds an ownership interest in Digital Assets Receivable, which entitles it to receive distributions of SOL as the underlying assets unlock in accordance with predetermined lock-up schedules applicable to the relevant pools. Digital Assets Receivable represents the Company’s pro rata entitlement to receive underlying SOL upon the expiration of contractual lock-up restrictions and does not constitute a debt instrument or financial receivable. The underlying restricted SOL tokens for Digital Assets Receivable is staked through protocol-based mechanisms, and the Company is entitled to receive the associated protocol-generated staking rewards attributable to each tranche of underlying SOL as such tranche unlocks.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underlying restricted SOL for the Digital Assets Receivable unlock on a monthly basis in relatively even intervals and amounts through January 2028. The following table presents the quantity of tokens that the Company has a right to receive upon unlock of the Digital Assets Receivable summarized by year as of June 30, 2026:</w:t>
      </w:r>
    </w:p>
    <w:tbl>
      <w:tblPr>
        <w:tblW w:w="2506" w:type="dxa"/>
        <w:jc w:val="left"/>
        <w:tblInd w:w="0" w:type="dxa"/>
        <w:tblLayout w:type="fixed"/>
        <w:tblCellMar>
          <w:top w:w="28" w:type="dxa"/>
          <w:left w:w="28" w:type="dxa"/>
          <w:bottom w:w="28" w:type="dxa"/>
          <w:right w:w="28" w:type="dxa"/>
        </w:tblCellMar>
      </w:tblPr>
      <w:tblGrid>
        <w:gridCol w:w="201"/>
        <w:gridCol w:w="176"/>
        <w:gridCol w:w="179"/>
        <w:gridCol w:w="570"/>
        <w:gridCol w:w="570"/>
        <w:gridCol w:w="810"/>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Digital Assets Receivable</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950"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66,720</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117,634</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5,894</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Total</w:t>
            </w:r>
          </w:p>
        </w:tc>
        <w:tc>
          <w:tcPr>
            <w:tcW w:w="1950" w:type="dxa"/>
            <w:gridSpan w:val="3"/>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190,248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0" w:after="600"/>
        <w:jc w:val="left"/>
        <w:rPr/>
      </w:pPr>
      <w:hyperlink w:anchor="i0ebdfcd9a9954e93ad9dca5484ad36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pPr>
      <w:r>
        <w:rPr>
          <w:rFonts w:ascii="Times New Roman;serif" w:hAnsi="Times New Roman;serif"/>
          <w:b w:val="false"/>
          <w:color w:val="000000"/>
          <w:sz w:val="20"/>
        </w:rPr>
        <w:t xml:space="preserve">The Company’s digital asset receivables represent 9.3% of the Company’s total assets as of June 30, 2026. The following table presents a roll-forward of Digital Assets Receivable fair value for the </w:t>
      </w:r>
      <w:r>
        <w:rPr>
          <w:rFonts w:ascii="Times New Roman;serif" w:hAnsi="Times New Roman;serif"/>
          <w:b w:val="false"/>
          <w:color w:val="000000"/>
          <w:sz w:val="20"/>
          <w:shd w:fill="FFFFFF" w:val="clear"/>
        </w:rPr>
        <w:t>three and six</w:t>
      </w:r>
      <w:r>
        <w:rPr>
          <w:color w:val="000000"/>
        </w:rPr>
        <w:t xml:space="preserve"> </w:t>
      </w:r>
      <w:r>
        <w:rPr>
          <w:rFonts w:ascii="Times New Roman;serif" w:hAnsi="Times New Roman;serif"/>
          <w:b w:val="false"/>
          <w:color w:val="000000"/>
          <w:sz w:val="20"/>
        </w:rPr>
        <w:t>months ended June 30, 2026 (in thousands):</w:t>
      </w:r>
    </w:p>
    <w:tbl>
      <w:tblPr>
        <w:tblW w:w="5386" w:type="dxa"/>
        <w:jc w:val="left"/>
        <w:tblInd w:w="0" w:type="dxa"/>
        <w:tblLayout w:type="fixed"/>
        <w:tblCellMar>
          <w:top w:w="28" w:type="dxa"/>
          <w:left w:w="28" w:type="dxa"/>
          <w:bottom w:w="28" w:type="dxa"/>
          <w:right w:w="28" w:type="dxa"/>
        </w:tblCellMar>
      </w:tblPr>
      <w:tblGrid>
        <w:gridCol w:w="1086"/>
        <w:gridCol w:w="954"/>
        <w:gridCol w:w="960"/>
        <w:gridCol w:w="386"/>
        <w:gridCol w:w="1320"/>
        <w:gridCol w:w="199"/>
        <w:gridCol w:w="109"/>
        <w:gridCol w:w="109"/>
        <w:gridCol w:w="109"/>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Digital Assets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December 31, 2025</w:t>
            </w:r>
          </w:p>
        </w:tc>
        <w:tc>
          <w:tcPr>
            <w:tcW w:w="3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31,139 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Staking rewards</w:t>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Unrestricted SOL distributed</w:t>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fair value</w:t>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March 31, 2026</w:t>
            </w:r>
          </w:p>
        </w:tc>
        <w:tc>
          <w:tcPr>
            <w:tcW w:w="3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18,347 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to margin collateral</w:t>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of margin collateral</w:t>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Staking rewards</w:t>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Unrestricted SOL distributed</w:t>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fair value</w:t>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June 30, 2026</w:t>
            </w:r>
          </w:p>
        </w:tc>
        <w:tc>
          <w:tcPr>
            <w:tcW w:w="3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13,991 </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5.    DIGITAL ASSET FUND INVESTMENT</w:t>
      </w:r>
    </w:p>
    <w:p>
      <w:pPr>
        <w:pStyle w:val="TextBody"/>
        <w:bidi w:val="0"/>
        <w:spacing w:lineRule="auto" w:line="288" w:before="0" w:after="240"/>
        <w:jc w:val="both"/>
        <w:rPr/>
      </w:pPr>
      <w:r>
        <w:rPr>
          <w:rFonts w:ascii="Times New Roman;serif" w:hAnsi="Times New Roman;serif"/>
          <w:b w:val="false"/>
          <w:color w:val="000000"/>
          <w:sz w:val="20"/>
        </w:rPr>
        <w:t xml:space="preserve">For the </w:t>
      </w:r>
      <w:r>
        <w:rPr>
          <w:rFonts w:ascii="Times New Roman;serif" w:hAnsi="Times New Roman;serif"/>
          <w:b w:val="false"/>
          <w:color w:val="000000"/>
          <w:sz w:val="20"/>
          <w:shd w:fill="FFFFFF" w:val="clear"/>
        </w:rPr>
        <w:t>three and six</w:t>
      </w:r>
      <w:r>
        <w:rPr>
          <w:color w:val="000000"/>
        </w:rPr>
        <w:t xml:space="preserve"> </w:t>
      </w:r>
      <w:r>
        <w:rPr>
          <w:rFonts w:ascii="Times New Roman;serif" w:hAnsi="Times New Roman;serif"/>
          <w:b w:val="false"/>
          <w:color w:val="000000"/>
          <w:sz w:val="20"/>
        </w:rPr>
        <w:t>months ended June 30, 2026, the Company held a minority membership interest of approximately 1% in Digital Asset Fund Investment, which represents the Company’s pro rata entitlement to receive distributions of SOL as the underlying assets unlock in accordance with predetermined contractual lock-up schedules. The underlying SOL held by the fund is staked through protocol-based mechanisms, and the Company is entitled to receive its pro rata share of protocol-generated staking rewards attributable to each tranche of SOL as such tranche unlocks. Other than the distributions as the underlying SOL unlocks, our investment in the Digital Asset Fund Investment is not redeemable.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underlying restricted SOL for the Digital Asset Fund Investment unlock on a monthly basis in relatively even intervals and amounts through January 2028. The following table presents the expected fund distribution of the Company’s pro rata share of the Digital Asset Fund Investment by calendar year as of June 30, 2026: </w:t>
      </w:r>
    </w:p>
    <w:tbl>
      <w:tblPr>
        <w:tblW w:w="2881" w:type="dxa"/>
        <w:jc w:val="left"/>
        <w:tblInd w:w="0" w:type="dxa"/>
        <w:tblLayout w:type="fixed"/>
        <w:tblCellMar>
          <w:top w:w="28" w:type="dxa"/>
          <w:left w:w="28" w:type="dxa"/>
          <w:bottom w:w="28" w:type="dxa"/>
          <w:right w:w="28" w:type="dxa"/>
        </w:tblCellMar>
      </w:tblPr>
      <w:tblGrid>
        <w:gridCol w:w="201"/>
        <w:gridCol w:w="176"/>
        <w:gridCol w:w="179"/>
        <w:gridCol w:w="681"/>
        <w:gridCol w:w="681"/>
        <w:gridCol w:w="963"/>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Digital Asset Fund Investment</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32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12,266</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21,016</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Total</w:t>
            </w:r>
          </w:p>
        </w:tc>
        <w:tc>
          <w:tcPr>
            <w:tcW w:w="2325" w:type="dxa"/>
            <w:gridSpan w:val="3"/>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34,168</w:t>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Digital Asset Fund Investment holdings as of June 30, 2026:</w:t>
      </w:r>
    </w:p>
    <w:tbl>
      <w:tblPr>
        <w:tblW w:w="5201" w:type="dxa"/>
        <w:jc w:val="left"/>
        <w:tblInd w:w="0" w:type="dxa"/>
        <w:tblLayout w:type="fixed"/>
        <w:tblCellMar>
          <w:top w:w="28" w:type="dxa"/>
          <w:left w:w="28" w:type="dxa"/>
          <w:bottom w:w="28" w:type="dxa"/>
          <w:right w:w="28" w:type="dxa"/>
        </w:tblCellMar>
      </w:tblPr>
      <w:tblGrid>
        <w:gridCol w:w="935"/>
        <w:gridCol w:w="821"/>
        <w:gridCol w:w="824"/>
        <w:gridCol w:w="253"/>
        <w:gridCol w:w="741"/>
        <w:gridCol w:w="131"/>
        <w:gridCol w:w="109"/>
        <w:gridCol w:w="109"/>
        <w:gridCol w:w="109"/>
        <w:gridCol w:w="251"/>
        <w:gridCol w:w="735"/>
        <w:gridCol w:w="183"/>
      </w:tblGrid>
      <w:tr>
        <w:trPr/>
        <w:tc>
          <w:tcPr>
            <w:tcW w:w="93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Cost Basis </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br/>
              <w:t>(in thousands)</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 Asset Fund Investment</w:t>
            </w:r>
          </w:p>
        </w:tc>
        <w:tc>
          <w:tcPr>
            <w:tcW w:w="25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5,730 </w:t>
            </w:r>
          </w:p>
        </w:tc>
        <w:tc>
          <w:tcPr>
            <w:tcW w:w="13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2,513 </w:t>
            </w:r>
          </w:p>
        </w:tc>
        <w:tc>
          <w:tcPr>
            <w:tcW w:w="18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0" w:after="600"/>
        <w:jc w:val="left"/>
        <w:rPr/>
      </w:pPr>
      <w:hyperlink w:anchor="i0ebdfcd9a9954e93ad9dca5484ad36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pPr>
      <w:r>
        <w:rPr>
          <w:rFonts w:ascii="Times New Roman;serif" w:hAnsi="Times New Roman;serif"/>
          <w:b w:val="false"/>
          <w:color w:val="000000"/>
          <w:sz w:val="20"/>
        </w:rPr>
        <w:t xml:space="preserve">The following table presents a roll-forward of Digital Asset Fund Investment fair value for the </w:t>
      </w:r>
      <w:r>
        <w:rPr>
          <w:rFonts w:ascii="Times New Roman;serif" w:hAnsi="Times New Roman;serif"/>
          <w:b w:val="false"/>
          <w:color w:val="000000"/>
          <w:sz w:val="20"/>
          <w:shd w:fill="FFFFFF" w:val="clear"/>
        </w:rPr>
        <w:t>three and six</w:t>
      </w:r>
      <w:r>
        <w:rPr>
          <w:color w:val="000000"/>
        </w:rPr>
        <w:t xml:space="preserve"> </w:t>
      </w:r>
      <w:r>
        <w:rPr>
          <w:rFonts w:ascii="Times New Roman;serif" w:hAnsi="Times New Roman;serif"/>
          <w:b w:val="false"/>
          <w:color w:val="000000"/>
          <w:sz w:val="20"/>
        </w:rPr>
        <w:t>months ended June 30, 2026 (in thousands):</w:t>
      </w:r>
    </w:p>
    <w:tbl>
      <w:tblPr>
        <w:tblW w:w="5325" w:type="dxa"/>
        <w:jc w:val="left"/>
        <w:tblInd w:w="0" w:type="dxa"/>
        <w:tblLayout w:type="fixed"/>
        <w:tblCellMar>
          <w:top w:w="28" w:type="dxa"/>
          <w:left w:w="28" w:type="dxa"/>
          <w:bottom w:w="28" w:type="dxa"/>
          <w:right w:w="28" w:type="dxa"/>
        </w:tblCellMar>
      </w:tblPr>
      <w:tblGrid>
        <w:gridCol w:w="1086"/>
        <w:gridCol w:w="954"/>
        <w:gridCol w:w="960"/>
        <w:gridCol w:w="500"/>
        <w:gridCol w:w="1460"/>
        <w:gridCol w:w="365"/>
      </w:tblGrid>
      <w:tr>
        <w:trPr/>
        <w:tc>
          <w:tcPr>
            <w:tcW w:w="108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Digital Asset Fund Investment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December 31, 2025</w:t>
            </w:r>
          </w:p>
        </w:tc>
        <w:tc>
          <w:tcPr>
            <w:tcW w:w="50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5,617 </w:t>
            </w:r>
          </w:p>
        </w:tc>
        <w:tc>
          <w:tcPr>
            <w:tcW w:w="36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Unrestricted SOL distributed</w:t>
            </w:r>
          </w:p>
        </w:tc>
        <w:tc>
          <w:tcPr>
            <w:tcW w:w="1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fair value</w:t>
            </w:r>
          </w:p>
        </w:tc>
        <w:tc>
          <w:tcPr>
            <w:tcW w:w="1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March 31, 2026</w:t>
            </w:r>
          </w:p>
        </w:tc>
        <w:tc>
          <w:tcPr>
            <w:tcW w:w="500"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0"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3,304 </w:t>
            </w:r>
          </w:p>
        </w:tc>
        <w:tc>
          <w:tcPr>
            <w:tcW w:w="365"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Unrestricted SOL distributed</w:t>
            </w:r>
          </w:p>
        </w:tc>
        <w:tc>
          <w:tcPr>
            <w:tcW w:w="1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fair value</w:t>
            </w:r>
          </w:p>
        </w:tc>
        <w:tc>
          <w:tcPr>
            <w:tcW w:w="1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June 30, 2026</w:t>
            </w:r>
          </w:p>
        </w:tc>
        <w:tc>
          <w:tcPr>
            <w:tcW w:w="5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2,513 </w:t>
            </w:r>
          </w:p>
        </w:tc>
        <w:tc>
          <w:tcPr>
            <w:tcW w:w="3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6.    DIGITAL ASSETS COLLATERAL RECEIVABLE</w:t>
      </w:r>
    </w:p>
    <w:p>
      <w:pPr>
        <w:pStyle w:val="TextBody"/>
        <w:bidi w:val="0"/>
        <w:spacing w:lineRule="auto" w:line="288" w:before="0" w:after="0"/>
        <w:jc w:val="left"/>
        <w:rPr/>
      </w:pPr>
      <w:r>
        <w:rPr>
          <w:rFonts w:ascii="Times New Roman;serif" w:hAnsi="Times New Roman;serif"/>
          <w:b w:val="false"/>
          <w:color w:val="000000"/>
          <w:sz w:val="20"/>
        </w:rPr>
        <w:t xml:space="preserve">In connection with the Company’s OTC SOL put options strategy, the Company pledges or transfers SOL to institutional counterparties to collateralize the underlying transactions. During the </w:t>
      </w:r>
      <w:r>
        <w:rPr>
          <w:rFonts w:ascii="Times New Roman;serif" w:hAnsi="Times New Roman;serif"/>
          <w:b w:val="false"/>
          <w:color w:val="000000"/>
          <w:sz w:val="20"/>
          <w:shd w:fill="FFFFFF" w:val="clear"/>
        </w:rPr>
        <w:t>three and six</w:t>
      </w:r>
      <w:r>
        <w:rPr>
          <w:color w:val="000000"/>
        </w:rPr>
        <w:t xml:space="preserve"> </w:t>
      </w:r>
      <w:r>
        <w:rPr>
          <w:rFonts w:ascii="Times New Roman;serif" w:hAnsi="Times New Roman;serif"/>
          <w:b w:val="false"/>
          <w:color w:val="000000"/>
          <w:sz w:val="20"/>
        </w:rPr>
        <w:t xml:space="preserve">months ended June 30, 2026, these transactions were governed by long-form confirmations and International Swaps and Derivatives Association agreements (together, “ISDA Agreements”). Under the ISDA Agreements, the Company’s SOL are pledged as collateral and can be rehypothecated, re-pledged, or otherwise deployed by the derivative counterparties. The Company’s transfer of digital assets into digital assets collateral receivable is a derecognition event and the Company recognizes a realized loss on digital assets upon derecognition of the pledged SOL (see Note 3).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outstanding SOL put option contracts as of June 30, 2026 are collateralized by 31,436 of the Company’s SOL, which have been transferred to an institutional counterparty. These 31,436 tokens are presented in aggregate as approximately $2.3 million in “Digital assets collateral receivable” on the unaudited condensed consolidated balance sheets as of June 30, 2026. Due to (i) the Company's limited historical loss experience for digital assets collateral receivable, (ii) the counterparty being an institutional counterparty and (iii) the short tenor of the outstanding options contracts there is no expected credit loss recorded as of June 30, 2026.</w:t>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val="false"/>
          <w:color w:val="000000"/>
          <w:sz w:val="20"/>
        </w:rPr>
        <w:t xml:space="preserve">The following table presents a roll-forward of Digital Assets Collateral Receivable fair value for the </w:t>
      </w:r>
      <w:r>
        <w:rPr>
          <w:rFonts w:ascii="Times New Roman;serif" w:hAnsi="Times New Roman;serif"/>
          <w:b w:val="false"/>
          <w:color w:val="000000"/>
          <w:sz w:val="20"/>
          <w:shd w:fill="FFFFFF" w:val="clear"/>
        </w:rPr>
        <w:t>three and six</w:t>
      </w:r>
      <w:r>
        <w:rPr>
          <w:color w:val="000000"/>
        </w:rPr>
        <w:t xml:space="preserve"> </w:t>
      </w:r>
      <w:r>
        <w:rPr>
          <w:rFonts w:ascii="Times New Roman;serif" w:hAnsi="Times New Roman;serif"/>
          <w:b w:val="false"/>
          <w:color w:val="000000"/>
          <w:sz w:val="20"/>
        </w:rPr>
        <w:t>months ended June 30, 2026 (in thousands):</w:t>
      </w:r>
    </w:p>
    <w:tbl>
      <w:tblPr>
        <w:tblW w:w="5729" w:type="dxa"/>
        <w:jc w:val="left"/>
        <w:tblInd w:w="0" w:type="dxa"/>
        <w:tblLayout w:type="fixed"/>
        <w:tblCellMar>
          <w:top w:w="28" w:type="dxa"/>
          <w:left w:w="28" w:type="dxa"/>
          <w:bottom w:w="28" w:type="dxa"/>
          <w:right w:w="28" w:type="dxa"/>
        </w:tblCellMar>
      </w:tblPr>
      <w:tblGrid>
        <w:gridCol w:w="1086"/>
        <w:gridCol w:w="954"/>
        <w:gridCol w:w="960"/>
        <w:gridCol w:w="587"/>
        <w:gridCol w:w="1714"/>
        <w:gridCol w:w="428"/>
      </w:tblGrid>
      <w:tr>
        <w:trPr/>
        <w:tc>
          <w:tcPr>
            <w:tcW w:w="108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Digital Assets Collateral Receivable</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December 31, 2025</w:t>
            </w:r>
          </w:p>
        </w:tc>
        <w:tc>
          <w:tcPr>
            <w:tcW w:w="58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to margin collateral</w:t>
            </w:r>
          </w:p>
        </w:tc>
        <w:tc>
          <w:tcPr>
            <w:tcW w:w="2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10,994 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of margin collateral</w:t>
            </w:r>
          </w:p>
        </w:tc>
        <w:tc>
          <w:tcPr>
            <w:tcW w:w="2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(8,824)</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change in fair value</w:t>
            </w:r>
            <w:r>
              <w:rPr>
                <w:rFonts w:ascii="Times New Roman;serif" w:hAnsi="Times New Roman;serif"/>
                <w:b w:val="false"/>
                <w:color w:val="000000"/>
                <w:sz w:val="13"/>
              </w:rPr>
              <w:t>(1)</w:t>
            </w:r>
          </w:p>
        </w:tc>
        <w:tc>
          <w:tcPr>
            <w:tcW w:w="2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June 30, 2026</w:t>
            </w:r>
          </w:p>
        </w:tc>
        <w:tc>
          <w:tcPr>
            <w:tcW w:w="58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2,312 </w:t>
            </w:r>
          </w:p>
        </w:tc>
        <w:tc>
          <w:tcPr>
            <w:tcW w:w="42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Recognized within "Unrealized (gain) loss on digital assets and digital assets receivable" on the unaudited condensed consolidated statements of operations and comprehensive loss.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0" w:after="600"/>
        <w:jc w:val="left"/>
        <w:rPr/>
      </w:pPr>
      <w:hyperlink w:anchor="i0ebdfcd9a9954e93ad9dca5484ad36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7.    DERIVATIVES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OTC SOL Options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enters into over-the-counter ("OTC") option contracts referencing the price of SOL in connection with managing the risk and return profile of its digital asset treasury. The primary underlying risk exposure of these contracts is SOL price risk. The contracts are not designated as hedging instruments under ASC 815-20. The Company writes put options to generate premium income on its treasury holdings, and enters into call option spreads to obtain participation in increases in the price of SOL. During the six months ended June 30, 2026, the Company (i) wrote SOL put options, receiving premium in exchange for the obligation to pay at maturity any excess of the strike price over the settlement price, and (ii) entered into SOL call option spreads, purchasing near-the-money calls and simultaneously writing further out-of-the-money calls of equal size and maturity for a net premium paid, obtaining participation in increases in the price of SOL up to the strike price of the written calls. All contracts were cash-settled, except one written put option that provided for physical settlement and expired unexercised, and all were collateralized by SOL (see Note 6) and U.S. dollars posted as initial and variation margin. U.S. dollars posted as margin collateral of $0.2 million as of June 30, 2026, are included in "Prepaid expenses and other current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Company’s outstanding SOL put option contracts referenced 288,805 SOL with strike prices ranging from $63.00 to $69.30 and maturities extending through July 10, 2026. See Note 8 for information regarding the fair value measurement of these contracts. On July 10, 2026, the SOL put options expired out-of-the-money.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roll-forward of OTC option contracts for the six months ended June 30, 2026:</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06"/>
        <w:gridCol w:w="708"/>
        <w:gridCol w:w="712"/>
        <w:gridCol w:w="685"/>
        <w:gridCol w:w="685"/>
        <w:gridCol w:w="687"/>
        <w:gridCol w:w="618"/>
        <w:gridCol w:w="573"/>
        <w:gridCol w:w="575"/>
        <w:gridCol w:w="109"/>
        <w:gridCol w:w="109"/>
        <w:gridCol w:w="109"/>
        <w:gridCol w:w="678"/>
        <w:gridCol w:w="678"/>
        <w:gridCol w:w="679"/>
        <w:gridCol w:w="560"/>
        <w:gridCol w:w="507"/>
        <w:gridCol w:w="727"/>
      </w:tblGrid>
      <w:tr>
        <w:trPr/>
        <w:tc>
          <w:tcPr>
            <w:tcW w:w="80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r>
      <w:tr>
        <w:trPr/>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Written put options — contracts</w:t>
            </w:r>
          </w:p>
        </w:tc>
        <w:tc>
          <w:tcPr>
            <w:tcW w:w="1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Written put options — SOL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Call option spreads — contracts</w:t>
            </w:r>
          </w:p>
        </w:tc>
        <w:tc>
          <w:tcPr>
            <w:tcW w:w="1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Call option spreads — SOL</w:t>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Open as of December 31, 2025</w:t>
            </w:r>
          </w:p>
        </w:tc>
        <w:tc>
          <w:tcPr>
            <w:tcW w:w="205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7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7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Entered during period</w:t>
            </w:r>
          </w:p>
        </w:tc>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824,089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442,703</w:t>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Settled or expired during period</w:t>
            </w:r>
          </w:p>
        </w:tc>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(535,284)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(442,703)</w:t>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Open as of June 30, 2026</w:t>
            </w:r>
          </w:p>
        </w:tc>
        <w:tc>
          <w:tcPr>
            <w:tcW w:w="2057"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76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179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Registered Direct Offering Put Options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April 2026 Registered Direct Offering, the Company granted the Purchasers the right to require the Company to repurchase their shares upon certain qualifying events. The Put Options were issued as consideration in that offering rather than for risk management purposes, and their primary underlying risk exposure is the price of the Company's Class A common stock. The Put Options are freestanding derivative instruments classified as liabilities and are not designated as hedging instruments. See Note 9 for the terms of the Put Option Agreements and the related mezzanine equity classification.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derivative liability fair values by type as of June 30, 2026:</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97"/>
        <w:gridCol w:w="1405"/>
        <w:gridCol w:w="1409"/>
        <w:gridCol w:w="968"/>
        <w:gridCol w:w="947"/>
        <w:gridCol w:w="949"/>
        <w:gridCol w:w="249"/>
        <w:gridCol w:w="731"/>
        <w:gridCol w:w="129"/>
        <w:gridCol w:w="109"/>
        <w:gridCol w:w="109"/>
        <w:gridCol w:w="109"/>
        <w:gridCol w:w="407"/>
        <w:gridCol w:w="783"/>
        <w:gridCol w:w="304"/>
      </w:tblGrid>
      <w:tr>
        <w:trPr/>
        <w:tc>
          <w:tcPr>
            <w:tcW w:w="1597"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4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not designated as hedging instruments</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sheet location</w:t>
            </w:r>
          </w:p>
        </w:tc>
        <w:tc>
          <w:tcPr>
            <w:tcW w:w="11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4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 asset (SOL) price contracts — written put options</w:t>
            </w:r>
          </w:p>
        </w:tc>
        <w:tc>
          <w:tcPr>
            <w:tcW w:w="28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contracts — RDO put options</w:t>
            </w:r>
          </w:p>
        </w:tc>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liability</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 liabilities</w:t>
            </w:r>
          </w:p>
        </w:tc>
        <w:tc>
          <w:tcPr>
            <w:tcW w:w="2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does not offset derivative assets and derivative liabilities on the unaudited condensed consolidated balance sheets. Under the ISDA Agreements, amounts owed between the parties may be set off, and posted collateral may be applied against outstanding obligations, only upon an event of default or termination event with respect to the other party. Because these rights are conditional, the Company presents derivative assets and liabilities on a gross basis. The Put Options are not subject to a master netting arrangement.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0" w:after="600"/>
        <w:jc w:val="left"/>
        <w:rPr/>
      </w:pPr>
      <w:hyperlink w:anchor="i0ebdfcd9a9954e93ad9dca5484ad36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gross and net amounts of the Company's OTC SOL option contracts, which are subject to enforceable master netting arrangements under the ISDA Agreements, as of June 30, 2026 (in thousands):</w:t>
      </w:r>
    </w:p>
    <w:p>
      <w:pPr>
        <w:pStyle w:val="TextBody"/>
        <w:bidi w:val="0"/>
        <w:spacing w:before="0" w:after="0"/>
        <w:jc w:val="left"/>
        <w:rPr/>
      </w:pPr>
      <w:r>
        <w:rPr/>
      </w:r>
    </w:p>
    <w:tbl>
      <w:tblPr>
        <w:tblW w:w="5595" w:type="dxa"/>
        <w:jc w:val="left"/>
        <w:tblInd w:w="0" w:type="dxa"/>
        <w:tblLayout w:type="fixed"/>
        <w:tblCellMar>
          <w:top w:w="28" w:type="dxa"/>
          <w:left w:w="28" w:type="dxa"/>
          <w:bottom w:w="28" w:type="dxa"/>
          <w:right w:w="28" w:type="dxa"/>
        </w:tblCellMar>
      </w:tblPr>
      <w:tblGrid>
        <w:gridCol w:w="1483"/>
        <w:gridCol w:w="1304"/>
        <w:gridCol w:w="1308"/>
        <w:gridCol w:w="381"/>
        <w:gridCol w:w="841"/>
        <w:gridCol w:w="278"/>
      </w:tblGrid>
      <w:tr>
        <w:trPr/>
        <w:tc>
          <w:tcPr>
            <w:tcW w:w="1483"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OTC SOL Options</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amount of recognized derivative liabilities</w:t>
            </w:r>
          </w:p>
        </w:tc>
        <w:tc>
          <w:tcPr>
            <w:tcW w:w="3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amounts offset in the balance sheet</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amount presented in the balance sheet</w:t>
            </w:r>
          </w:p>
        </w:tc>
        <w:tc>
          <w:tcPr>
            <w:tcW w:w="12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 pledged not offset in the balance sheet</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amount</w:t>
            </w:r>
          </w:p>
        </w:tc>
        <w:tc>
          <w:tcPr>
            <w:tcW w:w="3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The following table presents the gains and losses for derivatives by type for the </w:t>
      </w:r>
      <w:r>
        <w:rPr>
          <w:rFonts w:ascii="Times New Roman;serif" w:hAnsi="Times New Roman;serif"/>
          <w:b w:val="false"/>
          <w:color w:val="000000"/>
          <w:sz w:val="20"/>
          <w:shd w:fill="FFFFFF" w:val="clear"/>
        </w:rPr>
        <w:t>three and six</w:t>
      </w:r>
      <w:r>
        <w:rPr>
          <w:color w:val="000000"/>
        </w:rPr>
        <w:t xml:space="preserve"> </w:t>
      </w:r>
      <w:r>
        <w:rPr>
          <w:rFonts w:ascii="Times New Roman;serif" w:hAnsi="Times New Roman;serif"/>
          <w:b w:val="false"/>
          <w:color w:val="000000"/>
          <w:sz w:val="20"/>
        </w:rPr>
        <w:t>months ended June 30, 2026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27"/>
        <w:gridCol w:w="917"/>
        <w:gridCol w:w="920"/>
        <w:gridCol w:w="859"/>
        <w:gridCol w:w="859"/>
        <w:gridCol w:w="869"/>
        <w:gridCol w:w="211"/>
        <w:gridCol w:w="668"/>
        <w:gridCol w:w="109"/>
        <w:gridCol w:w="109"/>
        <w:gridCol w:w="109"/>
        <w:gridCol w:w="109"/>
        <w:gridCol w:w="211"/>
        <w:gridCol w:w="668"/>
        <w:gridCol w:w="109"/>
        <w:gridCol w:w="211"/>
        <w:gridCol w:w="668"/>
        <w:gridCol w:w="109"/>
        <w:gridCol w:w="109"/>
        <w:gridCol w:w="109"/>
        <w:gridCol w:w="109"/>
        <w:gridCol w:w="211"/>
        <w:gridCol w:w="668"/>
        <w:gridCol w:w="157"/>
      </w:tblGrid>
      <w:tr>
        <w:trPr/>
        <w:tc>
          <w:tcPr>
            <w:tcW w:w="112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23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not designated as hedging instruments</w:t>
            </w:r>
          </w:p>
        </w:tc>
        <w:tc>
          <w:tcPr>
            <w:tcW w:w="25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Location</w:t>
            </w:r>
          </w:p>
        </w:tc>
        <w:tc>
          <w:tcPr>
            <w:tcW w:w="988"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88"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SOL price contracts — written put options</w:t>
            </w:r>
            <w:r>
              <w:rPr>
                <w:rFonts w:ascii="Times New Roman;serif" w:hAnsi="Times New Roman;serif"/>
                <w:b w:val="false"/>
                <w:color w:val="000000"/>
                <w:sz w:val="13"/>
              </w:rPr>
              <w:t>(1)</w:t>
            </w:r>
          </w:p>
        </w:tc>
        <w:tc>
          <w:tcPr>
            <w:tcW w:w="25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digital asset derivatives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 price contracts — call option spreads</w:t>
            </w:r>
          </w:p>
        </w:tc>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digital asset derivatives</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Equity contracts — RDO put options</w:t>
            </w:r>
            <w:r>
              <w:rPr>
                <w:rFonts w:ascii="Times New Roman;serif" w:hAnsi="Times New Roman;serif"/>
                <w:b w:val="false"/>
                <w:color w:val="000000"/>
                <w:sz w:val="13"/>
              </w:rPr>
              <w:t>(1)</w:t>
            </w:r>
          </w:p>
        </w:tc>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liability</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contracts — derivative warrant liabilities</w:t>
            </w:r>
          </w:p>
        </w:tc>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liability</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(5,919)</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Of the total gains and losses included in earnings, a gain of $56 thousand in "Loss on digital asset derivatives" and a loss of $322 thousand in "Change in fair value of derivative liability" are attributable to derivative instruments still held as of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Credit-Risk-Related Contingent Features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Certain of the Company's derivative instruments contain provisions that could accelerate settlement or increase collateral requirements upon a deterioration in financial condition. The Put Options may be exercised upon a failure of the Company's net debt to total capitalization ratio to remain at or below 30%. Under the ISDA Agreements governing the OTC SOL options, a single-day decline of 25% or more in the net equity of the Company's subsidiary that is party to those agreements, or a default on indebtedness of $100,000 or more, constitutes an additional termination event, upon which the minimum transfer amount for collateral demands is reduced to zero, the counterparty's obligation to return posted collateral is suspended, and the counterparty may liquidate posted collateral and terminate outstanding transactions.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As of </w:t>
      </w:r>
      <w:r>
        <w:rPr>
          <w:rFonts w:ascii="Times New Roman;serif" w:hAnsi="Times New Roman;serif"/>
          <w:b w:val="false"/>
          <w:color w:val="000000"/>
          <w:sz w:val="18"/>
        </w:rPr>
        <w:t>June 30, 2026</w:t>
      </w:r>
      <w:r>
        <w:rPr>
          <w:rFonts w:ascii="Times New Roman;serif" w:hAnsi="Times New Roman;serif"/>
          <w:b w:val="false"/>
          <w:color w:val="000000"/>
          <w:sz w:val="20"/>
        </w:rPr>
        <w:t xml:space="preserve">, the aggregate fair value of derivative liabilities containing such features was $4.5 million, consisting of $4.2 million of Put Options, against which no collateral was posted, and $0.3 million of OTC SOL options, against which the Company has posted collateral with a fair value of $2.6 million. Had these features been triggered as of </w:t>
      </w:r>
      <w:r>
        <w:rPr>
          <w:rFonts w:ascii="Times New Roman;serif" w:hAnsi="Times New Roman;serif"/>
          <w:b w:val="false"/>
          <w:color w:val="000000"/>
          <w:sz w:val="18"/>
        </w:rPr>
        <w:t>June 30, 2026</w:t>
      </w:r>
      <w:r>
        <w:rPr>
          <w:rFonts w:ascii="Times New Roman;serif" w:hAnsi="Times New Roman;serif"/>
          <w:b w:val="false"/>
          <w:color w:val="000000"/>
          <w:sz w:val="20"/>
        </w:rPr>
        <w:t>, the amount required to settle the Put Options would have been $8.1 million; posted collateral exceeded the net liability under the OTC SOL options, and no additional collateral would have been required.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8.    FAIR VALUE MEASUREMENTS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Fair value is defined as the price that would be received to sell an asset or paid to transfer a liability in an orderly transaction between market participants. Fair value of an asset or liability considers assumptions that market participants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0" w:after="600"/>
        <w:jc w:val="left"/>
        <w:rPr/>
      </w:pPr>
      <w:hyperlink w:anchor="i0ebdfcd9a9954e93ad9dca5484ad36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would use in pricing the asset or liability, including consideration of non-performance risk. The inputs used to determine fair values are categorized in one of the following three levels of the fair value hierarchy: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Level 1 – Quoted market prices in active markets for identical assets or liabilities.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Level 2 – Inputs, other than quoted prices in active markets, that are observable, either directly or indirectly.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Level 3 – Unobservable inputs that are not corroborated by market data.</w:t>
      </w:r>
    </w:p>
    <w:p>
      <w:pPr>
        <w:pStyle w:val="TextBody"/>
        <w:bidi w:val="0"/>
        <w:spacing w:lineRule="auto" w:line="288" w:before="0" w:after="240"/>
        <w:jc w:val="left"/>
        <w:rPr/>
      </w:pPr>
      <w:r>
        <w:rPr>
          <w:rFonts w:ascii="Times New Roman;serif" w:hAnsi="Times New Roman;serif"/>
          <w:b w:val="false"/>
          <w:color w:val="000000"/>
          <w:sz w:val="20"/>
        </w:rPr>
        <w:t xml:space="preserve">The following table presents the Company's financial assets and liabilities measured at fair value on a recurring basis and the level within the fair value hierarchy in which the fair value measurements fall as of </w:t>
      </w:r>
      <w:r>
        <w:rPr>
          <w:rFonts w:ascii="Times New Roman;serif" w:hAnsi="Times New Roman;serif"/>
          <w:b w:val="false"/>
          <w:color w:val="000000"/>
          <w:sz w:val="18"/>
        </w:rPr>
        <w:t>June 30, 2026</w:t>
      </w:r>
      <w:r>
        <w:rPr>
          <w:color w:val="000000"/>
        </w:rPr>
        <w:t xml:space="preserve"> </w:t>
      </w:r>
      <w:r>
        <w:rPr>
          <w:rFonts w:ascii="Times New Roman;serif" w:hAnsi="Times New Roman;serif"/>
          <w:b w:val="false"/>
          <w:color w:val="000000"/>
          <w:sz w:val="20"/>
        </w:rPr>
        <w:t>(in thousands):</w:t>
      </w:r>
    </w:p>
    <w:tbl>
      <w:tblPr>
        <w:tblW w:w="8894" w:type="dxa"/>
        <w:jc w:val="left"/>
        <w:tblInd w:w="0" w:type="dxa"/>
        <w:tblLayout w:type="fixed"/>
        <w:tblCellMar>
          <w:top w:w="28" w:type="dxa"/>
          <w:left w:w="28" w:type="dxa"/>
          <w:bottom w:w="28" w:type="dxa"/>
          <w:right w:w="28" w:type="dxa"/>
        </w:tblCellMar>
      </w:tblPr>
      <w:tblGrid>
        <w:gridCol w:w="1301"/>
        <w:gridCol w:w="1146"/>
        <w:gridCol w:w="1152"/>
        <w:gridCol w:w="211"/>
        <w:gridCol w:w="826"/>
        <w:gridCol w:w="109"/>
        <w:gridCol w:w="109"/>
        <w:gridCol w:w="109"/>
        <w:gridCol w:w="109"/>
        <w:gridCol w:w="211"/>
        <w:gridCol w:w="721"/>
        <w:gridCol w:w="109"/>
        <w:gridCol w:w="109"/>
        <w:gridCol w:w="109"/>
        <w:gridCol w:w="109"/>
        <w:gridCol w:w="211"/>
        <w:gridCol w:w="616"/>
        <w:gridCol w:w="109"/>
        <w:gridCol w:w="109"/>
        <w:gridCol w:w="109"/>
        <w:gridCol w:w="109"/>
        <w:gridCol w:w="211"/>
        <w:gridCol w:w="826"/>
        <w:gridCol w:w="154"/>
      </w:tblGrid>
      <w:tr>
        <w:trPr/>
        <w:tc>
          <w:tcPr>
            <w:tcW w:w="1301"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 digital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133,329 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 digital assets, restricted*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 digital assets collateral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 digital assets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 digital assets fund investment**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151,803 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170,619 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put options derivative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RDO put options derivative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4,207 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*Subject to contractual sales restriction. See Note 3.</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**Underlying assets subject to contractual sales restriction. See Notes 4 and 5.</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***Represents the fair value of written OTC SOL put option contracts outstanding as of June 30, 2026, which are included within "Accrued and other current liabilities" on the unaudited condensed consolidated balance sheets. Fair value is estimated using standard option-pricing models incorporating SOL spot prices, implied volatility, and time to expiration. See Notes 2 and 7.</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****Represents the fair value of put option agreements entered into in connection with the April 2026 Registered Direct Offering, which are included within "Derivative liability" on the unaudited condensed consolidated balance sheets. Fair value is estimated using an option lattice model. See Notes 2 and 9.</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 digital assets and digital assets, restricted, are measured at fair value on a recurring basis using quoted prices of SOL in the Company’s principal market for Unlocked SOL (Level 1 inputs). Digital assets receivable and digital assets fund investment are measured at fair value on a recurring basis using quoted prices of the underlying Locked SOL in the Company’s principal market for Unlocked SOL (Level 2 inputs). As of midnight UTC on June 30, 2026, the price per SOL was $73.54.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Premiums received for OTC put option derivative liabilities at inception are initially recorded on the unaudited condensed consolidated balance sheets, and subsequently reflected in earnings consistent with the subsequent fair value changes of the related options. The fair value of these written options is measured using standard option-pricing models incorporating SOL spot prices, time to expiration, and volatility. Because no observable market implied-volatility surface for SOL is available, volatility is estimated using trailing realized volatility of SOL and is not corroborated by observable market data. Accordingly, the options are classified as Level 3 within the fair value hierarchy.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fair value of the RDO put option derivative liability is estimated using an option lattice model incorporating assumptions related to the likelihood and timing of qualifying exercise triggering events, the contractual repurchase price, the risk-free rate, expected volatility of the Company's Class A common stock, and the contractual internal rate of return floor of 7.0% per annum. The put options are classified as Level 3 within the fair value hierarchy due to the use of significant unobservable inputs, primarily expected volatility. The RDO put option derivative liability is presented in "Derivative liability" on the unaudited condensed consolidated balance sheets.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0" w:after="600"/>
        <w:jc w:val="left"/>
        <w:rPr/>
      </w:pPr>
      <w:hyperlink w:anchor="i0ebdfcd9a9954e93ad9dca5484ad36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significant unobservable inputs used in the fair value measurement of the Company's Level 3 derivative liabilities as of June 30, 2026:</w:t>
      </w:r>
    </w:p>
    <w:p>
      <w:pPr>
        <w:pStyle w:val="TextBody"/>
        <w:bidi w:val="0"/>
        <w:spacing w:before="0" w:after="0"/>
        <w:jc w:val="left"/>
        <w:rPr/>
      </w:pPr>
      <w:r>
        <w:rPr/>
      </w:r>
    </w:p>
    <w:tbl>
      <w:tblPr>
        <w:tblW w:w="9803" w:type="dxa"/>
        <w:jc w:val="left"/>
        <w:tblInd w:w="0" w:type="dxa"/>
        <w:tblLayout w:type="fixed"/>
        <w:tblCellMar>
          <w:top w:w="28" w:type="dxa"/>
          <w:left w:w="28" w:type="dxa"/>
          <w:bottom w:w="28" w:type="dxa"/>
          <w:right w:w="28" w:type="dxa"/>
        </w:tblCellMar>
      </w:tblPr>
      <w:tblGrid>
        <w:gridCol w:w="1195"/>
        <w:gridCol w:w="1050"/>
        <w:gridCol w:w="1054"/>
        <w:gridCol w:w="109"/>
        <w:gridCol w:w="109"/>
        <w:gridCol w:w="109"/>
        <w:gridCol w:w="999"/>
        <w:gridCol w:w="999"/>
        <w:gridCol w:w="1002"/>
        <w:gridCol w:w="109"/>
        <w:gridCol w:w="109"/>
        <w:gridCol w:w="109"/>
        <w:gridCol w:w="834"/>
        <w:gridCol w:w="834"/>
        <w:gridCol w:w="1182"/>
      </w:tblGrid>
      <w:tr>
        <w:trPr/>
        <w:tc>
          <w:tcPr>
            <w:tcW w:w="119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Written Put Option Derivative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RDO Put Option Derivative Liability</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Implied volatility - range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71.5% - 80.9%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72.8%</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Implied volatility - weighted average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The weighted average implied volatility is calculated by weighting each contract's implied volatility by the relative fair value of that contract.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fair value measurements of the OTC SOL put options and the Put Options incorporate volatility assumptions that are not observable in the market. An increase in the volatility assumption used would increase the fair value of the related derivative liability, and a decrease would reduce it. Because the repurchase price of the Put Options accretes at a rate in excess of the risk-free rate, exercise prior to the latest available exercise date would not be economically advantageous to the holders. Accordingly, the fair value of the Put Options is not significantly sensitive to assumptions regarding the timing of exercise.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The following table presents a roll-forward of the Company's derivative assets measured at fair value on a recurring basis using Level 3 inputs for the </w:t>
      </w:r>
      <w:r>
        <w:rPr>
          <w:rFonts w:ascii="Times New Roman;serif" w:hAnsi="Times New Roman;serif"/>
          <w:b w:val="false"/>
          <w:color w:val="000000"/>
          <w:sz w:val="20"/>
          <w:shd w:fill="FFFFFF" w:val="clear"/>
        </w:rPr>
        <w:t>three and six</w:t>
      </w:r>
      <w:r>
        <w:rPr>
          <w:color w:val="000000"/>
        </w:rPr>
        <w:t xml:space="preserve"> </w:t>
      </w:r>
      <w:r>
        <w:rPr>
          <w:rFonts w:ascii="Times New Roman;serif" w:hAnsi="Times New Roman;serif"/>
          <w:b w:val="false"/>
          <w:color w:val="000000"/>
          <w:sz w:val="20"/>
        </w:rPr>
        <w:t>months ended June 30, 2026 (in thousands):</w:t>
      </w:r>
    </w:p>
    <w:p>
      <w:pPr>
        <w:pStyle w:val="TextBody"/>
        <w:bidi w:val="0"/>
        <w:spacing w:before="0" w:after="0"/>
        <w:jc w:val="left"/>
        <w:rPr/>
      </w:pPr>
      <w:r>
        <w:rPr/>
      </w:r>
    </w:p>
    <w:tbl>
      <w:tblPr>
        <w:tblW w:w="4860" w:type="dxa"/>
        <w:jc w:val="left"/>
        <w:tblInd w:w="0" w:type="dxa"/>
        <w:tblLayout w:type="fixed"/>
        <w:tblCellMar>
          <w:top w:w="28" w:type="dxa"/>
          <w:left w:w="28" w:type="dxa"/>
          <w:bottom w:w="28" w:type="dxa"/>
          <w:right w:w="28" w:type="dxa"/>
        </w:tblCellMar>
      </w:tblPr>
      <w:tblGrid>
        <w:gridCol w:w="1086"/>
        <w:gridCol w:w="954"/>
        <w:gridCol w:w="960"/>
        <w:gridCol w:w="508"/>
        <w:gridCol w:w="979"/>
        <w:gridCol w:w="373"/>
      </w:tblGrid>
      <w:tr>
        <w:trPr/>
        <w:tc>
          <w:tcPr>
            <w:tcW w:w="108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Purchased Call Options</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December 31, 2025</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1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loss included in earnings</w:t>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June 30, 2026</w:t>
            </w:r>
          </w:p>
        </w:tc>
        <w:tc>
          <w:tcPr>
            <w:tcW w:w="5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The following table presents a roll-forward of the Company's derivative liabilities measured at fair value on a recurring basis using Level 3 inputs for the </w:t>
      </w:r>
      <w:r>
        <w:rPr>
          <w:rFonts w:ascii="Times New Roman;serif" w:hAnsi="Times New Roman;serif"/>
          <w:b w:val="false"/>
          <w:color w:val="000000"/>
          <w:sz w:val="20"/>
          <w:shd w:fill="FFFFFF" w:val="clear"/>
        </w:rPr>
        <w:t>three and six</w:t>
      </w:r>
      <w:r>
        <w:rPr>
          <w:color w:val="000000"/>
        </w:rPr>
        <w:t xml:space="preserve"> </w:t>
      </w:r>
      <w:r>
        <w:rPr>
          <w:rFonts w:ascii="Times New Roman;serif" w:hAnsi="Times New Roman;serif"/>
          <w:b w:val="false"/>
          <w:color w:val="000000"/>
          <w:sz w:val="20"/>
        </w:rPr>
        <w:t>months ended June 30, 2026 (in thousands):</w:t>
      </w:r>
    </w:p>
    <w:p>
      <w:pPr>
        <w:pStyle w:val="TextBody"/>
        <w:bidi w:val="0"/>
        <w:spacing w:before="0" w:after="0"/>
        <w:jc w:val="left"/>
        <w:rPr/>
      </w:pPr>
      <w:r>
        <w:rPr/>
      </w:r>
    </w:p>
    <w:tbl>
      <w:tblPr>
        <w:tblW w:w="9895" w:type="dxa"/>
        <w:jc w:val="left"/>
        <w:tblInd w:w="0" w:type="dxa"/>
        <w:tblLayout w:type="fixed"/>
        <w:tblCellMar>
          <w:top w:w="28" w:type="dxa"/>
          <w:left w:w="28" w:type="dxa"/>
          <w:bottom w:w="28" w:type="dxa"/>
          <w:right w:w="28" w:type="dxa"/>
        </w:tblCellMar>
      </w:tblPr>
      <w:tblGrid>
        <w:gridCol w:w="1200"/>
        <w:gridCol w:w="1054"/>
        <w:gridCol w:w="1061"/>
        <w:gridCol w:w="427"/>
        <w:gridCol w:w="943"/>
        <w:gridCol w:w="220"/>
        <w:gridCol w:w="109"/>
        <w:gridCol w:w="109"/>
        <w:gridCol w:w="109"/>
        <w:gridCol w:w="475"/>
        <w:gridCol w:w="914"/>
        <w:gridCol w:w="245"/>
        <w:gridCol w:w="109"/>
        <w:gridCol w:w="109"/>
        <w:gridCol w:w="109"/>
        <w:gridCol w:w="314"/>
        <w:gridCol w:w="918"/>
        <w:gridCol w:w="162"/>
        <w:gridCol w:w="109"/>
        <w:gridCol w:w="109"/>
        <w:gridCol w:w="109"/>
        <w:gridCol w:w="211"/>
        <w:gridCol w:w="616"/>
        <w:gridCol w:w="154"/>
      </w:tblGrid>
      <w:tr>
        <w:trPr/>
        <w:tc>
          <w:tcPr>
            <w:tcW w:w="120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Written Put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Written Call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RDO Put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December 31, 2025</w:t>
            </w:r>
          </w:p>
        </w:tc>
        <w:tc>
          <w:tcPr>
            <w:tcW w:w="4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(gain) loss included in earnings</w:t>
            </w:r>
            <w:r>
              <w:rPr>
                <w:rFonts w:ascii="Times New Roman;serif" w:hAnsi="Times New Roman;serif"/>
                <w:b w:val="false"/>
                <w:color w:val="000000"/>
                <w:sz w:val="13"/>
              </w:rPr>
              <w:t>(1)</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June 30, 2026</w:t>
            </w:r>
          </w:p>
        </w:tc>
        <w:tc>
          <w:tcPr>
            <w:tcW w:w="4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4,207 </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Amounts presented in parentheses reduce the carrying amount of the related derivative. Accordingly, parenthetical amounts in the derivative liabilities roll-forward represent gains included in earnings. See Note 7 for the statement of operations line items in which these gains and losses are recognized.</w:t>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val="false"/>
          <w:color w:val="000000"/>
          <w:sz w:val="20"/>
        </w:rPr>
        <w:t xml:space="preserve">The unaudited condensed consolidated financial statements include financial instruments for which the fair market value of such instruments may differ from amounts reflected on a historical cost basis. As of June 30, 2026 and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financial instruments of the Company consist of cash equivalents, which were comprised of deposits of excess cash in an unrestricted money market savings account, USD Coin (“USDC”) at custodians and a money market mutual fund. The carrying value of cash equivalents generally approximates fair value due to their short-term nature.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0" w:after="600"/>
        <w:jc w:val="left"/>
        <w:rPr/>
      </w:pPr>
      <w:hyperlink w:anchor="i0ebdfcd9a9954e93ad9dca5484ad36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9.    COMMON STOCK AND WARRANTS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Registered Direct Offering</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 April 27, 2026, the Company entered into securities purchase agreements (collectively, the “RDO Purchase Agreements”) with the purchasers named therein (the “Purchasers”), pursuant to which the Company issued and sold to the Purchasers, in a registered direct offering (the “Registered Direct Offering”), 3,076,922 shares of the Company’s Class A common stock. The offering price of each Share was $2.60 per share (the “Offering Price”). The Registered Direct Offering closed on April 29, 2026. The net proceeds to the Company from the Registered Direct Offering were $7.9 million after $0.1 million of transaction related costs.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3,076,922 shares of Class A common stock issued in the April 2026 Registered Direct Offering are classified as mezzanine equity because the holders have the right, under certain conditions, to require the Company to repurchase such shares at the offering price plus a contractual 7.0% per annum internal rate of return. Certain triggering events that would allow holders to exercise such repurchase rights are not solely within the control of the Company.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Registered Direct Offering, the Company entered into put option agreements (collectively, the “Put Option Agreements”) with the Purchasers pursuant to which the Company granted each Purchaser the right to require the Company to repurchase all or a portion of the shares of Class A common stock it purchased in the Registered Direct Offering at a price per share equal to the Offering Price plus an amount that would result in an internal rate of return of 7.0% per annum (collectively, the “Put Options”). The Put Options may be exercised in connection with the occurrence of certain qualifying events, including the 12-month and 18-month anniversaries of the closing of the Registered Direct Offering, a failure of the Company’s net debt to total capitalization ratio to remain at or below 30%, or a suspension or halt of trading in the Class A common stock on the applicable trading market exceeding a specified number of consecutive trading days or the issuance of a delisting notice. See Note 7. As of June 30, 2026, there have been no qualifying events under the Put Option Agreements.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The redemption value of the Registered Direct Offering shares was $8.1 million as of June 30, 2026 which is less than the combined fair value of the associated put option derivative liability of $4.2 million and the carrying value of the mezzanine equity of $4.0 million as of June 30, 2026. Accordingly, no accretion of the mezzanine equity carrying value was required during the </w:t>
      </w:r>
      <w:r>
        <w:rPr>
          <w:rFonts w:ascii="Times New Roman;serif" w:hAnsi="Times New Roman;serif"/>
          <w:b w:val="false"/>
          <w:color w:val="000000"/>
          <w:sz w:val="20"/>
          <w:shd w:fill="FFFFFF" w:val="clear"/>
        </w:rPr>
        <w:t>period</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Stock Repurchase Program</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3, 2025, the Company’s Board of Directors (the “Board”) approved a stock repurchase program for the purchase of up to $100 million of the Company’s outstanding Class A common stock (the “Stock Repurchase Program”). Repurchases of Class A common stock may be made in the open market (including through Rule 10b-18 compliant transactions), in privately negotiated transactions, in block trades, through one or more accelerated share repurchase transactions, through one or more trading plans intended to comply with Rule 10b5-1, through tender offers, or by any combination of the foregoing. The Company may determine the timing, amount and method of repurchases based on market conditions, share price, legal and regulatory requirements, and other considerations in its sole discretion. The Stock Repurchase Program does not obligate the Company to repurchase any specific number of shares and may be modified, suspended or terminated at any time. </w:t>
      </w:r>
    </w:p>
    <w:p>
      <w:pPr>
        <w:pStyle w:val="TextBody"/>
        <w:bidi w:val="0"/>
        <w:spacing w:lineRule="auto" w:line="288" w:before="0" w:after="240"/>
        <w:jc w:val="left"/>
        <w:rPr/>
      </w:pPr>
      <w:r>
        <w:rPr>
          <w:rFonts w:ascii="Times New Roman;serif" w:hAnsi="Times New Roman;serif"/>
          <w:b w:val="false"/>
          <w:color w:val="000000"/>
          <w:sz w:val="20"/>
        </w:rPr>
        <w:t xml:space="preserve">As of June 30, 2026 and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xml:space="preserve">, the Company held 2,937,083 and 0 shares, respectively, of its Class A common stock in treasury. During the </w:t>
      </w:r>
      <w:r>
        <w:rPr>
          <w:rFonts w:ascii="Times New Roman;serif" w:hAnsi="Times New Roman;serif"/>
          <w:b w:val="false"/>
          <w:color w:val="000000"/>
          <w:sz w:val="20"/>
          <w:shd w:fill="FFFFFF" w:val="clear"/>
        </w:rPr>
        <w:t>three and six</w:t>
      </w:r>
      <w:r>
        <w:rPr>
          <w:color w:val="000000"/>
        </w:rPr>
        <w:t xml:space="preserve"> </w:t>
      </w:r>
      <w:r>
        <w:rPr>
          <w:rFonts w:ascii="Times New Roman;serif" w:hAnsi="Times New Roman;serif"/>
          <w:b w:val="false"/>
          <w:color w:val="000000"/>
          <w:sz w:val="20"/>
        </w:rPr>
        <w:t>months ended June 30, 2026, the Company purchased 1,333,112 and 2,937,083 shares at a total cost of $2.3 million and $5.9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0" w:after="600"/>
        <w:jc w:val="left"/>
        <w:rPr/>
      </w:pPr>
      <w:hyperlink w:anchor="i0ebdfcd9a9954e93ad9dca5484ad36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September 2025 Private Placements</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September 15, 2025, the Company entered into a securities purchase agreement (the “Cash Purchase Agreement”) with certain investors (the “Cash Purchasers”) pursuant to which the Company sold, in a private placement (the “Cash Offering”), an aggregate offering of (i) 38,049,663 shares (the “Cash Shares”) of Class A common stock at an offering price of $6.881 per Cash Share (the “Per Share Cash Purchase Price”); and 36,261,239 pre-funded warrants (the “Cash Pre-Funded Warrants”) to purchase shares of Class A common stock (the “Cash Pre-Funded Warrant Shares”) at the Per Share Cash Purchase Price less $0.001 per Cash Pre-Funded Warrant, and (ii) 73,941,196 stapled warrants (the “Cash Stapled Warrants”) to purchase shares of Class A common stock (the “Cash Stapled Warrant Shares”) at an exercise price of $10.134 per Cash Stapled Warrant. In the Cash Offering, the Cash Purchasers tendered any of U.S. dollars, USD Coin (“USDC”) or Tether (“USDT”) (or a combination thereof) to the Company as consideration for the Cash Shares, Cash Stapled Warrants and Cash Pre-Funded Warrants.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September 15, 2025, the Company also entered into securities purchase agreements (the “Cryptocurrency Purchase Agreements,” and together with the Cash Purchase Agreements, the “Purchase Agreements”) with certain investors (the “Cryptocurrency Purchasers,” and together with the Cash Purchasers, the “Purchasers”) pursuant to which the Company agreed to sell to the Cryptocurrency Purchasers in a private placement (the “Cryptocurrency Offering,” and together with the Cash Offering, the “2025 PIPE Offerings”) (i) pre-funded warrants to purchase shares of Class A common stock at an offering price of $6.881 less $0.001 (the “Cryptocurrency Pre-Funded Warrants” and together with the Cash Pre-Funded Warrants, the “2025 Pre-Funded Warrants”) and (ii) stapled warrants (the “Cryptocurrency Stapled Warrants,” and together with the Cash Stapled Warrants, the “2025 Stapled Warrants”) at an exercise price of $10.134. In the Cryptocurrency Offering, the Cryptocurrency Purchasers tendered Locked SOL to the Company as consideration for the Cryptocurrency Pre-Funded Warrants and the Cryptocurrency Stapled Warrants.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Clear Street LLC (“Clear Street”) served as lead placement agent and Maxim Group LLC (“Maxim”) served as co-placement agents in the 2025 PIPE Offerings, pursuant to the terms of a placement agency agreement and received aggregate compensation of $11.1 million. Clear Street was also issued 369,706 shares of the Company’s Class A common stock. The Company recorded non-cash financing offering costs of $8.6 million on the statement of operations based on the Company’s closing stock price of $23.17 on the 2025 PIPE Offerings closing date.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aggregate gross proceeds to the Company were $508.8 million including $119 million in contributed digital assets comprised of $75.6 million of Locked PIPE SOL, $34.3 million of USDC and $9.1 million of USDT, resulting in net cash proceeds of $374.9 million after deducting placement agent fees and other cash offering expenses of $14.9 million.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September 2025 Advisory Warrants</w:t>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val="false"/>
          <w:color w:val="000000"/>
          <w:sz w:val="20"/>
        </w:rPr>
        <w:t xml:space="preserve">On September 15, 2025, the Company entered into a Strategic Advisory Agreement (the “Strategic Advisory Agreement”) with Pantera Capital Management LP, a Delaware limited partnership (“Pantera”) and Summer Wisdom Holdings Limited (“Summer” and with Pantera, the “Advisors”). In connection with the closing of the 2025 PIPE Offerings, on September 18, 2025, the Company issued (i) warrants to purchase 5,175,883 shares of Class A common stock to Pantera (the “Pantera Base Advisor Warrants”) and (ii) warrants to purchase 2,218,236 shares of Class A common stock to Summer (the “Summer Base Advisor Warrants” and together with the Pantera Base Advisor Warrants, the “Base Advisor Warrants”). Upon the exercise of each Stapled Warrant, each of Pantera and Summer shall receive an additional grant of warrants to purchase an amount of shares of Class A common stock equal to their respective portion of 5% of the shares of Class A common stock issued upon such exercise (the "Performance Advisor Warrants", and together with the Base Advisor Warrants, the “Advisor Warrants”). The exercise price per share of the Advisor Warrants shall be equal to $0.001 per underlying share of Class A common stock. The Company recorded $171.3 million in non-cash financing costs, determined using a Black-Scholes model, on the statement of operations for the period ended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Based on the exercise price of $0.001, the Black-Scholes value was effectively the same as the Company’s stock price of $23.17 as of the date of closing of the 2025 PIPE Offerings.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Strategic Advisory Agreement, Pantera and Summer agreed not to sell, transfer, pledge, hedge, or otherwise dispose of any shares underlying the Strategic Advisory Warrants for 180 days after the closing of the 2025 PIPE Offerings (the “Advisor Lock-Up Period”), except (i) transfers to affiliates that agree in writing to be bound by the remainder of the Advisor Lock-Up Period, or (ii) with the Company’s prior written consent.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0" w:after="600"/>
        <w:jc w:val="left"/>
        <w:rPr/>
      </w:pPr>
      <w:hyperlink w:anchor="i0ebdfcd9a9954e93ad9dca5484ad36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June 2025 Offering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June 2025, the Company completed a registered offering of common stock, pre-funded warrants and accompanying common warrants, together with warrants issued to the placement agent (collectively, the "2025 Warrants"). The common warrants contained a provision permitting holders to receive twice the number of shares issuable on a cash exercise without additional payment, and provided for exercise price resets on the fifth trading day and tenth calendar day after issuance, with a corresponding increase in the number of shares issuable such that the aggregate exercise price remained unchanged.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Because of that provision, the common warrants did not qualify for equity classification and were recorded as a derivative liability of $3.4 million at issuance, measured using a Monte Carlo simulation model. Offering costs of $0.5 million allocated to the derivative liability were expensed. The exercise price and share resets resulted in a loss of $6.2 million recognized in "Change in fair value of derivative liability." Expected volatility of 99.95% was the significant unobservable input used at issuance and at each remeasurement date; the remaining inputs were observable. The derivative liability was reclassified to equity upon exercise of the warrants during 2025 and had no fair value as of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aggregate gross proceeds to the Company were $9.1 million, before deducting placement agent fees and other expenses of $1.2 million and repayment of promissory notes of $1.56 million. Maxim Group LLC served as placement agent and received a cash fee of 7% of gross proceeds plus reimbursement of legal fees of up to $100 thousand.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April 2025 Private Placement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April 24, 2025, the Company entered into a securities purchase agreement (the “Purchase Agreement”) with certain investors (the “Purchasers”) pursuant to which the Company sold, in a private placement (the “2025 Private Placement”), unsecured 20% original issue discount promissory notes with an aggregate principal amount of $1.56 million (the “Notes”) with a maturity date of the earlier of a) July 24, 2025, b) the closing date of the Company’s next registered offering of securities on Form S-1. The Purchase Agreement also provides for the issuance of an aggregate of 1,760 shares of common stock of the Company, par value $0.001 per share (the “Private Placement Shares”) to the Purchasers. The transaction closed on April 25,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Maxim Group LLC served as the placement agent in the 2025 Private Placement, pursuant to the terms of a placement agency agreement and received 7% of the gross proceeds of the Offering and reimbursement of the legal fees of its counsel of up to $15 thousand.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aggregate gross proceeds to the Company were $1.3 million, before deducting placement agent fees and expenses of $0.1 million.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Warrant inducement</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January 21, 2025, the Company entered into warrant exercise inducement offer letters (the “Inducement Letters”) with certain holders (the “Holders”) of its existing 2024 Public Warrants to purchase shares of the Company’s Class A common stock (the “Existing Warrants”), pursuant to which the Holders agreed to exercise for cash their Existing Warrants to purchase an aggregate of 6,628 shares of the Company’s Class A common stock, in the aggregate, at a reduced exercise price of $563.25 per share, in exchange for the Company’s agreement to issue new Series C Warrants and Series D Warrants (the “Inducement Warrants”) on substantially the same terms as the Existing Warrants described below, to purchase up to 8,281 shares of the Company’s Class A common stock (the “Inducement Warrant Shares”). The Company received aggregate gross proceeds of approximately $3.7 million from the exercise of the Existing Warrants by the Holders. The Company engaged Roth Capital Partners, LLC (“Roth”) to act as its financial advisor with the transactions summarized above and has paid Roth $0.2 million for its services, in addition to reimbursement for certain expenses along with other legal and regulatory expenses of $0.1 million resulting in net proceeds of $3.4 million and non-cash share issuance costs of $1.0 million and $3.1 million related to the modification of the Existing Warrants and issuance of the Inducement Warrants, respectively. As of June 30, 2025, 3,572 shares (the “Abeyance Shares”) from the exercised Existing Warrants that were held in abeyance due to the ownership limitations from the warrant agreements have been issued at the direction of the Holders.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April 21, 2025, stockholder approval was obtained for the issuance of the Inducement Warrants at the Company’s annual meeting of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0" w:after="600"/>
        <w:jc w:val="left"/>
        <w:rPr/>
      </w:pPr>
      <w:hyperlink w:anchor="i0ebdfcd9a9954e93ad9dca5484ad36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2025 At-The-Market Offering</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On September 15, 2025, the Company entered into a Sales Agreement (as amended and restated,</w:t>
      </w:r>
      <w:r>
        <w:rPr>
          <w:color w:val="008080"/>
        </w:rPr>
        <w:t xml:space="preserve"> </w:t>
      </w:r>
      <w:r>
        <w:rPr>
          <w:rFonts w:ascii="Times New Roman;serif" w:hAnsi="Times New Roman;serif"/>
          <w:b w:val="false"/>
          <w:color w:val="000000"/>
          <w:sz w:val="20"/>
        </w:rPr>
        <w:t>the “2025 Sales Agreement”) with Clear Street and Maxim, as co-sales agents, to create an at-the-market offering program (the “2025 ATM”) under which the Company may offer and sell shares with an aggregate offering price of up to $92.8 million. On May 29, 2026, the Company amended and restated the 2025 Sales Agreement to, among other things, increase the aggregate gross sales price of shares that may be offered and sold from time to time from $92.8 million to $250.0 million. Clear Street and Maxim are entitled to a fixed commission rate equal to up to 3% of the gross proceeds pursuant to the 2025 Sales Agreement. During the six months ended June 30, 2026 and 2025, no shares were sold under the 2025 ATM.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2023 At-The-Market Offering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On June 23, 2023, the Company entered into a Sales Agreement (the “2023 Sales Agreement”) with Roth to create an at-the-market offering program (the “2023 ATM”) under which the Company may offer and sell shares with an aggregate offering price of up to $2.0 million. Roth is entitled to a fixed commission rate equal to up to 3% of the gross proceeds pursuant to the 2023 Sales Agreement. On July 7, 2025, the Company filed a prospectus supplement that amended and supplemented the prior prospectus supplements related to the 2023 ATM to increase the maximum offering size to $25.0 million. During the six months ended June 30, 2026 and 2025, the Company sold zero and 124 shares, respectively, generating net proceeds after commissions of zero and $74.5 thousand after deducting $2.5 thousand in commissions and fees, respectively. </w:t>
      </w:r>
    </w:p>
    <w:p>
      <w:pPr>
        <w:pStyle w:val="TextBody"/>
        <w:bidi w:val="0"/>
        <w:spacing w:lineRule="auto" w:line="288" w:before="0" w:after="240"/>
        <w:jc w:val="left"/>
        <w:rPr/>
      </w:pPr>
      <w:r>
        <w:rPr>
          <w:rFonts w:ascii="Times New Roman;serif" w:hAnsi="Times New Roman;serif"/>
          <w:b w:val="false"/>
          <w:color w:val="000000"/>
          <w:sz w:val="20"/>
        </w:rPr>
        <w:t xml:space="preserve">The following table provides a roll-forward of the number of shares of Class A common stock underlying warrants issued during the </w:t>
      </w:r>
      <w:r>
        <w:rPr>
          <w:rFonts w:ascii="Times New Roman;serif" w:hAnsi="Times New Roman;serif"/>
          <w:b w:val="false"/>
          <w:color w:val="000000"/>
          <w:sz w:val="20"/>
          <w:shd w:fill="FFFFFF" w:val="clear"/>
        </w:rPr>
        <w:t>three and six</w:t>
      </w:r>
      <w:r>
        <w:rPr>
          <w:color w:val="000000"/>
        </w:rPr>
        <w:t xml:space="preserve"> </w:t>
      </w:r>
      <w:r>
        <w:rPr>
          <w:rFonts w:ascii="Times New Roman;serif" w:hAnsi="Times New Roman;serif"/>
          <w:b w:val="false"/>
          <w:color w:val="000000"/>
          <w:sz w:val="20"/>
        </w:rPr>
        <w:t xml:space="preserve">months ended June 30, 2026 and the </w:t>
      </w:r>
      <w:r>
        <w:rPr>
          <w:rFonts w:ascii="Times New Roman;serif" w:hAnsi="Times New Roman;serif"/>
          <w:b w:val="false"/>
          <w:color w:val="000000"/>
          <w:sz w:val="20"/>
          <w:shd w:fill="FFFFFF" w:val="clear"/>
        </w:rPr>
        <w:t>three and six</w:t>
      </w:r>
      <w:r>
        <w:rPr>
          <w:color w:val="000000"/>
        </w:rPr>
        <w:t xml:space="preserve"> </w:t>
      </w:r>
      <w:r>
        <w:rPr>
          <w:rFonts w:ascii="Times New Roman;serif" w:hAnsi="Times New Roman;serif"/>
          <w:b w:val="false"/>
          <w:color w:val="000000"/>
          <w:sz w:val="20"/>
        </w:rPr>
        <w:t>months ended June 30, 2025:</w:t>
      </w:r>
    </w:p>
    <w:tbl>
      <w:tblPr>
        <w:tblW w:w="10725" w:type="dxa"/>
        <w:jc w:val="left"/>
        <w:tblInd w:w="0" w:type="dxa"/>
        <w:tblLayout w:type="fixed"/>
        <w:tblCellMar>
          <w:top w:w="28" w:type="dxa"/>
          <w:left w:w="28" w:type="dxa"/>
          <w:bottom w:w="28" w:type="dxa"/>
          <w:right w:w="28" w:type="dxa"/>
        </w:tblCellMar>
      </w:tblPr>
      <w:tblGrid>
        <w:gridCol w:w="381"/>
        <w:gridCol w:w="334"/>
        <w:gridCol w:w="336"/>
        <w:gridCol w:w="487"/>
        <w:gridCol w:w="489"/>
        <w:gridCol w:w="306"/>
        <w:gridCol w:w="109"/>
        <w:gridCol w:w="109"/>
        <w:gridCol w:w="109"/>
        <w:gridCol w:w="480"/>
        <w:gridCol w:w="481"/>
        <w:gridCol w:w="271"/>
        <w:gridCol w:w="109"/>
        <w:gridCol w:w="109"/>
        <w:gridCol w:w="109"/>
        <w:gridCol w:w="442"/>
        <w:gridCol w:w="444"/>
        <w:gridCol w:w="271"/>
        <w:gridCol w:w="109"/>
        <w:gridCol w:w="109"/>
        <w:gridCol w:w="109"/>
        <w:gridCol w:w="270"/>
        <w:gridCol w:w="270"/>
        <w:gridCol w:w="271"/>
        <w:gridCol w:w="109"/>
        <w:gridCol w:w="109"/>
        <w:gridCol w:w="109"/>
        <w:gridCol w:w="481"/>
        <w:gridCol w:w="270"/>
        <w:gridCol w:w="271"/>
        <w:gridCol w:w="109"/>
        <w:gridCol w:w="109"/>
        <w:gridCol w:w="109"/>
        <w:gridCol w:w="354"/>
        <w:gridCol w:w="307"/>
        <w:gridCol w:w="271"/>
        <w:gridCol w:w="109"/>
        <w:gridCol w:w="109"/>
        <w:gridCol w:w="109"/>
        <w:gridCol w:w="524"/>
        <w:gridCol w:w="527"/>
        <w:gridCol w:w="225"/>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br/>
              <w:t xml:space="preserve">Pre-funded </w:t>
              <w:br/>
              <w:t>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Stapled</w:t>
              <w:br/>
              <w:t>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Base Advisor</w:t>
              <w:br/>
              <w:t>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2022 Public </w:t>
              <w:br/>
              <w:t>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Common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Equity</w:t>
              <w:br/>
              <w:t>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Classification</w:t>
            </w:r>
          </w:p>
        </w:tc>
        <w:tc>
          <w:tcPr>
            <w:tcW w:w="1282"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Equity</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Equity</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Equity</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Equity</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Exercise Price ($)</w:t>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Various</w:t>
            </w:r>
            <w:r>
              <w:rPr>
                <w:rFonts w:ascii="Times New Roman;serif" w:hAnsi="Times New Roman;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Expiration Date</w:t>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Various</w:t>
            </w:r>
            <w:r>
              <w:rPr>
                <w:rFonts w:ascii="Times New Roman;serif" w:hAnsi="Times New Roman;serif"/>
                <w:b w:val="false"/>
                <w:color w:val="000000"/>
                <w:sz w:val="1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Oct-30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Various</w:t>
            </w:r>
            <w:r>
              <w:rPr>
                <w:rFonts w:ascii="Times New Roman;serif" w:hAnsi="Times New Roman;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7,807 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8,611 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293,235 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32,831 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326,066 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Exercises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(293,233)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(22,323)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(315,743)</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Expirations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(487)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(487)</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617 </w:t>
            </w:r>
          </w:p>
        </w:tc>
        <w:tc>
          <w:tcPr>
            <w:tcW w:w="27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17,828 </w:t>
            </w:r>
          </w:p>
        </w:tc>
        <w:tc>
          <w:tcPr>
            <w:tcW w:w="27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18,447 </w:t>
            </w:r>
          </w:p>
        </w:tc>
        <w:tc>
          <w:tcPr>
            <w:tcW w:w="225"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36,261,239 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73,941,196 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7,394,119 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117,596,554 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Exercises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(3,269,896)</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(8,871)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(3,278,767)</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Exercised but not issued</w:t>
            </w:r>
            <w:r>
              <w:rPr>
                <w:rFonts w:ascii="Times New Roman;serif" w:hAnsi="Times New Roman;serif"/>
                <w:b w:val="false"/>
                <w:color w:val="000000"/>
                <w:sz w:val="10"/>
              </w:rPr>
              <w:t>(4)</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(2,298,075)</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(2,298,075)</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2025</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30,693,268 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73,941,196 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7,394,119 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8,957 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112,038,159 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Exercises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(11,627,247)</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(1,567,862)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(13,195,109)</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16"/>
              </w:rPr>
              <w:t>Exercised but not issued</w:t>
            </w:r>
            <w:r>
              <w:rPr>
                <w:rFonts w:ascii="Times New Roman;serif" w:hAnsi="Times New Roman;serif"/>
                <w:b w:val="false"/>
                <w:color w:val="000000"/>
                <w:sz w:val="10"/>
              </w:rPr>
              <w:t>(5)</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(80,403)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(80,403)</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Expirations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(676)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(676)</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19,066,021 </w:t>
            </w:r>
          </w:p>
        </w:tc>
        <w:tc>
          <w:tcPr>
            <w:tcW w:w="3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73,941,196 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5,745,854 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8,281 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98,761,971 </w:t>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The Company’s outstanding equity-classified warrants as of June 30, 2026 have a weighted average exercise price of $7.63.</w:t>
      </w:r>
    </w:p>
    <w:p>
      <w:pPr>
        <w:pStyle w:val="TextBody"/>
        <w:bidi w:val="0"/>
        <w:spacing w:lineRule="auto" w:line="288" w:before="0" w:after="12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Exercise prices for outstanding other equity warrants as of June 30, 2026 range from $563.25 to $1,856.25 per share of Class A common stock exercised.</w:t>
      </w:r>
    </w:p>
    <w:p>
      <w:pPr>
        <w:pStyle w:val="TextBody"/>
        <w:bidi w:val="0"/>
        <w:spacing w:lineRule="auto" w:line="288" w:before="0" w:after="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Expiration dates for outstanding other equity warrants as of June 30, 2026 range from April 2027 to April 2030.</w:t>
      </w:r>
    </w:p>
    <w:p>
      <w:pPr>
        <w:pStyle w:val="TextBody"/>
        <w:bidi w:val="0"/>
        <w:spacing w:lineRule="auto" w:line="288" w:before="0" w:after="0"/>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the Company received formal notice of exercise from the holder and shares were issued in January 2026.</w:t>
      </w:r>
    </w:p>
    <w:p>
      <w:pPr>
        <w:pStyle w:val="TextBody"/>
        <w:bidi w:val="0"/>
        <w:spacing w:lineRule="auto" w:line="288" w:before="0" w:after="0"/>
        <w:ind w:left="0" w:right="0" w:hanging="360"/>
        <w:jc w:val="left"/>
        <w:rPr/>
      </w:pPr>
      <w:r>
        <w:rPr>
          <w:rFonts w:ascii="Times New Roman;serif" w:hAnsi="Times New Roman;serif"/>
          <w:b w:val="false"/>
          <w:color w:val="000000"/>
          <w:sz w:val="13"/>
        </w:rPr>
        <w:t>(5)</w:t>
      </w:r>
      <w:r>
        <w:rPr>
          <w:rFonts w:ascii="Times New Roman;serif" w:hAnsi="Times New Roman;serif"/>
          <w:b w:val="false"/>
          <w:color w:val="000000"/>
          <w:sz w:val="20"/>
        </w:rPr>
        <w:t>As of June 30, 2026, the Company received formal notice of exercise from the holder and shares were issued in July 2026.</w:t>
      </w:r>
    </w:p>
    <w:p>
      <w:pPr>
        <w:pStyle w:val="TextBody"/>
        <w:bidi w:val="0"/>
        <w:spacing w:lineRule="auto" w:line="288" w:before="0" w:after="200"/>
        <w:ind w:left="0" w:right="0" w:hanging="360"/>
        <w:jc w:val="left"/>
        <w:rPr/>
      </w:pPr>
      <w:r>
        <w:rPr>
          <w:rFonts w:ascii="Times New Roman;serif" w:hAnsi="Times New Roman;serif"/>
          <w:b w:val="false"/>
          <w:color w:val="000000"/>
          <w:sz w:val="13"/>
        </w:rPr>
        <w:t>(6)</w:t>
      </w:r>
      <w:r>
        <w:rPr>
          <w:rFonts w:ascii="Times New Roman;serif" w:hAnsi="Times New Roman;serif"/>
          <w:b w:val="false"/>
          <w:color w:val="000000"/>
          <w:sz w:val="20"/>
        </w:rPr>
        <w:t>The Cash Stapled Warrants have an expiration of June 2028 and the Cryptocurrency Stapled Warrants have an expiration of July 2028.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0" w:after="600"/>
        <w:jc w:val="left"/>
        <w:rPr/>
      </w:pPr>
      <w:hyperlink w:anchor="i0ebdfcd9a9954e93ad9dca5484ad36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10.    STOCK-BASED COMPENSATION</w:t>
      </w:r>
    </w:p>
    <w:p>
      <w:pPr>
        <w:pStyle w:val="TextBody"/>
        <w:bidi w:val="0"/>
        <w:spacing w:lineRule="auto" w:line="288" w:before="0" w:after="240"/>
        <w:jc w:val="left"/>
        <w:rPr/>
      </w:pPr>
      <w:r>
        <w:rPr>
          <w:rFonts w:ascii="Times New Roman;serif" w:hAnsi="Times New Roman;serif"/>
          <w:b w:val="false"/>
          <w:color w:val="000000"/>
          <w:sz w:val="20"/>
        </w:rPr>
        <w:t xml:space="preserve">The Company may issue stock-based compensation awards under the Company’s 2022 Equity Incentive Plan (as amended, the “2022 Plan”) or the Company’s 2021 Inducement Plan (as amended, the “Inducement Plan”), as described more fully in the Company’s Annual Report on Form 10-K for the year ended </w:t>
      </w:r>
      <w:r>
        <w:rPr>
          <w:rFonts w:ascii="Times New Roman;serif" w:hAnsi="Times New Roman;serif"/>
          <w:b w:val="false"/>
          <w:color w:val="000000"/>
          <w:sz w:val="20"/>
          <w:shd w:fill="FFFFFF" w:val="clear"/>
        </w:rPr>
        <w:t>December 31, 2025</w:t>
      </w:r>
      <w:r>
        <w:rPr>
          <w:color w:val="000000"/>
        </w:rPr>
        <w:t xml:space="preserve"> </w:t>
      </w:r>
      <w:r>
        <w:rPr>
          <w:rFonts w:ascii="Times New Roman;serif" w:hAnsi="Times New Roman;serif"/>
          <w:b w:val="false"/>
          <w:color w:val="000000"/>
          <w:sz w:val="20"/>
        </w:rPr>
        <w:t>filed with the SEC on March 31, 2026.</w:t>
      </w:r>
    </w:p>
    <w:p>
      <w:pPr>
        <w:pStyle w:val="TextBody"/>
        <w:bidi w:val="0"/>
        <w:spacing w:lineRule="auto" w:line="288" w:before="0" w:after="0"/>
        <w:jc w:val="left"/>
        <w:rPr/>
      </w:pPr>
      <w:r>
        <w:rPr>
          <w:rFonts w:ascii="Times New Roman;serif" w:hAnsi="Times New Roman;serif"/>
          <w:b w:val="false"/>
          <w:color w:val="000000"/>
          <w:sz w:val="20"/>
        </w:rPr>
        <w:t>On May 30, 2024, the Board adopted a First Amendment (the “Amendment”) to the 2022 Plan. On June 27, 2024, at the annual meeting of stockholders, the stockholders of the Company approved the Amendment. Pursuant to the terms and conditions of the Amendment, the 2022 Plan was amended to increase the aggregate number of shares of Class A common stock that may be issued under the 2022 Plan to 2,785 new shares with an automatic increase on January 1st of each year by an amount equal to 5% of the fully diluted shares (as defined in the 2022 Plan) as of the last day of the preceding calendar year. As of January 1, 2025, the number of shares authorized for issuance increased from 2,785 to 3,605. On April 22, 2025, the Board adopted an amendment to the 2022 Plan to increase the aggregate number of shares of Class A common stock that may be issued under the 2022 Plan to 20% of the fully diluted shares on the 10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calendar date following the first closing of a registered offering of the Company’s Class A common stock that occurs on or after May 15, 2025 (the “April Equity Plan Amendment”). The April Equity Plan Amendment was approved by stockholders at the special stockholders meeting held on May 23, 2025, and on June 16, 2025, following the 2025 Offering, the number of shares authorized for issuance increased from 3,605 to 142,286. On September 25, 2025, the Board adopted an amendment to the 2022 Plan to increase the aggregate number of shares of Class A common stock that may be issued under the 2022 Plan by 4,000,000 shares (the “September Equity Plan Amendment”). The September Equity Plan Amendment was approved by stockholders at the special stockholders meeting held on October 30, 2025, and the number of shares authorized for issuance increased from 142,286 to 4,142,286. On January 1, 2026, the number of shares authorized for issuance increased by 7,965,869 to 12,108,155.</w:t>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val="false"/>
          <w:color w:val="000000"/>
          <w:sz w:val="20"/>
        </w:rPr>
        <w:t>As of June 30, 2026, the remaining shares available for grant were 10,669,709 under the 2022 Plan and 192</w:t>
      </w:r>
      <w:r>
        <w:rPr>
          <w:color w:val="000000"/>
        </w:rPr>
        <w:t xml:space="preserve"> </w:t>
      </w:r>
      <w:r>
        <w:rPr>
          <w:rFonts w:ascii="Times New Roman;serif" w:hAnsi="Times New Roman;serif"/>
          <w:b w:val="false"/>
          <w:color w:val="000000"/>
          <w:sz w:val="20"/>
        </w:rPr>
        <w:t>under the Inducement Plan. During the six months ended June 30, 2026, the Company granted 168,372 stock options out of the 2022 Plan and no stock options out of the Inducement Plan. The options vest over one to three years and expire ten years after the grant date. A total of 847 stock options were granted under the 2022 Plan during the six months ended June 30, 2025.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 option activity during the six months ended June 30, 2026 was as follows:</w:t>
      </w:r>
    </w:p>
    <w:p>
      <w:pPr>
        <w:pStyle w:val="TextBody"/>
        <w:bidi w:val="0"/>
        <w:spacing w:before="0" w:after="0"/>
        <w:jc w:val="left"/>
        <w:rPr/>
      </w:pPr>
      <w:r>
        <w:rPr/>
      </w:r>
    </w:p>
    <w:tbl>
      <w:tblPr>
        <w:tblW w:w="8675" w:type="dxa"/>
        <w:jc w:val="left"/>
        <w:tblInd w:w="0" w:type="dxa"/>
        <w:tblLayout w:type="fixed"/>
        <w:tblCellMar>
          <w:top w:w="28" w:type="dxa"/>
          <w:left w:w="28" w:type="dxa"/>
          <w:bottom w:w="28" w:type="dxa"/>
          <w:right w:w="28" w:type="dxa"/>
        </w:tblCellMar>
      </w:tblPr>
      <w:tblGrid>
        <w:gridCol w:w="1147"/>
        <w:gridCol w:w="1006"/>
        <w:gridCol w:w="1012"/>
        <w:gridCol w:w="259"/>
        <w:gridCol w:w="259"/>
        <w:gridCol w:w="263"/>
        <w:gridCol w:w="109"/>
        <w:gridCol w:w="109"/>
        <w:gridCol w:w="109"/>
        <w:gridCol w:w="228"/>
        <w:gridCol w:w="779"/>
        <w:gridCol w:w="117"/>
        <w:gridCol w:w="109"/>
        <w:gridCol w:w="109"/>
        <w:gridCol w:w="109"/>
        <w:gridCol w:w="484"/>
        <w:gridCol w:w="484"/>
        <w:gridCol w:w="486"/>
        <w:gridCol w:w="109"/>
        <w:gridCol w:w="109"/>
        <w:gridCol w:w="109"/>
        <w:gridCol w:w="319"/>
        <w:gridCol w:w="616"/>
        <w:gridCol w:w="235"/>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Weighted </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Remaining</w:t>
              <w:br/>
              <w:t>Contractual</w:t>
              <w:br/>
              <w:t>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w:t>
              <w:br/>
              <w:t>Value</w:t>
              <w:br/>
              <w:t>(in thousands)</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781"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117.38 </w:t>
            </w:r>
          </w:p>
        </w:tc>
        <w:tc>
          <w:tcPr>
            <w:tcW w:w="11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510.15 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2026</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as of June 30, 2026</w:t>
            </w:r>
          </w:p>
        </w:tc>
        <w:tc>
          <w:tcPr>
            <w:tcW w:w="78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1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June 30, 2026</w:t>
            </w:r>
          </w:p>
        </w:tc>
        <w:tc>
          <w:tcPr>
            <w:tcW w:w="781"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67.08 </w:t>
            </w:r>
          </w:p>
        </w:tc>
        <w:tc>
          <w:tcPr>
            <w:tcW w:w="11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grant date fair values of the stock options were estimated using the Black-Scholes option pricing model using the following weighted average assumptions:</w:t>
      </w:r>
    </w:p>
    <w:tbl>
      <w:tblPr>
        <w:tblW w:w="5133" w:type="dxa"/>
        <w:jc w:val="left"/>
        <w:tblInd w:w="0" w:type="dxa"/>
        <w:tblLayout w:type="fixed"/>
        <w:tblCellMar>
          <w:top w:w="28" w:type="dxa"/>
          <w:left w:w="28" w:type="dxa"/>
          <w:bottom w:w="28" w:type="dxa"/>
          <w:right w:w="28" w:type="dxa"/>
        </w:tblCellMar>
      </w:tblPr>
      <w:tblGrid>
        <w:gridCol w:w="771"/>
        <w:gridCol w:w="677"/>
        <w:gridCol w:w="681"/>
        <w:gridCol w:w="109"/>
        <w:gridCol w:w="109"/>
        <w:gridCol w:w="109"/>
        <w:gridCol w:w="109"/>
        <w:gridCol w:w="211"/>
        <w:gridCol w:w="511"/>
        <w:gridCol w:w="271"/>
        <w:gridCol w:w="109"/>
        <w:gridCol w:w="109"/>
        <w:gridCol w:w="109"/>
        <w:gridCol w:w="211"/>
        <w:gridCol w:w="721"/>
        <w:gridCol w:w="316"/>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108.41 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125.37 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5.38</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476.10 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0" w:after="600"/>
        <w:jc w:val="left"/>
        <w:rPr/>
      </w:pPr>
      <w:hyperlink w:anchor="i0ebdfcd9a9954e93ad9dca5484ad36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restricted stock unit ("RSU') activity during the six months ended June 30, 2026:</w:t>
      </w:r>
    </w:p>
    <w:tbl>
      <w:tblPr>
        <w:tblW w:w="6924" w:type="dxa"/>
        <w:jc w:val="left"/>
        <w:tblInd w:w="0" w:type="dxa"/>
        <w:tblLayout w:type="fixed"/>
        <w:tblCellMar>
          <w:top w:w="28" w:type="dxa"/>
          <w:left w:w="28" w:type="dxa"/>
          <w:bottom w:w="28" w:type="dxa"/>
          <w:right w:w="28" w:type="dxa"/>
        </w:tblCellMar>
      </w:tblPr>
      <w:tblGrid>
        <w:gridCol w:w="1467"/>
        <w:gridCol w:w="1289"/>
        <w:gridCol w:w="1293"/>
        <w:gridCol w:w="347"/>
        <w:gridCol w:w="347"/>
        <w:gridCol w:w="355"/>
        <w:gridCol w:w="109"/>
        <w:gridCol w:w="109"/>
        <w:gridCol w:w="109"/>
        <w:gridCol w:w="361"/>
        <w:gridCol w:w="875"/>
        <w:gridCol w:w="263"/>
      </w:tblGrid>
      <w:tr>
        <w:trPr/>
        <w:tc>
          <w:tcPr>
            <w:tcW w:w="1467"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 Average</w:t>
              <w:br/>
              <w:t>Grant Date</w:t>
              <w:br/>
              <w:t>Fair Value</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outstanding as of December 31, 2025</w:t>
            </w:r>
          </w:p>
        </w:tc>
        <w:tc>
          <w:tcPr>
            <w:tcW w:w="104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1,109,118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26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outstanding as of December 31, 2025</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Settled</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(1,109,118)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and outstanding as of June 30, 2026</w:t>
            </w:r>
          </w:p>
        </w:tc>
        <w:tc>
          <w:tcPr>
            <w:tcW w:w="1049"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26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total remaining unrecognized compensation expense related to nonvested stock options and RSUs was $0.2 million which will be amortized over the weighted-average remaining requisite service period of 0.5 years years.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11.    BASIC AND DILUTED LOSS PER SHARE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presents the computation of basic and diluted loss per share (in thousands, except share and per share information): </w:t>
      </w:r>
    </w:p>
    <w:tbl>
      <w:tblPr>
        <w:tblW w:w="10005" w:type="dxa"/>
        <w:jc w:val="left"/>
        <w:tblInd w:w="0" w:type="dxa"/>
        <w:tblLayout w:type="fixed"/>
        <w:tblCellMar>
          <w:top w:w="28" w:type="dxa"/>
          <w:left w:w="28" w:type="dxa"/>
          <w:bottom w:w="28" w:type="dxa"/>
          <w:right w:w="28" w:type="dxa"/>
        </w:tblCellMar>
      </w:tblPr>
      <w:tblGrid>
        <w:gridCol w:w="1632"/>
        <w:gridCol w:w="1437"/>
        <w:gridCol w:w="1446"/>
        <w:gridCol w:w="211"/>
        <w:gridCol w:w="796"/>
        <w:gridCol w:w="109"/>
        <w:gridCol w:w="109"/>
        <w:gridCol w:w="109"/>
        <w:gridCol w:w="109"/>
        <w:gridCol w:w="211"/>
        <w:gridCol w:w="691"/>
        <w:gridCol w:w="109"/>
        <w:gridCol w:w="109"/>
        <w:gridCol w:w="109"/>
        <w:gridCol w:w="109"/>
        <w:gridCol w:w="211"/>
        <w:gridCol w:w="901"/>
        <w:gridCol w:w="109"/>
        <w:gridCol w:w="109"/>
        <w:gridCol w:w="109"/>
        <w:gridCol w:w="109"/>
        <w:gridCol w:w="211"/>
        <w:gridCol w:w="796"/>
        <w:gridCol w:w="154"/>
      </w:tblGrid>
      <w:tr>
        <w:trPr/>
        <w:tc>
          <w:tcPr>
            <w:tcW w:w="1632"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available to common stockholders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Weighted average common shares outstanding — </w:t>
            </w:r>
            <w:r>
              <w:rPr>
                <w:rFonts w:ascii="Times New Roman;serif" w:hAnsi="Times New Roman;serif"/>
                <w:b w:val="false"/>
                <w:color w:val="000000"/>
                <w:sz w:val="13"/>
              </w:rPr>
              <w:t>(1)(2)</w:t>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79,756,908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78,254,877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67,828</w:t>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The weighted average number of common shares outstanding as of June 30, 2025 includes the Abeyance Shares from the exercise of the Existing Warrants, the exercise of which was fully paid by the Holders and requires no further consideration for the delivery of the shares of Class A common stock. Therefore, the Abeyance Shares are included in the computation of basic and diluted loss per share as of the exercise date. The Abeyance Shares were subsequently issued at the direction of the Holder.</w:t>
      </w:r>
    </w:p>
    <w:p>
      <w:pPr>
        <w:pStyle w:val="TextBody"/>
        <w:bidi w:val="0"/>
        <w:spacing w:lineRule="auto" w:line="288" w:before="0" w:after="24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In September 2025, in connection with the 2025 PIPE Offerings, the Company issued and sold 2025 Pre-funded Warrants exercisable for an aggregate of 36,261,239 shares of Class A common stock. The 2025 Pre-funded Warrants are included in the computation of basic and diluted loss per share as of the issuance date. Refer to Note 9 for additional information about the 2025 PIPE Offerings and the 2025 Pre-Funded Warrants.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outstanding securities, presented based on amounts outstanding as of the end of each period, were not included in the computation of diluted net loss per share for the periods indicated, as they would have been anti-dilutive due to the net loss in each period.</w:t>
      </w:r>
    </w:p>
    <w:tbl>
      <w:tblPr>
        <w:tblW w:w="7108" w:type="dxa"/>
        <w:jc w:val="left"/>
        <w:tblInd w:w="0" w:type="dxa"/>
        <w:tblLayout w:type="fixed"/>
        <w:tblCellMar>
          <w:top w:w="28" w:type="dxa"/>
          <w:left w:w="28" w:type="dxa"/>
          <w:bottom w:w="28" w:type="dxa"/>
          <w:right w:w="28" w:type="dxa"/>
        </w:tblCellMar>
      </w:tblPr>
      <w:tblGrid>
        <w:gridCol w:w="678"/>
        <w:gridCol w:w="596"/>
        <w:gridCol w:w="601"/>
        <w:gridCol w:w="395"/>
        <w:gridCol w:w="395"/>
        <w:gridCol w:w="246"/>
        <w:gridCol w:w="178"/>
        <w:gridCol w:w="178"/>
        <w:gridCol w:w="178"/>
        <w:gridCol w:w="360"/>
        <w:gridCol w:w="361"/>
        <w:gridCol w:w="178"/>
        <w:gridCol w:w="109"/>
        <w:gridCol w:w="109"/>
        <w:gridCol w:w="109"/>
        <w:gridCol w:w="343"/>
        <w:gridCol w:w="343"/>
        <w:gridCol w:w="350"/>
        <w:gridCol w:w="154"/>
        <w:gridCol w:w="154"/>
        <w:gridCol w:w="154"/>
        <w:gridCol w:w="360"/>
        <w:gridCol w:w="361"/>
        <w:gridCol w:w="218"/>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34"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03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295,176</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3,635 </w:t>
            </w:r>
          </w:p>
        </w:tc>
        <w:tc>
          <w:tcPr>
            <w:tcW w:w="17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295,176</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3,635 </w:t>
            </w:r>
          </w:p>
        </w:tc>
        <w:tc>
          <w:tcPr>
            <w:tcW w:w="21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21,200</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21,200</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79,695,950</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79,695,950</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0" w:after="600"/>
        <w:jc w:val="left"/>
        <w:rPr/>
      </w:pPr>
      <w:hyperlink w:anchor="i0ebdfcd9a9954e93ad9dca5484ad36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12.    RELATED PARTIES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Strategic Advisory Agreement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2025 PIPE Offerings, the Company entered into the Strategic Advisory Agreement with Pantera and Summer. Under the terms of the agreement, the Advisors will provide strategic advisory services in connection with the expansion and diversification of the Company’s core business through integration of cryptocurrency and digital asset strategies in its product offerings and as part of its SOL treasury management strategy for two years. As consideration for these services, Pantera and Summer received the Advisor Warrants to purchase shares of the Company’s Class A common stock as discussed in more detail in Note 9. </w:t>
      </w:r>
    </w:p>
    <w:p>
      <w:pPr>
        <w:pStyle w:val="TextBody"/>
        <w:bidi w:val="0"/>
        <w:spacing w:lineRule="auto" w:line="288" w:before="0" w:after="240"/>
        <w:jc w:val="left"/>
        <w:rPr/>
      </w:pPr>
      <w:r>
        <w:rPr>
          <w:rFonts w:ascii="Times New Roman;serif" w:hAnsi="Times New Roman;serif"/>
          <w:b w:val="false"/>
          <w:color w:val="000000"/>
          <w:sz w:val="20"/>
        </w:rPr>
        <w:t xml:space="preserve">During the </w:t>
      </w:r>
      <w:r>
        <w:rPr>
          <w:rFonts w:ascii="Times New Roman;serif" w:hAnsi="Times New Roman;serif"/>
          <w:b w:val="false"/>
          <w:color w:val="000000"/>
          <w:sz w:val="20"/>
          <w:shd w:fill="FFFFFF" w:val="clear"/>
        </w:rPr>
        <w:t>three and six</w:t>
      </w:r>
      <w:r>
        <w:rPr>
          <w:color w:val="000000"/>
        </w:rPr>
        <w:t xml:space="preserve"> </w:t>
      </w:r>
      <w:r>
        <w:rPr>
          <w:rFonts w:ascii="Times New Roman;serif" w:hAnsi="Times New Roman;serif"/>
          <w:b w:val="false"/>
          <w:color w:val="000000"/>
          <w:sz w:val="20"/>
        </w:rPr>
        <w:t>months ended June 30, 2026, the Company recognized pass-through expenses from Summer of $51 thousand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0"/>
        </w:rPr>
        <w:t>$57 thousand, respectively, which is permissible under the Strategic Advisory Agreement and is classified under selling, general and administrative operating expense in the statement of operations. As of June 30, 2026, there were no amounts payable to Summer related to the Strategic Advisory Agreement.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Trading Advisory Agreement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connection with the 2025 PIPE Offerings, the Company entered into a Trading Advisory Agreement (the “Trading Advisory Agreement”) with Pantera, pursuant to which the Company engaged Pantera to manage the investment of substantially all of Company’s digital assets, digital asset derivatives, cash and other assets for an initial term of ten (10) years, which term automatically renews for successive periods of one (1) year each, subject to the mutual agreement of the Company and Pantera. The management fees pursuant to the Trading Advisory Agreement shall be equal to: (a) 1.0%, if the Client’s Assets Under Management is less than or equal to $1 billion, (b) 0.75% per annum of assets under management (“AUM”) if AUM is more than $1 billion but less than or equal to $5 billion and (c) 0.50% per annum of AUM if AUM is more than $5 billion.</w:t>
      </w:r>
    </w:p>
    <w:p>
      <w:pPr>
        <w:pStyle w:val="TextBody"/>
        <w:bidi w:val="0"/>
        <w:spacing w:lineRule="auto" w:line="288" w:before="0" w:after="240"/>
        <w:jc w:val="left"/>
        <w:rPr/>
      </w:pPr>
      <w:r>
        <w:rPr>
          <w:rFonts w:ascii="Times New Roman;serif" w:hAnsi="Times New Roman;serif"/>
          <w:b w:val="false"/>
          <w:color w:val="000000"/>
          <w:sz w:val="20"/>
        </w:rPr>
        <w:t xml:space="preserve">During the </w:t>
      </w:r>
      <w:r>
        <w:rPr>
          <w:rFonts w:ascii="Times New Roman;serif" w:hAnsi="Times New Roman;serif"/>
          <w:b w:val="false"/>
          <w:color w:val="000000"/>
          <w:sz w:val="20"/>
          <w:shd w:fill="FFFFFF" w:val="clear"/>
        </w:rPr>
        <w:t>three and six</w:t>
      </w:r>
      <w:r>
        <w:rPr>
          <w:color w:val="000000"/>
        </w:rPr>
        <w:t xml:space="preserve"> </w:t>
      </w:r>
      <w:r>
        <w:rPr>
          <w:rFonts w:ascii="Times New Roman;serif" w:hAnsi="Times New Roman;serif"/>
          <w:b w:val="false"/>
          <w:color w:val="000000"/>
          <w:sz w:val="20"/>
        </w:rPr>
        <w:t>months ended June 30, 2026, the Company recognized $0.5 million and $1.1 million, respectively, in trading advisory fees in connection with the Trading Advisory Agreement for the management fee for Company AUM by Pantera and is classified under selling, general and administrative operating expense in the statement of operations. As of June 30, 2026, the Company has a balance of $0.1 million in accounts payable due to Pantera under the Trading Advisory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13.    INCOME TAXES</w:t>
      </w:r>
    </w:p>
    <w:p>
      <w:pPr>
        <w:pStyle w:val="TextBody"/>
        <w:bidi w:val="0"/>
        <w:spacing w:lineRule="auto" w:line="288" w:before="0" w:after="240"/>
        <w:jc w:val="both"/>
        <w:rPr/>
      </w:pPr>
      <w:r>
        <w:rPr>
          <w:rFonts w:ascii="Times New Roman;serif" w:hAnsi="Times New Roman;serif"/>
          <w:b w:val="false"/>
          <w:color w:val="000000"/>
          <w:sz w:val="20"/>
        </w:rPr>
        <w:t xml:space="preserve">The Company accounts for income taxes in interim periods using the estimated annual effective tax rate method. Under this method, the Company estimates its annual effective tax rate for the full fiscal year and applies that rate to year-to-date pre-tax income or loss, and records discrete tax items in the period in which they occur. The Company’s effective income tax rate for the </w:t>
      </w:r>
      <w:r>
        <w:rPr>
          <w:rFonts w:ascii="Times New Roman;serif" w:hAnsi="Times New Roman;serif"/>
          <w:b w:val="false"/>
          <w:color w:val="000000"/>
          <w:sz w:val="20"/>
          <w:shd w:fill="FFFFFF" w:val="clear"/>
        </w:rPr>
        <w:t>three and six</w:t>
      </w:r>
      <w:r>
        <w:rPr>
          <w:color w:val="000000"/>
        </w:rPr>
        <w:t xml:space="preserve"> </w:t>
      </w:r>
      <w:r>
        <w:rPr>
          <w:rFonts w:ascii="Times New Roman;serif" w:hAnsi="Times New Roman;serif"/>
          <w:b w:val="false"/>
          <w:color w:val="000000"/>
          <w:sz w:val="20"/>
        </w:rPr>
        <w:t xml:space="preserve">months ended June 30, 2026 and twelve months ended </w:t>
      </w:r>
      <w:r>
        <w:rPr>
          <w:rFonts w:ascii="Times New Roman;serif" w:hAnsi="Times New Roman;serif"/>
          <w:b w:val="false"/>
          <w:color w:val="000000"/>
          <w:sz w:val="20"/>
          <w:shd w:fill="FFFFFF" w:val="clear"/>
        </w:rPr>
        <w:t>December 31, 2025</w:t>
      </w:r>
      <w:r>
        <w:rPr>
          <w:color w:val="000000"/>
        </w:rPr>
        <w:t xml:space="preserve"> </w:t>
      </w:r>
      <w:r>
        <w:rPr>
          <w:rFonts w:ascii="Times New Roman;serif" w:hAnsi="Times New Roman;serif"/>
          <w:b w:val="false"/>
          <w:color w:val="000000"/>
          <w:sz w:val="20"/>
        </w:rPr>
        <w:t xml:space="preserve">was 0.0% and 0.0%, respectively. The difference in the effective income tax rate compared with the U.S. federal statutory rate of 21.0% is primarily due to the full valuation allowance recorded against its deferred tax assets, as well as the impact of losses generated in both domestic and foreign jurisdictions for which no tax benefit or expense has been recognized.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continues to assess the realizability of its deferred tax assets at each reporting date. Based on the weight of available evidence, management concluded that it is not more likely than not that the Company’s net deferred tax assets will be realized and, accordingly, the Company continues to maintain a full valuation allowance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14.    SUBSEQUENT EVENTS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Share Purchase Agreement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March 17, 2026, Solana Company (Hong Kong) Limited entered into a share purchase agreement to acquire, directly or indirectly, all of the issued share capital of a Hong Kong trust company. The acquisition closed on July 15, 2026. The total purchase price for the acquisition was $2 million, consisting of 50% payable in cash, $0.5 million of which was paid as a deposit during the second quarter of 2026 and the remaining $0.5 million was paid in July 2026, and 50% equity consideration, pursuant to which 597,086 shares of our Class A common stock were issued to the Sellers.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0" w:after="600"/>
        <w:jc w:val="left"/>
        <w:rPr/>
      </w:pPr>
      <w:hyperlink w:anchor="i0ebdfcd9a9954e93ad9dca5484ad36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17"/>
        <w:jc w:val="left"/>
        <w:rPr>
          <w:rFonts w:ascii="Times New Roman;serif" w:hAnsi="Times New Roman;serif"/>
          <w:b/>
          <w:color w:val="000000"/>
          <w:sz w:val="20"/>
        </w:rPr>
      </w:pPr>
      <w:r>
        <w:rPr>
          <w:rFonts w:ascii="Times New Roman;serif" w:hAnsi="Times New Roman;serif"/>
          <w:b/>
          <w:color w:val="000000"/>
          <w:sz w:val="20"/>
        </w:rPr>
        <w:t>Stock Repurchases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Subsequent to June 30, 2026, pursuant to the Company’s Stock Repurchase Program, see Note 9, the Company repurchased 488,575 shares of its Class A common stock at a weighted-average purchase price of $1.77 per share. The Company also repurchased, in a private transaction, 226,172 of its Class A common stock at a price of $1.64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0" w:after="600"/>
        <w:jc w:val="left"/>
        <w:rPr/>
      </w:pPr>
      <w:hyperlink w:anchor="i0ebdfcd9a9954e93ad9dca5484ad36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Unless otherwise specified or the context otherwise requires, references to “we,” “us,” “our,” or “Company” mean Solana Company, and its wholly owned operating subsidiaries, Solana Company (Hong Kong) Limited, Marvel Operations Corp., Helius Medical, Inc., Helius Medical Technologies (Canada), Inc. and Revelation Neuro, Inc. The unaudited condensed consolidated financial statements and this Management’s Discussion and Analysis of Financial Condition and Results of Operations of this Quarterly Report on Form 10-Q (“Form 10-Q”) should be read in conjunction with the consolidated financial statements and notes thereto for the year ended December 31, 2025, and the related Management’s Discussion and Analysis of Financial Condition and Results of Operations, both of which are contained in our Annual Report on Form 10-K for the year ended December 31, 2025 filed with the Securities and Exchange Commission (“SEC”) on March 31, 2026 (the “2025 10-K”). All financial information is stated in U.S. dollars unless otherwise specified. Our unaudited condensed consolidated financial statements are prepared in accordance with accounting principles generally accepted in the United States (“U.S.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This Form 10-Q includes forward-looking statements that involve risks and uncertainties, including statements regarding the Company’s market, strategy, competition, capital needs, business plans and expectations. All statements contained in this Form 10-Q, other than statements of historical facts, that address events or developments that the Company expects to occur, are forward-looking statements. In some cases, you can identify forward-looking statements by terminology such as “may,” “will,” “should,” “expect,” “plan,” “intend,” “anticipate,” “believe,” “estimate,” “predict,” “potential,” “continue,” or the negative of such terms or other comparable terminology.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forward-looking statements in this Form 10-Q include but are not limited to statements relating to: expected benefits and implementation of our digital asset treasury strategy; expected staking, yield and broader opportunities across the Solana ecosystem; our expected token treasury growth; the potential tokenization of our Class A common stock; the anticipated terms of custody arrangements; prospects and potential benefits of the Solana Foundation; our future growth and operational progress; our compliance with Nasdaq requirements; the impacts of the current global macroeconomic environment on our sufficiency of cash and availability of funds and operating costs; our market awareness; our ability to compete effectively; our future expenses and cash flow; our ability to become profitable; our future financing arrangements; and any future stock price. Such forward-looking statements involve risks and uncertainties, known and unknown, including capital requirements to achieve our business objectives, expected benefits and implementation of our digital asset treasury strategy, expected staking, yield and broader opportunities across the Solana ecosystem; our expected token treasury growth, the impact on the Company of global macroeconomic conditions including risks related to logistics challenges, labor shortages, disruptions in the banking system and financial markets, high levels of inflation and high interest rates on our ability to operate our business and access capital markets, the success of our business plan, our operating costs and use of cash, our ability to achieve significant revenues and other factors discussed in the section entitled “Risk Factors”.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Although we believe the expectations expressed in such forward-looking statements are based on reasonable assumptions at the time they were made, they are subject to risks and uncertainties, known and unknown, which could cause actual results and developments to differ materially from those expressed or implied in such statements. Forward-looking statements are not guarantees of future performance and actual results may differ significantly from such forward-looking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You should refer to the “Risk Factors” section of this Form 10-Q for a discussion of important factors that may cause our actual results to differ materially from those expressed or implied by our forward-looking statements. As a result of these factors, we cannot assure you that the forward-looking statements in this Form 10-Q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speak only as of the date of this Form 10-Q. Except as required by law, we assume no obligation to update or revise these forward-looking statements for any reason, even if new information becomes available in the future. You should, however, review the factors and risks and other information we describe in the reports we will file from time to time with the SEC after the date of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0" w:after="600"/>
        <w:jc w:val="left"/>
        <w:rPr/>
      </w:pPr>
      <w:hyperlink w:anchor="i0ebdfcd9a9954e93ad9dca5484ad36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are a listed digital asset treasury (“DAT”) dedicated to acquiring and holding Solana tokens (“SOL”). Our DAT objective is to maximize SOL per share through strategic use of capital markets and on-chain opportunities, offering public market investors direct exposure to Solana.</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Strategic digital asset reserves like SOL lay the groundwork for a future where global payments, credentialing, and personalized learning can be powered by decentralized infrastructure, enhancing how we grow our Company. We believe that SOL represents a uniquely scalable, high-performance blockchain platform that aligns with our long-term vision of integrating innovative technologies into our services. By investing in and participating in the SOL ecosystem, we aim to both enhance our digital asset treasury strategy and create strategic optionality for product innovation in our core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SOL Validator Cluster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launched our own SOL validator cluster in July 2026. As of the date of this Form 10-Q, external parties have delegated 0.5 million SOL to stake on our cluster.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Share Purchase Agreement</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March 17, 2026, Solana Company (Hong Kong) Limited entered into a share purchase agreement to acquire, directly or indirectly, all of the issued share capital of a Hong Kong trust company. The acquisition closed on July 15, 2026. The total purchase price for the acquisition was $2 million, consisting of 50% payable in cash, $0.5 million of which was paid as a deposit during the second quarter of 2026 and the remaining $0.5 million paid in July 2026, and 50% equity consideration, pursuant to which 597,086 shares of our Class A common stock were issued to the Sellers.</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Registered Direct Offering</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April 27, 2026, we entered into securities purchase agreements (collectively, the “RDO Purchase Agreements”) with the purchasers named therein (the “Purchasers”), pursuant to which we issued and sold to the Purchasers, in a registered direct offering (the “Registered Direct Offering”), 3,076,922 shares of our Class A common stock. The offering price of each share of Class A common stock was $2.60 per share (the “Offering Price”). The Registered Direct Offering closed on April 29, 2026. The net proceeds to us from the Registered Direct Offering were $7.9 million after $0.1 million of transaction related costs.</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connection with the Registered Direct Offering, we entered into put option agreements (collectively, the “Put Option Agreements”) with the Purchasers pursuant to which we granted each Purchaser the right to require us to repurchase all or a portion of the shares of Class A common stock it purchased in the Registered Direct Offering at a price per share equal to the Offering Price plus an amount that would result in an internal rate of return of 7.0% per annum (collectively, the “Put Options”). The Put Options may be exercised in connection with the occurrence of certain qualifying events, including the 12-month and 18-month anniversaries of the closing of the Registered Direct Offering, a failure of our net debt to total capitalization ratio to remain at or below 30%, or a suspension or halt of trading in the Class A common stock on the applicable trading market exceeding a specified number of consecutive trading days or the issuance of a delisting notice. As of June 30, 2026, there have been no qualifying events under the Put Option Agreements.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PoNS Asset Sale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April 8, 2026, we entered into and closed a purchase and sale agreement with Bioness Medical, Inc. (the “Buyer”), pursuant to which we sold the assets related to the Portable Neuromodulation Stimulator (“PoNS“) business to the Buyer (the “PoNS Asset Sale”), and the Buyer assumed certain liabilities related to the PoNS business. The purchase price of the PoNS Asset Sale consisted of an upfront payment of $5 million, and the right to receive post-closing cash earnout payments of up to $20 million in the aggregate based on a specified formula that takes into account the revenues of the PoNS business through the 2028 fiscal year.</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connection with the PoNS Asset Sale, in April 2026, the Company terminated the employment of certain employees supporting the PoNS business, for which severance was offered and paid to such employees in the second quarter of 2026 totaling $1.4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0" w:after="600"/>
        <w:jc w:val="left"/>
        <w:rPr/>
      </w:pPr>
      <w:hyperlink w:anchor="i0ebdfcd9a9954e93ad9dca5484ad36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Regulatory Update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2026, the SEC and CFTC jointly issued an interpretive release (the “Release”) classifying certain digital assets—including SOL—as “digital commodities” that are not themselves securities under the Federal securities laws. The Release provides that secondary market transactions involving such non-security crypto assets do not constitute securities transactions where purchasers would not reasonably expect the issuer's representations or promises to engage in essential managerial efforts from which purchasers would reasonably expect to derive profits to remain connected to the non-security crypto asset. The Release further interprets that certain activities, including protocol staking, do not involve the offer and sale of securities under specified circumstances. However, the Release does not constitute formal rulemaking and does not have the force of law, and the regulatory characterization of SOL and related activities therefore remains subject to ongoing development.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Material Trends and Uncertainties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historical financial condition and results of operations for the periods presented may not be comparable, either from period to period or going forward, due to the recent deployment of our new blockchain-native treasury management business, primarily with Solana tokens. As a result, the periods presented in our historical financial statements may not be comparable to one another and our future results of operations and financial results may differ.</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Price of SOL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treasury management business is expected to be heavily dependent on the price of SOL, which has historically experienced significant volatility. As of June 30, 2026, our total SOL exposure, that we held directly in our accounts or indirectly, was 2,319,919 SOL, valued at $170.6 million based on a market price of $73.54 per token. SOL is valued at fair value at the end of each reporting period, with changes in fair value recognized in net income. Refer to Note 3, Note 4 and Note 5 in the unaudited condensed consolidated financial statements for more details on the breakout of our SOL holdings and exposure. As a result, fluctuations in the price of SOL may significantly impact our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0" w:after="600"/>
        <w:jc w:val="left"/>
        <w:rPr/>
      </w:pPr>
      <w:hyperlink w:anchor="i0ebdfcd9a9954e93ad9dca5484ad36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Three Months Ended June 30, 2026 compared to the Three Months Ended June 30, 2025</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three months ended June 30, 2026 and 2025 (in thousands):</w:t>
      </w:r>
    </w:p>
    <w:tbl>
      <w:tblPr>
        <w:tblW w:w="9027" w:type="dxa"/>
        <w:jc w:val="left"/>
        <w:tblInd w:w="0" w:type="dxa"/>
        <w:tblLayout w:type="fixed"/>
        <w:tblCellMar>
          <w:top w:w="28" w:type="dxa"/>
          <w:left w:w="28" w:type="dxa"/>
          <w:bottom w:w="28" w:type="dxa"/>
          <w:right w:w="28" w:type="dxa"/>
        </w:tblCellMar>
      </w:tblPr>
      <w:tblGrid>
        <w:gridCol w:w="1837"/>
        <w:gridCol w:w="1623"/>
        <w:gridCol w:w="1625"/>
        <w:gridCol w:w="211"/>
        <w:gridCol w:w="796"/>
        <w:gridCol w:w="109"/>
        <w:gridCol w:w="109"/>
        <w:gridCol w:w="109"/>
        <w:gridCol w:w="109"/>
        <w:gridCol w:w="211"/>
        <w:gridCol w:w="691"/>
        <w:gridCol w:w="109"/>
        <w:gridCol w:w="109"/>
        <w:gridCol w:w="109"/>
        <w:gridCol w:w="109"/>
        <w:gridCol w:w="211"/>
        <w:gridCol w:w="796"/>
        <w:gridCol w:w="154"/>
      </w:tblGrid>
      <w:tr>
        <w:trPr/>
        <w:tc>
          <w:tcPr>
            <w:tcW w:w="1837"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Staking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2,483 </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(loss)</w:t>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2,502 </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expenses</w:t>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digital assets and digital assets receivable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on digital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digital assets fund investment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digital asset derivatives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expenses</w:t>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35,122 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31,853 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(32,673)</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(29,351)</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Nonoperating income (expense)</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liability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income (expense), net</w:t>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(6,511)</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8,928 </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(30,256)</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(9,833)</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(20,423)</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(30,256)</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(9,833)</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(20,423)</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increase in staking revenue in the second quarter of 2026 compared to the same period in the prior year was the result of our staked SOL earning staking yield, which was not applicable in the same period of 2025. There were no SOL holdings during the same period in 2025.</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Cost of Revenue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cost of revenue for the second quarter of 2026 decreased slightly as compared to the same period in the prior year primarily due to the elimination of PoNS product costs partially offset by an increase in staking revenue related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0" w:after="600"/>
        <w:jc w:val="left"/>
        <w:rPr/>
      </w:pPr>
      <w:hyperlink w:anchor="i0ebdfcd9a9954e93ad9dca5484ad36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in the second quarter of 2026, compared to the same period in the prior year, primarily due to a $6.8 million increase in severance expense associated with the sale of the PoNS business and executive separation agreements, a $0.6 million increase in professional fees, a $0.5 million increase in trading advisory and custodian fees supporting our DAT strategy and a $0.3 million increase in D&amp;O insurance premiums. These increases were partially offset by decreased salaries and benefits due to the terminated PoNS employees, stock-based compensation, research and development expenses, and advertising costs.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Unrealized gain on digital assets and digital assets receivable</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unrealized gain on digital assets and digital assets receivable represents the unrealized mark-to-market for our digital asset holdings to record digital assets at fair value due to the decline in value of SOL offset by the reversal of prior unrealized loss that was realized on sales and derecognition of digital assets, which was not applicable in the same period of 2025.</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Realized loss on digital assets</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realized loss on digital assets represents the loss realized on sales of SOL with proceeds utilized to repurchase shares and fund operating expenses, which was not applicable in the same period of 2025.</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Unrealized loss on digital assets fund investment</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unrealized loss on digital assets fund investment represents the unrealized mark-to-market for our digital asset fund investment holdings to record digital asset investment fund at fair value due to the decline in value of SOL, which was not applicable in the same period of 2025.</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Loss on digital asset derivatives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Loss on digital asset derivatives was $0.7 million in the second quarter of 2026, compared to none in the prior-year period, reflecting net premiums and fair value changes on the written SOL put option contracts and SOL call option spread positions entered into under the Company's OTC SOL options strategy, which commenced during the second quarter of 2026.</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Nonoperating income (expense)</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Change in Fair Value of Derivative Liability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change in fair value of derivative liabilities was a loss of $0.3 million for the three months ended June 30, 2026, compared with a loss of $6.0 million for the same period in 2025. The decrease was primarily attributable to the reclassification to equity of the derivative warrant liabilities from our 2022 public offering and our June 2025 public offering upon exercise in the second quarter of 2025. As a result, the put option issued in connection with the Registered Direct Offering was the only derivative liability recorded in this caption during the second quarter of 2026.</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Gain on Sale of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Gain on sale of business was $3.1 million in the second quarter of 2026, compared to none in the prior-year period, relating entirely to the PoNS Asset Sale that closed on April 8,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Other expense</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Other (expense) income in the second quarter of 2026 was primarily attributable to the decrease in dividend income earned on investments of excess cash in money market mutual funds and the foreign exchange loss due to fluctuations in the Canadian to U.S. dollar exchange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0" w:after="600"/>
        <w:jc w:val="left"/>
        <w:rPr/>
      </w:pPr>
      <w:hyperlink w:anchor="i0ebdfcd9a9954e93ad9dca5484ad36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Financing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Financing costs were $0.1 million in the second quarter of 2026, compared to $0.4 million in the prior-year period. The decrease was primarily attributable to the absence of non-cash costs recognized in the prior-year period in connection with the January 2025 warrant inducement and related note financing.</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Six Months Ended June 30, 2026 compared to the Six Months Ended June 30,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six months ended June 30, 2026 and 2025 (in thousands):</w:t>
      </w:r>
    </w:p>
    <w:p>
      <w:pPr>
        <w:pStyle w:val="TextBody"/>
        <w:bidi w:val="0"/>
        <w:spacing w:before="0" w:after="0"/>
        <w:jc w:val="left"/>
        <w:rPr/>
      </w:pPr>
      <w:r>
        <w:rPr/>
      </w:r>
    </w:p>
    <w:tbl>
      <w:tblPr>
        <w:tblW w:w="9297" w:type="dxa"/>
        <w:jc w:val="left"/>
        <w:tblInd w:w="0" w:type="dxa"/>
        <w:tblLayout w:type="fixed"/>
        <w:tblCellMar>
          <w:top w:w="28" w:type="dxa"/>
          <w:left w:w="28" w:type="dxa"/>
          <w:bottom w:w="28" w:type="dxa"/>
          <w:right w:w="28" w:type="dxa"/>
        </w:tblCellMar>
      </w:tblPr>
      <w:tblGrid>
        <w:gridCol w:w="1821"/>
        <w:gridCol w:w="1609"/>
        <w:gridCol w:w="1610"/>
        <w:gridCol w:w="211"/>
        <w:gridCol w:w="901"/>
        <w:gridCol w:w="109"/>
        <w:gridCol w:w="109"/>
        <w:gridCol w:w="109"/>
        <w:gridCol w:w="109"/>
        <w:gridCol w:w="211"/>
        <w:gridCol w:w="796"/>
        <w:gridCol w:w="109"/>
        <w:gridCol w:w="109"/>
        <w:gridCol w:w="109"/>
        <w:gridCol w:w="109"/>
        <w:gridCol w:w="211"/>
        <w:gridCol w:w="901"/>
        <w:gridCol w:w="154"/>
      </w:tblGrid>
      <w:tr>
        <w:trPr/>
        <w:tc>
          <w:tcPr>
            <w:tcW w:w="1821"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Staking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11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6,147 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6,055 </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(loss)</w:t>
            </w:r>
          </w:p>
        </w:tc>
        <w:tc>
          <w:tcPr>
            <w:tcW w:w="111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5,890 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6,015 </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expenses</w:t>
            </w:r>
          </w:p>
        </w:tc>
        <w:tc>
          <w:tcPr>
            <w:tcW w:w="122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digital assets and digital assets receivable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on digital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digital assets fund investment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digital asset derivatives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expenses</w:t>
            </w:r>
          </w:p>
        </w:tc>
        <w:tc>
          <w:tcPr>
            <w:tcW w:w="111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138,181 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130,973 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1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(132,291)</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(7,333)</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(124,958)</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Nonoperating income (expense)</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liability</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costs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income (expense), net</w:t>
            </w:r>
          </w:p>
        </w:tc>
        <w:tc>
          <w:tcPr>
            <w:tcW w:w="111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(6,338)</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8,574 </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11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(130,055)</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(13,671)</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(116,384)</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(130,055)</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(13,671)</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(116,384)</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increase in staking revenue in the first half of 2026 compared to the same period in the prior year was the result of our staked SOL earning staking yield, which was not applicable in the same period of 2025. There were no SOL holdings during the same period in 2025.</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Cost of Revenue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cost of revenue for the first half of 2026 increased slightly as compared to the same period in the prior year primarily due to the increase in staking revenue related costs partially offset by reduction of PoNS product costs due to the PoNS Asset Sale.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0" w:after="600"/>
        <w:jc w:val="left"/>
        <w:rPr/>
      </w:pPr>
      <w:hyperlink w:anchor="i0ebdfcd9a9954e93ad9dca5484ad36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in the first half of 2026, compared to the same period in the prior year, primarily due to a $6.8 million increase in severance expense associated with the sale of the PoNS business and executive separation agreements, a $1.6 million increase in professional fees, a $1.2 million increase in trading advisory and custodian fees supporting our DAT strategy and a $0.6 million increase in D&amp;O insurance premiums. These increases were partially offset by decreased salaries and benefits due to the terminated PoNS employees, stock-based compensation, research and development expenses, and advertising costs.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Unrealized loss on digital assets and digital assets receivable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unrealized loss on digital assets and digital assets receivable represents the unrealized mark-to-market for our digital asset holdings to record digital assets at fair value due to the decline in value of SOL partially offset by the reversal of prior unrealized loss that was realized on sales and derecognition of digital assets, which was not applicable in the second half of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Realized loss on digital assets</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realized loss on digital assets represents the loss realized on sales of SOL with proceeds utilized to repurchase shares and fund operating expenses and the loss realized on SOL transfers to derivative margin collateral, which was not applicable in the second half of 2025.</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Unrealized loss on digital assets fund investment</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unrealized loss on digital assets fund investment represents the unrealized mark-to-market for our digital asset fund investment holdings to record digital asset investment fund at fair value due to the decline in value of SOL, which was not applicable in the second half of 2025.</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Loss on digital asset derivatives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on digital asset derivatives was $0.7 million in the first half of 2026, compared to none in the prior-year period, reflecting net premiums and fair value changes on the written SOL put option contracts and SOL call option spread positions entered into under the Company's OTC SOL options strategy, which commenced during the second quarter of 2026.</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Nonoperating income (expense)</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Change in Fair Value of Derivative Liability</w:t>
      </w:r>
    </w:p>
    <w:p>
      <w:pPr>
        <w:pStyle w:val="TextBody"/>
        <w:bidi w:val="0"/>
        <w:spacing w:lineRule="auto" w:line="288" w:before="0" w:after="240"/>
        <w:jc w:val="left"/>
        <w:rPr/>
      </w:pPr>
      <w:r>
        <w:rPr>
          <w:rFonts w:ascii="Times New Roman;serif" w:hAnsi="Times New Roman;serif"/>
          <w:b w:val="false"/>
          <w:color w:val="000000"/>
          <w:sz w:val="20"/>
        </w:rPr>
        <w:t>The change in fair value of derivative liabilities was a loss of $0.3 million in the first half of 2026, compared with a loss of $5.9 million</w:t>
      </w:r>
      <w:r>
        <w:rPr>
          <w:color w:val="000000"/>
        </w:rPr>
        <w:t xml:space="preserve"> </w:t>
      </w:r>
      <w:r>
        <w:rPr>
          <w:rFonts w:ascii="Times New Roman;serif" w:hAnsi="Times New Roman;serif"/>
          <w:b w:val="false"/>
          <w:color w:val="000000"/>
          <w:sz w:val="20"/>
        </w:rPr>
        <w:t>for the same period in 2025. The decrease was primarily attributable to the reclassification to equity of the derivative warrant liabilities from our 2022 public offering and our June 2025 public offering upon exercise in the first half of 2025. As a result, the put option issued in connection with the Registered Direct Offering was the only derivative liability recorded in this caption for the six months ended June 30, 2026.</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Gain on Sale of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Gain on sale of business was $3.1 million in the first half of 2026, compared to none in the prior-year period, relating entirely to the PoNS Asset Sale that closed on April 8,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Other (expense) income</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Other (expense) income in the first half of 2026 was primarily attributable to the decrease in dividend income earned on investments of excess cash in money market mutual funds and the foreign exchange loss due to fluctuations in the Canadian to U.S. dollar exchange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0" w:after="600"/>
        <w:jc w:val="left"/>
        <w:rPr/>
      </w:pPr>
      <w:hyperlink w:anchor="i0ebdfcd9a9954e93ad9dca5484ad36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Financing Costs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Financing costs were $0.1 million in the first half of 2026, compared to $0.4 million in the prior-year period. The decrease was primarily attributable to the absence of non-cash costs recognized in the prior-year period in connection with the January 2025 warrant inducement and related note financing.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and cash equivalents and working capital as of the end of the periods indicated in the table below (in thousands):</w:t>
      </w:r>
    </w:p>
    <w:p>
      <w:pPr>
        <w:pStyle w:val="TextBody"/>
        <w:bidi w:val="0"/>
        <w:spacing w:before="0" w:after="0"/>
        <w:jc w:val="both"/>
        <w:rPr/>
      </w:pPr>
      <w:r>
        <w:rPr/>
      </w:r>
    </w:p>
    <w:tbl>
      <w:tblPr>
        <w:tblW w:w="5260" w:type="dxa"/>
        <w:jc w:val="center"/>
        <w:tblInd w:w="0" w:type="dxa"/>
        <w:tblLayout w:type="fixed"/>
        <w:tblCellMar>
          <w:top w:w="28" w:type="dxa"/>
          <w:left w:w="28" w:type="dxa"/>
          <w:bottom w:w="28" w:type="dxa"/>
          <w:right w:w="28" w:type="dxa"/>
        </w:tblCellMar>
      </w:tblPr>
      <w:tblGrid>
        <w:gridCol w:w="820"/>
        <w:gridCol w:w="720"/>
        <w:gridCol w:w="724"/>
        <w:gridCol w:w="253"/>
        <w:gridCol w:w="741"/>
        <w:gridCol w:w="131"/>
        <w:gridCol w:w="109"/>
        <w:gridCol w:w="109"/>
        <w:gridCol w:w="109"/>
        <w:gridCol w:w="332"/>
        <w:gridCol w:w="970"/>
        <w:gridCol w:w="242"/>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7,282 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Prior to our recent financings, our primary source of liquidity has been our operations. The primary demand on our working capital has historically been operating losses. Historically, our sources of liquidity have been adequate to satisfy working capital requirements arising in the ordinary course of business. Following our strategic pivot to a DAT strategy in September 2025, our liquidity profile has fundamentally changed. </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we executed open market purchases of our Class A common stock under our stock repurchase program totaling 2,937,083 shares at an average cost of $1.99 per share for an aggregate cost of $5.9 million, inclusive of fees. As of June 30, 2026, approximately $94.1 million remained available under our $100 million stock repurchase program. See Note 9 to our unaudited condensed consolidated financial statements.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Registered Direct Offering in April 2026, we entered into put option agreements with the purchasers, which we have recorded as a derivative liability of $4.2 million as of June 30, 2026. These put options represent a contingent cash obligation if exercised and may affect our future liquidity.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29, 2026, we entered into an amended and restated sales agreement (“Sales Agreement”) with Clear Street LLC (“Clear Street”) and Maxim Group LLC (“Maxim”) as agents, pursuant to which we may offer and sell, from time to time through Clear Street and Maxim, shares of our Class A common stock in connection with our existing “at-the-market” offering program. On the same day, we filed a prospectus supplement with the SEC, covering the offering, issuance and sale of up to a maximum aggregate offering of $250.0 million of our Class A common stock (excluding any shares that were previously sold under the prior prospectus supplement) that may be issued and sold from time to time under the Sales Agreement. During the six months ended June 30, 2026, no shares were sold under the Sales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primary source of liquidity going forward is expected to be our digital asset holdings, which totaled approximately $170.6 million in fair value as of June 30, 2026. Our working capital includes $21.0 million of digital assets that we classify as current. We anticipate that our current liquidity and financial resources will remain adequate to manage our operating and financial requirements for at least the next twelve months. This assessment assumes that we will be able to liquidate digital assets in amounts and at times necessary to meet our obligations, which may not be possible during periods of market stress or reduced liquidity. Additionally, our liquidity assessment does not account for potential margin calls or collateral requirements that may arise from potential DeFi activities, lending arrangements, or borrowing against pledged SOL.</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ability to maintain adequate liquidity depends on various factors including the market value of our digital assets, our ability to liquidate digital assets when needed, the parameters of our share repurchase program and our ongoing operating expenses. If we have the opportunity to make a strategic acquisition or an investment in a product or partnership, we may require additional capital beyond our current cash balance to fund the opportunity. We may need to raise additional capital through equity or debt financings. There can be no assurance that we will be successful in raising additional capital or that such capital, if available, will be on terms that are acceptable to us.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0" w:after="600"/>
        <w:jc w:val="left"/>
        <w:rPr/>
      </w:pPr>
      <w:hyperlink w:anchor="i0ebdfcd9a9954e93ad9dca5484ad36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six months ended June 30, 2026 and 2025 (in thousands):</w:t>
      </w:r>
    </w:p>
    <w:tbl>
      <w:tblPr>
        <w:tblW w:w="8261" w:type="dxa"/>
        <w:jc w:val="center"/>
        <w:tblInd w:w="0" w:type="dxa"/>
        <w:tblLayout w:type="fixed"/>
        <w:tblCellMar>
          <w:top w:w="28" w:type="dxa"/>
          <w:left w:w="28" w:type="dxa"/>
          <w:bottom w:w="28" w:type="dxa"/>
          <w:right w:w="28" w:type="dxa"/>
        </w:tblCellMar>
      </w:tblPr>
      <w:tblGrid>
        <w:gridCol w:w="1563"/>
        <w:gridCol w:w="1376"/>
        <w:gridCol w:w="1380"/>
        <w:gridCol w:w="211"/>
        <w:gridCol w:w="796"/>
        <w:gridCol w:w="109"/>
        <w:gridCol w:w="109"/>
        <w:gridCol w:w="109"/>
        <w:gridCol w:w="109"/>
        <w:gridCol w:w="211"/>
        <w:gridCol w:w="691"/>
        <w:gridCol w:w="109"/>
        <w:gridCol w:w="109"/>
        <w:gridCol w:w="109"/>
        <w:gridCol w:w="109"/>
        <w:gridCol w:w="211"/>
        <w:gridCol w:w="796"/>
        <w:gridCol w:w="154"/>
      </w:tblGrid>
      <w:tr>
        <w:trPr/>
        <w:tc>
          <w:tcPr>
            <w:tcW w:w="1563"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and cash equivalents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higher level of cash used in operating activities in the six months ended June 30, 2026 primarily resulted from increases in $9.1 million general and administrative expenses as compared to the same period in the prior year including $6.8 million in severance costs related to the PoNS Asset Sale and executive separation agreements, and increased costs supporting our DAT strategy. The net loss of $130.1 million included significant non-cash items, primarily the $86.8 million unrealized loss on digital assets and digital assets receivable, the $32.4 million realized loss on the sale of digital assets, the $5.9 million non-cash staking revenue adjustment, and the $3.1 million gain on sale of business, each of which were added back or deducted in reconciling net loss to net cash used in operating activities.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was $10.9 million for the six months ended June 30, 2026, compared to nil for the same period in the prior year. The primary sources of cash were $13.3 million in proceeds from the sale of digital assets, $4.2 million in net proceeds from the PoNS Asset Sale, and $1.1 million in proceeds from premiums on digital asset derivative contracts, partially offset by $5.5 million in digital asset purchases and $1.5 million in payments for digital asset derivative contract settlements, $0.5 million for deposit on acquisition of a business and 0.2 million net posted collateral.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received net proceeds of $7.9 million from the Registered Direct Offering completed on April 29, 2026, which was partially offset by $5.9 million used to repurchase shares of our Class A common stock under our stock repurchase program. During the six months ended June 30, 2025, $3.4 million in net proceeds were generated from entering into a warrant inducement with current warrant holders, net proceeds of $0.1 million from issuance and sales of shares under the ATM, we sold, in a private placement, promissory notes and issued shares of Class A common stock generating net proceeds of $1.2 million and we generated $8.2 million in net proceeds from an offering of Class A common stock and warrants. We repaid the promissory notes of $1.6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Critical Accounting Estimates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discussion and analysis of our financial condition and results of operations are based upon our unaudited condensed consolidated financial statements that have been prepared in accordance with U.S. GAAP. This preparation requires management to make estimates and assumptions that affect the reported amounts of assets, liabilities, revenues and expenses and the disclosure of contingent assets and liabilities.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critical accounting estimates are described in Item 7 “Management’s Discussion and Analysis of Financial Condition and Results of Operations — Critical Accounting Policies and Estimates” of our 2025 10-K. There have been no changes in critical accounting estimates in the current year from those described in our 2025 10-K except for those described below.</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Accounting and Valuation of Derivative Instruments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issued and may continue to issue financial instruments that require us to account for such instruments in accordance with Accounting Standard Codification (“ASC”) 480 Distinguishing Liabilities from Equity and/or ASC 815 Derivatives and Hedging. If determined to be classified as an asset or a liability, we will remeasure the fair value of the financial instruments at each balance sheet date. If the financial instruments are determined to be classified as equity,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0" w:after="600"/>
        <w:jc w:val="left"/>
        <w:rPr/>
      </w:pPr>
      <w:hyperlink w:anchor="i0ebdfcd9a9954e93ad9dca5484ad36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fair value of the instruments will be measured as of the date of issuance and will not be subject to remeasurement at each balance sheet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use the lattice and Black-Scholes option-pricing models to value derivative financial instrument liabilities. These models use Level 3 inputs in the fair value hierarchy established by ASC 820 - Fair Value Measurement.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Information regarding recently issued accounting pronouncements is included in Note 2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required by Rule 13a-15(b) under the Securities Exchange Act of 1934, as amended, or the Exchange Act, under the direction of our Chief Executive Officer and our Chief Financial Officer, we have evaluated our disclosure controls and procedures as of the end of the period covered by this Form 10-Q. Based on this evaluation, our Chief Executive Officer and our Chief Financial Officer have concluded that our disclosure controls and procedures were effective at the reasonable assurance level as of the end of the period covered by this report. Our management has concluded that the unaudited condensed consolidated financial statements included elsewhere in this Form 10-Q present fairly, in all material respects, our financial position, results of operations and cash flows in conformity with generally accepted accounting principles.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There has not been any change in our internal control over financial reporting (as such term is defined in Rule 13a-15(f) and 15d-15(f) under the Exchange Act) during the period covered by this Form 10-Q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From time to time, we are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risks and events that, if they occur, could adversely affect our financial condition and results of operations and the trading price of our securities. Below we are providing, in supplemental form, updates to our risk factors from those previously disclosed in Part I, Item 1A, “Risk Factors” of our 2025 Annual Report. Our risk factors disclosed in Part I, Item 1A of our 2025 Annual Report provide additional discussion regarding these supplemental risks and we encourage you to read and carefully consider all of the risk factors disclosed in Part I, Item 1A of our 2025 Annual Report, together with the below, for a more complete understanding of the risks and uncertainties material to our business. Except as set forth below, during the three months ended June 30, 2026, our risk factors have not changed materially from those risk factors previously disclosed in our 2025 10-K. In April 2026, we sold the assets related to our PoNS business, as discussed in more detail in Note 1 to the unaudited condensed consolidated financial statements included elsewhere in this Form 10-Q. Following such sale, we no longer view the risks and uncertainties disclosed in our 2025 10-K related to the PoNS business as material to our business.</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Except as set forth above, the risks described in our 2025 10-K are not the only risks facing us. Additional risks and uncertainties not currently known to us or that we currently deem to be immaterial also may materially and adversely affect our business, financial condition and/or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0" w:after="600"/>
        <w:jc w:val="left"/>
        <w:rPr/>
      </w:pPr>
      <w:hyperlink w:anchor="i0ebdfcd9a9954e93ad9dca5484ad36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operate a Solana validator, which may significantly impact our reported revenues and increase our compliance costs.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currently earn rewards from the Solana network through staking of our SOL and operating a validator. Our validator operations may result in a significant impact in our reported revenues as a result of applying revenue recognition guidance to the validator resulting in us recognizing staking rewards earned through our validator operations on a gross basis. The change in reported revenues may impact our annual revenues and our ability to qualify as a Smaller Reporting Company ("SRC") in the future. If we were to no longer qualify as an SRC, we may be subject to increased compliance costs associated with Sarbanes-Oxley Act Section 404(b).</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validator operations on the Solana network are subject to significant operational, technological, economic, reputational and regulatory risks, and any disruption, underperformance or adverse development affecting our validator or the Solana network could reduce or eliminate our staking rewards and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the revenue recognition considerations described above, we earn rewards on the Solana network by operating a validator and staking SOL. A validator is a node that participates in the Solana network’s proof-of-stake consensus by voting on the state of the network and, when selected as a leader, producing blocks. Our rewards are derived from newly issued (inflationary) SOL, a share of network transaction and priority fees and, to the extent we operate the applicable software, maximal extractable value ("MEV") rewards. The amount of rewards we earn depends on the total amount of SOL staked to our validator (including both SOL we own and any SOL delegated to us by third parties), the commission rates we charge, our validator’s performance and uptime, the overall level of network activity, and protocol-level parameters that are outside our control. Because a substantial portion of the costs of operating a validator—including SOL-denominated vote transaction costs and high-performance hardware, bandwidth and personnel costs—are fixed and are incurred regardless of the rewards we earn, a decline in rewards, in the price of SOL, or in the amount of SOL staked to our validator could cause our validator operations to become unprofitable.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Operational risks</w:t>
      </w:r>
      <w:r>
        <w:rPr>
          <w:rFonts w:ascii="Times New Roman;serif" w:hAnsi="Times New Roman;serif"/>
          <w:b w:val="false"/>
          <w:color w:val="000000"/>
          <w:sz w:val="20"/>
        </w:rPr>
        <w:t>. Our ability to earn rewards depends on operating our validator reliably and continuously. If our validator experiences downtime, becomes "delinquent" (for example, by failing to vote or to remain sufficiently current with the network), misses assigned leader slots, produces blocks late or empty, or otherwise underperforms relative to other validators, we will earn fewer or no rewards for the affected periods, and any delegators whose stake is delegated to us will likewise earn reduced rewards, which may cause them to move their stake to other validators. Validator performance is commonly measured by metrics such as vote credits, skip rate and uptime, and underperformance on these metrics can reduce both our rewards and our eligibility for delegated stake, including stake delegated through the Solana Foundation Delegation Program (the "SFDP") or similar programs, while our fixed operating costs continue to accrue. Substantially all of our validator rewards depend on the operation of a single validator identity, and although we maintain redundant infrastructure intended to reduce downtime, a failure affecting that validator could disrupt those rewards until service is restored.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Technological and software risks</w:t>
      </w:r>
      <w:r>
        <w:rPr>
          <w:rFonts w:ascii="Times New Roman;serif" w:hAnsi="Times New Roman;serif"/>
          <w:b w:val="false"/>
          <w:color w:val="000000"/>
          <w:sz w:val="20"/>
        </w:rPr>
        <w:t>. We rely on validator client software developed and maintained by third parties (currently the Jito-Solana client, a distribution of the Agave validator client that incorporates maximal extractable value ("MEV") functionality, and we may in the future use or evaluate other clients such as Firedancer) and on our ability to configure, monitor, upgrade and operate that software correctly. Software bugs, defects, security vulnerabilities, incompatibilities, failed or delayed upgrades, or errors in our own operational practices could cause our validator to go offline, to vote incorrectly, to produce invalid or duplicate blocks, or to fall out of consensus, any of which could result in lost rewards and, if protocol-level penalties are adopted in the future (as described below), a potential loss of staked SOL. Concentration of the network on a limited number of software clients also creates the risk that a defect in a widely used client could cause a network-wide disruption that affects our validator.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Cybersecurity and private key management risks</w:t>
      </w:r>
      <w:r>
        <w:rPr>
          <w:rFonts w:ascii="Times New Roman;serif" w:hAnsi="Times New Roman;serif"/>
          <w:b w:val="false"/>
          <w:color w:val="000000"/>
          <w:sz w:val="20"/>
        </w:rPr>
        <w:t>. Operating a validator requires us to generate, secure and use cryptographic private keys, including our validator identity key and the authorities associated with our vote and stake accounts. If these keys are lost, stolen, or otherwise compromised, or if our systems are subject to unauthorized access, an attacker could misappropriate our SOL or staking rewards, cause our validator to sign conflicting or malicious messages (which could expose us to any future slashing penalties), or disrupt our operations. Any failure of our cybersecurity, key management or operational security controls could result in significant losses and reputational harm.</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76" w:before="0" w:after="600"/>
        <w:jc w:val="left"/>
        <w:rPr/>
      </w:pPr>
      <w:hyperlink w:anchor="i0ebdfcd9a9954e93ad9dca5484ad36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val="false"/>
          <w:i/>
          <w:color w:val="000000"/>
          <w:sz w:val="20"/>
        </w:rPr>
        <w:t>Third-party infrastructure and custody dependencies</w:t>
      </w:r>
      <w:r>
        <w:rPr>
          <w:rFonts w:ascii="Times New Roman;serif" w:hAnsi="Times New Roman;serif"/>
          <w:b w:val="false"/>
          <w:color w:val="000000"/>
          <w:sz w:val="20"/>
        </w:rPr>
        <w:t>. We depend on third-party data centers, colocation and hosting providers, hardware suppliers, bandwidth and internet service providers, and, with respect to a portion of our SOL, third-party custodians and staking or infrastructure providers. We do not control these third parties, and their failure, insolvency, service interruption, price increases, or termination of services, or any breach or failure of their systems or controls, could impair our ability to operate our validator, cause us to miss rewards, or result in the loss of, or inability to access, our SOL. We depend on validator infrastructure located in a single metropolitan area, and a localized outage, natural disaster, power or network disruption, or adverse regulatory or legal development affecting that location could impair or halt our ability to operate our validator.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Network congestion and outages</w:t>
      </w:r>
      <w:r>
        <w:rPr>
          <w:rFonts w:ascii="Times New Roman;serif" w:hAnsi="Times New Roman;serif"/>
          <w:b w:val="false"/>
          <w:color w:val="000000"/>
          <w:sz w:val="20"/>
        </w:rPr>
        <w:t>. The Solana network has in the past experienced, and may in the future experience, periods of congestion, degraded performance, and full or partial network outages. During any such event, our validator may be unable to vote or produce blocks, we may earn no rewards for the affected period, the market price of SOL may decline, and confidence in the Solana network, and in validators operating on it, including us, may be harmed.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Protocol changes and governance</w:t>
      </w:r>
      <w:r>
        <w:rPr>
          <w:rFonts w:ascii="Times New Roman;serif" w:hAnsi="Times New Roman;serif"/>
          <w:b w:val="false"/>
          <w:color w:val="000000"/>
          <w:sz w:val="20"/>
        </w:rPr>
        <w:t xml:space="preserve">. The Solana network is subject to change through a community-driven, stake-weighted governance process. In July 2026, the Solana community ratified a governance framework (referred to as the Solana Constitution and adopted as SGP-0001) that formalizes how network-level decisions are made, including through Solana Improvement Documents ("SIMDs"), which address technical specifications, and Solana Governance Proposals ("SGPs"), which capture stake-weighted directional decisions. SGPs may be advanced to an on-chain vote by validators representing a specified percentage of active stake and ratified by a supermajority of the stake that participates. Under this framework, changes to the protocol—such as reductions in the network’s inflation or "disinflation" schedule, changes to how transaction or priority fees are allocated or burned, the adoption of slashing or other validator penalties, changes to consensus or voting mechanics (including transitions to new consensus designs), or increases in the hardware, bandwidth, minimum-stake or other requirements to operate a validator—could be adopted and become binding on us, and could reduce the rate of staking rewards we earn, increase our costs, or make it more difficult or uneconomic for us to operate our validator. As a validator, we may cast governance votes, including with respect to SOL delegated to us (subject to the rights of delegators to override our vote), but our voting power reflects only the stake associated with our validator, and we have limited ability to influence, and no ability to control, whether or how the Solana protocol changes.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Slashing and validator penalties</w:t>
      </w:r>
      <w:r>
        <w:rPr>
          <w:rFonts w:ascii="Times New Roman;serif" w:hAnsi="Times New Roman;serif"/>
          <w:b w:val="false"/>
          <w:color w:val="000000"/>
          <w:sz w:val="20"/>
        </w:rPr>
        <w:t>. The Solana protocol does not currently impose automatic, protocol-enforced "slashing" penalties that confiscate a validator’s or its delegators’ staked SOL for downtime, delinquency, or other misbehavior; historically, the network has instead relied on informal, community-driven ("social") responses to serious validator misconduct. As a result, the principal consequences of validator downtime, delinquency or underperformance today are missed or reduced staking rewards, reduced commission revenue, reduced vote credits, and the potential loss of delegated stake, rather than the direct forfeiture of our SOL. However, proposals to introduce protocol-level slashing are under active consideration within the Solana community (including SIMD-0204, which would establish on-chain recording of slashable events, and SIMD-0212, which would introduce economic penalties) and would, if adopted through Solana’s governance process, initially focus on offenses such as duplicate block production and could later extend to voting violations. If protocol-level slashing or similar penalties are adopted in the future, a portion of the SOL we stake, and any SOL delegated to us, could be forfeited as a result of validator downtime, software or operational errors, key compromise, or other events, some of which may be outside our control, which could result in direct financial loss to us and to our delegators and could harm our reputation and ability to attract or retain delegated stake.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Dependence on delegated stake; commission and fee pressure</w:t>
      </w:r>
      <w:r>
        <w:rPr>
          <w:rFonts w:ascii="Times New Roman;serif" w:hAnsi="Times New Roman;serif"/>
          <w:b w:val="false"/>
          <w:color w:val="000000"/>
          <w:sz w:val="20"/>
        </w:rPr>
        <w:t>. A meaningful portion of the total stake supporting our validator’s economics may consist of SOL delegated to us by third parties, including stake delegated through the SFDP. Our ability to attract and retain delegated stake depends on factors such as our validator’s performance and uptime, the commission rates we charge, our reputation, the manner in which we exercise any governance voting rights associated with delegated stake, and our continued eligibility for delegation programs, which impose ongoing requirements (such as minimum performance levels, commission caps and decentralization criteria) that we may fail to satisfy and that may change over time. The Solana validator market is competitive, and validators compete in part on the basis of commission rates, which has created downward pressure on commissions. If we are unable to attract or retain sufficient delegated stake, if delegation programs reduce, condition or discontinue their support, or if competitive dynamics require us to reduce our commissions, our staking rewards and the profitability of our validator operations could decline, particularly given the fixed nature of our operating costs.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76" w:before="0" w:after="600"/>
        <w:jc w:val="left"/>
        <w:rPr/>
      </w:pPr>
      <w:hyperlink w:anchor="i0ebdfcd9a9954e93ad9dca5484ad36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val="false"/>
          <w:i/>
          <w:color w:val="000000"/>
          <w:sz w:val="20"/>
        </w:rPr>
        <w:t>Reputational risks</w:t>
      </w:r>
      <w:r>
        <w:rPr>
          <w:rFonts w:ascii="Times New Roman;serif" w:hAnsi="Times New Roman;serif"/>
          <w:b w:val="false"/>
          <w:color w:val="000000"/>
          <w:sz w:val="20"/>
        </w:rPr>
        <w:t>. Our validator operations expose us to reputational risk. Validator downtime, underperformance, security incidents, missed rewards, or a perception that our validator is unreliable or poorly managed could damage our reputation within the Solana ecosystem and impair our ability to attract and retain delegated stake, which in turn could reduce our rewards and adversely affect our results of operations.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Regulatory risks</w:t>
      </w:r>
      <w:r>
        <w:rPr>
          <w:rFonts w:ascii="Times New Roman;serif" w:hAnsi="Times New Roman;serif"/>
          <w:b w:val="false"/>
          <w:color w:val="000000"/>
          <w:sz w:val="20"/>
        </w:rPr>
        <w:t>. The regulatory treatment of staking and validator services is evolving and uncertain. U.S. and non-U.S. regulators have in the past scrutinized, and may in the future scrutinize, staking, staking-as-a-service, and related activities, including under securities, commodities, money transmission, tax, and other laws. New or changed laws, regulations, guidance, or enforcement or judicial actions could restrict or prohibit our validator or staking activities, subject us to registration, licensing, disclosure, or compliance obligations, increase our costs, create liability (including with respect to stake delegated to us by third parties), or otherwise adversely affect our ability to operate our validator or the value of SOL.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Any of the foregoing risks, individually or in combination, and any related decline in the market price of SOL, could reduce or eliminate our staking rewards, cause our validator operations to become unprofitable, require us to curtail or cease operating our validator, and materially and adversely affect our business, financial condition, results of operations, and the trading price of our Class A common stock.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Unregistered Sales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There were no unregistered sales of the Company’s equity securities during the six months ended June 30, 2026 that were not previously reported on a Current Report on Form 10-Q.</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Stock Repurchases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we executed open market purchases of approximately 1,333,112 shares at an average cost of $1.75 per share for an aggregate cost of $2.3 million, inclusive of fees and commissions under our authorized stock repurchase program. As of June 30, 2026, approximately $94.1 million remained available for future purchases under our stock repurchase program.</w:t>
      </w:r>
    </w:p>
    <w:tbl>
      <w:tblPr>
        <w:tblW w:w="10205" w:type="dxa"/>
        <w:jc w:val="left"/>
        <w:tblInd w:w="0" w:type="dxa"/>
        <w:tblLayout w:type="fixed"/>
        <w:tblCellMar>
          <w:top w:w="28" w:type="dxa"/>
          <w:left w:w="28" w:type="dxa"/>
          <w:bottom w:w="28" w:type="dxa"/>
          <w:right w:w="28" w:type="dxa"/>
        </w:tblCellMar>
      </w:tblPr>
      <w:tblGrid>
        <w:gridCol w:w="583"/>
        <w:gridCol w:w="513"/>
        <w:gridCol w:w="522"/>
        <w:gridCol w:w="109"/>
        <w:gridCol w:w="109"/>
        <w:gridCol w:w="109"/>
        <w:gridCol w:w="524"/>
        <w:gridCol w:w="504"/>
        <w:gridCol w:w="506"/>
        <w:gridCol w:w="109"/>
        <w:gridCol w:w="109"/>
        <w:gridCol w:w="109"/>
        <w:gridCol w:w="466"/>
        <w:gridCol w:w="1129"/>
        <w:gridCol w:w="240"/>
        <w:gridCol w:w="109"/>
        <w:gridCol w:w="109"/>
        <w:gridCol w:w="109"/>
        <w:gridCol w:w="605"/>
        <w:gridCol w:w="590"/>
        <w:gridCol w:w="592"/>
        <w:gridCol w:w="109"/>
        <w:gridCol w:w="109"/>
        <w:gridCol w:w="109"/>
        <w:gridCol w:w="509"/>
        <w:gridCol w:w="1236"/>
        <w:gridCol w:w="378"/>
      </w:tblGrid>
      <w:tr>
        <w:trPr/>
        <w:tc>
          <w:tcPr>
            <w:tcW w:w="58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w:t>
            </w:r>
          </w:p>
        </w:tc>
      </w:tr>
      <w:tr>
        <w:trPr/>
        <w:tc>
          <w:tcPr>
            <w:tcW w:w="1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Total number of shares </w:t>
            </w:r>
          </w:p>
          <w:p>
            <w:pPr>
              <w:pStyle w:val="TableContents"/>
              <w:bidi w:val="0"/>
              <w:spacing w:lineRule="auto" w:line="240" w:before="0" w:after="0"/>
              <w:jc w:val="center"/>
              <w:rPr/>
            </w:pPr>
            <w:r>
              <w:rPr>
                <w:rFonts w:ascii="Times New Roman;serif" w:hAnsi="Times New Roman;serif"/>
                <w:b/>
                <w:color w:val="000000"/>
                <w:sz w:val="16"/>
              </w:rPr>
              <w:t>purchased</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Average price paid per share</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Total number of shares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purchased as part of publicly</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announced plans or</w:t>
            </w:r>
          </w:p>
          <w:p>
            <w:pPr>
              <w:pStyle w:val="TableContents"/>
              <w:bidi w:val="0"/>
              <w:spacing w:lineRule="auto" w:line="240" w:before="0" w:after="0"/>
              <w:jc w:val="center"/>
              <w:rPr/>
            </w:pPr>
            <w:r>
              <w:rPr>
                <w:rFonts w:ascii="Times New Roman;serif" w:hAnsi="Times New Roman;serif"/>
                <w:b/>
                <w:color w:val="000000"/>
                <w:sz w:val="16"/>
              </w:rPr>
              <w:t>programs</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Approximate dollar value of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shares that may yet be purchased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under the plans or programs (in </w:t>
            </w:r>
          </w:p>
          <w:p>
            <w:pPr>
              <w:pStyle w:val="TableContents"/>
              <w:bidi w:val="0"/>
              <w:spacing w:lineRule="auto" w:line="240" w:before="0" w:after="0"/>
              <w:jc w:val="center"/>
              <w:rPr/>
            </w:pPr>
            <w:r>
              <w:rPr>
                <w:rFonts w:ascii="Times New Roman;serif" w:hAnsi="Times New Roman;serif"/>
                <w:b/>
                <w:color w:val="000000"/>
                <w:sz w:val="16"/>
              </w:rPr>
              <w:t>millions)</w:t>
            </w:r>
            <w:r>
              <w:rPr>
                <w:rFonts w:ascii="Times New Roman;serif" w:hAnsi="Times New Roman;serif"/>
                <w:b/>
                <w:color w:val="000000"/>
                <w:sz w:val="10"/>
              </w:rPr>
              <w:t>(4)</w:t>
            </w:r>
          </w:p>
        </w:tc>
      </w:tr>
      <w:tr>
        <w:trPr/>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767,013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767,013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3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566,099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566,099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1,333,112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1,333,112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(1)All the shares of Class A common stock purchased recorded in this column were purchased pursuant to our publicly announced stock repurchase program.</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(2)Average price paid per share of Class A common stock includes brokerage commissions.</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(3)In November 2025, our Board of Directors authorized a stock repurchase program permitting us to purchase up to $100 million of our Class A common stock. Repurchases may be made from time to time through open-market purchases, block trades, and/or privately negotiated transactions (including accelerated share repurchases), and may include Rule 10b5-1 trading plans. Any repurchase will be executed in compliance with Rule 10b-18 of the Securities Exchange Act of 1934. We may determine the timing, amount and method of repurchases based on market conditions, share price, legal and regulatory requirements, and other considerations in its sole discretion. The program does not obligate us to repurchase any specific number of shares and may be modified, suspended or terminated at any time.</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dollar amount shown represents, as of the end of each period, the approximate dollar value of shares of our Class A common stock that may yet be purchased under the $100 million authorization, exclusive of any brokerage commissions.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76" w:before="0" w:after="600"/>
        <w:jc w:val="left"/>
        <w:rPr/>
      </w:pPr>
      <w:hyperlink w:anchor="i0ebdfcd9a9954e93ad9dca5484ad36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Rule 10b5-1 Trading Plans – Directors and Section 16 Officers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the Company’s directors or Section 16 officers adopted or terminated any contract, instruction or written plan for the purchase or sale of Company securities that was intended to satisfy the affirmative defense conditions of Rule 10b5-1(c) of the Exchange Act or any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76" w:before="0" w:after="0"/>
        <w:jc w:val="left"/>
        <w:rPr/>
      </w:pPr>
      <w:hyperlink w:anchor="i0ebdfcd9a9954e93ad9dca5484ad363d_7">
        <w:r>
          <w:rPr>
            <w:rStyle w:val="InternetLink"/>
            <w:rFonts w:ascii="Times New Roman;serif" w:hAnsi="Times New Roman;serif"/>
            <w:b w:val="false"/>
            <w:color w:val="0000FF"/>
            <w:sz w:val="20"/>
            <w:u w:val="single"/>
          </w:rPr>
          <w:t>Table of Contents</w:t>
        </w:r>
      </w:hyperlink>
    </w:p>
    <w:p>
      <w:pPr>
        <w:pStyle w:val="TextBody"/>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Item 6.   Exhibits</w:t>
      </w:r>
    </w:p>
    <w:tbl>
      <w:tblPr>
        <w:tblW w:w="10205" w:type="dxa"/>
        <w:jc w:val="left"/>
        <w:tblInd w:w="0" w:type="dxa"/>
        <w:tblLayout w:type="fixed"/>
        <w:tblCellMar>
          <w:top w:w="28" w:type="dxa"/>
          <w:left w:w="28" w:type="dxa"/>
          <w:bottom w:w="28" w:type="dxa"/>
          <w:right w:w="28" w:type="dxa"/>
        </w:tblCellMar>
      </w:tblPr>
      <w:tblGrid>
        <w:gridCol w:w="310"/>
        <w:gridCol w:w="273"/>
        <w:gridCol w:w="274"/>
        <w:gridCol w:w="109"/>
        <w:gridCol w:w="109"/>
        <w:gridCol w:w="109"/>
        <w:gridCol w:w="2721"/>
        <w:gridCol w:w="2601"/>
        <w:gridCol w:w="3699"/>
      </w:tblGrid>
      <w:tr>
        <w:trPr/>
        <w:tc>
          <w:tcPr>
            <w:tcW w:w="31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1"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 of Exhibit</w:t>
            </w:r>
          </w:p>
        </w:tc>
      </w:tr>
      <w:tr>
        <w:trPr/>
        <w:tc>
          <w:tcPr>
            <w:tcW w:w="85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18"/>
                  <w:u w:val="single"/>
                </w:rPr>
                <w:t>Certificate of Conversion filed with the Delaware Secretary of State on July 18, 2018 (incorporated by reference to Exhibit 3.1 to the Form 10-Q filed August 9, 2018)</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18"/>
                  <w:u w:val="single"/>
                </w:rPr>
                <w:t>Certificate of Incorporation, as corrected (incorporated by reference to Exhibit 3.1 to the Form 8-K filed October 30, 2018)</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18"/>
                  <w:u w:val="single"/>
                </w:rPr>
                <w:t>Certificate of Amendment to Certificate of Incorporation (incorporated by reference to Exhibit 3.1 to the Form 8-K filed on December 31, 2020)</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18"/>
                  <w:u w:val="single"/>
                </w:rPr>
                <w:t>Certificate of Amendment to Certificate of Incorporation, as corrected (incorporated by reference to Exhibit 3.1 to the Form 8-K filed on August 16, 2023)</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18"/>
                  <w:u w:val="single"/>
                </w:rPr>
                <w:t>Certificate of Amendment to Certificate of Incorporation (incorporated by reference to Exhibit 3.1 to the Form 8-K filed on April 30, 2025)</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18"/>
                  <w:u w:val="single"/>
                </w:rPr>
                <w:t>Certificate of Amendment to Certificate of Incorporation (incorporated by reference to Exhibit 3.1 to the Form 8-K filed on June 27, 2025)</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18"/>
                  <w:u w:val="single"/>
                </w:rPr>
                <w:t>Certificate of Amendment to Certificate of Incorporation (incorporated by reference to Exhibit 3.1 to the Form 8-K filed September 18, 2025)</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18"/>
                  <w:u w:val="single"/>
                </w:rPr>
                <w:t>Certificate of Amendment to Certificate of Incorporation (incorporated by reference to Exhibit 3.1 to the Form 8-K filed on September 29, 2025)</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80"/>
                  <w:sz w:val="18"/>
                  <w:u w:val="single"/>
                </w:rPr>
                <w:t xml:space="preserve">Third Amended and Restated </w:t>
              </w:r>
            </w:hyperlink>
            <w:hyperlink r:id="rId12">
              <w:r>
                <w:rPr>
                  <w:rStyle w:val="InternetLink"/>
                  <w:rFonts w:ascii="Times New Roman;serif" w:hAnsi="Times New Roman;serif"/>
                  <w:b w:val="false"/>
                  <w:color w:val="000080"/>
                  <w:sz w:val="18"/>
                  <w:u w:val="single"/>
                </w:rPr>
                <w:t>By</w:t>
              </w:r>
            </w:hyperlink>
            <w:hyperlink r:id="rId13">
              <w:r>
                <w:rPr>
                  <w:rStyle w:val="InternetLink"/>
                  <w:rFonts w:ascii="Times New Roman;serif" w:hAnsi="Times New Roman;serif"/>
                  <w:b w:val="false"/>
                  <w:color w:val="000080"/>
                  <w:sz w:val="18"/>
                  <w:u w:val="single"/>
                </w:rPr>
                <w:t>laws</w:t>
              </w:r>
            </w:hyperlink>
            <w:hyperlink r:id="rId14">
              <w:r>
                <w:rPr>
                  <w:rStyle w:val="InternetLink"/>
                  <w:rFonts w:ascii="Times New Roman;serif" w:hAnsi="Times New Roman;serif"/>
                  <w:b w:val="false"/>
                  <w:color w:val="000080"/>
                  <w:sz w:val="18"/>
                  <w:u w:val="single"/>
                </w:rPr>
                <w:t xml:space="preserve"> (incorporated by reference to Exhibit 3.2 to the Form 8-K filed on September 29, 2025)</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18"/>
                  <w:u w:val="single"/>
                </w:rPr>
                <w:t>Form of Securities Purchase Agreement, by and among Solana Company and the Purchasers, dated April 27, 2026 (incorporated by reference to Exhibit 4.1 to the Form 8-K filed on April 27, 2026)</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18"/>
                  <w:u w:val="single"/>
                </w:rPr>
                <w:t>Form of Put Option Agreement, by and among Solana Company and the Purchasers, dated April 27, 2026. (incorporated by reference to Exhibit 4.2 to the Form 8-K filed on April 27, 2026)</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18"/>
                  <w:u w:val="single"/>
                </w:rPr>
                <w:t>Offer Letter, dated as of March 13, 2026, by and between Solana Company and Agustina Gani Tjandrasuwita (incorporated by reference to Exhibit 10.1 to the Form 8-K filed on April 9, 2026)</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18"/>
                  <w:u w:val="single"/>
                </w:rPr>
                <w:t>Separation Agreement, dated as of April 8, 2026, by and between Solana Company and Antonella Favit-Van Pelt (incorporated by reference to Exhibit 10.1 to the Form 8-K filed on April 13, 2026)</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18"/>
                  <w:u w:val="single"/>
                </w:rPr>
                <w:t>Separation Agreement, dated as of May 12, 2026, by and between Solana Company and Dane C. Andreeff (incorporated by reference to Exhibit 10.3 to the Form 10-Q filed on May 15, 2026)</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18"/>
                  <w:u w:val="single"/>
                </w:rPr>
                <w:t>Separation Agreement, dated as of May 12, 2026, by and between Solana Company and Jeffrey Mathiesen (incorporated by reference to Exhibit 10.4 to the Form 10-Q filed on May 15, 2026)</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18"/>
                  <w:u w:val="single"/>
                </w:rPr>
                <w:t>Amended and Restated Sales Agreement, by and among Solana Company, Clear Street LLC and Maxim Group LLC, dated May 29, 2026 (incorporated by reference to Exhibit 10.1 to the Form 8-K filed on May 29, 2026)</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sdt-20260630xex311.htm">
              <w:r>
                <w:rPr>
                  <w:rStyle w:val="InternetLink"/>
                  <w:rFonts w:ascii="Times New Roman;serif" w:hAnsi="Times New Roman;serif"/>
                  <w:b w:val="false"/>
                  <w:color w:val="0000FF"/>
                  <w:sz w:val="18"/>
                  <w:u w:val="single"/>
                </w:rPr>
                <w:t>Certification of Chief Executive Officer pursuant to Rule 13a-14(a) and Rule 15d-14(a), as adopted pursuant to Section 302 of the Sarbanes-Oxley Act of 2002</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sdt-20260630xex312.htm">
              <w:r>
                <w:rPr>
                  <w:rStyle w:val="InternetLink"/>
                  <w:rFonts w:ascii="Times New Roman;serif" w:hAnsi="Times New Roman;serif"/>
                  <w:b w:val="false"/>
                  <w:color w:val="0000FF"/>
                  <w:sz w:val="18"/>
                  <w:u w:val="single"/>
                </w:rPr>
                <w:t>Certification of Chief Financial Officer pursuant to Rule 13a-14(a) and Rule 15d-14(a), as adopted pursuant to Section 302 of the Sarbanes-Oxley Act of 2002</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sdt-20260630xex321.htm">
              <w:r>
                <w:rPr>
                  <w:rStyle w:val="InternetLink"/>
                  <w:rFonts w:ascii="Times New Roman;serif" w:hAnsi="Times New Roman;serif"/>
                  <w:b w:val="false"/>
                  <w:color w:val="0000FF"/>
                  <w:sz w:val="18"/>
                  <w:u w:val="single"/>
                </w:rPr>
                <w:t>Certification of Chief Executive Officer pursuant to 18 U.S.C. Section 1350, as adopted pursuant to Section 906 of the Sarbanes-Oxley Act of 2002</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sdt-20260630xex322.htm">
              <w:r>
                <w:rPr>
                  <w:rStyle w:val="InternetLink"/>
                  <w:rFonts w:ascii="Times New Roman;serif" w:hAnsi="Times New Roman;serif"/>
                  <w:b w:val="false"/>
                  <w:color w:val="0000FF"/>
                  <w:sz w:val="18"/>
                  <w:u w:val="single"/>
                </w:rPr>
                <w:t>Certification of Chief Financial Officer pursuant to 18 U.S.C. Section 1350, as adopted pursuant to Section 906 of the Sarbanes-Oxley Act of 2002</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w:t>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r>
    </w:tbl>
    <w:p>
      <w:pPr>
        <w:pStyle w:val="TextBody"/>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16"/>
        </w:rPr>
        <w:t>Indicates a management contract or compensatory plan.</w:t>
      </w:r>
    </w:p>
    <w:p>
      <w:pPr>
        <w:pStyle w:val="TextBody"/>
        <w:bidi w:val="0"/>
        <w:spacing w:lineRule="auto" w:line="288" w:before="0" w:after="240"/>
        <w:jc w:val="left"/>
        <w:rPr>
          <w:rFonts w:ascii="Times New Roman;serif" w:hAnsi="Times New Roman;serif"/>
          <w:b w:val="false"/>
          <w:color w:val="000000"/>
          <w:sz w:val="16"/>
        </w:rPr>
      </w:pPr>
      <w:r>
        <w:rPr>
          <w:rFonts w:ascii="Times New Roman;serif" w:hAnsi="Times New Roman;serif"/>
          <w:b w:val="false"/>
          <w:color w:val="000000"/>
          <w:sz w:val="16"/>
        </w:rPr>
        <w:t>#      Filed herewith.</w:t>
      </w:r>
    </w:p>
    <w:p>
      <w:pPr>
        <w:pStyle w:val="TextBody"/>
        <w:bidi w:val="0"/>
        <w:spacing w:lineRule="auto" w:line="288" w:before="0" w:after="0"/>
        <w:ind w:left="0" w:right="0" w:hanging="317"/>
        <w:jc w:val="both"/>
        <w:rPr>
          <w:rFonts w:ascii="Times New Roman;serif" w:hAnsi="Times New Roman;serif"/>
          <w:b w:val="false"/>
          <w:color w:val="000000"/>
          <w:sz w:val="16"/>
        </w:rPr>
      </w:pPr>
      <w:r>
        <w:rPr>
          <w:rFonts w:ascii="Times New Roman;serif" w:hAnsi="Times New Roman;serif"/>
          <w:b w:val="false"/>
          <w:color w:val="000000"/>
          <w:sz w:val="16"/>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76" w:before="0" w:after="600"/>
        <w:jc w:val="left"/>
        <w:rPr/>
      </w:pPr>
      <w:hyperlink w:anchor="i0ebdfcd9a9954e93ad9dca5484ad36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9131" w:type="dxa"/>
        <w:jc w:val="left"/>
        <w:tblInd w:w="0" w:type="dxa"/>
        <w:tblLayout w:type="fixed"/>
        <w:tblCellMar>
          <w:top w:w="28" w:type="dxa"/>
          <w:left w:w="28" w:type="dxa"/>
          <w:bottom w:w="28" w:type="dxa"/>
          <w:right w:w="28" w:type="dxa"/>
        </w:tblCellMar>
      </w:tblPr>
      <w:tblGrid>
        <w:gridCol w:w="743"/>
        <w:gridCol w:w="653"/>
        <w:gridCol w:w="659"/>
        <w:gridCol w:w="299"/>
        <w:gridCol w:w="299"/>
        <w:gridCol w:w="299"/>
        <w:gridCol w:w="1805"/>
        <w:gridCol w:w="1805"/>
        <w:gridCol w:w="2569"/>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2569"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SOLANA COMPANY</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14, 2026</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Choon Wee Chee</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Choon Wee Chee</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Chairman, Chief Executive Officer and President</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14, 2026</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Agustina Gani Tjandrasuwita</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Agustina Gani Tjandrasuwita</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 Chief Operating Officer, Treasurer and Secretary</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Choon Wee Chee, certify that: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1)I have reviewed this report on Form 10-Q for the period ended June 30, 2026 of Solana Company.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044" w:type="dxa"/>
        <w:jc w:val="left"/>
        <w:tblInd w:w="0" w:type="dxa"/>
        <w:tblLayout w:type="fixed"/>
        <w:tblCellMar>
          <w:top w:w="28" w:type="dxa"/>
          <w:left w:w="28" w:type="dxa"/>
          <w:bottom w:w="28" w:type="dxa"/>
          <w:right w:w="28" w:type="dxa"/>
        </w:tblCellMar>
      </w:tblPr>
      <w:tblGrid>
        <w:gridCol w:w="705"/>
        <w:gridCol w:w="621"/>
        <w:gridCol w:w="624"/>
        <w:gridCol w:w="1194"/>
        <w:gridCol w:w="1194"/>
        <w:gridCol w:w="1706"/>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/s/Choon Wee Chee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Choon Wee Chee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Chief Executive Officer and President</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 Agustina Gani Tjandrasuwita, certify that: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1)I have reviewed this report on Form 10-Q for the period ended June 30, 2026 of Solana Company.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7934" w:type="dxa"/>
        <w:jc w:val="left"/>
        <w:tblInd w:w="0" w:type="dxa"/>
        <w:tblLayout w:type="fixed"/>
        <w:tblCellMar>
          <w:top w:w="28" w:type="dxa"/>
          <w:left w:w="28" w:type="dxa"/>
          <w:bottom w:w="28" w:type="dxa"/>
          <w:right w:w="28" w:type="dxa"/>
        </w:tblCellMar>
      </w:tblPr>
      <w:tblGrid>
        <w:gridCol w:w="705"/>
        <w:gridCol w:w="621"/>
        <w:gridCol w:w="624"/>
        <w:gridCol w:w="1750"/>
        <w:gridCol w:w="1750"/>
        <w:gridCol w:w="248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248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/s/Agustina Gani Tjandrasuwita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Agustina Gani Tjandrasuwita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Chief Operating Officer, Treasurer and Secretary</w:t>
              <w:b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SOLANA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 am the Chief Executive Officer of Solana Company, a Delaware corporation (the “Company”). I am delivering this certificate in connection with the Form 10-Q of the Company for the quarter ended June 30, 2026 and filed with the Securities and Exchange Commission (“Form 10-Q”).</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18 U.S.C. Section 1350, as adopted pursuant to Section 906 of the Sarbanes-Oxley Act of 2002, I hereby certify that, to the best of my knowledge, the Form 10-Q fully complies with the requirements of Section 13(a) or Section 15(d) of the Securities Exchange Act of 1934, as amended and that the information contained in the Form 10-Q fairly presents, in all material respects, the financial condition and results of operations of the Company.</w:t>
      </w:r>
    </w:p>
    <w:tbl>
      <w:tblPr>
        <w:tblW w:w="6044" w:type="dxa"/>
        <w:jc w:val="left"/>
        <w:tblInd w:w="0" w:type="dxa"/>
        <w:tblLayout w:type="fixed"/>
        <w:tblCellMar>
          <w:top w:w="28" w:type="dxa"/>
          <w:left w:w="28" w:type="dxa"/>
          <w:bottom w:w="28" w:type="dxa"/>
          <w:right w:w="28" w:type="dxa"/>
        </w:tblCellMar>
      </w:tblPr>
      <w:tblGrid>
        <w:gridCol w:w="705"/>
        <w:gridCol w:w="621"/>
        <w:gridCol w:w="624"/>
        <w:gridCol w:w="1194"/>
        <w:gridCol w:w="1194"/>
        <w:gridCol w:w="1706"/>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/s/Choon Wee Chee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Choon Wee Chee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Chief Executive Officer and President</w:t>
              <w:br/>
              <w:t>(Principal Executive Officer)</w:t>
            </w:r>
          </w:p>
        </w:tc>
      </w:tr>
    </w:tbl>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the Form 10-Q to which it relates, is not deemed filed with the Securities and Exchange Commission and is not to be incorporated by reference into any filing of Solana Company under the Securities Act of 1933, as amended, or the Securities Exchange Act of 1934, as amended (whether made before or after the date of the Form 10-Q), irrespective of any general incorporation language contained in such filing.</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SOLANA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 am the Chief Financial Officer of Solana Company, a Delaware corporation (the “Company”). I am delivering this certificate in connection with the Form 10-Q of the Company for the quarter ended June 30, 2026 and filed with the Securities and Exchange Commission (“Form 10-Q”).</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18 U.S.C. Section 1350, as adopted pursuant to Section 906 of the Sarbanes-Oxley Act of 2002, I hereby certify that, to the best of my knowledge, the Form 10-Q fully complies with the requirements of Section 13(a) or Section 15(d) of the Securities Exchange Act of 1934, as amended and that the information contained in the Form 10-Q fairly presents, in all material respects, the financial condition and results of operations of the Company.</w:t>
      </w:r>
    </w:p>
    <w:tbl>
      <w:tblPr>
        <w:tblW w:w="7934" w:type="dxa"/>
        <w:jc w:val="left"/>
        <w:tblInd w:w="0" w:type="dxa"/>
        <w:tblLayout w:type="fixed"/>
        <w:tblCellMar>
          <w:top w:w="28" w:type="dxa"/>
          <w:left w:w="28" w:type="dxa"/>
          <w:bottom w:w="28" w:type="dxa"/>
          <w:right w:w="28" w:type="dxa"/>
        </w:tblCellMar>
      </w:tblPr>
      <w:tblGrid>
        <w:gridCol w:w="705"/>
        <w:gridCol w:w="621"/>
        <w:gridCol w:w="624"/>
        <w:gridCol w:w="1750"/>
        <w:gridCol w:w="1750"/>
        <w:gridCol w:w="248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248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c>
        <w:tc>
          <w:tcPr>
            <w:tcW w:w="59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/s/Agustina Gani Tjandrasuwita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Agustina Gani Tjandrasuwita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Chief Operating Officer, Treasurer and Secretary</w:t>
              <w:br/>
              <w:t>(Principal Financial Officer and Principal Accounting Officer)</w:t>
            </w:r>
          </w:p>
        </w:tc>
      </w:tr>
    </w:tbl>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the Form 10-Q to which it relates, is not deemed filed with the Securities and Exchange Commission and is not to be incorporated by reference into any filing of Solana Company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10853/000156459018020736/hsdt-ex31_66.htm" TargetMode="External"/><Relationship Id="rId4" Type="http://schemas.openxmlformats.org/officeDocument/2006/relationships/hyperlink" Target="https://www.sec.gov/Archives/edgar/data/1610853/000119312518312155/d646047dex31.htm" TargetMode="External"/><Relationship Id="rId5" Type="http://schemas.openxmlformats.org/officeDocument/2006/relationships/hyperlink" Target="https://www.sec.gov/Archives/edgar/data/1610853/000156459020058917/hsdt-ex31_7.htm" TargetMode="External"/><Relationship Id="rId6" Type="http://schemas.openxmlformats.org/officeDocument/2006/relationships/hyperlink" Target="https://www.sec.gov/Archives/edgar/data/1610853/000110465923092276/tm2323789d1_ex3-1.htm" TargetMode="External"/><Relationship Id="rId7" Type="http://schemas.openxmlformats.org/officeDocument/2006/relationships/hyperlink" Target="https://www.sec.gov/Archives/edgar/data/1610853/000155837025005939/hsdt-20250430xex3d1.htm" TargetMode="External"/><Relationship Id="rId8" Type="http://schemas.openxmlformats.org/officeDocument/2006/relationships/hyperlink" Target="https://www.sec.gov/Archives/edgar/data/1610853/000155837025008942/hsdt-20250627xex3d1.htm" TargetMode="External"/><Relationship Id="rId9" Type="http://schemas.openxmlformats.org/officeDocument/2006/relationships/hyperlink" Target="https://www.sec.gov/Archives/edgar/data/1610853/000110465925091281/tm2526455d1_ex3-1.htm" TargetMode="External"/><Relationship Id="rId10" Type="http://schemas.openxmlformats.org/officeDocument/2006/relationships/hyperlink" Target="https://www.sec.gov/Archives/edgar/data/1610853/000110465925094134/tm2527115d1_ex3-1.htm" TargetMode="External"/><Relationship Id="rId11" Type="http://schemas.openxmlformats.org/officeDocument/2006/relationships/hyperlink" Target="https://www.sec.gov/Archives/edgar/data/1610853/000110465925094134/tm2527115d1_ex3-2.htm" TargetMode="External"/><Relationship Id="rId12" Type="http://schemas.openxmlformats.org/officeDocument/2006/relationships/hyperlink" Target="https://www.sec.gov/Archives/edgar/data/1610853/000110465925094134/tm2527115d1_ex3-2.htm" TargetMode="External"/><Relationship Id="rId13" Type="http://schemas.openxmlformats.org/officeDocument/2006/relationships/hyperlink" Target="https://www.sec.gov/Archives/edgar/data/1610853/000110465925094134/tm2527115d1_ex3-2.htm" TargetMode="External"/><Relationship Id="rId14" Type="http://schemas.openxmlformats.org/officeDocument/2006/relationships/hyperlink" Target="https://www.sec.gov/Archives/edgar/data/1610853/000110465925094134/tm2527115d1_ex3-2.htm" TargetMode="External"/><Relationship Id="rId15" Type="http://schemas.openxmlformats.org/officeDocument/2006/relationships/hyperlink" Target="https://www.sec.gov/Archives/edgar/data/1610853/000110465926049070/tm2612791d1_ex4-1.htm" TargetMode="External"/><Relationship Id="rId16" Type="http://schemas.openxmlformats.org/officeDocument/2006/relationships/hyperlink" Target="https://www.sec.gov/Archives/edgar/data/1610853/000110465926049070/tm2612791d1_ex4-2.htm" TargetMode="External"/><Relationship Id="rId17" Type="http://schemas.openxmlformats.org/officeDocument/2006/relationships/hyperlink" Target="https://www.sec.gov/Archives/edgar/data/1610853/000110465926041571/hsdt-20260409xex10d1.htm" TargetMode="External"/><Relationship Id="rId18" Type="http://schemas.openxmlformats.org/officeDocument/2006/relationships/hyperlink" Target="https://www.sec.gov/Archives/edgar/data/1610853/000110465926042666/hsdt-20260408xex10d1.htm" TargetMode="External"/><Relationship Id="rId19" Type="http://schemas.openxmlformats.org/officeDocument/2006/relationships/hyperlink" Target="https://www.sec.gov/Archives/edgar/data/1610853/000110465926062611/hsdt-20260331xex10d3.htm" TargetMode="External"/><Relationship Id="rId20" Type="http://schemas.openxmlformats.org/officeDocument/2006/relationships/hyperlink" Target="https://www.sec.gov/Archives/edgar/data/1610853/000110465926062611/hsdt-20260331xex10d4.htm" TargetMode="External"/><Relationship Id="rId21" Type="http://schemas.openxmlformats.org/officeDocument/2006/relationships/hyperlink" Target="https://www.sec.gov/Archives/edgar/data/1610853/000110465926068370/tm2615718d2_ex10-1.htm"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22382</Words>
  <Characters>122695</Characters>
  <CharactersWithSpaces>143835</CharactersWithSpaces>
  <Paragraphs>2424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