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337820</wp:posOffset>
            </wp:positionV>
            <wp:extent cx="649478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4780" cy="323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402590</wp:posOffset>
            </wp:positionV>
            <wp:extent cx="6494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47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10-K</w:t>
      </w:r>
    </w:p>
    <w:p>
      <w:pPr>
        <w:ind w:left="1120" w:hanging="1102"/>
        <w:spacing w:after="0" w:line="220" w:lineRule="auto"/>
        <w:tabs>
          <w:tab w:leader="none" w:pos="1120" w:val="left"/>
        </w:tabs>
        <w:numPr>
          <w:ilvl w:val="0"/>
          <w:numId w:val="1"/>
        </w:numPr>
        <w:rPr>
          <w:rFonts w:ascii="MS PGothic" w:cs="MS PGothic" w:eastAsia="MS PGothic" w:hAnsi="MS PGothic"/>
          <w:sz w:val="27"/>
          <w:szCs w:val="27"/>
          <w:color w:val="auto"/>
          <w:highlight w:val="black"/>
          <w:vertAlign w:val="subscript"/>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or</w:t>
      </w:r>
    </w:p>
    <w:p>
      <w:pPr>
        <w:ind w:left="1100" w:hanging="1082"/>
        <w:spacing w:after="0" w:line="195" w:lineRule="auto"/>
        <w:tabs>
          <w:tab w:leader="none" w:pos="1100" w:val="left"/>
        </w:tabs>
        <w:numPr>
          <w:ilvl w:val="0"/>
          <w:numId w:val="2"/>
        </w:numPr>
        <w:rPr>
          <w:rFonts w:ascii="MS PGothic" w:cs="MS PGothic" w:eastAsia="MS PGothic" w:hAnsi="MS PGothic"/>
          <w:sz w:val="27"/>
          <w:szCs w:val="27"/>
          <w:color w:val="auto"/>
          <w:highlight w:val="black"/>
          <w:vertAlign w:val="subscript"/>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9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 to 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No. 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52070</wp:posOffset>
            </wp:positionV>
            <wp:extent cx="1492885" cy="758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2885" cy="758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4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8"/>
              </w:rPr>
              <w:t>HELIUS MEDICAL TECHNOLOGIES, INC.</w:t>
            </w:r>
          </w:p>
        </w:tc>
        <w:tc>
          <w:tcPr>
            <w:tcW w:w="3200" w:type="dxa"/>
            <w:vAlign w:val="bottom"/>
          </w:tcPr>
          <w:p>
            <w:pPr>
              <w:spacing w:after="0"/>
              <w:rPr>
                <w:sz w:val="12"/>
                <w:szCs w:val="12"/>
                <w:color w:val="auto"/>
              </w:rPr>
            </w:pPr>
          </w:p>
        </w:tc>
      </w:tr>
      <w:tr>
        <w:trPr>
          <w:trHeight w:val="158"/>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20" w:type="dxa"/>
            <w:vAlign w:val="bottom"/>
            <w:gridSpan w:val="4"/>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8"/>
              </w:rPr>
              <w:t>(Exact name of registrant as specified in its charter)</w:t>
            </w:r>
          </w:p>
        </w:tc>
        <w:tc>
          <w:tcPr>
            <w:tcW w:w="3200" w:type="dxa"/>
            <w:vAlign w:val="bottom"/>
          </w:tcPr>
          <w:p>
            <w:pPr>
              <w:spacing w:after="0"/>
              <w:rPr>
                <w:sz w:val="13"/>
                <w:szCs w:val="13"/>
                <w:color w:val="auto"/>
              </w:rPr>
            </w:pPr>
          </w:p>
        </w:tc>
      </w:tr>
      <w:tr>
        <w:trPr>
          <w:trHeight w:val="300"/>
        </w:trPr>
        <w:tc>
          <w:tcPr>
            <w:tcW w:w="3580" w:type="dxa"/>
            <w:vAlign w:val="bottom"/>
          </w:tcPr>
          <w:p>
            <w:pPr>
              <w:jc w:val="center"/>
              <w:ind w:left="1401"/>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jc w:val="right"/>
              <w:ind w:right="2161"/>
              <w:spacing w:after="0"/>
              <w:rPr>
                <w:sz w:val="20"/>
                <w:szCs w:val="20"/>
                <w:color w:val="auto"/>
              </w:rPr>
            </w:pPr>
            <w:r>
              <w:rPr>
                <w:rFonts w:ascii="Times New Roman" w:cs="Times New Roman" w:eastAsia="Times New Roman" w:hAnsi="Times New Roman"/>
                <w:sz w:val="12"/>
                <w:szCs w:val="12"/>
                <w:b w:val="1"/>
                <w:bCs w:val="1"/>
                <w:color w:val="auto"/>
              </w:rPr>
              <w:t>36-4787690</w:t>
            </w:r>
          </w:p>
        </w:tc>
      </w:tr>
      <w:tr>
        <w:trPr>
          <w:trHeight w:val="127"/>
        </w:trPr>
        <w:tc>
          <w:tcPr>
            <w:tcW w:w="3580" w:type="dxa"/>
            <w:vAlign w:val="bottom"/>
          </w:tcPr>
          <w:p>
            <w:pPr>
              <w:jc w:val="center"/>
              <w:ind w:left="1401"/>
              <w:spacing w:after="0" w:line="127" w:lineRule="exact"/>
              <w:rPr>
                <w:sz w:val="20"/>
                <w:szCs w:val="20"/>
                <w:color w:val="auto"/>
              </w:rPr>
            </w:pPr>
            <w:r>
              <w:rPr>
                <w:rFonts w:ascii="Times New Roman" w:cs="Times New Roman" w:eastAsia="Times New Roman" w:hAnsi="Times New Roman"/>
                <w:sz w:val="12"/>
                <w:szCs w:val="12"/>
                <w:b w:val="1"/>
                <w:bCs w:val="1"/>
                <w:color w:val="auto"/>
                <w:w w:val="98"/>
              </w:rPr>
              <w:t>(State or other jurisdiction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0" w:type="dxa"/>
            <w:vAlign w:val="bottom"/>
          </w:tcPr>
          <w:p>
            <w:pPr>
              <w:jc w:val="center"/>
              <w:ind w:right="1761"/>
              <w:spacing w:after="0" w:line="127"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27"/>
        </w:trPr>
        <w:tc>
          <w:tcPr>
            <w:tcW w:w="3580" w:type="dxa"/>
            <w:vAlign w:val="bottom"/>
          </w:tcPr>
          <w:p>
            <w:pPr>
              <w:jc w:val="center"/>
              <w:ind w:left="1401"/>
              <w:spacing w:after="0" w:line="127" w:lineRule="exact"/>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0" w:type="dxa"/>
            <w:vAlign w:val="bottom"/>
          </w:tcPr>
          <w:p>
            <w:pPr>
              <w:jc w:val="center"/>
              <w:ind w:right="1741"/>
              <w:spacing w:after="0" w:line="127" w:lineRule="exact"/>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127"/>
        </w:trPr>
        <w:tc>
          <w:tcPr>
            <w:tcW w:w="3580" w:type="dxa"/>
            <w:vAlign w:val="bottom"/>
          </w:tcPr>
          <w:p>
            <w:pPr>
              <w:jc w:val="center"/>
              <w:ind w:left="1401"/>
              <w:spacing w:after="0" w:line="127" w:lineRule="exact"/>
              <w:rPr>
                <w:sz w:val="20"/>
                <w:szCs w:val="20"/>
                <w:color w:val="auto"/>
              </w:rPr>
            </w:pPr>
            <w:r>
              <w:rPr>
                <w:rFonts w:ascii="Times New Roman" w:cs="Times New Roman" w:eastAsia="Times New Roman" w:hAnsi="Times New Roman"/>
                <w:sz w:val="12"/>
                <w:szCs w:val="12"/>
                <w:b w:val="1"/>
                <w:bCs w:val="1"/>
                <w:color w:val="auto"/>
                <w:w w:val="97"/>
              </w:rPr>
              <w:t>642 Newtown Yardley Road, Suite 100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0" w:type="dxa"/>
            <w:vAlign w:val="bottom"/>
          </w:tcPr>
          <w:p>
            <w:pPr>
              <w:jc w:val="right"/>
              <w:ind w:right="2301"/>
              <w:spacing w:after="0" w:line="127" w:lineRule="exact"/>
              <w:rPr>
                <w:sz w:val="20"/>
                <w:szCs w:val="20"/>
                <w:color w:val="auto"/>
              </w:rPr>
            </w:pPr>
            <w:r>
              <w:rPr>
                <w:rFonts w:ascii="Times New Roman" w:cs="Times New Roman" w:eastAsia="Times New Roman" w:hAnsi="Times New Roman"/>
                <w:sz w:val="12"/>
                <w:szCs w:val="12"/>
                <w:b w:val="1"/>
                <w:bCs w:val="1"/>
                <w:color w:val="auto"/>
              </w:rPr>
              <w:t>18940</w:t>
            </w:r>
          </w:p>
        </w:tc>
      </w:tr>
      <w:tr>
        <w:trPr>
          <w:trHeight w:val="127"/>
        </w:trPr>
        <w:tc>
          <w:tcPr>
            <w:tcW w:w="3580" w:type="dxa"/>
            <w:vAlign w:val="bottom"/>
          </w:tcPr>
          <w:p>
            <w:pPr>
              <w:jc w:val="center"/>
              <w:ind w:left="1401"/>
              <w:spacing w:after="0" w:line="127" w:lineRule="exact"/>
              <w:rPr>
                <w:sz w:val="20"/>
                <w:szCs w:val="20"/>
                <w:color w:val="auto"/>
              </w:rPr>
            </w:pPr>
            <w:r>
              <w:rPr>
                <w:rFonts w:ascii="Times New Roman" w:cs="Times New Roman" w:eastAsia="Times New Roman" w:hAnsi="Times New Roman"/>
                <w:sz w:val="12"/>
                <w:szCs w:val="12"/>
                <w:b w:val="1"/>
                <w:bCs w:val="1"/>
                <w:color w:val="auto"/>
                <w:w w:val="98"/>
              </w:rPr>
              <w:t>Newtown, Pennsylvania</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0" w:type="dxa"/>
            <w:vAlign w:val="bottom"/>
          </w:tcPr>
          <w:p>
            <w:pPr>
              <w:jc w:val="center"/>
              <w:ind w:right="1741"/>
              <w:spacing w:after="0" w:line="127" w:lineRule="exact"/>
              <w:rPr>
                <w:sz w:val="20"/>
                <w:szCs w:val="20"/>
                <w:color w:val="auto"/>
              </w:rPr>
            </w:pPr>
            <w:r>
              <w:rPr>
                <w:rFonts w:ascii="Times New Roman" w:cs="Times New Roman" w:eastAsia="Times New Roman" w:hAnsi="Times New Roman"/>
                <w:sz w:val="12"/>
                <w:szCs w:val="12"/>
                <w:b w:val="1"/>
                <w:bCs w:val="1"/>
                <w:color w:val="auto"/>
              </w:rPr>
              <w:t>(Zip Code)</w:t>
            </w:r>
          </w:p>
        </w:tc>
      </w:tr>
      <w:tr>
        <w:trPr>
          <w:trHeight w:val="158"/>
        </w:trPr>
        <w:tc>
          <w:tcPr>
            <w:tcW w:w="3580" w:type="dxa"/>
            <w:vAlign w:val="bottom"/>
          </w:tcPr>
          <w:p>
            <w:pPr>
              <w:jc w:val="center"/>
              <w:ind w:left="140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216"/>
        </w:trPr>
        <w:tc>
          <w:tcPr>
            <w:tcW w:w="7040" w:type="dxa"/>
            <w:vAlign w:val="bottom"/>
            <w:gridSpan w:val="6"/>
          </w:tcPr>
          <w:p>
            <w:pPr>
              <w:jc w:val="center"/>
              <w:ind w:left="3141"/>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 (215) 944-6100</w:t>
            </w:r>
          </w:p>
        </w:tc>
        <w:tc>
          <w:tcPr>
            <w:tcW w:w="32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3460" w:type="dxa"/>
            <w:vAlign w:val="bottom"/>
            <w:gridSpan w:val="5"/>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Securities registered pursuant to Section 12(b) of the Act:</w:t>
            </w:r>
          </w:p>
        </w:tc>
        <w:tc>
          <w:tcPr>
            <w:tcW w:w="3200" w:type="dxa"/>
            <w:vAlign w:val="bottom"/>
          </w:tcPr>
          <w:p>
            <w:pPr>
              <w:spacing w:after="0"/>
              <w:rPr>
                <w:sz w:val="18"/>
                <w:szCs w:val="18"/>
                <w:color w:val="auto"/>
              </w:rPr>
            </w:pPr>
          </w:p>
        </w:tc>
      </w:tr>
      <w:tr>
        <w:trPr>
          <w:trHeight w:val="218"/>
        </w:trPr>
        <w:tc>
          <w:tcPr>
            <w:tcW w:w="3580" w:type="dxa"/>
            <w:vAlign w:val="bottom"/>
          </w:tcPr>
          <w:p>
            <w:pPr>
              <w:jc w:val="center"/>
              <w:ind w:left="101"/>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200" w:type="dxa"/>
            <w:vAlign w:val="bottom"/>
          </w:tcPr>
          <w:p>
            <w:pPr>
              <w:jc w:val="center"/>
              <w:ind w:right="181"/>
              <w:spacing w:after="0"/>
              <w:rPr>
                <w:sz w:val="20"/>
                <w:szCs w:val="20"/>
                <w:color w:val="auto"/>
              </w:rPr>
            </w:pPr>
            <w:r>
              <w:rPr>
                <w:rFonts w:ascii="Times New Roman" w:cs="Times New Roman" w:eastAsia="Times New Roman" w:hAnsi="Times New Roman"/>
                <w:sz w:val="12"/>
                <w:szCs w:val="12"/>
                <w:b w:val="1"/>
                <w:bCs w:val="1"/>
                <w:color w:val="auto"/>
                <w:w w:val="98"/>
              </w:rPr>
              <w:t>Name of each exchange on which registered</w:t>
            </w:r>
          </w:p>
        </w:tc>
      </w:tr>
      <w:tr>
        <w:trPr>
          <w:trHeight w:val="150"/>
        </w:trPr>
        <w:tc>
          <w:tcPr>
            <w:tcW w:w="3580" w:type="dxa"/>
            <w:vAlign w:val="bottom"/>
            <w:tcBorders>
              <w:top w:val="single" w:sz="8" w:color="auto"/>
            </w:tcBorders>
          </w:tcPr>
          <w:p>
            <w:pPr>
              <w:jc w:val="center"/>
              <w:ind w:left="101"/>
              <w:spacing w:after="0"/>
              <w:rPr>
                <w:sz w:val="20"/>
                <w:szCs w:val="20"/>
                <w:color w:val="auto"/>
              </w:rPr>
            </w:pPr>
            <w:r>
              <w:rPr>
                <w:rFonts w:ascii="Times New Roman" w:cs="Times New Roman" w:eastAsia="Times New Roman" w:hAnsi="Times New Roman"/>
                <w:sz w:val="12"/>
                <w:szCs w:val="12"/>
                <w:b w:val="1"/>
                <w:bCs w:val="1"/>
                <w:color w:val="auto"/>
                <w:w w:val="98"/>
              </w:rPr>
              <w:t>Class A Common Stock, $0.001 par value per share</w:t>
            </w:r>
          </w:p>
        </w:tc>
        <w:tc>
          <w:tcPr>
            <w:tcW w:w="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HSDT</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tcPr>
          <w:p>
            <w:pPr>
              <w:jc w:val="center"/>
              <w:ind w:right="161"/>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p>
      <w:pPr>
        <w:spacing w:after="0" w:line="181" w:lineRule="exact"/>
        <w:rPr>
          <w:sz w:val="24"/>
          <w:szCs w:val="24"/>
          <w:color w:val="auto"/>
        </w:rPr>
      </w:pPr>
    </w:p>
    <w:p>
      <w:pPr>
        <w:ind w:left="300" w:right="3600"/>
        <w:spacing w:after="0" w:line="21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5" w:lineRule="exact"/>
        <w:rPr>
          <w:sz w:val="24"/>
          <w:szCs w:val="24"/>
          <w:color w:val="auto"/>
        </w:rPr>
      </w:pPr>
    </w:p>
    <w:p>
      <w:pPr>
        <w:ind w:right="240" w:firstLine="305"/>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3" w:lineRule="exact"/>
        <w:rPr>
          <w:sz w:val="24"/>
          <w:szCs w:val="24"/>
          <w:color w:val="auto"/>
        </w:rPr>
      </w:pPr>
    </w:p>
    <w:p>
      <w:pPr>
        <w:ind w:right="240" w:firstLine="305"/>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5" w:lineRule="exact"/>
        <w:rPr>
          <w:sz w:val="24"/>
          <w:szCs w:val="24"/>
          <w:color w:val="auto"/>
        </w:rPr>
      </w:pPr>
    </w:p>
    <w:p>
      <w:pPr>
        <w:ind w:right="80" w:firstLine="305"/>
        <w:spacing w:after="0" w:line="24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31" w:right="839" w:bottom="1440" w:gutter="0" w:footer="0" w:header="0"/>
        </w:sectPr>
      </w:pP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176" w:lineRule="exact"/>
        <w:rPr>
          <w:sz w:val="24"/>
          <w:szCs w:val="24"/>
          <w:color w:val="auto"/>
        </w:rPr>
      </w:pPr>
    </w:p>
    <w:p>
      <w:pPr>
        <w:sectPr>
          <w:pgSz w:w="11900" w:h="16838" w:orient="portrait"/>
          <w:cols w:equalWidth="0" w:num="4">
            <w:col w:w="1080" w:space="80"/>
            <w:col w:w="5820" w:space="720"/>
            <w:col w:w="780" w:space="100"/>
            <w:col w:w="1660"/>
          </w:cols>
          <w:pgMar w:left="820" w:top="631" w:right="8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139" w:lineRule="exact"/>
        <w:rPr>
          <w:sz w:val="24"/>
          <w:szCs w:val="24"/>
          <w:color w:val="auto"/>
        </w:rPr>
      </w:pPr>
    </w:p>
    <w:p>
      <w:pPr>
        <w:sectPr>
          <w:pgSz w:w="11900" w:h="16838" w:orient="portrait"/>
          <w:cols w:equalWidth="0" w:num="3">
            <w:col w:w="1020" w:space="80"/>
            <w:col w:w="5880" w:space="720"/>
            <w:col w:w="2540"/>
          </w:cols>
          <w:pgMar w:left="820" w:top="631" w:right="839" w:bottom="1440" w:gutter="0" w:footer="0" w:header="0"/>
          <w:type w:val="continuous"/>
        </w:sectPr>
      </w:pPr>
    </w:p>
    <w:p>
      <w:pPr>
        <w:ind w:left="770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0240"/>
          </w:cols>
          <w:pgMar w:left="820" w:top="631" w:right="839" w:bottom="1440" w:gutter="0" w:footer="0" w:header="0"/>
          <w:type w:val="continuous"/>
        </w:sectPr>
      </w:pPr>
    </w:p>
    <w:p>
      <w:pPr>
        <w:spacing w:after="0" w:line="118" w:lineRule="exact"/>
        <w:rPr>
          <w:sz w:val="24"/>
          <w:szCs w:val="24"/>
          <w:color w:val="auto"/>
        </w:rPr>
      </w:pPr>
    </w:p>
    <w:p>
      <w:pPr>
        <w:ind w:right="220" w:firstLine="305"/>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3" w:lineRule="exact"/>
        <w:rPr>
          <w:sz w:val="24"/>
          <w:szCs w:val="24"/>
          <w:color w:val="auto"/>
        </w:rPr>
      </w:pPr>
    </w:p>
    <w:p>
      <w:pPr>
        <w:ind w:right="80" w:firstLine="305"/>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2"/>
          <w:szCs w:val="12"/>
          <w:color w:val="auto"/>
        </w:rPr>
        <w:t>☐</w:t>
      </w:r>
    </w:p>
    <w:p>
      <w:pPr>
        <w:spacing w:after="0" w:line="45" w:lineRule="exact"/>
        <w:rPr>
          <w:sz w:val="24"/>
          <w:szCs w:val="24"/>
          <w:color w:val="auto"/>
        </w:rPr>
      </w:pPr>
    </w:p>
    <w:p>
      <w:pPr>
        <w:ind w:firstLine="305"/>
        <w:spacing w:after="0" w:line="156"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45" w:lineRule="exact"/>
        <w:rPr>
          <w:sz w:val="24"/>
          <w:szCs w:val="24"/>
          <w:color w:val="auto"/>
        </w:rPr>
      </w:pPr>
    </w:p>
    <w:p>
      <w:pPr>
        <w:ind w:firstLine="305"/>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2"/>
          <w:szCs w:val="12"/>
          <w:color w:val="auto"/>
        </w:rPr>
        <w:t>☐</w:t>
      </w:r>
    </w:p>
    <w:p>
      <w:pPr>
        <w:spacing w:after="0" w:line="17" w:lineRule="exact"/>
        <w:rPr>
          <w:sz w:val="24"/>
          <w:szCs w:val="24"/>
          <w:color w:val="auto"/>
        </w:rPr>
      </w:pPr>
    </w:p>
    <w:p>
      <w:pPr>
        <w:ind w:left="300"/>
        <w:spacing w:after="0" w:line="138" w:lineRule="exact"/>
        <w:tabs>
          <w:tab w:leader="none" w:pos="566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06" w:lineRule="exact"/>
        <w:rPr>
          <w:sz w:val="24"/>
          <w:szCs w:val="24"/>
          <w:color w:val="auto"/>
        </w:rPr>
      </w:pPr>
    </w:p>
    <w:p>
      <w:pPr>
        <w:ind w:right="280" w:firstLine="305"/>
        <w:spacing w:after="0" w:line="248" w:lineRule="auto"/>
        <w:rPr>
          <w:sz w:val="20"/>
          <w:szCs w:val="20"/>
          <w:color w:val="auto"/>
        </w:rPr>
      </w:pPr>
      <w:r>
        <w:rPr>
          <w:rFonts w:ascii="Times New Roman" w:cs="Times New Roman" w:eastAsia="Times New Roman" w:hAnsi="Times New Roman"/>
          <w:sz w:val="12"/>
          <w:szCs w:val="12"/>
          <w:color w:val="auto"/>
        </w:rPr>
        <w:t>The aggregate market value of the common equity held by non-affiliates of the registrant on June 30, 2024, based on the closing price on that date of $0.98 per share, was approximately $3,094,103. As of March 18, 2025, there were 6,126,778 shares of the registrant’s Class A common stock outstanding.</w:t>
      </w:r>
    </w:p>
    <w:p>
      <w:pPr>
        <w:spacing w:after="0" w:line="4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8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color w:val="auto"/>
        </w:rPr>
        <w:t>Portions of the proxy statement for the 2025 annual meeting of stockholders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761365</wp:posOffset>
            </wp:positionV>
            <wp:extent cx="649478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4780" cy="241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649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478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406400</wp:posOffset>
            </wp:positionV>
            <wp:extent cx="649478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4780" cy="32385"/>
                    </a:xfrm>
                    <a:prstGeom prst="rect">
                      <a:avLst/>
                    </a:prstGeom>
                    <a:noFill/>
                  </pic:spPr>
                </pic:pic>
              </a:graphicData>
            </a:graphic>
          </wp:anchor>
        </w:drawing>
      </w:r>
    </w:p>
    <w:p>
      <w:pPr>
        <w:sectPr>
          <w:pgSz w:w="11900" w:h="16838" w:orient="portrait"/>
          <w:cols w:equalWidth="0" w:num="1">
            <w:col w:w="10240"/>
          </w:cols>
          <w:pgMar w:left="820" w:top="63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8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17"/>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w w:val="92"/>
              </w:rPr>
              <w:t>Description</w:t>
            </w:r>
          </w:p>
        </w:tc>
        <w:tc>
          <w:tcPr>
            <w:tcW w:w="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61"/>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8"/>
          </w:tcPr>
          <w:p>
            <w:pPr>
              <w:jc w:val="center"/>
              <w:ind w:right="3540"/>
              <w:spacing w:after="0"/>
              <w:rPr>
                <w:sz w:val="20"/>
                <w:szCs w:val="20"/>
                <w:color w:val="auto"/>
              </w:rPr>
            </w:pPr>
            <w:r>
              <w:rPr>
                <w:rFonts w:ascii="Times New Roman" w:cs="Times New Roman" w:eastAsia="Times New Roman" w:hAnsi="Times New Roman"/>
                <w:sz w:val="17"/>
                <w:szCs w:val="17"/>
                <w:b w:val="1"/>
                <w:bCs w:val="1"/>
                <w:color w:val="0000EE"/>
                <w:w w:val="94"/>
              </w:rPr>
              <w:t>PART I</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87"/>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5"/>
              </w:rPr>
              <w:t>ITEM 1.</w:t>
            </w:r>
          </w:p>
        </w:tc>
        <w:tc>
          <w:tcPr>
            <w:tcW w:w="2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BUSINESS</w:t>
            </w:r>
          </w:p>
        </w:tc>
        <w:tc>
          <w:tcPr>
            <w:tcW w:w="540" w:type="dxa"/>
            <w:vAlign w:val="bottom"/>
            <w:tcBorders>
              <w:top w:val="single" w:sz="8" w:color="0000EE"/>
            </w:tcBorders>
            <w:gridSpan w:val="3"/>
          </w:tcPr>
          <w:p>
            <w:pPr>
              <w:spacing w:after="0"/>
              <w:rPr>
                <w:sz w:val="24"/>
                <w:szCs w:val="24"/>
                <w:color w:val="auto"/>
              </w:rPr>
            </w:pPr>
          </w:p>
        </w:tc>
        <w:tc>
          <w:tcPr>
            <w:tcW w:w="358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74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0000EE"/>
              </w:rPr>
              <w:t>ITEM 1A.</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RISK FACTORS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38</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88"/>
              </w:rPr>
              <w:t>ITEM 1B.</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UNRESOLVED STAFF COMMENTS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58</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88"/>
              </w:rPr>
              <w:t>ITEM 1C.</w:t>
            </w: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CYBERSECURITY</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58</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5"/>
              </w:rPr>
              <w:t>ITEM 2.</w:t>
            </w:r>
          </w:p>
        </w:tc>
        <w:tc>
          <w:tcPr>
            <w:tcW w:w="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PROPERTIES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59</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5"/>
              </w:rPr>
              <w:t>ITEM 3.</w:t>
            </w:r>
          </w:p>
        </w:tc>
        <w:tc>
          <w:tcPr>
            <w:tcW w:w="24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LEGAL PROCEEDINGS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59</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5"/>
              </w:rPr>
              <w:t>ITEM 4.</w:t>
            </w:r>
          </w:p>
        </w:tc>
        <w:tc>
          <w:tcPr>
            <w:tcW w:w="24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MINE SAFETY DISCLOSURES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59</w:t>
            </w:r>
          </w:p>
        </w:tc>
      </w:tr>
      <w:tr>
        <w:trPr>
          <w:trHeight w:val="387"/>
        </w:trPr>
        <w:tc>
          <w:tcPr>
            <w:tcW w:w="5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0000EE"/>
                <w:w w:val="97"/>
              </w:rPr>
              <w:t>PART II</w:t>
            </w:r>
          </w:p>
        </w:tc>
        <w:tc>
          <w:tcPr>
            <w:tcW w:w="354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387"/>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5"/>
              </w:rPr>
              <w:t>ITEM 5.</w:t>
            </w:r>
          </w:p>
        </w:tc>
        <w:tc>
          <w:tcPr>
            <w:tcW w:w="2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MARKET FOR REGISTRANT’S COMMON EQUITY, RELATED STOCKHOLDER MATTERS AND</w:t>
            </w:r>
          </w:p>
        </w:tc>
        <w:tc>
          <w:tcPr>
            <w:tcW w:w="3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ISSUER PURCHASES OF EQUITY SECURITIES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60</w:t>
            </w:r>
          </w:p>
        </w:tc>
      </w:tr>
      <w:tr>
        <w:trPr>
          <w:trHeight w:val="183"/>
        </w:trPr>
        <w:tc>
          <w:tcPr>
            <w:tcW w:w="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5"/>
              </w:rPr>
              <w:t>ITEM 6.</w:t>
            </w:r>
          </w:p>
        </w:tc>
        <w:tc>
          <w:tcPr>
            <w:tcW w:w="24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3540" w:type="dxa"/>
            <w:vAlign w:val="bottom"/>
            <w:tcBorders>
              <w:top w:val="single" w:sz="8" w:color="0000EE"/>
            </w:tcBorders>
            <w:gridSpan w:val="16"/>
          </w:tcPr>
          <w:p>
            <w:pPr>
              <w:spacing w:after="0" w:line="184" w:lineRule="exact"/>
              <w:rPr>
                <w:sz w:val="20"/>
                <w:szCs w:val="20"/>
                <w:color w:val="auto"/>
              </w:rPr>
            </w:pPr>
            <w:r>
              <w:rPr>
                <w:rFonts w:ascii="Times New Roman" w:cs="Times New Roman" w:eastAsia="Times New Roman" w:hAnsi="Times New Roman"/>
                <w:sz w:val="17"/>
                <w:szCs w:val="17"/>
                <w:color w:val="0000EE"/>
              </w:rPr>
              <w:t>[RESERVED]</w:t>
            </w:r>
          </w:p>
        </w:tc>
        <w:tc>
          <w:tcPr>
            <w:tcW w:w="4000" w:type="dxa"/>
            <w:vAlign w:val="bottom"/>
            <w:gridSpan w:val="16"/>
          </w:tcPr>
          <w:p>
            <w:pPr>
              <w:spacing w:after="0"/>
              <w:rPr>
                <w:sz w:val="15"/>
                <w:szCs w:val="15"/>
                <w:color w:val="auto"/>
              </w:rPr>
            </w:pP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60</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5"/>
              </w:rPr>
              <w:t>ITEM 7.</w:t>
            </w:r>
          </w:p>
        </w:tc>
        <w:tc>
          <w:tcPr>
            <w:tcW w:w="24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w:t>
            </w:r>
          </w:p>
        </w:tc>
        <w:tc>
          <w:tcPr>
            <w:tcW w:w="360" w:type="dxa"/>
            <w:vAlign w:val="bottom"/>
          </w:tcPr>
          <w:p>
            <w:pPr>
              <w:spacing w:after="0"/>
              <w:rPr>
                <w:sz w:val="15"/>
                <w:szCs w:val="15"/>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OPERATIONS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61</w:t>
            </w:r>
          </w:p>
        </w:tc>
      </w:tr>
      <w:tr>
        <w:trPr>
          <w:trHeight w:val="20"/>
        </w:trPr>
        <w:tc>
          <w:tcPr>
            <w:tcW w:w="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74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0000EE"/>
              </w:rPr>
              <w:t>ITEM 7A.</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70</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5"/>
              </w:rPr>
              <w:t>ITEM 8.</w:t>
            </w: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70</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5"/>
              </w:rPr>
              <w:t>ITEM 9.</w:t>
            </w:r>
          </w:p>
        </w:tc>
        <w:tc>
          <w:tcPr>
            <w:tcW w:w="24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w:t>
            </w:r>
          </w:p>
        </w:tc>
        <w:tc>
          <w:tcPr>
            <w:tcW w:w="360" w:type="dxa"/>
            <w:vAlign w:val="bottom"/>
          </w:tcPr>
          <w:p>
            <w:pPr>
              <w:spacing w:after="0"/>
              <w:rPr>
                <w:sz w:val="15"/>
                <w:szCs w:val="15"/>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FINANCIAL DISCLOSURE</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70</w:t>
            </w:r>
          </w:p>
        </w:tc>
      </w:tr>
      <w:tr>
        <w:trPr>
          <w:trHeight w:val="20"/>
        </w:trPr>
        <w:tc>
          <w:tcPr>
            <w:tcW w:w="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74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0000EE"/>
              </w:rPr>
              <w:t>ITEM 9A.</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CONTROLS AND PROCEDURES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70</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88"/>
              </w:rPr>
              <w:t>ITEM 9B.</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OTHER INFORMATION</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71</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88"/>
              </w:rPr>
              <w:t>ITEM 9C.</w:t>
            </w: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71</w:t>
            </w:r>
          </w:p>
        </w:tc>
      </w:tr>
      <w:tr>
        <w:trPr>
          <w:trHeight w:val="387"/>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80" w:type="dxa"/>
            <w:vAlign w:val="bottom"/>
            <w:tcBorders>
              <w:top w:val="single" w:sz="8" w:color="0000EE"/>
              <w:bottom w:val="single" w:sz="8" w:color="0000EE"/>
            </w:tcBorders>
            <w:gridSpan w:val="8"/>
          </w:tcPr>
          <w:p>
            <w:pPr>
              <w:jc w:val="center"/>
              <w:spacing w:after="0"/>
              <w:rPr>
                <w:sz w:val="20"/>
                <w:szCs w:val="20"/>
                <w:color w:val="auto"/>
              </w:rPr>
            </w:pPr>
            <w:r>
              <w:rPr>
                <w:rFonts w:ascii="Times New Roman" w:cs="Times New Roman" w:eastAsia="Times New Roman" w:hAnsi="Times New Roman"/>
                <w:sz w:val="17"/>
                <w:szCs w:val="17"/>
                <w:b w:val="1"/>
                <w:bCs w:val="1"/>
                <w:color w:val="0000EE"/>
                <w:w w:val="96"/>
              </w:rPr>
              <w:t>PART III</w:t>
            </w:r>
          </w:p>
        </w:tc>
        <w:tc>
          <w:tcPr>
            <w:tcW w:w="2520" w:type="dxa"/>
            <w:vAlign w:val="bottom"/>
            <w:tcBorders>
              <w:top w:val="single" w:sz="8" w:color="0000EE"/>
            </w:tcBorders>
            <w:gridSpan w:val="6"/>
          </w:tcPr>
          <w:p>
            <w:pPr>
              <w:spacing w:after="0"/>
              <w:rPr>
                <w:sz w:val="24"/>
                <w:szCs w:val="24"/>
                <w:color w:val="auto"/>
              </w:rPr>
            </w:pPr>
          </w:p>
        </w:tc>
        <w:tc>
          <w:tcPr>
            <w:tcW w:w="98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387"/>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2"/>
              </w:rPr>
              <w:t>ITEM 10.</w:t>
            </w:r>
          </w:p>
        </w:tc>
        <w:tc>
          <w:tcPr>
            <w:tcW w:w="1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92"/>
              </w:rPr>
              <w:t>ITEM 11.</w:t>
            </w: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EXECUTIVE COMPENSATION</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72</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92"/>
              </w:rPr>
              <w:t>ITEM 12.</w:t>
            </w: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w:t>
            </w:r>
          </w:p>
        </w:tc>
        <w:tc>
          <w:tcPr>
            <w:tcW w:w="360" w:type="dxa"/>
            <w:vAlign w:val="bottom"/>
          </w:tcPr>
          <w:p>
            <w:pPr>
              <w:spacing w:after="0"/>
              <w:rPr>
                <w:sz w:val="15"/>
                <w:szCs w:val="15"/>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0000EE"/>
            </w:tcBorders>
            <w:gridSpan w:val="12"/>
          </w:tcPr>
          <w:p>
            <w:pPr>
              <w:spacing w:after="0" w:line="184" w:lineRule="exact"/>
              <w:rPr>
                <w:sz w:val="20"/>
                <w:szCs w:val="20"/>
                <w:color w:val="auto"/>
              </w:rPr>
            </w:pPr>
            <w:r>
              <w:rPr>
                <w:rFonts w:ascii="Times New Roman" w:cs="Times New Roman" w:eastAsia="Times New Roman" w:hAnsi="Times New Roman"/>
                <w:sz w:val="17"/>
                <w:szCs w:val="17"/>
                <w:color w:val="0000EE"/>
                <w:w w:val="97"/>
              </w:rPr>
              <w:t>RELATED STOCKHOLDER MATTERS</w:t>
            </w:r>
          </w:p>
        </w:tc>
        <w:tc>
          <w:tcPr>
            <w:tcW w:w="4680" w:type="dxa"/>
            <w:vAlign w:val="bottom"/>
            <w:gridSpan w:val="20"/>
          </w:tcPr>
          <w:p>
            <w:pPr>
              <w:spacing w:after="0"/>
              <w:rPr>
                <w:sz w:val="15"/>
                <w:szCs w:val="15"/>
                <w:color w:val="auto"/>
              </w:rPr>
            </w:pP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72</w:t>
            </w: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92"/>
              </w:rPr>
              <w:t>ITEM 13.</w:t>
            </w: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72</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92"/>
              </w:rPr>
              <w:t>ITEM 14.</w:t>
            </w: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PRINCIPAL ACCOUNTING FEES AND SERVICES</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72</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8"/>
          </w:tcPr>
          <w:p>
            <w:pPr>
              <w:jc w:val="center"/>
              <w:ind w:right="3520"/>
              <w:spacing w:after="0"/>
              <w:rPr>
                <w:sz w:val="20"/>
                <w:szCs w:val="20"/>
                <w:color w:val="auto"/>
              </w:rPr>
            </w:pPr>
            <w:r>
              <w:rPr>
                <w:rFonts w:ascii="Times New Roman" w:cs="Times New Roman" w:eastAsia="Times New Roman" w:hAnsi="Times New Roman"/>
                <w:sz w:val="17"/>
                <w:szCs w:val="17"/>
                <w:b w:val="1"/>
                <w:bCs w:val="1"/>
                <w:color w:val="0000EE"/>
                <w:w w:val="92"/>
              </w:rPr>
              <w:t>PART IV</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
        </w:trPr>
        <w:tc>
          <w:tcPr>
            <w:tcW w:w="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7"/>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2"/>
              </w:rPr>
              <w:t>ITEM 15.</w:t>
            </w:r>
          </w:p>
        </w:tc>
        <w:tc>
          <w:tcPr>
            <w:tcW w:w="1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EXHIBITS AND FINANCIAL STATEMENT SCHEDULES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400" w:type="dxa"/>
            <w:vAlign w:val="bottom"/>
            <w:gridSpan w:val="15"/>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92"/>
              </w:rPr>
              <w:t>ITEM 16.</w:t>
            </w:r>
          </w:p>
        </w:tc>
        <w:tc>
          <w:tcPr>
            <w:tcW w:w="1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FORM 10-K SUMMARY</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76</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4"/>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5760" w:type="dxa"/>
            <w:vAlign w:val="bottom"/>
            <w:gridSpan w:val="2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7"/>
        </w:trPr>
        <w:tc>
          <w:tcPr>
            <w:tcW w:w="1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4"/>
              </w:rPr>
              <w:t>SIGNATURES</w:t>
            </w:r>
          </w:p>
        </w:tc>
        <w:tc>
          <w:tcPr>
            <w:tcW w:w="7500" w:type="dxa"/>
            <w:vAlign w:val="bottom"/>
            <w:gridSpan w:val="31"/>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7"/>
          <w:szCs w:val="17"/>
          <w:color w:val="auto"/>
        </w:rPr>
        <w:t>In this Annual Report on Form 10-K, (“Form 10-K”) unless otherwise specified, references to “we,” “us,” “our,” “Helius” or “the Company” mean Helius Medical Technologies, Inc. and its wholly owned subsidiaries, Helius Medical, Inc. (“HMI”), Helius Medical Technologies (Canada), Inc. (“HMC”) and Revelation Neuro, Inc. (“Revelation Neuro”) unless the context otherwise requires. Our financial statements are prepared in accordance with accounting principles generally accepted in the United States (“U.S. GAAP”).</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5"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7"/>
          <w:szCs w:val="17"/>
          <w:color w:val="auto"/>
        </w:rPr>
        <w:t>This Annual Report on Form 10-K includes certain statements that may constitute “forward-looking statements.” All statements contained in this Form 10-K, other than statements of historical facts, that address events or developments that the Company expects to occur, are forward-looking statements. These statements are based on management’s expectations at the time the statements are made and are subject to risks, uncertainty, and changes in circumstances, which may cause actual results, performance, financial condition or achievements to differ materially from anticipated results, performance, financial condition or achievements. All statements contained herein that are not clearly historical in nature are forward-looking and the words “anticipate,” “believe,” “calls for,” “could” “depends,” “estimate,” “expect,” “extrapolate,” “foresee,” “goal,” “intend,” “likely,” “might,” “plan,” “project,” “propose,” “potential,” “target,” “think,” and similar expressions, or that events or conditions “may,” “should occur” “will,” “would,” or any similar expressions are generally intended to identify forward-looking statements.</w:t>
      </w:r>
    </w:p>
    <w:p>
      <w:pPr>
        <w:spacing w:after="0" w:line="178"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The forward-looking statements in this Form 10-K include but are not limited to statements relating to: the Company’s future growth and operational progress, including manufacturing activities for the PoNS device, receipt of prescriptions and progress of commercialization of the PoNS device in the U.S., our ability to receive adequate reimbursement coverage under Medicare, Medicaid or under other insurance plans, clinical development plans, product development activities, plans for U.S. Food and Drug Administration, or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our accountants’ future perspective including any going concerns, any future stock price, and our ability to build commercial infrastructure.</w:t>
      </w:r>
    </w:p>
    <w:p>
      <w:pPr>
        <w:spacing w:after="0" w:line="178" w:lineRule="exact"/>
        <w:rPr>
          <w:sz w:val="20"/>
          <w:szCs w:val="20"/>
          <w:color w:val="auto"/>
        </w:rPr>
      </w:pPr>
    </w:p>
    <w:p>
      <w:pPr>
        <w:ind w:left="40" w:right="139"/>
        <w:spacing w:after="0" w:line="252" w:lineRule="auto"/>
        <w:rPr>
          <w:sz w:val="20"/>
          <w:szCs w:val="20"/>
          <w:color w:val="auto"/>
        </w:rPr>
      </w:pPr>
      <w:r>
        <w:rPr>
          <w:rFonts w:ascii="Times New Roman" w:cs="Times New Roman" w:eastAsia="Times New Roman" w:hAnsi="Times New Roman"/>
          <w:sz w:val="17"/>
          <w:szCs w:val="17"/>
          <w:color w:val="auto"/>
        </w:rPr>
        <w:t>Such forward-looking statements are necessarily based upon a number of estimates and assumptions that, while considered reasonable by Helius, are inherently subject to significant business, economic, competitive political and social uncertainties and contingencies. The factors and assumptions used by management of the Company to develop such forward-looking statements include, but are not limited to, uncertainties associated with the Company’s capital requirements to achieve its business objectives, availability of funds, the ability to find additional sources of funding, manufacturing, labor shortage and supply chain risks, including risks related to manufacturing delays, the Company’s ability to obtain national Medicare insurance coverage and to obtain a reimbursement code, the Company’s ability to continue to build internal commercial infrastructure, secure state distribution licenses, market awareness of the PoNS device, future clinical trials and the clinical development process, the product development process and FDA regulatory submission review and approval process, other development activities, ongoing government regulation and other factors included in the section entitled “Risk Factors.”</w:t>
      </w:r>
    </w:p>
    <w:p>
      <w:pPr>
        <w:spacing w:after="0" w:line="184" w:lineRule="exact"/>
        <w:rPr>
          <w:sz w:val="20"/>
          <w:szCs w:val="20"/>
          <w:color w:val="auto"/>
        </w:rPr>
      </w:pPr>
    </w:p>
    <w:p>
      <w:pPr>
        <w:ind w:left="40" w:right="339"/>
        <w:spacing w:after="0" w:line="259" w:lineRule="auto"/>
        <w:rPr>
          <w:sz w:val="20"/>
          <w:szCs w:val="20"/>
          <w:color w:val="auto"/>
        </w:rPr>
      </w:pPr>
      <w:r>
        <w:rPr>
          <w:rFonts w:ascii="Times New Roman" w:cs="Times New Roman" w:eastAsia="Times New Roman" w:hAnsi="Times New Roman"/>
          <w:sz w:val="17"/>
          <w:szCs w:val="17"/>
          <w:color w:val="auto"/>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spacing w:after="0" w:line="173"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You should refer to the “Risk Factors” section of this Form 10-K for a discussion of important factors that may cause our actual results to differ materially from those expressed or implied by our forward-looking statements. As a result of these factors, we cannot assure you that the forward-looking statements in this Form 10-K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These forward-looking statements speak only as of the date of this Form 10-K.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Securities and Exchange Commission (the “SEC”) after the date of this Form 10-K.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15" w:lineRule="exact"/>
        <w:rPr>
          <w:sz w:val="20"/>
          <w:szCs w:val="20"/>
          <w:color w:val="auto"/>
        </w:rPr>
      </w:pPr>
    </w:p>
    <w:p>
      <w:pPr>
        <w:ind w:left="40" w:right="379"/>
        <w:spacing w:after="0" w:line="278" w:lineRule="auto"/>
        <w:rPr>
          <w:sz w:val="20"/>
          <w:szCs w:val="20"/>
          <w:color w:val="auto"/>
        </w:rPr>
      </w:pPr>
      <w:r>
        <w:rPr>
          <w:rFonts w:ascii="Times New Roman" w:cs="Times New Roman" w:eastAsia="Times New Roman" w:hAnsi="Times New Roman"/>
          <w:sz w:val="17"/>
          <w:szCs w:val="17"/>
          <w:color w:val="auto"/>
        </w:rPr>
        <w:t>Our business is subject to a number of risks, as fully described in “Item 1A. Risk Factors” in this Annual Report. The principal factors and uncertainties include, among others:</w:t>
      </w:r>
    </w:p>
    <w:p>
      <w:pPr>
        <w:spacing w:after="0" w:line="157" w:lineRule="exact"/>
        <w:rPr>
          <w:sz w:val="20"/>
          <w:szCs w:val="20"/>
          <w:color w:val="auto"/>
        </w:rPr>
      </w:pPr>
    </w:p>
    <w:p>
      <w:pPr>
        <w:ind w:left="680" w:hanging="304"/>
        <w:spacing w:after="0"/>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losses and may not achieve or sustain profitability in the future;</w:t>
      </w:r>
    </w:p>
    <w:p>
      <w:pPr>
        <w:spacing w:after="0" w:line="58" w:lineRule="exact"/>
        <w:rPr>
          <w:rFonts w:ascii="Times New Roman" w:cs="Times New Roman" w:eastAsia="Times New Roman" w:hAnsi="Times New Roman"/>
          <w:sz w:val="17"/>
          <w:szCs w:val="17"/>
          <w:color w:val="auto"/>
        </w:rPr>
      </w:pPr>
    </w:p>
    <w:p>
      <w:pPr>
        <w:ind w:left="680" w:right="39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delisted from The Nasdaq Capital Market, which could seriously harm the liquidity of our stock and our ability to raise capital or complete a strategic transaction;</w:t>
      </w:r>
    </w:p>
    <w:p>
      <w:pPr>
        <w:spacing w:after="0" w:line="4" w:lineRule="exact"/>
        <w:rPr>
          <w:rFonts w:ascii="Times New Roman" w:cs="Times New Roman" w:eastAsia="Times New Roman" w:hAnsi="Times New Roman"/>
          <w:sz w:val="17"/>
          <w:szCs w:val="17"/>
          <w:color w:val="auto"/>
        </w:rPr>
      </w:pPr>
    </w:p>
    <w:p>
      <w:pPr>
        <w:ind w:left="680" w:right="29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additional financing to carry out our plan of operations, and failure to obtain such financing may cause our business to fail;</w:t>
      </w:r>
    </w:p>
    <w:p>
      <w:pPr>
        <w:spacing w:after="0" w:line="4" w:lineRule="exact"/>
        <w:rPr>
          <w:rFonts w:ascii="Times New Roman" w:cs="Times New Roman" w:eastAsia="Times New Roman" w:hAnsi="Times New Roman"/>
          <w:sz w:val="17"/>
          <w:szCs w:val="17"/>
          <w:color w:val="auto"/>
        </w:rPr>
      </w:pPr>
    </w:p>
    <w:p>
      <w:pPr>
        <w:ind w:left="680" w:right="119" w:hanging="304"/>
        <w:spacing w:after="0" w:line="259"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macroeconomic conditions remain volatile and uncertain due in part to geopolitical conflicts, banking and financial markets disruptions, supply chain disruptions, labor shortages, increased inflation, high interest rates and various trade restrictions, and any adverse impacts of such conditions could significantly harm our business or negatively affect our ability to obtain financing;</w:t>
      </w:r>
    </w:p>
    <w:p>
      <w:pPr>
        <w:spacing w:after="0" w:line="20" w:lineRule="exact"/>
        <w:rPr>
          <w:rFonts w:ascii="Times New Roman" w:cs="Times New Roman" w:eastAsia="Times New Roman" w:hAnsi="Times New Roman"/>
          <w:sz w:val="17"/>
          <w:szCs w:val="17"/>
          <w:color w:val="auto"/>
        </w:rPr>
      </w:pPr>
    </w:p>
    <w:p>
      <w:pPr>
        <w:ind w:left="680" w:right="279" w:hanging="304"/>
        <w:spacing w:after="0" w:line="259"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only have one product, the PoNS device, which is authorized for commercial distribution in Canada, Australia, and in the U.S. for treatment of MS, and we have not obtained authorization and/or certification to distribute the PoNS device commercially in Europe or in the U.S. for other indications and may never obtain such authorizations and/or certifications;</w:t>
      </w:r>
    </w:p>
    <w:p>
      <w:pPr>
        <w:spacing w:after="0" w:line="11" w:lineRule="exact"/>
        <w:rPr>
          <w:rFonts w:ascii="Times New Roman" w:cs="Times New Roman" w:eastAsia="Times New Roman" w:hAnsi="Times New Roman"/>
          <w:sz w:val="17"/>
          <w:szCs w:val="17"/>
          <w:color w:val="auto"/>
        </w:rPr>
      </w:pPr>
    </w:p>
    <w:p>
      <w:pPr>
        <w:ind w:left="680" w:right="539" w:hanging="304"/>
        <w:spacing w:after="0" w:line="225" w:lineRule="auto"/>
        <w:tabs>
          <w:tab w:leader="none" w:pos="6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Generation of revenue related to the PoNS technology is dependent on the PoNS Therapy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being prescribed by physicians in the U.S. and our ability to train physical therapists in the supervision of the use of the PoNS Therapy;</w:t>
      </w:r>
    </w:p>
    <w:p>
      <w:pPr>
        <w:spacing w:after="0" w:line="35" w:lineRule="exact"/>
        <w:rPr>
          <w:rFonts w:ascii="Times New Roman" w:cs="Times New Roman" w:eastAsia="Times New Roman" w:hAnsi="Times New Roman"/>
          <w:sz w:val="16"/>
          <w:szCs w:val="16"/>
          <w:color w:val="auto"/>
        </w:rPr>
      </w:pPr>
    </w:p>
    <w:p>
      <w:pPr>
        <w:ind w:left="680" w:hanging="304"/>
        <w:spacing w:after="0"/>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awareness of the PoNS device is limited, and the neuromodulation market is new and uncertain;</w:t>
      </w:r>
    </w:p>
    <w:p>
      <w:pPr>
        <w:spacing w:after="0" w:line="58" w:lineRule="exact"/>
        <w:rPr>
          <w:rFonts w:ascii="Times New Roman" w:cs="Times New Roman" w:eastAsia="Times New Roman" w:hAnsi="Times New Roman"/>
          <w:sz w:val="17"/>
          <w:szCs w:val="17"/>
          <w:color w:val="auto"/>
        </w:rPr>
      </w:pPr>
    </w:p>
    <w:p>
      <w:pPr>
        <w:ind w:left="680" w:right="439" w:hanging="304"/>
        <w:spacing w:after="0" w:line="263"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is currently made available to authorized users of the Department of Veterans Affairs Federal Supply Schedule and if we were no longer eligible to sell our products through such channel, our business may be adversely affected;</w:t>
      </w:r>
    </w:p>
    <w:p>
      <w:pPr>
        <w:spacing w:after="0" w:line="18" w:lineRule="exact"/>
        <w:rPr>
          <w:rFonts w:ascii="Times New Roman" w:cs="Times New Roman" w:eastAsia="Times New Roman" w:hAnsi="Times New Roman"/>
          <w:sz w:val="17"/>
          <w:szCs w:val="17"/>
          <w:color w:val="auto"/>
        </w:rPr>
      </w:pPr>
    </w:p>
    <w:p>
      <w:pPr>
        <w:ind w:left="680" w:right="31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third-party scientists and research institutions, in part, for research and development and on third parties for the manufacture and distribution of our product;</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gain access to our technology if our intellectual property protection is insufficient;</w:t>
      </w:r>
    </w:p>
    <w:p>
      <w:pPr>
        <w:spacing w:after="0" w:line="58" w:lineRule="exact"/>
        <w:rPr>
          <w:rFonts w:ascii="Times New Roman" w:cs="Times New Roman" w:eastAsia="Times New Roman" w:hAnsi="Times New Roman"/>
          <w:sz w:val="17"/>
          <w:szCs w:val="17"/>
          <w:color w:val="auto"/>
        </w:rPr>
      </w:pPr>
    </w:p>
    <w:p>
      <w:pPr>
        <w:ind w:left="680" w:right="39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various litigation claims and legal proceedings, including intellectual property litigation, which may adversely affect our business;</w:t>
      </w:r>
    </w:p>
    <w:p>
      <w:pPr>
        <w:spacing w:after="0" w:line="4" w:lineRule="exact"/>
        <w:rPr>
          <w:rFonts w:ascii="Times New Roman" w:cs="Times New Roman" w:eastAsia="Times New Roman" w:hAnsi="Times New Roman"/>
          <w:sz w:val="17"/>
          <w:szCs w:val="17"/>
          <w:color w:val="auto"/>
        </w:rPr>
      </w:pPr>
    </w:p>
    <w:p>
      <w:pPr>
        <w:ind w:left="680" w:right="199" w:hanging="304"/>
        <w:spacing w:after="0" w:line="287" w:lineRule="auto"/>
        <w:tabs>
          <w:tab w:leader="none" w:pos="6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Commercialization of our product outside of Canada, Australia, and the U.S. for indications other than MS is dependent on obtaining market authorization and/or certification from the FDA and foreign regulatory authorities, which will require significant time, research, development, and clinical study expenditures and ultimately may not be successful;</w:t>
      </w:r>
    </w:p>
    <w:p>
      <w:pPr>
        <w:ind w:left="680" w:right="11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transition to the new presidential administration could hinder the FDA’s ability to perform normal business functions on which our business may rely, which could negatively impact our business;</w:t>
      </w:r>
    </w:p>
    <w:p>
      <w:pPr>
        <w:spacing w:after="0" w:line="4" w:lineRule="exact"/>
        <w:rPr>
          <w:rFonts w:ascii="Times New Roman" w:cs="Times New Roman" w:eastAsia="Times New Roman" w:hAnsi="Times New Roman"/>
          <w:sz w:val="17"/>
          <w:szCs w:val="17"/>
          <w:color w:val="auto"/>
        </w:rPr>
      </w:pPr>
    </w:p>
    <w:p>
      <w:pPr>
        <w:ind w:left="680" w:right="199" w:hanging="304"/>
        <w:spacing w:after="0" w:line="263"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received adequate reimbursement rates from CMS and failure to obtain adequate reimbursement rates from other third parties could have a negative impact on our intended sales and would have a material adverse effect on our business, financial condition and operating results;</w:t>
      </w:r>
    </w:p>
    <w:p>
      <w:pPr>
        <w:spacing w:after="0" w:line="18" w:lineRule="exact"/>
        <w:rPr>
          <w:rFonts w:ascii="Times New Roman" w:cs="Times New Roman" w:eastAsia="Times New Roman" w:hAnsi="Times New Roman"/>
          <w:sz w:val="17"/>
          <w:szCs w:val="17"/>
          <w:color w:val="auto"/>
        </w:rPr>
      </w:pPr>
    </w:p>
    <w:p>
      <w:pPr>
        <w:ind w:left="680" w:right="43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substantial delays in planned clinical trials, and planned clinical trials may fail to demonstrate the safety and efficacy of the PoNS device in new indications to the satisfaction of regulatory authorities;</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healthcare laws, we could face substantial penalties and financial exposure;</w:t>
      </w:r>
    </w:p>
    <w:p>
      <w:pPr>
        <w:spacing w:after="0" w:line="58" w:lineRule="exact"/>
        <w:rPr>
          <w:rFonts w:ascii="Times New Roman" w:cs="Times New Roman" w:eastAsia="Times New Roman" w:hAnsi="Times New Roman"/>
          <w:sz w:val="17"/>
          <w:szCs w:val="17"/>
          <w:color w:val="auto"/>
        </w:rPr>
      </w:pPr>
    </w:p>
    <w:p>
      <w:pPr>
        <w:ind w:left="680" w:right="47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ongoing government scrutiny and regulation in connection with the development of product candidates and following marketing authorization and/or certification;</w:t>
      </w:r>
    </w:p>
    <w:p>
      <w:pPr>
        <w:spacing w:after="0" w:line="4" w:lineRule="exact"/>
        <w:rPr>
          <w:rFonts w:ascii="Times New Roman" w:cs="Times New Roman" w:eastAsia="Times New Roman" w:hAnsi="Times New Roman"/>
          <w:sz w:val="17"/>
          <w:szCs w:val="17"/>
          <w:color w:val="auto"/>
        </w:rPr>
      </w:pPr>
    </w:p>
    <w:p>
      <w:pPr>
        <w:ind w:left="680" w:right="679" w:hanging="304"/>
        <w:spacing w:after="0" w:line="278"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commercialization, a product recall or the discovery of serious safety issues with our products could have a significant adverse impact on us;</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controls and security measures may not be successful in avoiding cybersecurity incidents;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right="359" w:hanging="304"/>
        <w:spacing w:after="0" w:line="263"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reliant on third-party, single-sourced contract manufacturing, exposing us to risks that could delay our sales or result in higher costs or lost product revenues including additional related risks resulting from the transition of our manufacturer;</w:t>
      </w:r>
    </w:p>
    <w:p>
      <w:pPr>
        <w:spacing w:after="0" w:line="1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is subject to various challenges that could cause its value to decrease; and</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various tax risks that could negatively affect our ability to conduct our business.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INDUSTRY AND MARKET DATA</w:t>
      </w:r>
    </w:p>
    <w:p>
      <w:pPr>
        <w:spacing w:after="0" w:line="215"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In this Form 10-K, we reference information, statistics and estimates regarding the medical devices and healthcare industries. We have obtained this information from various third-party sources, including industry and general publications, reports by market research firms and other sources. This information involves a number of assumptions and limitations, and we have not independently verified the accuracy or completeness of this information. Some data and other information are also based on the good faith estimates of management, which are derived from our research, review of internal surveys, general information discussed in the industry, and third-party sources. We believe that these external sources and estimates are reliable but have not independently verified them. The industries in which we operate are subject to a high degree of uncertainty, change, and risk due to a variety of factors, including those described in “Item 1A. Risk Factors.” These and other factors could cause results to differ materially from those expressed in this Form 10-K and other publications.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1"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5" w:lineRule="exact"/>
        <w:rPr>
          <w:sz w:val="20"/>
          <w:szCs w:val="20"/>
          <w:color w:val="auto"/>
        </w:rPr>
      </w:pPr>
    </w:p>
    <w:p>
      <w:pPr>
        <w:ind w:left="40" w:right="779"/>
        <w:spacing w:after="0" w:line="278" w:lineRule="auto"/>
        <w:rPr>
          <w:sz w:val="20"/>
          <w:szCs w:val="20"/>
          <w:color w:val="auto"/>
        </w:rPr>
      </w:pPr>
      <w:r>
        <w:rPr>
          <w:rFonts w:ascii="Times New Roman" w:cs="Times New Roman" w:eastAsia="Times New Roman" w:hAnsi="Times New Roman"/>
          <w:sz w:val="17"/>
          <w:szCs w:val="17"/>
          <w:color w:val="auto"/>
        </w:rPr>
        <w:t>We are a neurotechnology company focused on neurological wellness. Our purpose is to develop, license or acquire non-implantable technologies targeted at reducing symptoms of neurological disease or trauma.</w:t>
      </w:r>
    </w:p>
    <w:p>
      <w:pPr>
        <w:spacing w:after="0" w:line="157"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6"/>
          <w:szCs w:val="16"/>
          <w:color w:val="auto"/>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in the U.S.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or mmTBI, and is to be used in conjunction with physical therapy; (ii) as a short term treatment (14 weeks) of gait deficit due to mild and moderate symptoms from MS and it is to be used in conjunction with physical therapy; and (iii) for use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PoNS Device</w:t>
      </w:r>
    </w:p>
    <w:p>
      <w:pPr>
        <w:spacing w:after="0" w:line="215" w:lineRule="exact"/>
        <w:rPr>
          <w:sz w:val="20"/>
          <w:szCs w:val="20"/>
          <w:color w:val="auto"/>
        </w:rPr>
      </w:pPr>
    </w:p>
    <w:p>
      <w:pPr>
        <w:ind w:left="40" w:right="119"/>
        <w:spacing w:after="0" w:line="251" w:lineRule="auto"/>
        <w:rPr>
          <w:sz w:val="20"/>
          <w:szCs w:val="20"/>
          <w:color w:val="auto"/>
        </w:rPr>
      </w:pPr>
      <w:r>
        <w:rPr>
          <w:rFonts w:ascii="Times New Roman" w:cs="Times New Roman" w:eastAsia="Times New Roman" w:hAnsi="Times New Roman"/>
          <w:sz w:val="17"/>
          <w:szCs w:val="17"/>
          <w:color w:val="auto"/>
        </w:rPr>
        <w:t>The PoNS device is a non-implantable medical device comprised of a controller and a mouthpiece that are connected by a cord. The controller is worn around the neck and the mouthpiece sits on the tongue during treatment. PoNS Therapy utilizes the PoNS device in conjunction with supervised therapeutic exercise. The PoNS Therapy consists of condition specific exercises for movement control, including balance and gait training and breathing and awareness training, which are tailored to focus on the individual patient’s functional deficits. The PoNS Therapy is completed over a period of 14 weeks. During the first 2 weeks, the PoNS Therapy is mostly administered in a rehabilitation or physical therapy clinic by a PoNS trained therapist and, to a lesser extent, performed at home. The remaining 12 weeks are completed at home with weekly clinic visits to monitor rehabilitation progress, assess improvements and ensure the therapy intensity remains appropriate. When the device is on, the 143 gold-plated electrodes on the mouthpiece send mild electrical signals to the tongue. These impulses stimulate sensory nerves in the tongue that have direct pathways to the brain, through the brain stem. The combination of mild stimulation with supervised therapeutic exercise promotes neuromodulation and likely trigger neuroplastic effects, which potentially lead to functional improvements in balance and gait. During each clinic visit and at the end of the 14-week therapy, the clinic downloads and reviews the PoNS usage data from the device. This usage data in combination with details of completed treatment assessments gives the clinician and the patient a unique and powerful method to assess treatment progress. The patient initiates their PoNS Therapy sessions with the PoNS device initially under the supervision of the clinicians, then through regular check-ins.</w:t>
      </w:r>
    </w:p>
    <w:p>
      <w:pPr>
        <w:spacing w:after="0" w:line="186"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7"/>
          <w:szCs w:val="17"/>
          <w:color w:val="auto"/>
        </w:rPr>
        <w:t>Clinical research has shown that translingual neurostimulation activates two major cranial nerves – the trigeminal nerve, and the facial nerve, which creates a flow of neural impulses that are delivered directly into the brain stem and cerebellum – the main control centers for multiple functions including sensory perception and movement. From the brain stem, these impulses travel throughout the brain and may activate or reactivate signaling pathways involved in human function. Researchers believe that supervised therapeutic exercise with neurostimulation can modulate neural activity and initiate adaptive changes in the brain that lead to restructuring and reorganization (neuroplasticity) processes in specific areas of the brain.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Design</w:t>
      </w:r>
    </w:p>
    <w:p>
      <w:pPr>
        <w:spacing w:after="0" w:line="215"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7"/>
          <w:szCs w:val="17"/>
          <w:color w:val="auto"/>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118745</wp:posOffset>
            </wp:positionV>
            <wp:extent cx="1412240" cy="1412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2240" cy="141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Figure 1</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Portable Neuromodulation Stimulator, PoNS device</w:t>
      </w:r>
    </w:p>
    <w:p>
      <w:pPr>
        <w:spacing w:after="0" w:line="195" w:lineRule="exact"/>
        <w:rPr>
          <w:sz w:val="20"/>
          <w:szCs w:val="20"/>
          <w:color w:val="auto"/>
        </w:rPr>
      </w:pPr>
    </w:p>
    <w:p>
      <w:pPr>
        <w:ind w:left="40" w:right="459"/>
        <w:spacing w:after="0" w:line="278" w:lineRule="auto"/>
        <w:rPr>
          <w:sz w:val="20"/>
          <w:szCs w:val="20"/>
          <w:color w:val="auto"/>
        </w:rPr>
      </w:pPr>
      <w:r>
        <w:rPr>
          <w:rFonts w:ascii="Times New Roman" w:cs="Times New Roman" w:eastAsia="Times New Roman" w:hAnsi="Times New Roman"/>
          <w:sz w:val="17"/>
          <w:szCs w:val="17"/>
          <w:color w:val="auto"/>
        </w:rPr>
        <w:t>The mouthpiece of the PoNS device sits on the front third of the tongue and is held in place by the lips and closed mouth. See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109855</wp:posOffset>
            </wp:positionV>
            <wp:extent cx="2976880" cy="2162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6880" cy="216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Figure 2</w:t>
      </w:r>
    </w:p>
    <w:p>
      <w:pPr>
        <w:spacing w:after="0" w:line="211"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Overview of MS and Current Available Treatments</w:t>
      </w:r>
    </w:p>
    <w:p>
      <w:pPr>
        <w:spacing w:after="0" w:line="215" w:lineRule="exact"/>
        <w:rPr>
          <w:sz w:val="20"/>
          <w:szCs w:val="20"/>
          <w:color w:val="auto"/>
        </w:rPr>
      </w:pPr>
    </w:p>
    <w:p>
      <w:pPr>
        <w:ind w:left="40" w:right="239"/>
        <w:spacing w:after="0" w:line="253" w:lineRule="auto"/>
        <w:rPr>
          <w:sz w:val="20"/>
          <w:szCs w:val="20"/>
          <w:color w:val="auto"/>
        </w:rPr>
      </w:pPr>
      <w:r>
        <w:rPr>
          <w:rFonts w:ascii="Times New Roman" w:cs="Times New Roman" w:eastAsia="Times New Roman" w:hAnsi="Times New Roman"/>
          <w:sz w:val="17"/>
          <w:szCs w:val="17"/>
          <w:color w:val="auto"/>
        </w:rPr>
        <w:t>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 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spacing w:after="0" w:line="181"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Findings from a 2019 National MS Society study (Wallin et al, 2019) estimate that nearly 1 million people in the U.S. are living with MS of which approximately 25-30% are on Medicare. The National MS Society estimates that 2.9 million people live with MS globally. The U.S. and Canada have the highest rates of MS, with 337.9 to 362.6 cases per 100,000 in the U.S. In Canada, 93,000 people are living with MS with 290 cases per 100,000 in Canada (Statistics Canada, Gilmour et al, 2018). Given the nature of this neurodegenerative disease, these individuals and their caretakers are active in exploring treatment options that may resolve or delay the progression of symptoms. There is also a well-established advocacy framework.</w:t>
      </w:r>
    </w:p>
    <w:p>
      <w:pPr>
        <w:spacing w:after="0" w:line="177"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7"/>
          <w:szCs w:val="17"/>
          <w:color w:val="auto"/>
        </w:rPr>
        <w:t>Mobility disability and walking impairment are among the most debilitating consequences of MS with approximately 72% of individuals diagnosed with MS reporting gait impairment as a major limitation in their daily lives (Williams et al, 2014). Gait is one of the most important bodily functions for MS patients and gait parameters, such as walking speed and stride length, have been shown to be significant predictors of patient’s independence in daily activities. A survey of 436 patients found that 45% reported a mobility disability in the first month following diagnosis, with upwards of 90% of patients reporting a mobility disability within 10 years of their diagnosis (Baird et al, 2019). Additionally, 50-80% of MS patients suffer from balance and gait dysfunction (Cameron et al, 2018) and over 56% fall at least once within a three-month period (Carlin et al, 2018). It has also been reported that unemployment rates in MS patients range from 24-80% with higher rates associated with decreased ambulation and mobility (Julian et al, 2008). The Centers for Disease Control, or CDC, reports that individuals with disabilities, like MS, that result in limited mobility are at greater risk for health problems including injury, mental health and depression, overweight and obesity, pain, pressure sores or ulcers and other issues.</w:t>
      </w:r>
    </w:p>
    <w:p>
      <w:pPr>
        <w:spacing w:after="0" w:line="182" w:lineRule="exact"/>
        <w:rPr>
          <w:sz w:val="20"/>
          <w:szCs w:val="20"/>
          <w:color w:val="auto"/>
        </w:rPr>
      </w:pPr>
    </w:p>
    <w:p>
      <w:pPr>
        <w:ind w:left="40" w:right="99"/>
        <w:spacing w:after="0" w:line="280" w:lineRule="auto"/>
        <w:rPr>
          <w:sz w:val="20"/>
          <w:szCs w:val="20"/>
          <w:color w:val="auto"/>
        </w:rPr>
      </w:pPr>
      <w:r>
        <w:rPr>
          <w:rFonts w:ascii="Times New Roman" w:cs="Times New Roman" w:eastAsia="Times New Roman" w:hAnsi="Times New Roman"/>
          <w:sz w:val="16"/>
          <w:szCs w:val="16"/>
          <w:color w:val="auto"/>
        </w:rPr>
        <w:t>A 2016 economic analysis of MS found the total lifetime costs per person with MS to be $4.1 million (Owens, 2016), with average yearly healthcare costs ranging from $57 thousand to $93 thousand based on the severity of the disease, and averaging $65 thousand more in yearly healthcare costs than that of someone without MS (Bebo et al, 2022). In 2019, the total economic burden attributed to MS in the U.S was $85.4 billion and the average annual cost of living with MS was $88 thousand (Bebo et al, 2022).</w:t>
      </w:r>
    </w:p>
    <w:p>
      <w:pPr>
        <w:spacing w:after="0" w:line="15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7"/>
          <w:szCs w:val="17"/>
          <w:color w:val="auto"/>
        </w:rPr>
        <w:t xml:space="preserve">Since the exact cause of MS is still unknown, there is no known prevention. Although there is no cure for MS yet, immunotherapy can provide disease-modifying effects, and other pharmacological and non-pharmacological treatments can manage symptoms. MS medications are designed to lessen the frequency of relapses and slow the progression of the disease, but none have been proven to halt progression of the disease. While there are several disease-modifying medications approved by the FDA to treat MS, only one drug approved by FDA and Heath Canada, Ampyra® (dalfampridine), which is indicated for the improvement </w:t>
      </w:r>
      <w:r>
        <w:rPr>
          <w:rFonts w:ascii="Times New Roman" w:cs="Times New Roman" w:eastAsia="Times New Roman" w:hAnsi="Times New Roman"/>
          <w:sz w:val="17"/>
          <w:szCs w:val="17"/>
          <w:color w:val="231F20"/>
        </w:rPr>
        <w:t>of gait speed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conjunction with physical therapy in patients with MS, offers the closest, albeit limited only to speed, comparison to PoNS Therapy on improvement in gait.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Overview of TBI and Current Available Treatments</w:t>
      </w:r>
    </w:p>
    <w:p>
      <w:pPr>
        <w:spacing w:after="0" w:line="215"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7"/>
          <w:szCs w:val="17"/>
          <w:color w:val="auto"/>
        </w:rPr>
        <w:t>There are an estimated 49.0 million people globally (Guan et al, 2023), with 5.3 million in the U.S. (Centers for Disease Control and Prevention, 2015) and 2% of Canadians estimated to be 760,000 (Brain Injury Canada, N.D.), living with a TBI-related disability. Every year there are 27.2 million newly diagnosed TBIs globally (Guan et al, 2023), of which 2.8 million (Taylor et al, 2017) and 165,000 (Brain Injury Canada, N.D.) occur in the U.S. and Canada, respectively. This condition often has a significant impact on one’s quality of life, negatively affecting independence, employability,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7"/>
          <w:szCs w:val="17"/>
          <w:color w:val="auto"/>
        </w:rPr>
        <w:t>productivity, mental health and participation in the community. Rehabilitation is often required following a TBI for resulting motor, cognitive and behavioral impairments. Approximately 80% of individuals who sustain a TBI report balance impairment (Dever et al, 2022). The current standard of care to address balance issues following a TBI is supervised therapeutic exercise. While supervised therapeutic exercise can help to promote balance recovery, individuals are often unable to return to their full function and are left living with a balance deficit.</w:t>
      </w:r>
    </w:p>
    <w:p>
      <w:pPr>
        <w:spacing w:after="0" w:line="177"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Prior to the development of the PoNS device, there were no cleared treatments that were clinically indicated to treat balance deficit. A few studies have suggested that supervised therapeutic exercise aimed at improving balance and gait may be mildly effective for rehabilitation in the mmTBI population.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supervised therapeutic exercise alone for the treatment of balance deficit following mmTBI. Consequently, we believe that there is a large potential commercial opportunity for the PoNS Therapy in the treatment of balance deficit due to mmTBI. Our goal is to establish the PoNS Therapy as the standard of care for this condition all over the world.</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Overview of Stroke and Current Available Treatments</w:t>
      </w:r>
    </w:p>
    <w:p>
      <w:pPr>
        <w:spacing w:after="0" w:line="215" w:lineRule="exact"/>
        <w:rPr>
          <w:sz w:val="20"/>
          <w:szCs w:val="20"/>
          <w:color w:val="auto"/>
        </w:rPr>
      </w:pPr>
    </w:p>
    <w:p>
      <w:pPr>
        <w:ind w:left="40" w:right="119"/>
        <w:spacing w:after="0" w:line="251" w:lineRule="auto"/>
        <w:rPr>
          <w:sz w:val="20"/>
          <w:szCs w:val="20"/>
          <w:color w:val="auto"/>
        </w:rPr>
      </w:pPr>
      <w:r>
        <w:rPr>
          <w:rFonts w:ascii="Times New Roman" w:cs="Times New Roman" w:eastAsia="Times New Roman" w:hAnsi="Times New Roman"/>
          <w:sz w:val="17"/>
          <w:szCs w:val="17"/>
          <w:color w:val="auto"/>
        </w:rPr>
        <w:t>According to the World Stroke Organization, there are more than 101 million people across the globe who have experienced a stroke, and over 12 million new strokes occur each year (Feigin et al, 2022). In the U.S., approximately 650,000 people survive a new stroke each year and an estimated 7 million Americans live with ongoing complications of stroke (Dobkin, 2013). The Canadian Chronic Disease Surveillance System states that stroke is the third leading cause of death in Canada and the tenth largest contributor to disability-adjusted life years (the number of years lost due to ill-health, disability or early death). About 878,000 Canadian adults aged 20+ have experienced a stroke (Heran et al, 2022) and with the population aging, more and more Canadians are at risk. This condition often has a significant impact on one’s functional ability, negatively affecting independence, employability, productivity, mental health and participation in the community. In addition, more than 80% of the survivors have gait impairment (Carmen, 2020). Rehabilitation is required following a stroke for resulting motor, cognitive and behavioral impairments. Most province public health systems in Canada offers stroke rehabilitation services along with private establishments. The potential for commercial opportunity for PoNS to support all these public and private establishments is wide. PoNS Therapy offers new opportunities for this type of service by enhancing physical rehabilitation and helping attain the desired goals.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PoNS Clinical Trials and Scientific Support in MS</w:t>
      </w:r>
    </w:p>
    <w:p>
      <w:pPr>
        <w:spacing w:after="0" w:line="215"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7"/>
          <w:szCs w:val="17"/>
          <w:color w:val="auto"/>
        </w:rPr>
        <w:t>There are two peer-reviewed published studies reporting on the results of clinical trials comparing active PoNS + PT vs a no frequency pulse sham device (placebo PoNS) + PT in subjects with mild and moderate MS: Tyler et al. Journal of Neuro Engineering and Rehabilitation 2014, 11:79 and Leonard et al. Multiple Sclerosis Journal Experimental, Translational and Clinical January-March 2017: 19 DOI: 10.1177/ 2055217317690561.</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Summary results of the Tyler study in 20 subjects with mild and moderate MS:</w:t>
      </w:r>
    </w:p>
    <w:p>
      <w:pPr>
        <w:spacing w:after="0" w:line="211" w:lineRule="exact"/>
        <w:rPr>
          <w:sz w:val="20"/>
          <w:szCs w:val="20"/>
          <w:color w:val="auto"/>
        </w:rPr>
      </w:pPr>
    </w:p>
    <w:p>
      <w:pPr>
        <w:ind w:left="680" w:right="179" w:hanging="304"/>
        <w:spacing w:after="0" w:line="259"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study was designed as a between-group comparison of the Dynamic Gait Index (DGI) score improvement in 10 subjects treated with active PoNS, in conjunction with two weeks of treatment in clinic under supervision of a registered PoNS trainer, and, individually, at home over 12 weeks, as compared to 10 subjects treated with placebo PoNS and the same physical therapy regimen, after a total of 14 weeks of treatment.</w:t>
      </w:r>
    </w:p>
    <w:p>
      <w:pPr>
        <w:spacing w:after="0" w:line="20" w:lineRule="exact"/>
        <w:rPr>
          <w:rFonts w:ascii="Times New Roman" w:cs="Times New Roman" w:eastAsia="Times New Roman" w:hAnsi="Times New Roman"/>
          <w:sz w:val="17"/>
          <w:szCs w:val="17"/>
          <w:color w:val="auto"/>
        </w:rPr>
      </w:pPr>
    </w:p>
    <w:p>
      <w:pPr>
        <w:ind w:left="680" w:right="299" w:hanging="304"/>
        <w:spacing w:after="0" w:line="278"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endpoint demonstrated a statistically significant improvement greater than 4 points in the DGI score from baseline in the active PoNS group as compared to placebo at endpoint (Week 14) (p&lt;0.005).</w:t>
      </w:r>
    </w:p>
    <w:p>
      <w:pPr>
        <w:spacing w:after="0" w:line="4" w:lineRule="exact"/>
        <w:rPr>
          <w:rFonts w:ascii="Times New Roman" w:cs="Times New Roman" w:eastAsia="Times New Roman" w:hAnsi="Times New Roman"/>
          <w:sz w:val="17"/>
          <w:szCs w:val="17"/>
          <w:color w:val="auto"/>
        </w:rPr>
      </w:pPr>
    </w:p>
    <w:p>
      <w:pPr>
        <w:ind w:left="680" w:right="119" w:hanging="304"/>
        <w:spacing w:after="0" w:line="263"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DGI improvement was already clinically meaningful at 2 weeks of treatment and continued to increase over the following 8 weeks of therapy with an average improvement of 7.7 points, which was then maintained (slightly increased) through week 14.</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Summary results from the Leonard study in 14 patients treated with mild and moderate MS:</w:t>
      </w:r>
    </w:p>
    <w:p>
      <w:pPr>
        <w:spacing w:after="0" w:line="211" w:lineRule="exact"/>
        <w:rPr>
          <w:sz w:val="20"/>
          <w:szCs w:val="20"/>
          <w:color w:val="auto"/>
        </w:rPr>
      </w:pPr>
    </w:p>
    <w:p>
      <w:pPr>
        <w:jc w:val="both"/>
        <w:ind w:left="680" w:right="59" w:hanging="304"/>
        <w:spacing w:after="0" w:line="263"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statistically significant improvement in the NeuroCom Sensory Organization Test (SOT), a test of subject’s ability to balance, from baseline to week 14 of treatment in 7 subjects treated with active PoNS as compared to the 7 subjects in placebo PoNS group (p=0.001).</w:t>
      </w:r>
    </w:p>
    <w:p>
      <w:pPr>
        <w:spacing w:after="0" w:line="18" w:lineRule="exact"/>
        <w:rPr>
          <w:rFonts w:ascii="Times New Roman" w:cs="Times New Roman" w:eastAsia="Times New Roman" w:hAnsi="Times New Roman"/>
          <w:sz w:val="17"/>
          <w:szCs w:val="17"/>
          <w:color w:val="auto"/>
        </w:rPr>
      </w:pPr>
    </w:p>
    <w:p>
      <w:pPr>
        <w:ind w:left="680" w:right="219" w:hanging="304"/>
        <w:spacing w:after="0" w:line="256"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Functional MRI data showed an increased blood oxygen dependent level (BOLD) signal in specific brain cortical areas, suggesting that sustained PoNS neuromodulation-induced activation of these cortical areas is likely to trigger a series of adaptive changes (neuroplasticity), expected to rehabilitate existing pathways as well as engage new mechanisms to deliver functional signals to the spinal cord, that may correlate with PoNS therapeutic outcomes observed in the Tyler study.</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Summary of Real-World Evidence (RWE) in MS patients treated with PoNS in Canada.</w:t>
      </w:r>
    </w:p>
    <w:p>
      <w:pPr>
        <w:spacing w:after="0" w:line="211" w:lineRule="exact"/>
        <w:rPr>
          <w:sz w:val="20"/>
          <w:szCs w:val="20"/>
          <w:color w:val="auto"/>
        </w:rPr>
      </w:pPr>
    </w:p>
    <w:p>
      <w:pPr>
        <w:ind w:left="680" w:right="219" w:hanging="304"/>
        <w:spacing w:after="0" w:line="259"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Gait deficit treatment outcomes for PoNS-treated individuals are routinely captured through a proprietary validated data capture software. At the time of this retrospective analysis, all data from the MS treated subjects available in our database, specifically 43 MS subjects treated with PoNS for gait deficit in Canada between March 2019 and December 2019, were utilized.</w:t>
      </w:r>
    </w:p>
    <w:p>
      <w:pPr>
        <w:spacing w:after="0" w:line="20" w:lineRule="exact"/>
        <w:rPr>
          <w:rFonts w:ascii="Times New Roman" w:cs="Times New Roman" w:eastAsia="Times New Roman" w:hAnsi="Times New Roman"/>
          <w:sz w:val="17"/>
          <w:szCs w:val="17"/>
          <w:color w:val="auto"/>
        </w:rPr>
      </w:pPr>
    </w:p>
    <w:p>
      <w:pPr>
        <w:ind w:left="680" w:right="419" w:hanging="304"/>
        <w:spacing w:after="0" w:line="278"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mean improvement in the FGA (functional gait assessment) from baseline to Week 14 was 4.53 (95% CI 3.35 to 5.72) with a median improvement of 5 points.</w:t>
      </w:r>
    </w:p>
    <w:p>
      <w:pPr>
        <w:spacing w:after="0" w:line="4" w:lineRule="exact"/>
        <w:rPr>
          <w:rFonts w:ascii="Times New Roman" w:cs="Times New Roman" w:eastAsia="Times New Roman" w:hAnsi="Times New Roman"/>
          <w:sz w:val="17"/>
          <w:szCs w:val="17"/>
          <w:color w:val="auto"/>
        </w:rPr>
      </w:pPr>
    </w:p>
    <w:p>
      <w:pPr>
        <w:ind w:left="680" w:right="479" w:hanging="304"/>
        <w:spacing w:after="0" w:line="278"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minimal detectable change, greater or equal to 4-point FGA improvement, was met by 56.7% of subjects, most of whom had chronic MS with long durations of the disease.</w:t>
      </w:r>
    </w:p>
    <w:p>
      <w:pPr>
        <w:spacing w:after="0" w:line="4" w:lineRule="exact"/>
        <w:rPr>
          <w:rFonts w:ascii="Times New Roman" w:cs="Times New Roman" w:eastAsia="Times New Roman" w:hAnsi="Times New Roman"/>
          <w:sz w:val="17"/>
          <w:szCs w:val="17"/>
          <w:color w:val="auto"/>
        </w:rPr>
      </w:pPr>
    </w:p>
    <w:p>
      <w:pPr>
        <w:ind w:left="680" w:right="139" w:hanging="304"/>
        <w:spacing w:after="0" w:line="278"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analysis of the surveillance safety database demonstrated an excellent safety profile supporting a positive benefit-risk ratio in the real-world clinical utilization setting.</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Summary of PoNS Therapeutic Experience Program (PoNSTEP) study in MS.</w:t>
      </w:r>
    </w:p>
    <w:p>
      <w:pPr>
        <w:spacing w:after="0" w:line="211" w:lineRule="exact"/>
        <w:rPr>
          <w:sz w:val="20"/>
          <w:szCs w:val="20"/>
          <w:color w:val="auto"/>
        </w:rPr>
      </w:pPr>
    </w:p>
    <w:p>
      <w:pPr>
        <w:ind w:left="680" w:right="319" w:hanging="304"/>
        <w:spacing w:after="0" w:line="263" w:lineRule="auto"/>
        <w:tabs>
          <w:tab w:leader="none" w:pos="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PoNSTEP study assesses the adherence to on-label PoNS® Therapy for improvement of gait in people with multiple sclerosis (MS) in a real-world clinical setting, and aims at understanding the utilization, treatment compliance, and the short/long-term clinical benefits of PoNS Therapy.</w:t>
      </w:r>
    </w:p>
    <w:p>
      <w:pPr>
        <w:spacing w:after="0" w:line="170" w:lineRule="exact"/>
        <w:rPr>
          <w:rFonts w:ascii="Times New Roman" w:cs="Times New Roman" w:eastAsia="Times New Roman" w:hAnsi="Times New Roman"/>
          <w:sz w:val="17"/>
          <w:szCs w:val="17"/>
          <w:color w:val="auto"/>
        </w:rPr>
      </w:pPr>
    </w:p>
    <w:p>
      <w:pPr>
        <w:ind w:left="680" w:right="199" w:hanging="304"/>
        <w:spacing w:after="0" w:line="280" w:lineRule="auto"/>
        <w:tabs>
          <w:tab w:leader="none" w:pos="6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study enrolled 43 patients with gait deficit due to mild-to-moderate MS into the study who were receiving standard clinical care for their medical condition. The recommended dose of PoNS Therapy was 100-120 min per day for 14 weeks, performed 5 days/week in the clinic for the first 2 weeks (Phase 1), followed by a 12-week unsupervised therapy at home (Phase 2). Participants were also evaluated after a 6-month post-treatment observation period (Phase 3).</w:t>
      </w:r>
    </w:p>
    <w:p>
      <w:pPr>
        <w:spacing w:after="0" w:line="157" w:lineRule="exact"/>
        <w:rPr>
          <w:rFonts w:ascii="Times New Roman" w:cs="Times New Roman" w:eastAsia="Times New Roman" w:hAnsi="Times New Roman"/>
          <w:sz w:val="16"/>
          <w:szCs w:val="16"/>
          <w:color w:val="auto"/>
        </w:rPr>
      </w:pPr>
    </w:p>
    <w:p>
      <w:pPr>
        <w:ind w:left="680" w:right="259" w:hanging="304"/>
        <w:spacing w:after="0" w:line="263" w:lineRule="auto"/>
        <w:tabs>
          <w:tab w:leader="none" w:pos="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endpoint was maintenance of gait improvement from the end of supervised therapy (Phase 1) to the end of unsupervised therapy (Phase 2) in relation to the subject’s adherence to PoNS therapy. Secondary endpoints included, among others, maintenance of improvement of gait and balance deficit over time.</w:t>
      </w:r>
    </w:p>
    <w:p>
      <w:pPr>
        <w:spacing w:after="0" w:line="170" w:lineRule="exact"/>
        <w:rPr>
          <w:rFonts w:ascii="Times New Roman" w:cs="Times New Roman" w:eastAsia="Times New Roman" w:hAnsi="Times New Roman"/>
          <w:sz w:val="17"/>
          <w:szCs w:val="17"/>
          <w:color w:val="auto"/>
        </w:rPr>
      </w:pPr>
    </w:p>
    <w:p>
      <w:pPr>
        <w:ind w:left="680" w:right="99" w:hanging="304"/>
        <w:spacing w:after="0" w:line="263" w:lineRule="auto"/>
        <w:tabs>
          <w:tab w:leader="none" w:pos="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 patients started treatment, 38 completed the 14-week treatment protocol, and 29 of 38 were evaluated at the 6-month follow-up. Participants who declined 30% or more in their functional improvement from the end of Phase 2, were eligible for an additional 12-wk course of PoNS Therapy at home.</w:t>
      </w:r>
    </w:p>
    <w:p>
      <w:pPr>
        <w:spacing w:after="0" w:line="170" w:lineRule="exact"/>
        <w:rPr>
          <w:rFonts w:ascii="Times New Roman" w:cs="Times New Roman" w:eastAsia="Times New Roman" w:hAnsi="Times New Roman"/>
          <w:sz w:val="17"/>
          <w:szCs w:val="17"/>
          <w:color w:val="auto"/>
        </w:rPr>
      </w:pPr>
    </w:p>
    <w:p>
      <w:pPr>
        <w:ind w:left="680" w:right="139" w:hanging="304"/>
        <w:spacing w:after="0" w:line="256" w:lineRule="auto"/>
        <w:tabs>
          <w:tab w:leader="none" w:pos="6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mean improvement in DGI during Phase 1 and Phase 2, among the 38 subjects completing the protocol, was 5.00 points (4.1 to 5.9, p&lt;0.001) at week 14. Average therapy adherence was almost 90% in Phase 1 (with no significant association with DGI improvement [r=0.14; p=0.42]), whereas in Phase 2, adherence was over 67% with a significant linear correlation with DGI improvement (r=0.345; p=0.034). The mean changes [SD] in Phase 2 for subjects with ≥85% and &lt;85% adherence were 3.7 [1.8] and 2.0 [1.8] points, respectively (p=0.008).</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right="139" w:hanging="304"/>
        <w:spacing w:after="0" w:line="275" w:lineRule="auto"/>
        <w:tabs>
          <w:tab w:leader="none" w:pos="6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70.7% participants were evaluated Week 26 and the mean percentage decline in DGI was -4.1% (95% CI -9.4% to 1.1%) with only 1/28 (3.6%) experiencing at least a 30% decline in DGI (95% exact binomial confidence interval: 0.09% to</w:t>
      </w:r>
    </w:p>
    <w:p>
      <w:pPr>
        <w:ind w:left="680" w:right="299"/>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18.4%). No correlations between the mean decline from Week 14 to Week 26 and the treatment adherence metrics was observed (0.16 for Phase 1, 0.20 for Phase 2, and 0.20 for the whole 14-wk treatment period, all with p&gt;0.30).</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PoNS Clinical Trials and Scientific Support in mmTBI</w:t>
      </w:r>
    </w:p>
    <w:p>
      <w:pPr>
        <w:spacing w:after="0" w:line="215"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 xml:space="preserve">There are two peer-reviewed published studies reporting on the clinical trials’ results of the PoNS Therapy in people with mmTBI. The first is from our registrational clinical trial (TBI-001): Ptito A, Papa, L, Gregory, K, Folmer, RL, Walker, WC, Prabhakaran, V, Wardini, R, Skinner, KL, Yochelson, M, (2020). “A Prospective, Multicenter Study to Assess the Safety and Efficacy of Translingual Neurostimulation Plus Physical Therapy for the Treatment of a Chronic Balance Deficit Due to Mild-to-Moderate Traumatic Brain Injury”. </w:t>
      </w:r>
      <w:r>
        <w:rPr>
          <w:rFonts w:ascii="Times New Roman" w:cs="Times New Roman" w:eastAsia="Times New Roman" w:hAnsi="Times New Roman"/>
          <w:sz w:val="17"/>
          <w:szCs w:val="17"/>
          <w:i w:val="1"/>
          <w:iCs w:val="1"/>
          <w:color w:val="auto"/>
        </w:rPr>
        <w:t>Neuromodulation: Technology at the Neural Interface</w:t>
      </w:r>
      <w:r>
        <w:rPr>
          <w:rFonts w:ascii="Times New Roman" w:cs="Times New Roman" w:eastAsia="Times New Roman" w:hAnsi="Times New Roman"/>
          <w:sz w:val="17"/>
          <w:szCs w:val="17"/>
          <w:color w:val="auto"/>
        </w:rPr>
        <w:t>. The second is from the Long-Term Treatment study in mmTBI Trial: Tyler, ME, Skinner, KL, Prabhakaran, V, Kaczmarek, KA, Danilov, YP (2019). “Translingual neurostimulation for the treatment of chronic symptoms due to mild-to-moderate traumatic brain injury.” Archives of Rehabilitation Research and Clinical Translation; 1(304):100026.</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PoNS Registrational Clinical Trial in mmTBI</w:t>
      </w:r>
    </w:p>
    <w:p>
      <w:pPr>
        <w:spacing w:after="0" w:line="215"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Both studies were double-blind randomized, controlled, aiming to assess the safety and effectiveness of the PoNS Therapy using translingual noninvasive electric stimulation in conjunction with physical therapy performed in clinic for the first two weeks of treatment under supervision of a registered PoNS trainer, and, individually, at home over a short-term period of time (3 or 12 weeks) for a total of 5- or 14-week therapy, respectively for the short- and long-term studies. Both trials enrolled chronic (&gt; 1 year post head trauma event) TBI subjects with a balance deficit established as sensory organizational test (SOTT) composite score of at least 16 points below the normative value for the participant’s age, who have reached a plateau in their prior physical rehabilitation regimen outcome. According to published clinical trial data, balance impaired TBI subjects treated with physical therapy alone reached an average improvement of 10-13 points in their SOT composite score over a short-term treatment period, an improvement that trended back towards baseline values upon physical therapy discontinuation. In both PoNS studies, participants entered the trial with an average SOT composite score of 40 (1-100 range), indicative of compromised functional balance, and were randomized to treatment with PoNS devices that delivered either a high-frequency pulse ( HFP) (25.7 million pulses per 20 minute treatment) or a low-frequency pulse (LFP) (13,728 pulses per 20-minute treatment).</w:t>
      </w:r>
    </w:p>
    <w:p>
      <w:pPr>
        <w:spacing w:after="0" w:line="180"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color w:val="auto"/>
        </w:rPr>
        <w:t>In both studies, the primary efficacy endpoint was constructed for a between-group (HFP-treated and LFP-treated cohorts) comparison based on a greater than 15-point SOT composite score improvement at endpoint. The statistical plans also provided for a key secondary efficacy endpoint that established the treatment response (&gt; 15 points on SOT composite score) from baseline in the pooled HFP and LFP groups at endpoint(s), should the primary measure failed to establish a significant difference between the HFP and LFP treatment groups.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Summary results of the registrational study (Ptito et al. 2020) in mild to moderate TBI subjects with balance deficit:</w:t>
      </w:r>
    </w:p>
    <w:p>
      <w:pPr>
        <w:spacing w:after="0" w:line="211" w:lineRule="exact"/>
        <w:rPr>
          <w:sz w:val="20"/>
          <w:szCs w:val="20"/>
          <w:color w:val="auto"/>
        </w:rPr>
      </w:pPr>
    </w:p>
    <w:p>
      <w:pPr>
        <w:ind w:left="680" w:right="739" w:hanging="304"/>
        <w:spacing w:after="0" w:line="278"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trial, launched in 2015 in conjunction with the U.S. Army Medical Research and Materiel Command, or the USAMRMC and conducted at seven sites in the U.S. and Canada, evaluated 122 randomized subjects.</w:t>
      </w:r>
    </w:p>
    <w:p>
      <w:pPr>
        <w:spacing w:after="0" w:line="4" w:lineRule="exact"/>
        <w:rPr>
          <w:rFonts w:ascii="Times New Roman" w:cs="Times New Roman" w:eastAsia="Times New Roman" w:hAnsi="Times New Roman"/>
          <w:sz w:val="17"/>
          <w:szCs w:val="17"/>
          <w:color w:val="auto"/>
        </w:rPr>
      </w:pPr>
    </w:p>
    <w:p>
      <w:pPr>
        <w:ind w:left="680" w:right="259" w:hanging="304"/>
        <w:spacing w:after="0" w:line="263"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efficacy endpoint, although failing to demonstrate a between-group difference (p&lt;0.081), showed a higher responder rate in the HFP arm with 71.2% of subjects experiencing a greater than 15-point improvement on the SOT composite score as compared to 63.5% in the LFP arm over a 5-week treatment period.</w:t>
      </w:r>
    </w:p>
    <w:p>
      <w:pPr>
        <w:spacing w:after="0" w:line="18" w:lineRule="exact"/>
        <w:rPr>
          <w:rFonts w:ascii="Times New Roman" w:cs="Times New Roman" w:eastAsia="Times New Roman" w:hAnsi="Times New Roman"/>
          <w:sz w:val="17"/>
          <w:szCs w:val="17"/>
          <w:color w:val="auto"/>
        </w:rPr>
      </w:pPr>
    </w:p>
    <w:p>
      <w:pPr>
        <w:ind w:left="680" w:right="179" w:hanging="304"/>
        <w:spacing w:after="0" w:line="263"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key secondary efficacy endpoints demonstrated a statistically significant increase (p&lt;0.0005) in SOT composite scores from baseline for the pooled arms with a mean improvement of 18.3 points at two weeks of treatment and of 24.6 points at five weeks of treatment.</w:t>
      </w:r>
    </w:p>
    <w:p>
      <w:pPr>
        <w:spacing w:after="0" w:line="18" w:lineRule="exact"/>
        <w:rPr>
          <w:rFonts w:ascii="Times New Roman" w:cs="Times New Roman" w:eastAsia="Times New Roman" w:hAnsi="Times New Roman"/>
          <w:sz w:val="17"/>
          <w:szCs w:val="17"/>
          <w:color w:val="auto"/>
        </w:rPr>
      </w:pPr>
    </w:p>
    <w:p>
      <w:pPr>
        <w:ind w:left="680" w:right="159" w:hanging="304"/>
        <w:spacing w:after="0" w:line="278"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safety endpoint demonstrated a decrease in the frequency of falls as determined by daily event(s) during the in-clinic phase of the study (week two).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right="419" w:hanging="304"/>
        <w:spacing w:after="0" w:line="278"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secondary safety endpoint demonstrated a decrease in the frequency and severity of headaches (by the Headache Disability Index) from baseline to end of treatment (at week 5).</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device-related serious adverse events were observed.</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Summary of the results of the 26-week long-term treatment study (Tyler et al, 2019) in people with mmTBI:</w:t>
      </w:r>
    </w:p>
    <w:p>
      <w:pPr>
        <w:spacing w:after="0" w:line="211" w:lineRule="exact"/>
        <w:rPr>
          <w:sz w:val="20"/>
          <w:szCs w:val="20"/>
          <w:color w:val="auto"/>
        </w:rPr>
      </w:pPr>
    </w:p>
    <w:p>
      <w:pPr>
        <w:ind w:left="680" w:right="79" w:hanging="304"/>
        <w:spacing w:after="0" w:line="259" w:lineRule="auto"/>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study, performed to evaluate the durability of response to the PoNS Therapy over a 26-week period (14-week therapy followed by 12-week washout period) conducted at the Tactile Communication &amp; Neurorehabilitation Laboratory at the University of Wisconsin-Madison and sponsored by the U.S. Army, enrolled 44 mild-to-moderate subjects with gait deficit.</w:t>
      </w:r>
    </w:p>
    <w:p>
      <w:pPr>
        <w:spacing w:after="0" w:line="20" w:lineRule="exact"/>
        <w:rPr>
          <w:rFonts w:ascii="Times New Roman" w:cs="Times New Roman" w:eastAsia="Times New Roman" w:hAnsi="Times New Roman"/>
          <w:sz w:val="17"/>
          <w:szCs w:val="17"/>
          <w:color w:val="auto"/>
        </w:rPr>
      </w:pPr>
    </w:p>
    <w:p>
      <w:pPr>
        <w:ind w:left="680" w:right="319" w:hanging="304"/>
        <w:spacing w:after="0" w:line="263" w:lineRule="auto"/>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efficacy endpoint, although similar to the registrational study, did not show a separation on the composite SOT score improvement between the HFP and LFP groups, confirmed the trend of a higher response rate in the HFP group.</w:t>
      </w:r>
    </w:p>
    <w:p>
      <w:pPr>
        <w:spacing w:after="0" w:line="18" w:lineRule="exact"/>
        <w:rPr>
          <w:rFonts w:ascii="Times New Roman" w:cs="Times New Roman" w:eastAsia="Times New Roman" w:hAnsi="Times New Roman"/>
          <w:sz w:val="17"/>
          <w:szCs w:val="17"/>
          <w:color w:val="auto"/>
        </w:rPr>
      </w:pPr>
    </w:p>
    <w:p>
      <w:pPr>
        <w:ind w:left="680" w:right="159" w:hanging="304"/>
        <w:spacing w:after="0" w:line="278" w:lineRule="auto"/>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secondary endpoint showed a 29.8-point improvement of the composite SOT score from baseline in the HFP-treated group at the end of 14 weeks of treatment.</w:t>
      </w:r>
    </w:p>
    <w:p>
      <w:pPr>
        <w:spacing w:after="0" w:line="4" w:lineRule="exact"/>
        <w:rPr>
          <w:rFonts w:ascii="Times New Roman" w:cs="Times New Roman" w:eastAsia="Times New Roman" w:hAnsi="Times New Roman"/>
          <w:sz w:val="17"/>
          <w:szCs w:val="17"/>
          <w:color w:val="auto"/>
        </w:rPr>
      </w:pPr>
    </w:p>
    <w:p>
      <w:pPr>
        <w:ind w:left="680" w:right="579" w:hanging="304"/>
        <w:spacing w:after="0" w:line="278" w:lineRule="auto"/>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the 12-week washout period, the participants maintained, on average, the same SOT composite score achieved over the 14 weeks of PoNS Therapy.</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study confirmed the favorable safety profile shown in the registrational study.</w:t>
      </w:r>
    </w:p>
    <w:p>
      <w:pPr>
        <w:spacing w:after="0" w:line="211"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7"/>
          <w:szCs w:val="17"/>
          <w:color w:val="auto"/>
        </w:rPr>
        <w:t>These studies demonstrated that the PoNS Therapy could, on average, allow people with mmTBI who had balance deficit reach, over 14 weeks of treatment, and maintain, over 12-week post-treatment, an SOT composite score within or above the normal range. Furthermore, in a subset of nine participants, who underwent sequential magnetic resonance imaging (MRI) scans, showed meaningful structural and functional changes in specific brain areas consistent with PoNS therapeutic effect on the balance function.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PoNS Clinical Evidence and Scientific Support in Stroke</w:t>
      </w:r>
    </w:p>
    <w:p>
      <w:pPr>
        <w:spacing w:after="0" w:line="21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a clinical study (2017) published by Dr. Mary Galea, PoNS Therapy displayed a statistically significant effect on improving balance deficit after 2 weeks of intense physical therapy rehabilitation with PoNS, as compared to high-intensity physical therapy alone. The study was conducted in an in-patient rehabilitation setting on 10 patients who were in the subacute stroke phase and with therapy intensity higher than in most stroke rehabilitation settings.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is a summary of the real-world evidence (“RWE “) database analysis of stroke patients treated with PoNS in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Australia:</w:t>
      </w:r>
    </w:p>
    <w:p>
      <w:pPr>
        <w:spacing w:after="0" w:line="195" w:lineRule="exact"/>
        <w:rPr>
          <w:sz w:val="20"/>
          <w:szCs w:val="20"/>
          <w:color w:val="auto"/>
        </w:rPr>
      </w:pPr>
    </w:p>
    <w:p>
      <w:pPr>
        <w:ind w:left="680" w:right="79" w:hanging="304"/>
        <w:spacing w:after="0" w:line="278" w:lineRule="auto"/>
        <w:tabs>
          <w:tab w:leader="none" w:pos="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intervention with PoNS was significantly more effective than high intensity physiotherapy alone for the rehabilitation of balance in stroke survivors.</w:t>
      </w:r>
    </w:p>
    <w:p>
      <w:pPr>
        <w:spacing w:after="0" w:line="4" w:lineRule="exact"/>
        <w:rPr>
          <w:rFonts w:ascii="Times New Roman" w:cs="Times New Roman" w:eastAsia="Times New Roman" w:hAnsi="Times New Roman"/>
          <w:sz w:val="17"/>
          <w:szCs w:val="17"/>
          <w:color w:val="auto"/>
        </w:rPr>
      </w:pPr>
    </w:p>
    <w:p>
      <w:pPr>
        <w:jc w:val="both"/>
        <w:ind w:left="680" w:right="79" w:hanging="304"/>
        <w:spacing w:after="0" w:line="259" w:lineRule="auto"/>
        <w:tabs>
          <w:tab w:leader="none" w:pos="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two weeks of therapy, the median score on the Mini-BEST was 22.0 in the PoNS-treated group, compared to 13 in the control group, providing a clinically significant and meaningful therapeutic outcome, especially when considering that a cut-off score of 17.5 has been shown to discriminate between fallers and non-fallers with chronic stroke (&gt; 6 months).</w:t>
      </w:r>
    </w:p>
    <w:p>
      <w:pPr>
        <w:spacing w:after="0" w:line="17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Gait deficit treatment outcomes for PoNS-treated individuals were analyzed through a RWE retrospective analysis of clinical data from 10 clinical rehabilitation settings in Canada sites. The RWE dataset consisted of 31 consecutive stroke patients that started treatment between March 2019 and November 2022. Patients included in this data set met the criteria for mild to moderate chronic stroke based on the rating of gait (walking) ability. Gait performance was determined using the FGA. FGA at Baseline and at Week 14, as well as changes form Baseline to Week 14 and FGA values at intermediate time points were summarized using means, standard deviations, medians, minimum and maximum values and where appropriate using 95% confidence intervals.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Summary of RWE database analysis in stroke patients treated with PoNS in Canada:</w:t>
      </w:r>
    </w:p>
    <w:p>
      <w:pPr>
        <w:spacing w:after="0" w:line="211" w:lineRule="exact"/>
        <w:rPr>
          <w:sz w:val="20"/>
          <w:szCs w:val="20"/>
          <w:color w:val="auto"/>
        </w:rPr>
      </w:pPr>
    </w:p>
    <w:p>
      <w:pPr>
        <w:jc w:val="both"/>
        <w:ind w:left="680" w:right="79" w:hanging="304"/>
        <w:spacing w:after="0" w:line="263"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adjusted mean improvement in the FGA was 6.74 (95% CI: 4.85 to 8.63) among 30 subjects. The lower bound of this confidence interval exceeds the reported minimum detectable change (MDC) of 4.2 points for improvements in FGA in stroke patients.</w:t>
      </w:r>
    </w:p>
    <w:p>
      <w:pPr>
        <w:spacing w:after="0" w:line="18" w:lineRule="exact"/>
        <w:rPr>
          <w:rFonts w:ascii="Times New Roman" w:cs="Times New Roman" w:eastAsia="Times New Roman" w:hAnsi="Times New Roman"/>
          <w:sz w:val="17"/>
          <w:szCs w:val="17"/>
          <w:color w:val="auto"/>
        </w:rPr>
      </w:pPr>
    </w:p>
    <w:p>
      <w:pPr>
        <w:ind w:left="680" w:right="79" w:hanging="304"/>
        <w:spacing w:after="0" w:line="278"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of 26 (69.2%) subjects with complete data at baseline and at Week 14 had improvements larger than the MDC (95% 2-sided binomial exact CI 51.5% to 87.0%).</w:t>
      </w:r>
    </w:p>
    <w:p>
      <w:pPr>
        <w:spacing w:after="0" w:line="4" w:lineRule="exact"/>
        <w:rPr>
          <w:rFonts w:ascii="Times New Roman" w:cs="Times New Roman" w:eastAsia="Times New Roman" w:hAnsi="Times New Roman"/>
          <w:sz w:val="17"/>
          <w:szCs w:val="17"/>
          <w:color w:val="auto"/>
        </w:rPr>
      </w:pPr>
    </w:p>
    <w:p>
      <w:pPr>
        <w:jc w:val="both"/>
        <w:ind w:left="680" w:right="79" w:hanging="304"/>
        <w:spacing w:after="0" w:line="263"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Among subjects with evaluable baseline and Week 14 FGA, 25 of 26 (96.2%) subjects were at risk for falling at baseline (FGA&lt;23). Among the 25 subjects with baseline fall risk, 7 (28%) subjects were no longer at risk for falling at Week 14. The one subject not at fall risk at baseline remained not at fall risk at Week 14.</w:t>
      </w:r>
    </w:p>
    <w:p>
      <w:pPr>
        <w:spacing w:after="0" w:line="1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was no statistically reliable evidence that effectiveness varies by age, gender, or clinical site.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Safety and Tolerability Profile of PoNS Therapy</w:t>
      </w:r>
    </w:p>
    <w:p>
      <w:pPr>
        <w:spacing w:after="0" w:line="215"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PoNS Therapy has an excellent high safety profile. Overall, the therapy is safe and well tolerated. Reported adverse events were mild and typically related to baseline comorbidities and not PoNS treatment. In Dr. Galea’s two-week randomized controlled study, no serious device-related adverse events were reported for any subject treated with PoNS. Similarly, in the MS and TBI randomized studies, there were no serious PoNS device-related adverse events in any disease groups. Furthermore, there were reductions from baseline in fall rate and in the Headache Disability Index (“HDI”) and improvements in sleep quality were also reported in the TBI studies.</w:t>
      </w:r>
    </w:p>
    <w:p>
      <w:pPr>
        <w:spacing w:after="0" w:line="75" w:lineRule="exact"/>
        <w:rPr>
          <w:sz w:val="20"/>
          <w:szCs w:val="20"/>
          <w:color w:val="auto"/>
        </w:rPr>
      </w:pPr>
    </w:p>
    <w:p>
      <w:pPr>
        <w:jc w:val="both"/>
        <w:ind w:left="40" w:right="239"/>
        <w:spacing w:after="0" w:line="263" w:lineRule="auto"/>
        <w:rPr>
          <w:sz w:val="20"/>
          <w:szCs w:val="20"/>
          <w:color w:val="auto"/>
        </w:rPr>
      </w:pPr>
      <w:r>
        <w:rPr>
          <w:rFonts w:ascii="Times New Roman" w:cs="Times New Roman" w:eastAsia="Times New Roman" w:hAnsi="Times New Roman"/>
          <w:sz w:val="17"/>
          <w:szCs w:val="17"/>
          <w:color w:val="auto"/>
        </w:rPr>
        <w:t>The PoNS device has been used in clinical rehabilitation settings with over 798 patients since March 4, 2019 to treat balance and gait disorders with more than 247,000 patient sessions recorded, no serious device-related events have been recorded along with zero reported adverse events.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Regulatory Status Worldwide</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Canadian Regulatory Status: mmTBI, MS and Stroke</w:t>
      </w:r>
    </w:p>
    <w:p>
      <w:pPr>
        <w:spacing w:after="0" w:line="215" w:lineRule="exact"/>
        <w:rPr>
          <w:sz w:val="20"/>
          <w:szCs w:val="20"/>
          <w:color w:val="auto"/>
        </w:rPr>
      </w:pPr>
    </w:p>
    <w:p>
      <w:pPr>
        <w:ind w:left="40" w:right="319"/>
        <w:spacing w:after="0" w:line="278" w:lineRule="auto"/>
        <w:rPr>
          <w:sz w:val="20"/>
          <w:szCs w:val="20"/>
          <w:color w:val="auto"/>
        </w:rPr>
      </w:pPr>
      <w:r>
        <w:rPr>
          <w:rFonts w:ascii="Times New Roman" w:cs="Times New Roman" w:eastAsia="Times New Roman" w:hAnsi="Times New Roman"/>
          <w:sz w:val="17"/>
          <w:szCs w:val="17"/>
          <w:color w:val="auto"/>
        </w:rPr>
        <w:t>On October 17, 2018, we received our Canadian marketing authorization from Health Canada allowing us to commercialize the PoNS device in Canada for use as a short-term treatment (14 weeks) of balance deficit due to mmTBI.</w:t>
      </w:r>
    </w:p>
    <w:p>
      <w:pPr>
        <w:spacing w:after="0" w:line="15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This label expansion expanded our addressable market in Canada to include a patient population seeking treatment options that may resolve or delay the progression of MS gait deficit symptoms.</w:t>
      </w:r>
    </w:p>
    <w:p>
      <w:pPr>
        <w:spacing w:after="0" w:line="177" w:lineRule="exact"/>
        <w:rPr>
          <w:sz w:val="20"/>
          <w:szCs w:val="20"/>
          <w:color w:val="auto"/>
        </w:rPr>
      </w:pPr>
    </w:p>
    <w:p>
      <w:pPr>
        <w:ind w:left="40" w:right="359"/>
        <w:spacing w:after="0" w:line="259" w:lineRule="auto"/>
        <w:rPr>
          <w:sz w:val="20"/>
          <w:szCs w:val="20"/>
          <w:color w:val="auto"/>
        </w:rPr>
      </w:pPr>
      <w:r>
        <w:rPr>
          <w:rFonts w:ascii="Times New Roman" w:cs="Times New Roman" w:eastAsia="Times New Roman" w:hAnsi="Times New Roman"/>
          <w:sz w:val="17"/>
          <w:szCs w:val="17"/>
          <w:color w:val="auto"/>
        </w:rPr>
        <w:t>On March 8, 2023, we received marketing authorization from Health Canada allowing us to commercialize the PoNS device in Canada for use as a short-term treatment of gait deficit due to mild and moderate symptoms from stroke. This expands our addressable market in Canada to include a patient population seeking treatment options that may resolve stroke gait deficit symptoms.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 Regulatory Status: MS</w:t>
      </w:r>
    </w:p>
    <w:p>
      <w:pPr>
        <w:spacing w:after="0" w:line="215"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7"/>
          <w:szCs w:val="17"/>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right="199"/>
        <w:spacing w:after="0" w:line="263" w:lineRule="auto"/>
        <w:rPr>
          <w:sz w:val="20"/>
          <w:szCs w:val="20"/>
          <w:color w:val="auto"/>
        </w:rPr>
      </w:pPr>
      <w:r>
        <w:rPr>
          <w:rFonts w:ascii="Times New Roman" w:cs="Times New Roman" w:eastAsia="Times New Roman" w:hAnsi="Times New Roman"/>
          <w:sz w:val="17"/>
          <w:szCs w:val="17"/>
          <w:color w:val="auto"/>
        </w:rPr>
        <w:t>The Breakthrough Devices Program offers manufacturers an opportunity to interact with the FDA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Breakthrough Device Designation does not change the requirements for approval of an application for a marketing authorization.</w:t>
      </w:r>
    </w:p>
    <w:p>
      <w:pPr>
        <w:spacing w:after="0" w:line="211" w:lineRule="exact"/>
        <w:rPr>
          <w:sz w:val="20"/>
          <w:szCs w:val="20"/>
          <w:color w:val="auto"/>
        </w:rPr>
      </w:pPr>
    </w:p>
    <w:p>
      <w:pPr>
        <w:ind w:left="40" w:right="179"/>
        <w:spacing w:after="0" w:line="263" w:lineRule="auto"/>
        <w:rPr>
          <w:sz w:val="20"/>
          <w:szCs w:val="20"/>
          <w:color w:val="auto"/>
        </w:rPr>
      </w:pPr>
      <w:r>
        <w:rPr>
          <w:rFonts w:ascii="Times New Roman" w:cs="Times New Roman" w:eastAsia="Times New Roman" w:hAnsi="Times New Roman"/>
          <w:sz w:val="17"/>
          <w:szCs w:val="17"/>
          <w:color w:val="auto"/>
        </w:rPr>
        <w:t>On March 26, 2021, we received marketing authorization from the FDA of the PoNS device for use as a short-term treatment of gait deficit due to mild-to-moderate symptoms of MS and is to be used as an adjunct to a supervised therapeutic exercise program in patients 22 years of age and over by prescription only.</w:t>
      </w:r>
    </w:p>
    <w:p>
      <w:pPr>
        <w:spacing w:after="0" w:line="171" w:lineRule="exact"/>
        <w:rPr>
          <w:sz w:val="20"/>
          <w:szCs w:val="20"/>
          <w:color w:val="auto"/>
        </w:rPr>
      </w:pPr>
    </w:p>
    <w:p>
      <w:pPr>
        <w:ind w:left="40" w:right="279"/>
        <w:spacing w:after="0" w:line="278" w:lineRule="auto"/>
        <w:rPr>
          <w:sz w:val="20"/>
          <w:szCs w:val="20"/>
          <w:color w:val="auto"/>
        </w:rPr>
      </w:pPr>
      <w:r>
        <w:rPr>
          <w:rFonts w:ascii="Times New Roman" w:cs="Times New Roman" w:eastAsia="Times New Roman" w:hAnsi="Times New Roman"/>
          <w:sz w:val="17"/>
          <w:szCs w:val="17"/>
          <w:color w:val="auto"/>
        </w:rPr>
        <w:t>On February 29, 2024, we received Healthcare Common Procedure Coding System (HCPCS) codes for the PoNS controller and for the PONS mouthpiece, which became effective on April 1, 2024.</w:t>
      </w:r>
    </w:p>
    <w:p>
      <w:pPr>
        <w:spacing w:after="0" w:line="157"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7"/>
          <w:szCs w:val="17"/>
          <w:color w:val="auto"/>
        </w:rPr>
        <w:t>We also intend to provide broad access and reimbursement for the PoNS Therapy over time through commercial insurers. Prior to the initiation of CMS or broad commercial payer coverage, the primary source of sales has been self-pay patients. We expect to continue to support the cost of the PoNS Therapy by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 Regulatory Status: Stroke</w:t>
      </w:r>
    </w:p>
    <w:p>
      <w:pPr>
        <w:spacing w:after="0" w:line="215"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7"/>
          <w:szCs w:val="17"/>
          <w:color w:val="auto"/>
        </w:rPr>
        <w:t>In August 2021, we received Breakthrough Designation for the PoNS device as a potential treatment for dynamic gait and balance deficits due to symptoms from stroke, to be used as an adjunct to a supervised therapeutic exercise program in patients 22 years of age and over. With Breakthrough Designation received, we have started a stroke registrational program (SPR) including two company sponsored pivotal studies, a randomized controlled double blinded trial (HMI-RCT) and an open label study (OLS) of PoNS Therapy in people with gait and/or balance deficit due to chronic stroke, at 10 clinical sites across the US and Canada. In addition, the SPR includes an investigator-initiated pilot study, sharing the same study design, patient population, study treatment, endpoints, and statistical analysis of the pivotal studies, conducted at the Medical University of South Carolina and at Brooks Rehabilitation (FL). All studies are fully enrolled and we are targeting a submission to FDA in mid-to-late 2025.</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 Regulatory Status: mmTBI</w:t>
      </w:r>
    </w:p>
    <w:p>
      <w:pPr>
        <w:spacing w:after="0" w:line="215" w:lineRule="exact"/>
        <w:rPr>
          <w:sz w:val="20"/>
          <w:szCs w:val="20"/>
          <w:color w:val="auto"/>
        </w:rPr>
      </w:pPr>
    </w:p>
    <w:p>
      <w:pPr>
        <w:ind w:left="40" w:right="219"/>
        <w:spacing w:after="0" w:line="278" w:lineRule="auto"/>
        <w:rPr>
          <w:sz w:val="20"/>
          <w:szCs w:val="20"/>
          <w:color w:val="auto"/>
        </w:rPr>
      </w:pPr>
      <w:r>
        <w:rPr>
          <w:rFonts w:ascii="Times New Roman" w:cs="Times New Roman" w:eastAsia="Times New Roman" w:hAnsi="Times New Roman"/>
          <w:sz w:val="17"/>
          <w:szCs w:val="17"/>
          <w:color w:val="auto"/>
        </w:rPr>
        <w:t>Our U.S. regulatory strategy initially focused on pursuing de novo classification and clearance of the PoNS device from the FDA for the treatment of balance deficit due to mmTBI.</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submitted a request for de novo classification and clearance of the PoNS device to the FDA for this indication in August 2018.</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This request was supported by data from two of our clinical trials in mmTBI, including our registrational trial, TBI-001.</w:t>
      </w:r>
    </w:p>
    <w:p>
      <w:pPr>
        <w:spacing w:after="0" w:line="195"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7"/>
          <w:szCs w:val="17"/>
          <w:color w:val="auto"/>
        </w:rPr>
        <w:t>In April 2019, we announced that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77"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339"/>
        <w:spacing w:after="0" w:line="263" w:lineRule="auto"/>
        <w:rPr>
          <w:sz w:val="20"/>
          <w:szCs w:val="20"/>
          <w:color w:val="auto"/>
        </w:rPr>
      </w:pPr>
      <w:r>
        <w:rPr>
          <w:rFonts w:ascii="Times New Roman" w:cs="Times New Roman" w:eastAsia="Times New Roman" w:hAnsi="Times New Roman"/>
          <w:sz w:val="17"/>
          <w:szCs w:val="17"/>
          <w:color w:val="auto"/>
        </w:rPr>
        <w:t>Based on the receipt of the FDA’s final minutes from the pre-submission meeting, we are assessing the feasibility of a clinical program to advance the development of a study aimed to obtain clearance for gait and balance deficits in mmTBI if nondilutive financing to fund the program becomes available.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European Regulatory Status</w:t>
      </w:r>
    </w:p>
    <w:p>
      <w:pPr>
        <w:spacing w:after="0" w:line="215"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7"/>
          <w:szCs w:val="17"/>
          <w:color w:val="auto"/>
        </w:rPr>
        <w:t>In December 2018, we submitted an application for CE certification with a notified body in the European Union (“EU”), which, if granted, would allow us to CE mark and market the PoNS device in the EU. During the second quarter of 2019, we engaged with our notified body in Europe to answer questions that we received from them as part of the conformity assessment of our PoNS device for CE certification. In August 2019, we withdrew our application to be CE certified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ISO registrar and will reconsider submitting to the EU when conditions stabilize.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Australian Regulatory Status</w:t>
      </w:r>
    </w:p>
    <w:p>
      <w:pPr>
        <w:spacing w:after="0" w:line="21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intended for short term use by healthcare professionals as an adjunct to a therapeutic exercise program to improve balance and gait. PoNS is not intended to be used alone without an exercise program.</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HTC Exclusive Distribution Agreement</w:t>
      </w:r>
    </w:p>
    <w:p>
      <w:pPr>
        <w:spacing w:after="0" w:line="21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On March 3, 2023, we entered into an Exclusive Distribution Agreement with Health Tech Connex, Inc. (“HTC”) (“HTC Exclusivity Agreement”), whereby, subject to certain terms and conditions, we granted to HTC the exclusive right to provide the PoNS Therapy in the Fraser Valley and Vancouver metro regions of British Columbia, where HTC has operated a PoNS authorized clinic since February 2019. HTC purchases the PoNS devices for use in these regions exclusively from us and on terms no less favorable than the then-current standard terms and conditions. This HTC Exclusivity Agreement replaces the previous Clinical Research and Co-Promotion Agreement (“HTC Co-Promotion Agreement”) between the parties dated October 2019.</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Product Development, Manufacturing and Logistics Services</w:t>
      </w:r>
    </w:p>
    <w:p>
      <w:pPr>
        <w:spacing w:after="0" w:line="215"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The commercial design of the PoNS device was originally manufactured and assembled by Key Tronic Corporation (“Key Tronic”), our contract manufacturing partner since 2017, at its facility located in Oakdale, Minnesota. During the third quarter of 2023, the Company began implementing the transition of the manufacturing of PoNS device controllers and mouthpieces from Key Tronic to Minnetronix, Inc (“Minnetronix”) in St. Paul, MN. The Company has completed the transition during the fourth quarter of 2024. Minnetronix now manufactures devices for engineering and design verification testing and for our FDA submissions as well as commercial devices for inventory.</w:t>
      </w:r>
    </w:p>
    <w:p>
      <w:pPr>
        <w:spacing w:after="0" w:line="177"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We place an emphasis on protecting our patented technology, trade secrets and know-how and only share confidential information on an as-needed basis. Minnetronix is registered as a medical device manufacturer in good standing with the FDA and along with Cambridge Consultants, our design services supplier, are certified in accordance with International Organization for Standardization, or ISO, 13485, a comprehensive quality management system for the design and manufacture of medical devices. HMI maintains a compliant quality management system certified to ISO 13485:2016 and is compliant with MDSAP requirements for the U.S., Canada and Australia.</w:t>
      </w:r>
    </w:p>
    <w:p>
      <w:pPr>
        <w:spacing w:after="0" w:line="177"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During 2021, we contracted with Healthlink International Inc. (“Healthlink”) to provide third party logistics for domestic and Canadian shipment and order fulfillment, and to provide warehousing services for finished goods. Healthlink began fulfilling orders in the United States effective with the commencement of commercial sales in the United States in April 2022 and in Canada during the fourth quarter of 2022. Healthlink is a life science solutions company, specializing 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39"/>
        <w:spacing w:after="0" w:line="278" w:lineRule="auto"/>
        <w:rPr>
          <w:sz w:val="20"/>
          <w:szCs w:val="20"/>
          <w:color w:val="auto"/>
        </w:rPr>
      </w:pPr>
      <w:r>
        <w:rPr>
          <w:rFonts w:ascii="Times New Roman" w:cs="Times New Roman" w:eastAsia="Times New Roman" w:hAnsi="Times New Roman"/>
          <w:sz w:val="17"/>
          <w:szCs w:val="17"/>
          <w:color w:val="auto"/>
        </w:rPr>
        <w:t>logistics, temperature-controlled warehousing, fulfillment and freight management as well as back-office services, including multilingual customer service, financial services and VAT management.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Commercialization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 Commercialization Activities</w:t>
      </w:r>
    </w:p>
    <w:p>
      <w:pPr>
        <w:spacing w:after="0" w:line="215"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7"/>
          <w:szCs w:val="17"/>
          <w:color w:val="auto"/>
        </w:rPr>
        <w:t>On March 26, 2021, we received marketing authorization from the FDA for the PoNS device. The PoNS device is indicated for use as a short-term treatment of gait deficit due to mild-to-moderate symptoms of MS and is to be used as an adjunct to a supervised therapeutic exercise program in patients 22 years of age and over by prescription only.</w:t>
      </w:r>
    </w:p>
    <w:p>
      <w:pPr>
        <w:spacing w:after="0" w:line="171" w:lineRule="exact"/>
        <w:rPr>
          <w:sz w:val="20"/>
          <w:szCs w:val="20"/>
          <w:color w:val="auto"/>
        </w:rPr>
      </w:pPr>
    </w:p>
    <w:p>
      <w:pPr>
        <w:ind w:left="40" w:right="139"/>
        <w:spacing w:after="0" w:line="274" w:lineRule="auto"/>
        <w:rPr>
          <w:sz w:val="20"/>
          <w:szCs w:val="20"/>
          <w:color w:val="auto"/>
        </w:rPr>
      </w:pPr>
      <w:r>
        <w:rPr>
          <w:rFonts w:ascii="Times New Roman" w:cs="Times New Roman" w:eastAsia="Times New Roman" w:hAnsi="Times New Roman"/>
          <w:sz w:val="16"/>
          <w:szCs w:val="16"/>
          <w:color w:val="auto"/>
        </w:rPr>
        <w:t>Throughout the pre-commercial phase during 2021 and early 2022, we developed and refined our commercial strategy including a focus on payer strategy, both government and commercial, securing distribution licenses in various states and beginning to build relationships with key large neurorehabilitation centers, which focus on treatment of MS patients. We continue to generate data on outcomes of the PoNS Therapy generated from treatment of patients in Canada and ensuring that our scientific data is presented at many of the key national and international neurology and neuromodulation meetings. We believe this scientific dissemination may begin to pave the way to establishing the PoNS Therapy as the standard of care for the treatment of MS-related gait deficit.</w:t>
      </w:r>
    </w:p>
    <w:p>
      <w:pPr>
        <w:spacing w:after="0" w:line="163" w:lineRule="exact"/>
        <w:rPr>
          <w:sz w:val="20"/>
          <w:szCs w:val="20"/>
          <w:color w:val="auto"/>
        </w:rPr>
      </w:pPr>
    </w:p>
    <w:p>
      <w:pPr>
        <w:ind w:left="40" w:right="279"/>
        <w:spacing w:after="0" w:line="278" w:lineRule="auto"/>
        <w:rPr>
          <w:sz w:val="20"/>
          <w:szCs w:val="20"/>
          <w:color w:val="auto"/>
        </w:rPr>
      </w:pPr>
      <w:r>
        <w:rPr>
          <w:rFonts w:ascii="Times New Roman" w:cs="Times New Roman" w:eastAsia="Times New Roman" w:hAnsi="Times New Roman"/>
          <w:sz w:val="17"/>
          <w:szCs w:val="17"/>
          <w:color w:val="auto"/>
        </w:rPr>
        <w:t>We began accepting prescriptions for PoNS in the U.S. in the first quarter of 2022, and our first commercial sales began in April 2022.</w:t>
      </w:r>
    </w:p>
    <w:p>
      <w:pPr>
        <w:spacing w:after="0" w:line="157" w:lineRule="exact"/>
        <w:rPr>
          <w:sz w:val="20"/>
          <w:szCs w:val="20"/>
          <w:color w:val="auto"/>
        </w:rPr>
      </w:pPr>
    </w:p>
    <w:p>
      <w:pPr>
        <w:jc w:val="both"/>
        <w:ind w:left="40" w:right="79"/>
        <w:spacing w:after="0" w:line="263" w:lineRule="auto"/>
        <w:rPr>
          <w:sz w:val="20"/>
          <w:szCs w:val="20"/>
          <w:color w:val="auto"/>
        </w:rPr>
      </w:pPr>
      <w:r>
        <w:rPr>
          <w:rFonts w:ascii="Times New Roman" w:cs="Times New Roman" w:eastAsia="Times New Roman" w:hAnsi="Times New Roman"/>
          <w:sz w:val="17"/>
          <w:szCs w:val="17"/>
          <w:color w:val="auto"/>
        </w:rPr>
        <w:t>We have targeted specific Key Opinion Leaders (i.e., neurologists and physiatrists) and their associated neurorehabilitation centers, where selected physical therapists will be trained to deliver the PoNS Therapy. Importantly, this focused strategy will also allow us to measure patient outcomes to determine if they are comparable to those observed in our clinical trials.</w:t>
      </w:r>
    </w:p>
    <w:p>
      <w:pPr>
        <w:spacing w:after="0" w:line="171" w:lineRule="exact"/>
        <w:rPr>
          <w:sz w:val="20"/>
          <w:szCs w:val="20"/>
          <w:color w:val="auto"/>
        </w:rPr>
      </w:pPr>
    </w:p>
    <w:p>
      <w:pPr>
        <w:jc w:val="both"/>
        <w:ind w:left="40" w:right="199"/>
        <w:spacing w:after="0" w:line="259" w:lineRule="auto"/>
        <w:rPr>
          <w:sz w:val="20"/>
          <w:szCs w:val="20"/>
          <w:color w:val="auto"/>
        </w:rPr>
      </w:pPr>
      <w:r>
        <w:rPr>
          <w:rFonts w:ascii="Times New Roman" w:cs="Times New Roman" w:eastAsia="Times New Roman" w:hAnsi="Times New Roman"/>
          <w:sz w:val="17"/>
          <w:szCs w:val="17"/>
          <w:color w:val="auto"/>
        </w:rPr>
        <w:t>In June 2022, we launched the Patient Therapy Access Program (“PTAP”) program, which provided qualifying patients access to PoNS Therapy at a significantly reduced price. Through the PTAP program, the Company collected important health information that helped gain insight into the value of PoNS on key therapeutic outcomes that supplemented the data collected through clinical trials and real-world data. The PTAP was not renewed and terminated on June 30, 2023.</w:t>
      </w:r>
    </w:p>
    <w:p>
      <w:pPr>
        <w:spacing w:after="0" w:line="173" w:lineRule="exact"/>
        <w:rPr>
          <w:sz w:val="20"/>
          <w:szCs w:val="20"/>
          <w:color w:val="auto"/>
        </w:rPr>
      </w:pPr>
    </w:p>
    <w:p>
      <w:pPr>
        <w:ind w:left="40" w:right="179"/>
        <w:spacing w:after="0" w:line="254" w:lineRule="auto"/>
        <w:rPr>
          <w:sz w:val="20"/>
          <w:szCs w:val="20"/>
          <w:color w:val="auto"/>
        </w:rPr>
      </w:pPr>
      <w:r>
        <w:rPr>
          <w:rFonts w:ascii="Times New Roman" w:cs="Times New Roman" w:eastAsia="Times New Roman" w:hAnsi="Times New Roman"/>
          <w:sz w:val="17"/>
          <w:szCs w:val="17"/>
          <w:color w:val="auto"/>
        </w:rPr>
        <w:t>In December 2022, we launched an e-commerce site in the US to make it easier for patients to obtain PoNS devices and began processing orders in January 2023. Accessed via ponstherapy.com, the site is powered through a new partnership with UpScriptHealth, a leading telehealth company focused on making medications and devices available direct-to-consumer. UpScriptHealth’s platform provides for (1) online health evaluations with qualified medical providers, (2) fulfillment of prescriptions required for PoNS Therapy and (3) shipping of PoNS devices directly to the homes of eligible patients in the United States. The UpScriptHealth platform makes it possible for people with MS to have a PoNS device delivered directly to their doorstep.</w:t>
      </w:r>
    </w:p>
    <w:p>
      <w:pPr>
        <w:spacing w:after="0" w:line="178"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$25,700, comprised of $17,800 for the controller and $7,900 for the mouthpiece. We are pursuing commercial insurance coverage and Medicare reimbursement for PoNS within the Durable Medical Equipment (“DME”), benefit category. Effective in 2025, the list price for the PoNS Device is $28,270, comprised of $19,580 for the controller and $8,690 for the mouthpiece.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7"/>
          <w:szCs w:val="17"/>
          <w:color w:val="auto"/>
        </w:rPr>
        <w:t>We initially applied for unique Healthcare Common Procedure Coding System (“HCPCS”) codes during the third quarter of 2021. In order to address CMS’s request for additional information to “further understand the PoNS device indication for use”, we decided to monitor real-world utilization of PoNS Therapy and collect additional clinical evidence through the PoNSTEP study and our registry program. Based on consistent reports of positive therapeutic benefits experienced by MS patients through our commercial programs, we reapplied for HCPCS codes in the second quarter of 2023 leveraging new information, addressing their questions and providing further support in favor of obtaining unique HCPCS codes for PoNS. In February 2024, CMS assigned HCPCS Level II codes A4593, “Neuromodulation stimulator system, adjunct to rehabilitation therapy regime” to describe the PoNS controller and A4594, “Neuromodulation stimulator system, adjunct to rehabilitation therapy regime, mouthpiece each” to describe the PoNS mouthpiece. The new HCPCS codes became effective April 1, 2024.</w:t>
      </w:r>
    </w:p>
    <w:p>
      <w:pPr>
        <w:spacing w:after="0" w:line="178"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On May 2, 2024, CMS published a proposed fee schedule payment rates for the PoNS controller and PoNS mouthpiece to be discussed at CMS' bi-annual Healthcare Common Procedure Coding System (“HCPCS”) public meeting to be held on May 29, 2024. For the PoNS Controller (HCPCS Code A4593), CMS preliminarily set pricing by mapping reimbursement to existing code E0745, (Neuromuscular stimulator, electronic shock unit), resulting in a capped fee of $1,206.53. For the PoNS Mouthpiece (HCPCS code A4594), CMS based pricing on the previously offered, temporary, cash pay price of $4,500, resulting in a total capped payment of $3,075.53.</w:t>
      </w:r>
    </w:p>
    <w:p>
      <w:pPr>
        <w:spacing w:after="0" w:line="177" w:lineRule="exact"/>
        <w:rPr>
          <w:sz w:val="20"/>
          <w:szCs w:val="20"/>
          <w:color w:val="auto"/>
        </w:rPr>
      </w:pPr>
    </w:p>
    <w:p>
      <w:pPr>
        <w:ind w:left="40" w:right="659"/>
        <w:spacing w:after="0" w:line="263" w:lineRule="auto"/>
        <w:rPr>
          <w:sz w:val="20"/>
          <w:szCs w:val="20"/>
          <w:color w:val="auto"/>
        </w:rPr>
      </w:pPr>
      <w:r>
        <w:rPr>
          <w:rFonts w:ascii="Times New Roman" w:cs="Times New Roman" w:eastAsia="Times New Roman" w:hAnsi="Times New Roman"/>
          <w:sz w:val="17"/>
          <w:szCs w:val="17"/>
          <w:color w:val="auto"/>
        </w:rPr>
        <w:t>The Company subsequently provided CMS additional information to support reimbursement economics and presented that information at the public meeting with CMS on May 29, 2024 for consideration by CMS for determination of the final reimbursement amount for each of the PoNS controller and mouthpiece.</w:t>
      </w:r>
    </w:p>
    <w:p>
      <w:pPr>
        <w:spacing w:after="0" w:line="171" w:lineRule="exact"/>
        <w:rPr>
          <w:sz w:val="20"/>
          <w:szCs w:val="20"/>
          <w:color w:val="auto"/>
        </w:rPr>
      </w:pPr>
    </w:p>
    <w:p>
      <w:pPr>
        <w:ind w:left="40" w:right="159"/>
        <w:spacing w:after="0" w:line="276" w:lineRule="auto"/>
        <w:rPr>
          <w:sz w:val="20"/>
          <w:szCs w:val="20"/>
          <w:color w:val="auto"/>
        </w:rPr>
      </w:pPr>
      <w:r>
        <w:rPr>
          <w:rFonts w:ascii="Times New Roman" w:cs="Times New Roman" w:eastAsia="Times New Roman" w:hAnsi="Times New Roman"/>
          <w:sz w:val="16"/>
          <w:szCs w:val="16"/>
          <w:color w:val="auto"/>
        </w:rPr>
        <w:t>On October 7, 2024, CMS posted the final payment rate for the PoNS Mouthpiece (HCPCS code A4594) at $2,963.30, which will be effective January 1, 2025 and deferred final national determination of the payment rate for the PoNS Controller (HCPCS Code A4593) to the next payment cycle. At the Company’s request, Company management subsequently met with CMS in December 2024 prior to PoNS Mouthpiece pricing taking effect on January 1, 2025 to request that they revisit the starting point for the gap filling process to more appropriately use the market pricing established through negotiation with the VA and an insurance carrier.</w:t>
      </w:r>
    </w:p>
    <w:p>
      <w:pPr>
        <w:spacing w:after="0" w:line="162" w:lineRule="exact"/>
        <w:rPr>
          <w:sz w:val="20"/>
          <w:szCs w:val="20"/>
          <w:color w:val="auto"/>
        </w:rPr>
      </w:pPr>
    </w:p>
    <w:p>
      <w:pPr>
        <w:ind w:left="40" w:right="59"/>
        <w:spacing w:after="0" w:line="287" w:lineRule="auto"/>
        <w:rPr>
          <w:sz w:val="20"/>
          <w:szCs w:val="20"/>
          <w:color w:val="auto"/>
        </w:rPr>
      </w:pPr>
      <w:r>
        <w:rPr>
          <w:rFonts w:ascii="Times New Roman" w:cs="Times New Roman" w:eastAsia="Times New Roman" w:hAnsi="Times New Roman"/>
          <w:sz w:val="16"/>
          <w:szCs w:val="16"/>
          <w:color w:val="auto"/>
        </w:rPr>
        <w:t>On October 8, 2024, CMS published the preliminary rate for the PoNS Controller (HCPCS Code A4593) at the capped total payment of $519.80, based on its view that the product is comparable to devices reported with HCPCS code E0730 (transcutaneous electrical nerve stimulation (TENS) device, four or more leads, for multiple nerve stimulation) to be effective April 1, 2025.</w:t>
      </w:r>
    </w:p>
    <w:p>
      <w:pPr>
        <w:spacing w:after="0" w:line="153" w:lineRule="exact"/>
        <w:rPr>
          <w:sz w:val="20"/>
          <w:szCs w:val="20"/>
          <w:color w:val="auto"/>
        </w:rPr>
      </w:pPr>
    </w:p>
    <w:p>
      <w:pPr>
        <w:ind w:left="40" w:right="259"/>
        <w:spacing w:after="0" w:line="263" w:lineRule="auto"/>
        <w:rPr>
          <w:sz w:val="20"/>
          <w:szCs w:val="20"/>
          <w:color w:val="auto"/>
        </w:rPr>
      </w:pPr>
      <w:r>
        <w:rPr>
          <w:rFonts w:ascii="Times New Roman" w:cs="Times New Roman" w:eastAsia="Times New Roman" w:hAnsi="Times New Roman"/>
          <w:sz w:val="17"/>
          <w:szCs w:val="17"/>
          <w:color w:val="auto"/>
        </w:rPr>
        <w:t>On January 13, 2025, CMS posted final Medicare Durable Medical Equipment, Prosthetics, Orthotics, and Supplies fee schedule payment rates for the PoNS Controller (HCPCS Code A4593) at the capped total payment of $532.27 and no changes to the previous final determination for the PoNS Mouthpiece (HCPCS code A4594) were made.</w:t>
      </w:r>
    </w:p>
    <w:p>
      <w:pPr>
        <w:spacing w:after="0" w:line="171" w:lineRule="exact"/>
        <w:rPr>
          <w:sz w:val="20"/>
          <w:szCs w:val="20"/>
          <w:color w:val="auto"/>
        </w:rPr>
      </w:pPr>
    </w:p>
    <w:p>
      <w:pPr>
        <w:ind w:left="40" w:right="599"/>
        <w:spacing w:after="0" w:line="278" w:lineRule="auto"/>
        <w:rPr>
          <w:sz w:val="20"/>
          <w:szCs w:val="20"/>
          <w:color w:val="auto"/>
        </w:rPr>
      </w:pPr>
      <w:r>
        <w:rPr>
          <w:rFonts w:ascii="Times New Roman" w:cs="Times New Roman" w:eastAsia="Times New Roman" w:hAnsi="Times New Roman"/>
          <w:sz w:val="17"/>
          <w:szCs w:val="17"/>
          <w:color w:val="auto"/>
        </w:rPr>
        <w:t>The Company continues to disagree with CMS’ pricing determinations for both the Controller and Mouthpiece and plans to continue to challenge the pricing decisions through avenues available including the individual claims appeal process.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During the first quarter of 2024, the Company partnered with Lovell Government Services (“Lovell”), an SBA-certified Service-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Disabled Veteran-Owned Small Business, to make the PoNS device available to federal healthcare systems. In May 2024, PoNS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became available on the Veteran Affairs Federal Supply Schedule and General Services Administration Advantage Contracts at</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$23,843.72 for the PoNS device and $7,344.97 for the PoNS mouthpiece. In July 2024, PoNS became available to the Department</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of Defense and U.S. Military facilities on the Distribution and Pricing Agreement at $23,724.50 for the PoNS device and $7,308.25</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PoNS mouthpiece. In December 2024, the first PoNS System sale to the VA Healthcare System through Lovell was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delivered at the contracted price of $23,844, comprised of $16,499 for the PoNS Controller and $7,345 for the PoNS Mouthpiece.</w:t>
      </w:r>
    </w:p>
    <w:p>
      <w:pPr>
        <w:spacing w:after="0" w:line="195" w:lineRule="exact"/>
        <w:rPr>
          <w:sz w:val="20"/>
          <w:szCs w:val="20"/>
          <w:color w:val="auto"/>
        </w:rPr>
      </w:pPr>
    </w:p>
    <w:p>
      <w:pPr>
        <w:ind w:left="40" w:right="139"/>
        <w:spacing w:after="0" w:line="278" w:lineRule="auto"/>
        <w:rPr>
          <w:sz w:val="20"/>
          <w:szCs w:val="20"/>
          <w:color w:val="auto"/>
        </w:rPr>
      </w:pPr>
      <w:r>
        <w:rPr>
          <w:rFonts w:ascii="Times New Roman" w:cs="Times New Roman" w:eastAsia="Times New Roman" w:hAnsi="Times New Roman"/>
          <w:sz w:val="17"/>
          <w:szCs w:val="17"/>
          <w:color w:val="auto"/>
        </w:rPr>
        <w:t>Concurrently, we will be approaching various third-party payers to negotiate coverage under these codes. In general, we anticipate that it will take at least 24 months to obtain broad coverage and reimbursement among government and private payers.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Canadian Commercialization Efforts</w:t>
      </w:r>
    </w:p>
    <w:p>
      <w:pPr>
        <w:spacing w:after="0" w:line="215"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7"/>
          <w:szCs w:val="17"/>
          <w:color w:val="auto"/>
        </w:rPr>
        <w:t>In March 2019, we commenced the commercialization of our PoNS Therapy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Therapy, including the acquisition of the Heuro Canada, Inc. (“Heuro”) operating entity of HTC. These efforts, which were led by our local Canadian commercial team, included the establishment of our authorized clinic network throughout Canada, launching digital marketing campaigns, and building key opinion leader and advocacy networks.</w:t>
      </w:r>
    </w:p>
    <w:p>
      <w:pPr>
        <w:spacing w:after="0" w:line="177" w:lineRule="exact"/>
        <w:rPr>
          <w:sz w:val="20"/>
          <w:szCs w:val="20"/>
          <w:color w:val="auto"/>
        </w:rPr>
      </w:pPr>
    </w:p>
    <w:p>
      <w:pPr>
        <w:ind w:left="40" w:right="159"/>
        <w:spacing w:after="0" w:line="263" w:lineRule="auto"/>
        <w:rPr>
          <w:sz w:val="20"/>
          <w:szCs w:val="20"/>
          <w:color w:val="auto"/>
        </w:rPr>
      </w:pPr>
      <w:r>
        <w:rPr>
          <w:rFonts w:ascii="Times New Roman" w:cs="Times New Roman" w:eastAsia="Times New Roman" w:hAnsi="Times New Roman"/>
          <w:sz w:val="17"/>
          <w:szCs w:val="17"/>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71" w:lineRule="exact"/>
        <w:rPr>
          <w:sz w:val="20"/>
          <w:szCs w:val="20"/>
          <w:color w:val="auto"/>
        </w:rPr>
      </w:pPr>
    </w:p>
    <w:p>
      <w:pPr>
        <w:ind w:left="40" w:right="219"/>
        <w:spacing w:after="0" w:line="259" w:lineRule="auto"/>
        <w:rPr>
          <w:sz w:val="20"/>
          <w:szCs w:val="20"/>
          <w:color w:val="auto"/>
        </w:rPr>
      </w:pPr>
      <w:r>
        <w:rPr>
          <w:rFonts w:ascii="Times New Roman" w:cs="Times New Roman" w:eastAsia="Times New Roman" w:hAnsi="Times New Roman"/>
          <w:sz w:val="17"/>
          <w:szCs w:val="17"/>
          <w:color w:val="auto"/>
        </w:rPr>
        <w:t>On March 9, 2023, we announced the authorization from Health Canada to market PoNS Therapy for the treatment of gait deficit due to mild and moderate symptoms from stroke. This indication is instrumental as it is one of the most significant indications impacting balance and gait in Canada, and it provides the opportunity to extend options for coverage through government and third-party payers.</w:t>
      </w:r>
    </w:p>
    <w:p>
      <w:pPr>
        <w:spacing w:after="0" w:line="173" w:lineRule="exact"/>
        <w:rPr>
          <w:sz w:val="20"/>
          <w:szCs w:val="20"/>
          <w:color w:val="auto"/>
        </w:rPr>
      </w:pPr>
    </w:p>
    <w:p>
      <w:pPr>
        <w:jc w:val="both"/>
        <w:ind w:left="40" w:right="159"/>
        <w:spacing w:after="0" w:line="263" w:lineRule="auto"/>
        <w:rPr>
          <w:sz w:val="20"/>
          <w:szCs w:val="20"/>
          <w:color w:val="auto"/>
        </w:rPr>
      </w:pPr>
      <w:r>
        <w:rPr>
          <w:rFonts w:ascii="Times New Roman" w:cs="Times New Roman" w:eastAsia="Times New Roman" w:hAnsi="Times New Roman"/>
          <w:sz w:val="17"/>
          <w:szCs w:val="17"/>
          <w:color w:val="auto"/>
        </w:rPr>
        <w:t>Following in-depth market analysis and field intelligence, our Canadian commercial team began an expansion plan to increase the number of authorized PoNS clinics. In addition to continuing to increase the number of clinic locations, we have shifted our focus to driving patient throughput to these clinics.</w:t>
      </w:r>
    </w:p>
    <w:p>
      <w:pPr>
        <w:spacing w:after="0" w:line="171"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7"/>
          <w:szCs w:val="17"/>
          <w:color w:val="auto"/>
        </w:rPr>
        <w:t>The value dossiers for mmTBI, stroke and MS that were created in mid-2020 to fully demonstrate, in both scientific and financial terms, the merits of PoNS Therapy for claimants are now being utilized along with submissions from clinics on behalf of their patients. The dossiers are provided to our clinics across Canada to submit as part of treatment plans with reimbursement applications to the payer community. Our reimbursement strategy for mmTBI is focused on the auto collision insurance and workers’ compensation (“WC”), market as well as long-term disability cases. Our reimbursement strategy for MS is focused on commercial insurers/extended health benefits and charitable foundations that support these patient conditions</w:t>
      </w:r>
      <w:r>
        <w:rPr>
          <w:rFonts w:ascii="Times New Roman" w:cs="Times New Roman" w:eastAsia="Times New Roman" w:hAnsi="Times New Roman"/>
          <w:sz w:val="17"/>
          <w:szCs w:val="17"/>
          <w:color w:val="0070C0"/>
        </w:rPr>
        <w:t>.</w:t>
      </w:r>
      <w:r>
        <w:rPr>
          <w:rFonts w:ascii="Times New Roman" w:cs="Times New Roman" w:eastAsia="Times New Roman" w:hAnsi="Times New Roman"/>
          <w:sz w:val="17"/>
          <w:szCs w:val="17"/>
          <w:color w:val="auto"/>
        </w:rPr>
        <w:t xml:space="preserve"> Our reimbursement strategy for stroke is focused on private payers while also demonstrating to public health organizations the benefits and potential PoNS Therapy could provide within their respective networks.</w:t>
      </w:r>
    </w:p>
    <w:p>
      <w:pPr>
        <w:spacing w:after="0" w:line="181" w:lineRule="exact"/>
        <w:rPr>
          <w:sz w:val="20"/>
          <w:szCs w:val="20"/>
          <w:color w:val="auto"/>
        </w:rPr>
      </w:pPr>
    </w:p>
    <w:p>
      <w:pPr>
        <w:ind w:left="40" w:right="419"/>
        <w:spacing w:after="0" w:line="263" w:lineRule="auto"/>
        <w:rPr>
          <w:sz w:val="20"/>
          <w:szCs w:val="20"/>
          <w:color w:val="auto"/>
        </w:rPr>
      </w:pPr>
      <w:r>
        <w:rPr>
          <w:rFonts w:ascii="Times New Roman" w:cs="Times New Roman" w:eastAsia="Times New Roman" w:hAnsi="Times New Roman"/>
          <w:sz w:val="17"/>
          <w:szCs w:val="17"/>
          <w:color w:val="auto"/>
        </w:rPr>
        <w:t>As part of our overall PoNS Therapy strategy, we are also gathering comprehensive health economic assessments of treatment outcomes. These data will, in-turn, be used to support our applications for WC, auto insurance and commercial insurance reimbursement initiatives in Canada, the U.S. and other markets around the world.</w:t>
      </w:r>
    </w:p>
    <w:p>
      <w:pPr>
        <w:spacing w:after="0" w:line="171"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7"/>
          <w:szCs w:val="17"/>
          <w:color w:val="auto"/>
        </w:rPr>
        <w:t>The real-world results from the collective experience of our patients that have completed the 14-week PoNS Therapy in Canada, thus far, have been encouraging. Consistent with what we observed in our two clinical trials, one for 5 weeks and the other for 14 weeks, commercial MS and mmTBI patients demonstrated improvements in balance and gait within the first two weeks followed by continued improvement over the following twelve weeks. The majority of patients had a mean patient adherence to treatment of over 90% and showed significant improvement in their balance and gait with a meaningful clinical difference at the end of their treatment. Similar results were observed in the treatment of patients with symptoms from stroke. The consistency of the patient results from our initial commercial experience supports our plans to expand access PoNS Therapy in Canada.</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Commercialization in Other Markets</w:t>
      </w:r>
    </w:p>
    <w:p>
      <w:pPr>
        <w:spacing w:after="0" w:line="215"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7"/>
          <w:szCs w:val="17"/>
          <w:color w:val="auto"/>
        </w:rPr>
        <w:t>We submitted an application to be CE certified in December 2018. In preparation for our launch in the United Kingdom (“UK”), and the EU, we entered into a consulting agreement with a UK-based company with expertise in the development of new services in the healthcare industry to leverage local market insights to develop a comprehensive commercialization strategy and tactical plan for launch of the PoNS Therapy in the UK. As previously described, in August 2019, we withdrew our application to be EU certified and will revisit our UK and EU commercialization plans as terms of CE/UKCA certification become clearer under the new regulations.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7"/>
          <w:szCs w:val="17"/>
          <w:color w:val="auto"/>
        </w:rPr>
        <w:t>We submitted an application to the TGA in Australia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authorized as a non-implantable neurostimulator intended for short term used by healthcare professionals as an adjunct to a therapeutic exercise program to improve balance and gait. PoNS is not intended to be used alone without an exercise program. We are working to establish a distribution partner for Australia but have not yet had any commercial sales of PoNS in Australia.</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Global Economic Conditions</w:t>
      </w:r>
    </w:p>
    <w:p>
      <w:pPr>
        <w:spacing w:after="0" w:line="21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Generally, worldwide economic conditions remain uncertain, in part due to supply chain disruptions, labor shortages, global conflicts and increased inflation. The general economic and capital market conditions both in the U.S. and worldwide, have been volatile in the recent years and at times have adversely affected our access to capital and have increased the cost of capital. The capital and credit markets may not be available to support future capital raising activity on favorable terms. If economic conditions continue to remain volatile or decline, our future cost of equity or debt capital and access to the capital markets could be adversely affected.</w:t>
      </w:r>
    </w:p>
    <w:p>
      <w:pPr>
        <w:spacing w:after="0" w:line="177"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Our operating results could be materially impacted by changes in the overall macroeconomic environment and other economic factors. Changes in economic conditions,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Coverage and Reimbursement</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Canadian Reimbursement</w:t>
      </w:r>
    </w:p>
    <w:p>
      <w:pPr>
        <w:spacing w:after="0" w:line="215"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7"/>
          <w:szCs w:val="17"/>
          <w:color w:val="auto"/>
        </w:rPr>
        <w:t>We believe that traditional life and health payers may be among the most relevant to provide coverage and reimbursement for the PoNS Therapy, and therefore, we are focusing on gaining coverage for the PoNS Therapy through them. Life and health encompass long- and short-term disability claims. Because these payers are responsible for both medical expenses and lost wages, they have an incentive to seek ways to help injured employees to return to work. As part of our commercial treatment program in Canada, we will collect both outcomes and return to work data, which we plan to utilize with life and health, provincial workers compensation insurance programs, and property and casualty insurers to demonstrate both the clinical and economic value associated with the PoNS Therapy. In addition to private and public payers, we are pursuing in-patient hospital utilization with submissions to hospital formularies to encourage the use of PoNS in acute treatment especially in post-Traumatic Brain Injury and Stroke patients.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 Reimbursement</w:t>
      </w:r>
    </w:p>
    <w:p>
      <w:pPr>
        <w:spacing w:after="0" w:line="215" w:lineRule="exact"/>
        <w:rPr>
          <w:sz w:val="20"/>
          <w:szCs w:val="20"/>
          <w:color w:val="auto"/>
        </w:rPr>
      </w:pPr>
    </w:p>
    <w:p>
      <w:pPr>
        <w:jc w:val="both"/>
        <w:ind w:left="40" w:right="79"/>
        <w:spacing w:after="0" w:line="263" w:lineRule="auto"/>
        <w:rPr>
          <w:sz w:val="20"/>
          <w:szCs w:val="20"/>
          <w:color w:val="auto"/>
        </w:rPr>
      </w:pPr>
      <w:r>
        <w:rPr>
          <w:rFonts w:ascii="Times New Roman" w:cs="Times New Roman" w:eastAsia="Times New Roman" w:hAnsi="Times New Roman"/>
          <w:sz w:val="17"/>
          <w:szCs w:val="17"/>
          <w:color w:val="auto"/>
        </w:rPr>
        <w:t>In the U.S., we plan to engage with select payer segments to obtain coverage and reimbursement for the PoNS Therapy. We intend to combine evidence from our clinical trials and real-world experience from commercial clinics in Canada to demonstrate the value proposition of the PoNS Therapy to payers and support favorable coverage and reimbursement decisions.</w:t>
      </w:r>
    </w:p>
    <w:p>
      <w:pPr>
        <w:spacing w:after="0" w:line="17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Significant uncertainty exists regarding the coverage and reimbursement status of products approved by the FDA and other government authorities. In the United States, sales of our products depend in significant part on the availability and adequacy of coverage and reimbursement from third party payers for our product and for services that use our products. Third-party payers include government authorities such as Medicare and Medicaid, managed care providers, private health insurers, and other organizations. The process for determining whether a payer will provide coverage may be separate from the process for setting the reimbursement rate that the payer will pay for the product or service. Moreover, a payer’s decision to provide coverage does not imply that an adequate reimbursement rate will be approved. Adequate third-party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reimbursement may not be available to enable us to maintain price levels sufficient to realize an appropriate return on our investment in product development.</w:t>
      </w:r>
    </w:p>
    <w:p>
      <w:pPr>
        <w:spacing w:after="0" w:line="157"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Third-party payers are increasingly challenging the prices charged for, examining the medical necessity, safety, and efficacy of, and assessing the cost-effectiveness of medical products. The U.S. government and state legislatures have shown significant interest in implementing cost containment programs to limit the growth of government-paid health care costs, including price controls and restrictions on reimbursement. Any such downward pressure on the reimbursement for our products could limit our ability to realize an appropriate return on our investment in product development.</w:t>
      </w:r>
    </w:p>
    <w:p>
      <w:pPr>
        <w:spacing w:after="0" w:line="177"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7"/>
          <w:szCs w:val="17"/>
          <w:color w:val="auto"/>
        </w:rPr>
        <w:t>CMS has indicated that it is developing a program that would provide a pathway for expedited transitional coverage of emerging technologies under the Medicare program, though that rule has yet to be released. While we continue to monitor this, we will also remain focused on building out our reimbursement strategy for both commercial and government payers. We continue to work with Medicare requirements and policies for coverage, coding, and payment of durable medical equipment and assess how the PoNS device may be treated with respect to coding, coverage, and reimbursement under the Medicare program.</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5" w:lineRule="exact"/>
        <w:rPr>
          <w:sz w:val="20"/>
          <w:szCs w:val="20"/>
          <w:color w:val="auto"/>
        </w:rPr>
      </w:pPr>
    </w:p>
    <w:p>
      <w:pPr>
        <w:ind w:left="40" w:right="179"/>
        <w:spacing w:after="0" w:line="254" w:lineRule="auto"/>
        <w:rPr>
          <w:sz w:val="20"/>
          <w:szCs w:val="20"/>
          <w:color w:val="auto"/>
        </w:rPr>
      </w:pPr>
      <w:r>
        <w:rPr>
          <w:rFonts w:ascii="Times New Roman" w:cs="Times New Roman" w:eastAsia="Times New Roman" w:hAnsi="Times New Roman"/>
          <w:sz w:val="17"/>
          <w:szCs w:val="17"/>
          <w:color w:val="auto"/>
        </w:rPr>
        <w:t>The neurostimulation market is predominantly comprised of surgically implanted, invasive technologies that are not directly competitive with our technology. Several neurostimulation companies are large, publicly 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beneficial effects of neurostimulation which now establishes neuromodulation as a valid and scientifically supported approach to the treatment of neurological conditions, and accordingly, we expect for competition in the non-implantable space to grow in the future.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However, we believe that we will have the first-mover advantage in the non-implantable neurostimulation space.</w:t>
      </w:r>
    </w:p>
    <w:p>
      <w:pPr>
        <w:spacing w:after="0" w:line="211" w:lineRule="exact"/>
        <w:rPr>
          <w:sz w:val="20"/>
          <w:szCs w:val="20"/>
          <w:color w:val="auto"/>
        </w:rPr>
      </w:pPr>
    </w:p>
    <w:p>
      <w:pPr>
        <w:ind w:left="40" w:right="419"/>
        <w:spacing w:after="0" w:line="310" w:lineRule="auto"/>
        <w:rPr>
          <w:sz w:val="20"/>
          <w:szCs w:val="20"/>
          <w:color w:val="auto"/>
        </w:rPr>
      </w:pPr>
      <w:r>
        <w:rPr>
          <w:rFonts w:ascii="Times New Roman" w:cs="Times New Roman" w:eastAsia="Times New Roman" w:hAnsi="Times New Roman"/>
          <w:sz w:val="16"/>
          <w:szCs w:val="16"/>
          <w:color w:val="auto"/>
        </w:rPr>
        <w:t>We believe that the PoNS Therapy introduces an innovative target and method of stimulation, because targeting the tongue for neurostimulation provides several advantages that competitively distinguish the PoNS Therapy, which are discussed below.</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Advantages of the PoNS Therapy</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believe that the PoNS Therapy offers the following benefits over existing neurostimulation technologies:</w:t>
      </w:r>
    </w:p>
    <w:p>
      <w:pPr>
        <w:spacing w:after="0" w:line="211" w:lineRule="exact"/>
        <w:rPr>
          <w:sz w:val="20"/>
          <w:szCs w:val="20"/>
          <w:color w:val="auto"/>
        </w:rPr>
      </w:pPr>
    </w:p>
    <w:p>
      <w:pPr>
        <w:ind w:left="680" w:right="319" w:hanging="304"/>
        <w:spacing w:after="0" w:line="263"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PoNS device stimulates the trigeminal nerve, which developing science has implicated to be beneficial in some neurological disorder models. Specifically, PoNS stimulates only one branch of the trigeminal nerve, the lingual nerve through its terminals in the tongue, while other technologies stimulate other branches of the trigeminal nerve.</w:t>
      </w:r>
    </w:p>
    <w:p>
      <w:pPr>
        <w:spacing w:after="0" w:line="18" w:lineRule="exact"/>
        <w:rPr>
          <w:rFonts w:ascii="Times New Roman" w:cs="Times New Roman" w:eastAsia="Times New Roman" w:hAnsi="Times New Roman"/>
          <w:sz w:val="17"/>
          <w:szCs w:val="17"/>
          <w:color w:val="auto"/>
        </w:rPr>
      </w:pPr>
    </w:p>
    <w:p>
      <w:pPr>
        <w:ind w:left="680" w:right="119" w:hanging="304"/>
        <w:spacing w:after="0" w:line="256"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Translingual stimulation also results in stimulating the facial nerve through its chorda tympani branch, which has its nerve terminals in the tongue. Although it’s unclear whether concomitant stimulation of additional nerves is material to the efficacy or safety of PoNS, stimulation of these two cranial nerves triggers selective activation of specific cerebellar, brainstem, and cerebral areas involved in the control of movement and coordination functions. Furthermore, the ability to stimulate more than one nerve at a time differentiates our technology from our competition.</w:t>
      </w:r>
    </w:p>
    <w:p>
      <w:pPr>
        <w:spacing w:after="0" w:line="24" w:lineRule="exact"/>
        <w:rPr>
          <w:rFonts w:ascii="Times New Roman" w:cs="Times New Roman" w:eastAsia="Times New Roman" w:hAnsi="Times New Roman"/>
          <w:sz w:val="17"/>
          <w:szCs w:val="17"/>
          <w:color w:val="auto"/>
        </w:rPr>
      </w:pPr>
    </w:p>
    <w:p>
      <w:pPr>
        <w:ind w:left="680" w:right="99" w:hanging="304"/>
        <w:spacing w:after="0" w:line="256"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tongue has an anatomically unique surface with a high density of receptors, a consistently moist and conductive environment, constant pH, constant temperature and a direct connection to the brain through at least two cranial nerves. This a critical feature of how PoNS therapeutic effect is mediated since, similarly to the way most of the pharmacological agents act, translingual stimulation allows direct activation of neural targets that mediate signal transmission to the spinal cord and resulting therapeutic effect.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right="99" w:hanging="304"/>
        <w:spacing w:after="0" w:line="255" w:lineRule="auto"/>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cerebral premotor, motor, and prefrontal cortices, as well as deep brain areas such as the limbic system, basal ganglia and thalamus. We believe that this range of projections will allow impulses to reach central and peripheral targets that regulate dozens of functions.</w:t>
      </w:r>
    </w:p>
    <w:p>
      <w:pPr>
        <w:spacing w:after="0" w:line="24" w:lineRule="exact"/>
        <w:rPr>
          <w:rFonts w:ascii="Times New Roman" w:cs="Times New Roman" w:eastAsia="Times New Roman" w:hAnsi="Times New Roman"/>
          <w:sz w:val="17"/>
          <w:szCs w:val="17"/>
          <w:color w:val="auto"/>
        </w:rPr>
      </w:pPr>
    </w:p>
    <w:p>
      <w:pPr>
        <w:ind w:left="680" w:right="99" w:hanging="304"/>
        <w:spacing w:after="0" w:line="259" w:lineRule="auto"/>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Unlike deep brain stimulation devices, implantable vagal nerve devices and other invasive forms of electrical stimulation, the tongue allows for neurostimulation to be delivered via a portable, non-implantable device. This allows for the concomitant utilization of portable neurostimulation with a wide range of pharmacological therapies and non-pharmacological interventions previously unexplored for neurological rehabilitation.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Licensed Intellectual Property</w:t>
      </w:r>
    </w:p>
    <w:p>
      <w:pPr>
        <w:spacing w:after="0" w:line="202"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Pursuant to the Second Amended and Restated Patent Sub-License, or the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U.S. Patent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4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Issue Date</w:t>
            </w:r>
          </w:p>
        </w:tc>
        <w:tc>
          <w:tcPr>
            <w:tcW w:w="45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64"/>
        </w:trPr>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Application No.</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460" w:type="dxa"/>
            <w:vAlign w:val="bottom"/>
            <w:vMerge w:val="continue"/>
          </w:tcPr>
          <w:p>
            <w:pPr>
              <w:spacing w:after="0"/>
              <w:rPr>
                <w:sz w:val="14"/>
                <w:szCs w:val="14"/>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800" w:type="dxa"/>
            <w:vAlign w:val="bottom"/>
            <w:gridSpan w:val="2"/>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8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rPr>
              <w:t>12/348,301</w:t>
            </w: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rPr>
              <w:t>1/4/2009</w:t>
            </w: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rPr>
              <w:t>Issued</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rPr>
              <w:t>8,849,407</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rPr>
              <w:t>9/30/2014</w:t>
            </w:r>
          </w:p>
        </w:tc>
        <w:tc>
          <w:tcPr>
            <w:tcW w:w="140" w:type="dxa"/>
            <w:vAlign w:val="bottom"/>
            <w:tcBorders>
              <w:top w:val="single" w:sz="8" w:color="CCEEFF"/>
            </w:tcBorders>
            <w:shd w:val="clear" w:color="auto" w:fill="CCEEFF"/>
          </w:tcPr>
          <w:p>
            <w:pPr>
              <w:spacing w:after="0"/>
              <w:rPr>
                <w:sz w:val="9"/>
                <w:szCs w:val="9"/>
                <w:color w:val="auto"/>
              </w:rPr>
            </w:pPr>
          </w:p>
        </w:tc>
        <w:tc>
          <w:tcPr>
            <w:tcW w:w="458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Non-invasive neurostimulation of the skin combined with simultaneous physical</w:t>
            </w: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therapy to provide neurorehabilitation of a patient to treat various maladies</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including, e.g., TBI, stroke and Alzheimer’s disease</w:t>
            </w:r>
          </w:p>
        </w:tc>
        <w:tc>
          <w:tcPr>
            <w:tcW w:w="0" w:type="dxa"/>
            <w:vAlign w:val="bottom"/>
          </w:tcPr>
          <w:p>
            <w:pPr>
              <w:spacing w:after="0"/>
              <w:rPr>
                <w:sz w:val="1"/>
                <w:szCs w:val="1"/>
                <w:color w:val="auto"/>
              </w:rPr>
            </w:pPr>
          </w:p>
        </w:tc>
      </w:tr>
      <w:tr>
        <w:trPr>
          <w:trHeight w:val="119"/>
        </w:trPr>
        <w:tc>
          <w:tcPr>
            <w:tcW w:w="1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14/340,144</w:t>
            </w: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7/24/2014</w:t>
            </w:r>
          </w:p>
        </w:tc>
        <w:tc>
          <w:tcPr>
            <w:tcW w:w="14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tcPr>
          <w:p>
            <w:pPr>
              <w:jc w:val="center"/>
              <w:ind w:left="117"/>
              <w:spacing w:after="0" w:line="120" w:lineRule="exact"/>
              <w:rPr>
                <w:sz w:val="20"/>
                <w:szCs w:val="20"/>
                <w:color w:val="auto"/>
              </w:rPr>
            </w:pPr>
            <w:r>
              <w:rPr>
                <w:rFonts w:ascii="Times New Roman" w:cs="Times New Roman" w:eastAsia="Times New Roman" w:hAnsi="Times New Roman"/>
                <w:sz w:val="12"/>
                <w:szCs w:val="12"/>
                <w:color w:val="auto"/>
              </w:rPr>
              <w:t>8,909,345</w:t>
            </w:r>
          </w:p>
        </w:tc>
        <w:tc>
          <w:tcPr>
            <w:tcW w:w="14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12/9/2014</w:t>
            </w:r>
          </w:p>
        </w:tc>
        <w:tc>
          <w:tcPr>
            <w:tcW w:w="140" w:type="dxa"/>
            <w:vAlign w:val="bottom"/>
          </w:tcPr>
          <w:p>
            <w:pPr>
              <w:spacing w:after="0"/>
              <w:rPr>
                <w:sz w:val="10"/>
                <w:szCs w:val="10"/>
                <w:color w:val="auto"/>
              </w:rPr>
            </w:pPr>
          </w:p>
        </w:tc>
        <w:tc>
          <w:tcPr>
            <w:tcW w:w="45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within a patient’s mouth combined with physical</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therapy to provide neurorehabilitation of a patient to treat various maladies</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including, e.g., TBI, stroke, and Alzheimer’s disease</w:t>
            </w:r>
          </w:p>
        </w:tc>
        <w:tc>
          <w:tcPr>
            <w:tcW w:w="0" w:type="dxa"/>
            <w:vAlign w:val="bottom"/>
          </w:tcPr>
          <w:p>
            <w:pPr>
              <w:spacing w:after="0"/>
              <w:rPr>
                <w:sz w:val="1"/>
                <w:szCs w:val="1"/>
                <w:color w:val="auto"/>
              </w:rPr>
            </w:pPr>
          </w:p>
        </w:tc>
      </w:tr>
      <w:tr>
        <w:trPr>
          <w:trHeight w:val="119"/>
        </w:trPr>
        <w:tc>
          <w:tcPr>
            <w:tcW w:w="10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14/341,141</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7/25/2014</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shd w:val="clear" w:color="auto" w:fill="CCEEFF"/>
          </w:tcPr>
          <w:p>
            <w:pPr>
              <w:jc w:val="center"/>
              <w:ind w:left="117"/>
              <w:spacing w:after="0" w:line="120" w:lineRule="exact"/>
              <w:rPr>
                <w:sz w:val="20"/>
                <w:szCs w:val="20"/>
                <w:color w:val="auto"/>
              </w:rPr>
            </w:pPr>
            <w:r>
              <w:rPr>
                <w:rFonts w:ascii="Times New Roman" w:cs="Times New Roman" w:eastAsia="Times New Roman" w:hAnsi="Times New Roman"/>
                <w:sz w:val="12"/>
                <w:szCs w:val="12"/>
                <w:color w:val="auto"/>
              </w:rPr>
              <w:t>9,020,612</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4/28/2015</w:t>
            </w:r>
          </w:p>
        </w:tc>
        <w:tc>
          <w:tcPr>
            <w:tcW w:w="14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within a patient's mouth combined with cognitive</w:t>
            </w: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therapy to provide neurorehabilitation of a patient resulting in improved reading</w:t>
            </w: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comprehension and increased attention span as well as the treatment various</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maladies including, but not limited to, TBI, stroke, and Alzheimer's disease</w:t>
            </w:r>
          </w:p>
        </w:tc>
        <w:tc>
          <w:tcPr>
            <w:tcW w:w="0" w:type="dxa"/>
            <w:vAlign w:val="bottom"/>
          </w:tcPr>
          <w:p>
            <w:pPr>
              <w:spacing w:after="0"/>
              <w:rPr>
                <w:sz w:val="1"/>
                <w:szCs w:val="1"/>
                <w:color w:val="auto"/>
              </w:rPr>
            </w:pPr>
          </w:p>
        </w:tc>
      </w:tr>
      <w:tr>
        <w:trPr>
          <w:trHeight w:val="119"/>
        </w:trPr>
        <w:tc>
          <w:tcPr>
            <w:tcW w:w="1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14/615,766</w:t>
            </w: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2/6/2015</w:t>
            </w:r>
          </w:p>
        </w:tc>
        <w:tc>
          <w:tcPr>
            <w:tcW w:w="14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tcPr>
          <w:p>
            <w:pPr>
              <w:jc w:val="center"/>
              <w:ind w:left="117"/>
              <w:spacing w:after="0" w:line="120" w:lineRule="exact"/>
              <w:rPr>
                <w:sz w:val="20"/>
                <w:szCs w:val="20"/>
                <w:color w:val="auto"/>
              </w:rPr>
            </w:pPr>
            <w:r>
              <w:rPr>
                <w:rFonts w:ascii="Times New Roman" w:cs="Times New Roman" w:eastAsia="Times New Roman" w:hAnsi="Times New Roman"/>
                <w:sz w:val="12"/>
                <w:szCs w:val="12"/>
                <w:color w:val="auto"/>
              </w:rPr>
              <w:t>9,656,078</w:t>
            </w:r>
          </w:p>
        </w:tc>
        <w:tc>
          <w:tcPr>
            <w:tcW w:w="14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5/23/2017</w:t>
            </w:r>
          </w:p>
        </w:tc>
        <w:tc>
          <w:tcPr>
            <w:tcW w:w="140" w:type="dxa"/>
            <w:vAlign w:val="bottom"/>
          </w:tcPr>
          <w:p>
            <w:pPr>
              <w:spacing w:after="0"/>
              <w:rPr>
                <w:sz w:val="10"/>
                <w:szCs w:val="10"/>
                <w:color w:val="auto"/>
              </w:rPr>
            </w:pPr>
          </w:p>
        </w:tc>
        <w:tc>
          <w:tcPr>
            <w:tcW w:w="45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within a patient’s mouth combined with stimulation</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w w:val="96"/>
              </w:rPr>
              <w:t>of the patient’s vision, hearing, vestibular systems, or somatosensory systems for the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treatment of tinnitus</w:t>
            </w:r>
          </w:p>
        </w:tc>
        <w:tc>
          <w:tcPr>
            <w:tcW w:w="0" w:type="dxa"/>
            <w:vAlign w:val="bottom"/>
          </w:tcPr>
          <w:p>
            <w:pPr>
              <w:spacing w:after="0"/>
              <w:rPr>
                <w:sz w:val="1"/>
                <w:szCs w:val="1"/>
                <w:color w:val="auto"/>
              </w:rPr>
            </w:pPr>
          </w:p>
        </w:tc>
      </w:tr>
      <w:tr>
        <w:trPr>
          <w:trHeight w:val="119"/>
        </w:trPr>
        <w:tc>
          <w:tcPr>
            <w:tcW w:w="10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14/689,462</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4/17/2015</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shd w:val="clear" w:color="auto" w:fill="CCEEFF"/>
          </w:tcPr>
          <w:p>
            <w:pPr>
              <w:jc w:val="center"/>
              <w:ind w:left="117"/>
              <w:spacing w:after="0" w:line="120" w:lineRule="exact"/>
              <w:rPr>
                <w:sz w:val="20"/>
                <w:szCs w:val="20"/>
                <w:color w:val="auto"/>
              </w:rPr>
            </w:pPr>
            <w:r>
              <w:rPr>
                <w:rFonts w:ascii="Times New Roman" w:cs="Times New Roman" w:eastAsia="Times New Roman" w:hAnsi="Times New Roman"/>
                <w:sz w:val="12"/>
                <w:szCs w:val="12"/>
                <w:color w:val="auto"/>
              </w:rPr>
              <w:t>9,597,501</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3/21/2017</w:t>
            </w:r>
          </w:p>
        </w:tc>
        <w:tc>
          <w:tcPr>
            <w:tcW w:w="14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patient’s skin combined with cognitive therapy</w:t>
            </w: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to provide neurorehabilitation of a patient resulting in improved reading</w:t>
            </w: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comprehension and increased attention span as well as the treatment various</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maladies including, e.g., TBI, stroke, and Alzheimer’s disease</w:t>
            </w:r>
          </w:p>
        </w:tc>
        <w:tc>
          <w:tcPr>
            <w:tcW w:w="0" w:type="dxa"/>
            <w:vAlign w:val="bottom"/>
          </w:tcPr>
          <w:p>
            <w:pPr>
              <w:spacing w:after="0"/>
              <w:rPr>
                <w:sz w:val="1"/>
                <w:szCs w:val="1"/>
                <w:color w:val="auto"/>
              </w:rPr>
            </w:pPr>
          </w:p>
        </w:tc>
      </w:tr>
      <w:tr>
        <w:trPr>
          <w:trHeight w:val="119"/>
        </w:trPr>
        <w:tc>
          <w:tcPr>
            <w:tcW w:w="1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14/815,171</w:t>
            </w: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7/31/2015</w:t>
            </w:r>
          </w:p>
        </w:tc>
        <w:tc>
          <w:tcPr>
            <w:tcW w:w="14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tcPr>
          <w:p>
            <w:pPr>
              <w:jc w:val="center"/>
              <w:ind w:left="117"/>
              <w:spacing w:after="0" w:line="120" w:lineRule="exact"/>
              <w:rPr>
                <w:sz w:val="20"/>
                <w:szCs w:val="20"/>
                <w:color w:val="auto"/>
              </w:rPr>
            </w:pPr>
            <w:r>
              <w:rPr>
                <w:rFonts w:ascii="Times New Roman" w:cs="Times New Roman" w:eastAsia="Times New Roman" w:hAnsi="Times New Roman"/>
                <w:sz w:val="12"/>
                <w:szCs w:val="12"/>
                <w:color w:val="auto"/>
              </w:rPr>
              <w:t>9,597,504</w:t>
            </w:r>
          </w:p>
        </w:tc>
        <w:tc>
          <w:tcPr>
            <w:tcW w:w="14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3/21/2017</w:t>
            </w:r>
          </w:p>
        </w:tc>
        <w:tc>
          <w:tcPr>
            <w:tcW w:w="140" w:type="dxa"/>
            <w:vAlign w:val="bottom"/>
          </w:tcPr>
          <w:p>
            <w:pPr>
              <w:spacing w:after="0"/>
              <w:rPr>
                <w:sz w:val="10"/>
                <w:szCs w:val="10"/>
                <w:color w:val="auto"/>
              </w:rPr>
            </w:pPr>
          </w:p>
        </w:tc>
        <w:tc>
          <w:tcPr>
            <w:tcW w:w="45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patient’s mouth combined with therapy to</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provide neurorehabilitation of a patient, with a focus on features of a</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neurostimulation device</w:t>
            </w:r>
          </w:p>
        </w:tc>
        <w:tc>
          <w:tcPr>
            <w:tcW w:w="0" w:type="dxa"/>
            <w:vAlign w:val="bottom"/>
          </w:tcPr>
          <w:p>
            <w:pPr>
              <w:spacing w:after="0"/>
              <w:rPr>
                <w:sz w:val="1"/>
                <w:szCs w:val="1"/>
                <w:color w:val="auto"/>
              </w:rPr>
            </w:pPr>
          </w:p>
        </w:tc>
      </w:tr>
      <w:tr>
        <w:trPr>
          <w:trHeight w:val="119"/>
        </w:trPr>
        <w:tc>
          <w:tcPr>
            <w:tcW w:w="10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15/207,029</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7/11/2016</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shd w:val="clear" w:color="auto" w:fill="CCEEFF"/>
          </w:tcPr>
          <w:p>
            <w:pPr>
              <w:jc w:val="center"/>
              <w:ind w:left="117"/>
              <w:spacing w:after="0" w:line="120" w:lineRule="exact"/>
              <w:rPr>
                <w:sz w:val="20"/>
                <w:szCs w:val="20"/>
                <w:color w:val="auto"/>
              </w:rPr>
            </w:pPr>
            <w:r>
              <w:rPr>
                <w:rFonts w:ascii="Times New Roman" w:cs="Times New Roman" w:eastAsia="Times New Roman" w:hAnsi="Times New Roman"/>
                <w:sz w:val="12"/>
                <w:szCs w:val="12"/>
                <w:color w:val="auto"/>
              </w:rPr>
              <w:t>9,656,069</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5/23/2017</w:t>
            </w:r>
          </w:p>
        </w:tc>
        <w:tc>
          <w:tcPr>
            <w:tcW w:w="14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subject’s oral cavity while the subject engages</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an exercise in order to enhance the subject’s proficiency in the exercise</w:t>
            </w:r>
          </w:p>
        </w:tc>
        <w:tc>
          <w:tcPr>
            <w:tcW w:w="0" w:type="dxa"/>
            <w:vAlign w:val="bottom"/>
          </w:tcPr>
          <w:p>
            <w:pPr>
              <w:spacing w:after="0"/>
              <w:rPr>
                <w:sz w:val="1"/>
                <w:szCs w:val="1"/>
                <w:color w:val="auto"/>
              </w:rPr>
            </w:pPr>
          </w:p>
        </w:tc>
      </w:tr>
      <w:tr>
        <w:trPr>
          <w:trHeight w:val="119"/>
        </w:trPr>
        <w:tc>
          <w:tcPr>
            <w:tcW w:w="1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15/283,894</w:t>
            </w: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10/3/2016</w:t>
            </w:r>
          </w:p>
        </w:tc>
        <w:tc>
          <w:tcPr>
            <w:tcW w:w="14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tcPr>
          <w:p>
            <w:pPr>
              <w:jc w:val="center"/>
              <w:ind w:left="97"/>
              <w:spacing w:after="0" w:line="120" w:lineRule="exact"/>
              <w:rPr>
                <w:sz w:val="20"/>
                <w:szCs w:val="20"/>
                <w:color w:val="auto"/>
              </w:rPr>
            </w:pPr>
            <w:r>
              <w:rPr>
                <w:rFonts w:ascii="Times New Roman" w:cs="Times New Roman" w:eastAsia="Times New Roman" w:hAnsi="Times New Roman"/>
                <w:sz w:val="12"/>
                <w:szCs w:val="12"/>
                <w:color w:val="auto"/>
              </w:rPr>
              <w:t>10,293,163</w:t>
            </w:r>
          </w:p>
        </w:tc>
        <w:tc>
          <w:tcPr>
            <w:tcW w:w="14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5/21/2019</w:t>
            </w:r>
          </w:p>
        </w:tc>
        <w:tc>
          <w:tcPr>
            <w:tcW w:w="140" w:type="dxa"/>
            <w:vAlign w:val="bottom"/>
          </w:tcPr>
          <w:p>
            <w:pPr>
              <w:spacing w:after="0"/>
              <w:rPr>
                <w:sz w:val="10"/>
                <w:szCs w:val="10"/>
                <w:color w:val="auto"/>
              </w:rPr>
            </w:pPr>
          </w:p>
        </w:tc>
        <w:tc>
          <w:tcPr>
            <w:tcW w:w="45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subject’s oral cavity or skin while the subject</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engages in a physical or cognitive exercise in order to enhance the subject’s</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proficiency in the exercise</w:t>
            </w:r>
          </w:p>
        </w:tc>
        <w:tc>
          <w:tcPr>
            <w:tcW w:w="0" w:type="dxa"/>
            <w:vAlign w:val="bottom"/>
          </w:tcPr>
          <w:p>
            <w:pPr>
              <w:spacing w:after="0"/>
              <w:rPr>
                <w:sz w:val="1"/>
                <w:szCs w:val="1"/>
                <w:color w:val="auto"/>
              </w:rPr>
            </w:pPr>
          </w:p>
        </w:tc>
      </w:tr>
      <w:tr>
        <w:trPr>
          <w:trHeight w:val="119"/>
        </w:trPr>
        <w:tc>
          <w:tcPr>
            <w:tcW w:w="10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15/602,060</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5/22/2017</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shd w:val="clear" w:color="auto" w:fill="CCEEFF"/>
          </w:tcPr>
          <w:p>
            <w:pPr>
              <w:jc w:val="center"/>
              <w:ind w:left="97"/>
              <w:spacing w:after="0" w:line="120" w:lineRule="exact"/>
              <w:rPr>
                <w:sz w:val="20"/>
                <w:szCs w:val="20"/>
                <w:color w:val="auto"/>
              </w:rPr>
            </w:pPr>
            <w:r>
              <w:rPr>
                <w:rFonts w:ascii="Times New Roman" w:cs="Times New Roman" w:eastAsia="Times New Roman" w:hAnsi="Times New Roman"/>
                <w:sz w:val="12"/>
                <w:szCs w:val="12"/>
                <w:color w:val="auto"/>
              </w:rPr>
              <w:t>10,328,263</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6/25/2019</w:t>
            </w:r>
          </w:p>
        </w:tc>
        <w:tc>
          <w:tcPr>
            <w:tcW w:w="14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within a patient’s mouth or on a patient’s skin</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combined with an exercise for treatment of a disorder affecting sleep patterns</w:t>
            </w:r>
          </w:p>
        </w:tc>
        <w:tc>
          <w:tcPr>
            <w:tcW w:w="0" w:type="dxa"/>
            <w:vAlign w:val="bottom"/>
          </w:tcPr>
          <w:p>
            <w:pPr>
              <w:spacing w:after="0"/>
              <w:rPr>
                <w:sz w:val="1"/>
                <w:szCs w:val="1"/>
                <w:color w:val="auto"/>
              </w:rPr>
            </w:pPr>
          </w:p>
        </w:tc>
      </w:tr>
      <w:tr>
        <w:trPr>
          <w:trHeight w:val="119"/>
        </w:trPr>
        <w:tc>
          <w:tcPr>
            <w:tcW w:w="1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16/376,595</w:t>
            </w: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4/5/2019</w:t>
            </w:r>
          </w:p>
        </w:tc>
        <w:tc>
          <w:tcPr>
            <w:tcW w:w="14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tcPr>
          <w:p>
            <w:pPr>
              <w:jc w:val="center"/>
              <w:ind w:left="97"/>
              <w:spacing w:after="0" w:line="120" w:lineRule="exact"/>
              <w:rPr>
                <w:sz w:val="20"/>
                <w:szCs w:val="20"/>
                <w:color w:val="auto"/>
              </w:rPr>
            </w:pPr>
            <w:r>
              <w:rPr>
                <w:rFonts w:ascii="Times New Roman" w:cs="Times New Roman" w:eastAsia="Times New Roman" w:hAnsi="Times New Roman"/>
                <w:sz w:val="12"/>
                <w:szCs w:val="12"/>
                <w:color w:val="auto"/>
              </w:rPr>
              <w:t>11,185,696</w:t>
            </w:r>
          </w:p>
        </w:tc>
        <w:tc>
          <w:tcPr>
            <w:tcW w:w="14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11/30/2021</w:t>
            </w:r>
          </w:p>
        </w:tc>
        <w:tc>
          <w:tcPr>
            <w:tcW w:w="140" w:type="dxa"/>
            <w:vAlign w:val="bottom"/>
          </w:tcPr>
          <w:p>
            <w:pPr>
              <w:spacing w:after="0"/>
              <w:rPr>
                <w:sz w:val="10"/>
                <w:szCs w:val="10"/>
                <w:color w:val="auto"/>
              </w:rPr>
            </w:pPr>
          </w:p>
        </w:tc>
        <w:tc>
          <w:tcPr>
            <w:tcW w:w="45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subject's oral cavity or skin while the subject</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engages in a physical or cognitive exercise in order to enhance a subject's</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proficiency in the exercise</w:t>
            </w:r>
          </w:p>
        </w:tc>
        <w:tc>
          <w:tcPr>
            <w:tcW w:w="0" w:type="dxa"/>
            <w:vAlign w:val="bottom"/>
          </w:tcPr>
          <w:p>
            <w:pPr>
              <w:spacing w:after="0"/>
              <w:rPr>
                <w:sz w:val="1"/>
                <w:szCs w:val="1"/>
                <w:color w:val="auto"/>
              </w:rPr>
            </w:pPr>
          </w:p>
        </w:tc>
      </w:tr>
      <w:tr>
        <w:trPr>
          <w:trHeight w:val="119"/>
        </w:trPr>
        <w:tc>
          <w:tcPr>
            <w:tcW w:w="10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16/450,915</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6/24/2019</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shd w:val="clear" w:color="auto" w:fill="CCEEFF"/>
          </w:tcPr>
          <w:p>
            <w:pPr>
              <w:jc w:val="center"/>
              <w:ind w:left="97"/>
              <w:spacing w:after="0" w:line="120" w:lineRule="exact"/>
              <w:rPr>
                <w:sz w:val="20"/>
                <w:szCs w:val="20"/>
                <w:color w:val="auto"/>
              </w:rPr>
            </w:pPr>
            <w:r>
              <w:rPr>
                <w:rFonts w:ascii="Times New Roman" w:cs="Times New Roman" w:eastAsia="Times New Roman" w:hAnsi="Times New Roman"/>
                <w:sz w:val="12"/>
                <w:szCs w:val="12"/>
                <w:color w:val="auto"/>
              </w:rPr>
              <w:t>11,285,325</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3/29/2022</w:t>
            </w:r>
          </w:p>
        </w:tc>
        <w:tc>
          <w:tcPr>
            <w:tcW w:w="14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subject's oral cavity or skin while the subject</w:t>
            </w: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engages in a physical or cognitive exercise in order to enhance the subject's</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proficiency in the exercise</w:t>
            </w:r>
          </w:p>
        </w:tc>
        <w:tc>
          <w:tcPr>
            <w:tcW w:w="0" w:type="dxa"/>
            <w:vAlign w:val="bottom"/>
          </w:tcPr>
          <w:p>
            <w:pPr>
              <w:spacing w:after="0"/>
              <w:rPr>
                <w:sz w:val="1"/>
                <w:szCs w:val="1"/>
                <w:color w:val="auto"/>
              </w:rPr>
            </w:pPr>
          </w:p>
        </w:tc>
      </w:tr>
      <w:tr>
        <w:trPr>
          <w:trHeight w:val="119"/>
        </w:trPr>
        <w:tc>
          <w:tcPr>
            <w:tcW w:w="1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17/704,051</w:t>
            </w: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3/25/2022</w:t>
            </w:r>
          </w:p>
        </w:tc>
        <w:tc>
          <w:tcPr>
            <w:tcW w:w="14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40" w:type="dxa"/>
            <w:vAlign w:val="bottom"/>
            <w:gridSpan w:val="2"/>
          </w:tcPr>
          <w:p>
            <w:pPr>
              <w:jc w:val="center"/>
              <w:ind w:left="97"/>
              <w:spacing w:after="0" w:line="120" w:lineRule="exact"/>
              <w:rPr>
                <w:sz w:val="20"/>
                <w:szCs w:val="20"/>
                <w:color w:val="auto"/>
              </w:rPr>
            </w:pPr>
            <w:r>
              <w:rPr>
                <w:rFonts w:ascii="Times New Roman" w:cs="Times New Roman" w:eastAsia="Times New Roman" w:hAnsi="Times New Roman"/>
                <w:sz w:val="12"/>
                <w:szCs w:val="12"/>
                <w:color w:val="auto"/>
              </w:rPr>
              <w:t>12,064,629</w:t>
            </w:r>
          </w:p>
        </w:tc>
        <w:tc>
          <w:tcPr>
            <w:tcW w:w="14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8/20/2024</w:t>
            </w:r>
          </w:p>
        </w:tc>
        <w:tc>
          <w:tcPr>
            <w:tcW w:w="140" w:type="dxa"/>
            <w:vAlign w:val="bottom"/>
          </w:tcPr>
          <w:p>
            <w:pPr>
              <w:spacing w:after="0"/>
              <w:rPr>
                <w:sz w:val="10"/>
                <w:szCs w:val="10"/>
                <w:color w:val="auto"/>
              </w:rPr>
            </w:pPr>
          </w:p>
        </w:tc>
        <w:tc>
          <w:tcPr>
            <w:tcW w:w="45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subject’s oral cavity or skin while the subject</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engages in a physical or cognitive exercise in order to enhance the subject’s</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proficiency in the exercise</w:t>
            </w:r>
          </w:p>
        </w:tc>
        <w:tc>
          <w:tcPr>
            <w:tcW w:w="0" w:type="dxa"/>
            <w:vAlign w:val="bottom"/>
          </w:tcPr>
          <w:p>
            <w:pPr>
              <w:spacing w:after="0"/>
              <w:rPr>
                <w:sz w:val="1"/>
                <w:szCs w:val="1"/>
                <w:color w:val="auto"/>
              </w:rPr>
            </w:pPr>
          </w:p>
        </w:tc>
      </w:tr>
      <w:tr>
        <w:trPr>
          <w:trHeight w:val="119"/>
        </w:trPr>
        <w:tc>
          <w:tcPr>
            <w:tcW w:w="10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18/773,984</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7/16/2024</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Pending</w:t>
            </w:r>
          </w:p>
        </w:tc>
        <w:tc>
          <w:tcPr>
            <w:tcW w:w="1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240"/>
              <w:spacing w:after="0" w:line="120" w:lineRule="exact"/>
              <w:rPr>
                <w:sz w:val="20"/>
                <w:szCs w:val="20"/>
                <w:color w:val="auto"/>
              </w:rPr>
            </w:pPr>
            <w:r>
              <w:rPr>
                <w:rFonts w:ascii="Times New Roman" w:cs="Times New Roman" w:eastAsia="Times New Roman" w:hAnsi="Times New Roman"/>
                <w:sz w:val="12"/>
                <w:szCs w:val="12"/>
                <w:color w:val="auto"/>
              </w:rPr>
              <w:t>N/A</w:t>
            </w:r>
          </w:p>
        </w:tc>
        <w:tc>
          <w:tcPr>
            <w:tcW w:w="800" w:type="dxa"/>
            <w:vAlign w:val="bottom"/>
            <w:gridSpan w:val="2"/>
            <w:shd w:val="clear" w:color="auto" w:fill="CCEEFF"/>
          </w:tcPr>
          <w:p>
            <w:pPr>
              <w:jc w:val="center"/>
              <w:ind w:right="160"/>
              <w:spacing w:after="0" w:line="120" w:lineRule="exact"/>
              <w:rPr>
                <w:sz w:val="20"/>
                <w:szCs w:val="20"/>
                <w:color w:val="auto"/>
              </w:rPr>
            </w:pPr>
            <w:r>
              <w:rPr>
                <w:rFonts w:ascii="Times New Roman" w:cs="Times New Roman" w:eastAsia="Times New Roman" w:hAnsi="Times New Roman"/>
                <w:sz w:val="12"/>
                <w:szCs w:val="12"/>
                <w:color w:val="auto"/>
              </w:rPr>
              <w:t>N/A</w:t>
            </w:r>
          </w:p>
        </w:tc>
        <w:tc>
          <w:tcPr>
            <w:tcW w:w="45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Non-invasive neurostimulation of a subject’s oral cavity or skin while the subject</w:t>
            </w: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w w:val="99"/>
              </w:rPr>
              <w:t>engages in a physical or cognitive exercise and while the patient is not engaged in</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exercise in order to enhance the subject’s proficiency in the exercise</w:t>
            </w:r>
          </w:p>
        </w:tc>
        <w:tc>
          <w:tcPr>
            <w:tcW w:w="0" w:type="dxa"/>
            <w:vAlign w:val="bottom"/>
          </w:tcPr>
          <w:p>
            <w:pPr>
              <w:spacing w:after="0"/>
              <w:rPr>
                <w:sz w:val="1"/>
                <w:szCs w:val="1"/>
                <w:color w:val="auto"/>
              </w:rPr>
            </w:pPr>
          </w:p>
        </w:tc>
      </w:tr>
      <w:tr>
        <w:trPr>
          <w:trHeight w:val="140"/>
        </w:trPr>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61/019,061</w:t>
            </w:r>
          </w:p>
        </w:tc>
        <w:tc>
          <w:tcPr>
            <w:tcW w:w="14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1/4/2008</w:t>
            </w:r>
          </w:p>
        </w:tc>
        <w:tc>
          <w:tcPr>
            <w:tcW w:w="140" w:type="dxa"/>
            <w:vAlign w:val="bottom"/>
          </w:tcPr>
          <w:p>
            <w:pPr>
              <w:spacing w:after="0"/>
              <w:rPr>
                <w:sz w:val="12"/>
                <w:szCs w:val="12"/>
                <w:color w:val="auto"/>
              </w:rPr>
            </w:pPr>
          </w:p>
        </w:tc>
        <w:tc>
          <w:tcPr>
            <w:tcW w:w="4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Expired</w:t>
            </w:r>
          </w:p>
        </w:tc>
        <w:tc>
          <w:tcPr>
            <w:tcW w:w="140" w:type="dxa"/>
            <w:vAlign w:val="bottom"/>
          </w:tcPr>
          <w:p>
            <w:pPr>
              <w:spacing w:after="0"/>
              <w:rPr>
                <w:sz w:val="12"/>
                <w:szCs w:val="12"/>
                <w:color w:val="auto"/>
              </w:rPr>
            </w:pPr>
          </w:p>
        </w:tc>
        <w:tc>
          <w:tcPr>
            <w:tcW w:w="84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4"/>
                <w:szCs w:val="14"/>
                <w:color w:val="auto"/>
                <w:w w:val="99"/>
              </w:rPr>
              <w:t>N/A</w:t>
            </w: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0"/>
        </w:trPr>
        <w:tc>
          <w:tcPr>
            <w:tcW w:w="1220" w:type="dxa"/>
            <w:vAlign w:val="bottom"/>
            <w:gridSpan w:val="2"/>
            <w:shd w:val="clear" w:color="auto" w:fill="CCEEFF"/>
          </w:tcPr>
          <w:p>
            <w:pPr>
              <w:jc w:val="center"/>
              <w:ind w:right="160"/>
              <w:spacing w:after="0" w:line="140" w:lineRule="exact"/>
              <w:rPr>
                <w:sz w:val="20"/>
                <w:szCs w:val="20"/>
                <w:color w:val="auto"/>
              </w:rPr>
            </w:pPr>
            <w:r>
              <w:rPr>
                <w:rFonts w:ascii="Times New Roman" w:cs="Times New Roman" w:eastAsia="Times New Roman" w:hAnsi="Times New Roman"/>
                <w:sz w:val="14"/>
                <w:szCs w:val="14"/>
                <w:color w:val="auto"/>
                <w:w w:val="95"/>
              </w:rPr>
              <w:t>(Provisional)</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61/020,265</w:t>
            </w:r>
          </w:p>
        </w:tc>
        <w:tc>
          <w:tcPr>
            <w:tcW w:w="14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1/10/2008</w:t>
            </w:r>
          </w:p>
        </w:tc>
        <w:tc>
          <w:tcPr>
            <w:tcW w:w="140" w:type="dxa"/>
            <w:vAlign w:val="bottom"/>
          </w:tcPr>
          <w:p>
            <w:pPr>
              <w:spacing w:after="0"/>
              <w:rPr>
                <w:sz w:val="12"/>
                <w:szCs w:val="12"/>
                <w:color w:val="auto"/>
              </w:rPr>
            </w:pPr>
          </w:p>
        </w:tc>
        <w:tc>
          <w:tcPr>
            <w:tcW w:w="4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Expired</w:t>
            </w:r>
          </w:p>
        </w:tc>
        <w:tc>
          <w:tcPr>
            <w:tcW w:w="140" w:type="dxa"/>
            <w:vAlign w:val="bottom"/>
          </w:tcPr>
          <w:p>
            <w:pPr>
              <w:spacing w:after="0"/>
              <w:rPr>
                <w:sz w:val="12"/>
                <w:szCs w:val="12"/>
                <w:color w:val="auto"/>
              </w:rPr>
            </w:pPr>
          </w:p>
        </w:tc>
        <w:tc>
          <w:tcPr>
            <w:tcW w:w="84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4"/>
                <w:szCs w:val="14"/>
                <w:color w:val="auto"/>
                <w:w w:val="99"/>
              </w:rPr>
              <w:t>N/A</w:t>
            </w:r>
          </w:p>
        </w:tc>
        <w:tc>
          <w:tcPr>
            <w:tcW w:w="45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0"/>
        </w:trPr>
        <w:tc>
          <w:tcPr>
            <w:tcW w:w="1220" w:type="dxa"/>
            <w:vAlign w:val="bottom"/>
            <w:gridSpan w:val="2"/>
            <w:shd w:val="clear" w:color="auto" w:fill="CCEEFF"/>
          </w:tcPr>
          <w:p>
            <w:pPr>
              <w:jc w:val="center"/>
              <w:ind w:right="160"/>
              <w:spacing w:after="0" w:line="140" w:lineRule="exact"/>
              <w:rPr>
                <w:sz w:val="20"/>
                <w:szCs w:val="20"/>
                <w:color w:val="auto"/>
              </w:rPr>
            </w:pPr>
            <w:r>
              <w:rPr>
                <w:rFonts w:ascii="Times New Roman" w:cs="Times New Roman" w:eastAsia="Times New Roman" w:hAnsi="Times New Roman"/>
                <w:sz w:val="14"/>
                <w:szCs w:val="14"/>
                <w:color w:val="auto"/>
                <w:w w:val="95"/>
              </w:rPr>
              <w:t>(Provisional)</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699"/>
        <w:spacing w:after="0" w:line="310" w:lineRule="auto"/>
        <w:rPr>
          <w:sz w:val="20"/>
          <w:szCs w:val="20"/>
          <w:color w:val="auto"/>
        </w:rPr>
      </w:pPr>
      <w:r>
        <w:rPr>
          <w:rFonts w:ascii="Times New Roman" w:cs="Times New Roman" w:eastAsia="Times New Roman" w:hAnsi="Times New Roman"/>
          <w:sz w:val="16"/>
          <w:szCs w:val="16"/>
          <w:color w:val="auto"/>
        </w:rPr>
        <w:t>U.S. Patent Nos. 8,909,345; 9,020,612; 9,656,078; 9,597,501; 9,597,504; 9,656,069; 10,293,163; 10,328,263; 11,185,696; 11,285,325; and 12,064,629 and U.S. Application No. 18/773,984 claim priority to U.S. Patent No. 8,849,407.</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color w:val="auto"/>
        </w:rPr>
        <w:t>A U.S. provisional patent application provides the means to establish an early effective filing date for a later filed nonprovisional patent application. Therefore, though the two provisional applications have expired, they establish a priority date for U.S. Patent Nos. 8,909,345; 9,020,612; 9,656,078; 9,597,501; 9,597,504; 9,656,069; 10,293,163; 10,328,263; 11,185,696; 11,285,325; and 12,064,629, and U.S. Application No. 18/773,984,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spacing w:after="0" w:line="178" w:lineRule="exact"/>
        <w:rPr>
          <w:sz w:val="20"/>
          <w:szCs w:val="20"/>
          <w:color w:val="auto"/>
        </w:rPr>
      </w:pPr>
    </w:p>
    <w:p>
      <w:pPr>
        <w:ind w:left="40" w:right="239"/>
        <w:spacing w:after="0" w:line="271" w:lineRule="auto"/>
        <w:rPr>
          <w:sz w:val="20"/>
          <w:szCs w:val="20"/>
          <w:color w:val="auto"/>
        </w:rPr>
      </w:pPr>
      <w:r>
        <w:rPr>
          <w:rFonts w:ascii="Times New Roman" w:cs="Times New Roman" w:eastAsia="Times New Roman" w:hAnsi="Times New Roman"/>
          <w:sz w:val="16"/>
          <w:szCs w:val="16"/>
          <w:color w:val="auto"/>
        </w:rPr>
        <w:t>ANR holds an interest in the Patent Pending Rights pursuant to an exclusive license from the inventors. U.S. Patent Nos. 8,909,345; 9,020,612; 9,656,078; 9,597,501; 9,597,504; 9,656,069; 10,293,163; 10,328,263; 11,185,696; 11,285,325; and 12,064,629, and U.S. Application No. 18/773,984 are included in the exclusive license as the exclusive license agreement covers</w:t>
      </w:r>
    </w:p>
    <w:p>
      <w:pPr>
        <w:spacing w:after="0" w:line="2" w:lineRule="exact"/>
        <w:rPr>
          <w:sz w:val="20"/>
          <w:szCs w:val="20"/>
          <w:color w:val="auto"/>
        </w:rPr>
      </w:pPr>
    </w:p>
    <w:p>
      <w:pPr>
        <w:ind w:left="40" w:right="179" w:firstLine="5"/>
        <w:spacing w:after="0" w:line="251" w:lineRule="auto"/>
        <w:tabs>
          <w:tab w:leader="none" w:pos="24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10,293,163; 10,328,263; 11,185,696; 11,285,325; and 12,064,629, and U.S. Application No. 18/773,984 claim priority through such provisional application as well as through Provisional Application 61/020,265.</w:t>
      </w:r>
    </w:p>
    <w:p>
      <w:pPr>
        <w:spacing w:after="0" w:line="182"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7"/>
          <w:szCs w:val="17"/>
          <w:color w:val="auto"/>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PoNS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On June 6, 2014, HMI and ANR entered into a second amended and restated sublicense agreement, or the Second Sublicense Agreement, which acknowledges the Reverse Merger (see “Our Corporate History – Acquisition of Helius Medical, Inc and Concurrent Financing” below) and adds us as a party to the agreement.</w:t>
      </w:r>
    </w:p>
    <w:p>
      <w:pPr>
        <w:spacing w:after="0" w:line="184"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The license of the Patent Pending Rights is subject to the right of the government of the United States, which funded certain research relating to the development of the PoNS device, to a nonexclusive, non-transferable, irrevocable, paid-up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Company Owned Intellectual Property</w:t>
      </w:r>
    </w:p>
    <w:p>
      <w:pPr>
        <w:spacing w:after="0" w:line="215"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7"/>
          <w:szCs w:val="17"/>
          <w:color w:val="auto"/>
        </w:rPr>
        <w:t>As of February 23, 2025, we have been granted 36 U.S. patent applications related to various technical and ornamental aspects of the PoNS device: 15 patents that cover various technical features in the current version device and 21 design patents describing various ornamental designs. We have also filed two U.S. provisional patent applications related to aspects of our next generation neurostimulation technology. We are the sole assignee for these 38 U.S. patent filings.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current U.S. patent portfolio consists of the following:</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U.S. Patent</w:t>
            </w:r>
          </w:p>
        </w:tc>
        <w:tc>
          <w:tcPr>
            <w:tcW w:w="1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Status</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Issue Date</w:t>
            </w:r>
          </w:p>
        </w:tc>
        <w:tc>
          <w:tcPr>
            <w:tcW w:w="448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Application No.</w:t>
            </w: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6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Patent No.</w:t>
            </w:r>
          </w:p>
        </w:tc>
        <w:tc>
          <w:tcPr>
            <w:tcW w:w="860" w:type="dxa"/>
            <w:vAlign w:val="bottom"/>
            <w:gridSpan w:val="2"/>
            <w:vMerge w:val="continue"/>
          </w:tcPr>
          <w:p>
            <w:pPr>
              <w:spacing w:after="0"/>
              <w:rPr>
                <w:sz w:val="14"/>
                <w:szCs w:val="14"/>
                <w:color w:val="auto"/>
              </w:rPr>
            </w:pP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9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4"/>
              </w:rPr>
              <w:t>14/558,768</w:t>
            </w: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4"/>
              </w:rPr>
              <w:t>Issued</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9072889</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6"/>
              </w:rPr>
              <w:t>7/7/2015</w:t>
            </w:r>
          </w:p>
        </w:tc>
        <w:tc>
          <w:tcPr>
            <w:tcW w:w="140" w:type="dxa"/>
            <w:vAlign w:val="bottom"/>
            <w:tcBorders>
              <w:top w:val="single" w:sz="8" w:color="CCEEFF"/>
            </w:tcBorders>
            <w:shd w:val="clear" w:color="auto" w:fill="CCEEFF"/>
          </w:tcPr>
          <w:p>
            <w:pPr>
              <w:spacing w:after="0"/>
              <w:rPr>
                <w:sz w:val="11"/>
                <w:szCs w:val="11"/>
                <w:color w:val="auto"/>
              </w:rPr>
            </w:pPr>
          </w:p>
        </w:tc>
        <w:tc>
          <w:tcPr>
            <w:tcW w:w="44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w w:val="96"/>
              </w:rPr>
              <w:t>Utility patent covering overall system design, including controller and mouthpiece</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14/559,123</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7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9272133</w:t>
            </w:r>
          </w:p>
        </w:tc>
        <w:tc>
          <w:tcPr>
            <w:tcW w:w="16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3/1/2016</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Utility patent covering strain relief mechanisms for the connection between the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mouthpiece and the controller</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14/558,787</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9227051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1/5/2016</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shape of the mouthpiece</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14/558,789</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9283377</w:t>
            </w:r>
          </w:p>
        </w:tc>
        <w:tc>
          <w:tcPr>
            <w:tcW w:w="16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3/15/2016</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center of gravity of the mouthpiece</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14/559,080</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9415209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8/16/2016</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structural support of the mouthpiece</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14/559,105</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9415210</w:t>
            </w:r>
          </w:p>
        </w:tc>
        <w:tc>
          <w:tcPr>
            <w:tcW w:w="16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8/16/2016</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glue wells of the mouthpiece</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14/727,100</w:t>
            </w:r>
          </w:p>
        </w:tc>
        <w:tc>
          <w:tcPr>
            <w:tcW w:w="940" w:type="dxa"/>
            <w:vAlign w:val="bottom"/>
            <w:gridSpan w:val="2"/>
            <w:shd w:val="clear" w:color="auto" w:fill="CCEEFF"/>
          </w:tcPr>
          <w:p>
            <w:pPr>
              <w:jc w:val="center"/>
              <w:ind w:left="75"/>
              <w:spacing w:after="0" w:line="120" w:lineRule="exact"/>
              <w:rPr>
                <w:sz w:val="20"/>
                <w:szCs w:val="20"/>
                <w:color w:val="auto"/>
              </w:rPr>
            </w:pPr>
            <w:r>
              <w:rPr>
                <w:rFonts w:ascii="Times New Roman" w:cs="Times New Roman" w:eastAsia="Times New Roman" w:hAnsi="Times New Roman"/>
                <w:sz w:val="12"/>
                <w:szCs w:val="12"/>
                <w:color w:val="auto"/>
              </w:rPr>
              <w:t>6/1/2015</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70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9616222</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4/11/2017</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Utility patent covering overall system design, including controller and mechanical</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details of the mouthpiece</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14/558,775</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9981127</w:t>
            </w:r>
          </w:p>
        </w:tc>
        <w:tc>
          <w:tcPr>
            <w:tcW w:w="16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5/29/2018</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aspects of the controller</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14/558,784</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9789306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10/17/2017</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authentication techniques</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14/559,045</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9993640</w:t>
            </w:r>
          </w:p>
        </w:tc>
        <w:tc>
          <w:tcPr>
            <w:tcW w:w="16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6/12/2018</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the locators of the mouthpiece</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14/559,118</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9656060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5/23/2017</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Utility patent covering methods of manufacturing the mouthpiece</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15/484,077</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4/10/2017</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7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10258790</w:t>
            </w:r>
          </w:p>
        </w:tc>
        <w:tc>
          <w:tcPr>
            <w:tcW w:w="16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4/16/2019</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Utility application covering overall system design, including controller and</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mechanical details of the mouthpiece</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15/602,055</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5/22/2017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7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10463850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11/5/2019</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Utility application covering methods of manufacturing the mouthpiece</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16/005,624</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6/11/2018</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7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10709887</w:t>
            </w:r>
          </w:p>
        </w:tc>
        <w:tc>
          <w:tcPr>
            <w:tcW w:w="16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7/14/2020</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Utility patent application covering methods of placing a mouthpiece in a patient’s</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mouth prior to engaging in NINM</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16/384,016</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4/15/2019</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70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11197994</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12/14/2021</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Utility patent application covering overall system design, including controller and</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mechanical details of the mouthpiece, where controller and mouthpiece</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communicate wirelessly</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63/761,434</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2/21/2025</w:t>
            </w:r>
          </w:p>
        </w:tc>
        <w:tc>
          <w:tcPr>
            <w:tcW w:w="140" w:type="dxa"/>
            <w:vAlign w:val="bottom"/>
          </w:tcPr>
          <w:p>
            <w:pPr>
              <w:spacing w:after="0"/>
              <w:rPr>
                <w:sz w:val="10"/>
                <w:szCs w:val="10"/>
                <w:color w:val="auto"/>
              </w:rPr>
            </w:pPr>
          </w:p>
        </w:tc>
        <w:tc>
          <w:tcPr>
            <w:tcW w:w="6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Pending</w:t>
            </w:r>
          </w:p>
        </w:tc>
        <w:tc>
          <w:tcPr>
            <w:tcW w:w="8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N/A</w:t>
            </w:r>
          </w:p>
        </w:tc>
        <w:tc>
          <w:tcPr>
            <w:tcW w:w="8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N/A</w:t>
            </w: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Provisional patent application covering next generation neurostimulation</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technology</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63/761,480</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2/21/2025</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Pending</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N/A</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N/A</w:t>
            </w: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Provisional patent application covering next generation neurostimulation</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29/510,741</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D750264</w:t>
            </w: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2/23/2016</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version of the current PoNS device -over-</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ear double boom design</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29/510,742</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D749746</w:t>
            </w: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2/16/2016</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version of the current PoNS device -</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overhead minimal interference design</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29/510,743</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D752236</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3/22/2016</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system design used in the current PoNS device</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29/510,745</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D750265</w:t>
            </w: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2/23/2016</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29/510,754</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D750794</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3/1/2016</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the controller used in the PoNS device</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29/510,755</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D751214</w:t>
            </w: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3/8/2016</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29/510,746</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D750266</w:t>
            </w: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2/23/2016</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29/510,749</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D750268</w:t>
            </w: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2/23/2016</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29/510,747</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D751213</w:t>
            </w: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3/8/2016</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29/510,748</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D750267</w:t>
            </w: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2/23/2016</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29/510,750</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D753315</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4/5/2016</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mouthpiece used in the current PoNS device</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29/510,751</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D751722</w:t>
            </w: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3/15/2016</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29/510,752</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D752766</w:t>
            </w: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3/29/2016</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29/510,753</w:t>
            </w:r>
          </w:p>
        </w:tc>
        <w:tc>
          <w:tcPr>
            <w:tcW w:w="940" w:type="dxa"/>
            <w:vAlign w:val="bottom"/>
            <w:gridSpan w:val="2"/>
            <w:shd w:val="clear" w:color="auto" w:fill="CCEEFF"/>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12/3/2014</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shd w:val="clear" w:color="auto" w:fill="CCEEFF"/>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D753316</w:t>
            </w:r>
          </w:p>
        </w:tc>
        <w:tc>
          <w:tcPr>
            <w:tcW w:w="7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4/5/2016</w:t>
            </w:r>
          </w:p>
        </w:tc>
        <w:tc>
          <w:tcPr>
            <w:tcW w:w="140" w:type="dxa"/>
            <w:vAlign w:val="bottom"/>
            <w:shd w:val="clear" w:color="auto" w:fill="CCEEFF"/>
          </w:tcPr>
          <w:p>
            <w:pPr>
              <w:spacing w:after="0"/>
              <w:rPr>
                <w:sz w:val="10"/>
                <w:szCs w:val="10"/>
                <w:color w:val="auto"/>
              </w:rPr>
            </w:pPr>
          </w:p>
        </w:tc>
        <w:tc>
          <w:tcPr>
            <w:tcW w:w="4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160"/>
        </w:trPr>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29/510,744</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D760397</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6/28/2016</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w w:val="97"/>
              </w:rPr>
              <w:t>Design patent covering alternative system design used in the current PoNS device</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29/510,756</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12/3/2014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shd w:val="clear" w:color="auto" w:fill="CCEEFF"/>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D759830</w:t>
            </w: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6/21/2016</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w w:val="97"/>
              </w:rPr>
              <w:t>Design patent covering alternative system design used in the current PoNS device</w:t>
            </w:r>
          </w:p>
        </w:tc>
        <w:tc>
          <w:tcPr>
            <w:tcW w:w="0" w:type="dxa"/>
            <w:vAlign w:val="bottom"/>
          </w:tcPr>
          <w:p>
            <w:pPr>
              <w:spacing w:after="0"/>
              <w:rPr>
                <w:sz w:val="1"/>
                <w:szCs w:val="1"/>
                <w:color w:val="auto"/>
              </w:rPr>
            </w:pPr>
          </w:p>
        </w:tc>
      </w:tr>
      <w:tr>
        <w:trPr>
          <w:trHeight w:val="119"/>
        </w:trPr>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29/681,984</w:t>
            </w:r>
          </w:p>
        </w:tc>
        <w:tc>
          <w:tcPr>
            <w:tcW w:w="940" w:type="dxa"/>
            <w:vAlign w:val="bottom"/>
            <w:gridSpan w:val="2"/>
          </w:tcPr>
          <w:p>
            <w:pPr>
              <w:jc w:val="center"/>
              <w:ind w:left="95"/>
              <w:spacing w:after="0" w:line="120" w:lineRule="exact"/>
              <w:rPr>
                <w:sz w:val="20"/>
                <w:szCs w:val="20"/>
                <w:color w:val="auto"/>
              </w:rPr>
            </w:pPr>
            <w:r>
              <w:rPr>
                <w:rFonts w:ascii="Times New Roman" w:cs="Times New Roman" w:eastAsia="Times New Roman" w:hAnsi="Times New Roman"/>
                <w:sz w:val="12"/>
                <w:szCs w:val="12"/>
                <w:color w:val="auto"/>
              </w:rPr>
              <w:t>2/28/2019</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rPr>
              <w:t>Issued</w:t>
            </w:r>
          </w:p>
        </w:tc>
        <w:tc>
          <w:tcPr>
            <w:tcW w:w="8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rPr>
              <w:t>D891084</w:t>
            </w: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7/28/2020</w:t>
            </w:r>
          </w:p>
        </w:tc>
        <w:tc>
          <w:tcPr>
            <w:tcW w:w="140" w:type="dxa"/>
            <w:vAlign w:val="bottom"/>
          </w:tcPr>
          <w:p>
            <w:pPr>
              <w:spacing w:after="0"/>
              <w:rPr>
                <w:sz w:val="10"/>
                <w:szCs w:val="10"/>
                <w:color w:val="auto"/>
              </w:rPr>
            </w:pPr>
          </w:p>
        </w:tc>
        <w:tc>
          <w:tcPr>
            <w:tcW w:w="4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Design patent covering mouthpiece retainer case design used in the current PoNS</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device</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29/681,990</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2/28/2019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shd w:val="clear" w:color="auto" w:fill="CCEEFF"/>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D894601</w:t>
            </w: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9/1/2020</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carry case design used in the current PoNS device</w:t>
            </w:r>
          </w:p>
        </w:tc>
        <w:tc>
          <w:tcPr>
            <w:tcW w:w="0" w:type="dxa"/>
            <w:vAlign w:val="bottom"/>
          </w:tcPr>
          <w:p>
            <w:pPr>
              <w:spacing w:after="0"/>
              <w:rPr>
                <w:sz w:val="1"/>
                <w:szCs w:val="1"/>
                <w:color w:val="auto"/>
              </w:rPr>
            </w:pPr>
          </w:p>
        </w:tc>
      </w:tr>
      <w:tr>
        <w:trPr>
          <w:trHeight w:val="140"/>
        </w:trPr>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29/682,001</w:t>
            </w:r>
          </w:p>
        </w:tc>
        <w:tc>
          <w:tcPr>
            <w:tcW w:w="940" w:type="dxa"/>
            <w:vAlign w:val="bottom"/>
            <w:gridSpan w:val="2"/>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2/28/2019</w:t>
            </w:r>
          </w:p>
        </w:tc>
        <w:tc>
          <w:tcPr>
            <w:tcW w:w="140" w:type="dxa"/>
            <w:vAlign w:val="bottom"/>
          </w:tcPr>
          <w:p>
            <w:pPr>
              <w:spacing w:after="0"/>
              <w:rPr>
                <w:sz w:val="12"/>
                <w:szCs w:val="12"/>
                <w:color w:val="auto"/>
              </w:rPr>
            </w:pPr>
          </w:p>
        </w:tc>
        <w:tc>
          <w:tcPr>
            <w:tcW w:w="6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D907221</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1/5/2021</w:t>
            </w:r>
          </w:p>
        </w:tc>
        <w:tc>
          <w:tcPr>
            <w:tcW w:w="140" w:type="dxa"/>
            <w:vAlign w:val="bottom"/>
          </w:tcPr>
          <w:p>
            <w:pPr>
              <w:spacing w:after="0"/>
              <w:rPr>
                <w:sz w:val="12"/>
                <w:szCs w:val="12"/>
                <w:color w:val="auto"/>
              </w:rPr>
            </w:pPr>
          </w:p>
        </w:tc>
        <w:tc>
          <w:tcPr>
            <w:tcW w:w="448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w w:val="97"/>
              </w:rPr>
              <w:t>Design patent covering alternative system design used in the current PoNS device</w:t>
            </w:r>
          </w:p>
        </w:tc>
        <w:tc>
          <w:tcPr>
            <w:tcW w:w="0" w:type="dxa"/>
            <w:vAlign w:val="bottom"/>
          </w:tcPr>
          <w:p>
            <w:pPr>
              <w:spacing w:after="0"/>
              <w:rPr>
                <w:sz w:val="1"/>
                <w:szCs w:val="1"/>
                <w:color w:val="auto"/>
              </w:rPr>
            </w:pPr>
          </w:p>
        </w:tc>
      </w:tr>
      <w:tr>
        <w:trPr>
          <w:trHeight w:val="140"/>
        </w:trPr>
        <w:tc>
          <w:tcPr>
            <w:tcW w:w="9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29/681,993</w:t>
            </w:r>
          </w:p>
        </w:tc>
        <w:tc>
          <w:tcPr>
            <w:tcW w:w="940" w:type="dxa"/>
            <w:vAlign w:val="bottom"/>
            <w:gridSpan w:val="2"/>
            <w:shd w:val="clear" w:color="auto" w:fill="CCEEFF"/>
          </w:tcPr>
          <w:p>
            <w:pPr>
              <w:jc w:val="center"/>
              <w:ind w:left="95"/>
              <w:spacing w:after="0" w:line="140" w:lineRule="exact"/>
              <w:rPr>
                <w:sz w:val="20"/>
                <w:szCs w:val="20"/>
                <w:color w:val="auto"/>
              </w:rPr>
            </w:pPr>
            <w:r>
              <w:rPr>
                <w:rFonts w:ascii="Times New Roman" w:cs="Times New Roman" w:eastAsia="Times New Roman" w:hAnsi="Times New Roman"/>
                <w:sz w:val="14"/>
                <w:szCs w:val="14"/>
                <w:color w:val="auto"/>
                <w:w w:val="95"/>
              </w:rPr>
              <w:t>2/28/2019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shd w:val="clear" w:color="auto" w:fill="CCEEFF"/>
          </w:tcPr>
          <w:p>
            <w:pPr>
              <w:jc w:val="center"/>
              <w:ind w:right="140"/>
              <w:spacing w:after="0" w:line="140" w:lineRule="exact"/>
              <w:rPr>
                <w:sz w:val="20"/>
                <w:szCs w:val="20"/>
                <w:color w:val="auto"/>
              </w:rPr>
            </w:pPr>
            <w:r>
              <w:rPr>
                <w:rFonts w:ascii="Times New Roman" w:cs="Times New Roman" w:eastAsia="Times New Roman" w:hAnsi="Times New Roman"/>
                <w:sz w:val="14"/>
                <w:szCs w:val="14"/>
                <w:color w:val="auto"/>
                <w:w w:val="99"/>
              </w:rPr>
              <w:t>D927005</w:t>
            </w: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8/3/2021</w:t>
            </w:r>
          </w:p>
        </w:tc>
        <w:tc>
          <w:tcPr>
            <w:tcW w:w="1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w w:val="97"/>
              </w:rPr>
              <w:t>Design patent covering alternative system design used in the current PoNS device</w:t>
            </w:r>
          </w:p>
        </w:tc>
        <w:tc>
          <w:tcPr>
            <w:tcW w:w="0" w:type="dxa"/>
            <w:vAlign w:val="bottom"/>
          </w:tcPr>
          <w:p>
            <w:pPr>
              <w:spacing w:after="0"/>
              <w:rPr>
                <w:sz w:val="1"/>
                <w:szCs w:val="1"/>
                <w:color w:val="auto"/>
              </w:rPr>
            </w:pPr>
          </w:p>
        </w:tc>
      </w:tr>
      <w:tr>
        <w:trPr>
          <w:trHeight w:val="175"/>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29/681,997</w:t>
            </w:r>
          </w:p>
        </w:tc>
        <w:tc>
          <w:tcPr>
            <w:tcW w:w="94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color w:val="auto"/>
                <w:w w:val="95"/>
              </w:rPr>
              <w:t>2/28/2019</w:t>
            </w:r>
          </w:p>
        </w:tc>
        <w:tc>
          <w:tcPr>
            <w:tcW w:w="14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Issued</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D916300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4/13/2021</w:t>
            </w:r>
          </w:p>
        </w:tc>
        <w:tc>
          <w:tcPr>
            <w:tcW w:w="140" w:type="dxa"/>
            <w:vAlign w:val="bottom"/>
          </w:tcPr>
          <w:p>
            <w:pPr>
              <w:spacing w:after="0"/>
              <w:rPr>
                <w:sz w:val="15"/>
                <w:szCs w:val="15"/>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w w:val="97"/>
              </w:rPr>
              <w:t>Design patent covering alternative system design used in the current PoNS device</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In addition to our U.S. patents, we currently own 17 foreign utility patents (nine in Australia, two in Canada, two in Israel, three in Europe (validated in France, Germany, Italy, the UK and Spain), and one in the UK and 34 foreign design patents (three in Australia, ten in Canada, six in Russia, and fifteen registered community designs in Europe).</w:t>
      </w:r>
    </w:p>
    <w:p>
      <w:pPr>
        <w:spacing w:after="0" w:line="171" w:lineRule="exact"/>
        <w:rPr>
          <w:sz w:val="20"/>
          <w:szCs w:val="20"/>
          <w:color w:val="auto"/>
        </w:rPr>
      </w:pPr>
    </w:p>
    <w:p>
      <w:pPr>
        <w:ind w:left="40" w:right="439"/>
        <w:spacing w:after="0" w:line="278" w:lineRule="auto"/>
        <w:rPr>
          <w:sz w:val="20"/>
          <w:szCs w:val="20"/>
          <w:color w:val="auto"/>
        </w:rPr>
      </w:pPr>
      <w:r>
        <w:rPr>
          <w:rFonts w:ascii="Times New Roman" w:cs="Times New Roman" w:eastAsia="Times New Roman" w:hAnsi="Times New Roman"/>
          <w:sz w:val="17"/>
          <w:szCs w:val="17"/>
          <w:color w:val="auto"/>
        </w:rPr>
        <w:t>Further, we have six foreign utility patent applications that are currently pending: two in Europe, and one in each of Australia, Canada, China and Israel.</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current owned foreign utility patent portfolio consists of the following:</w:t>
      </w:r>
    </w:p>
    <w:tbl>
      <w:tblPr>
        <w:tblLayout w:type="fixed"/>
        <w:tblInd w:w="40" w:type="dxa"/>
        <w:tblCellMar>
          <w:top w:w="0" w:type="dxa"/>
          <w:left w:w="0" w:type="dxa"/>
          <w:bottom w:w="0" w:type="dxa"/>
          <w:right w:w="0" w:type="dxa"/>
        </w:tblCellMar>
      </w:tblPr>
      <w:tr>
        <w:trPr>
          <w:trHeight w:val="152"/>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PCT application</w:t>
            </w:r>
          </w:p>
        </w:tc>
        <w:tc>
          <w:tcPr>
            <w:tcW w:w="220" w:type="dxa"/>
            <w:vAlign w:val="bottom"/>
          </w:tcPr>
          <w:p>
            <w:pPr>
              <w:spacing w:after="0"/>
              <w:rPr>
                <w:sz w:val="13"/>
                <w:szCs w:val="13"/>
                <w:color w:val="auto"/>
              </w:rPr>
            </w:pPr>
          </w:p>
        </w:tc>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 Priority document(s) (filing date)</w:t>
            </w:r>
          </w:p>
        </w:tc>
        <w:tc>
          <w:tcPr>
            <w:tcW w:w="240" w:type="dxa"/>
            <w:vAlign w:val="bottom"/>
          </w:tcPr>
          <w:p>
            <w:pPr>
              <w:spacing w:after="0"/>
              <w:rPr>
                <w:sz w:val="13"/>
                <w:szCs w:val="13"/>
                <w:color w:val="auto"/>
              </w:rPr>
            </w:pPr>
          </w:p>
        </w:tc>
        <w:tc>
          <w:tcPr>
            <w:tcW w:w="22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6"/>
              </w:rPr>
              <w:t>Foreign patents/</w:t>
            </w:r>
          </w:p>
        </w:tc>
        <w:tc>
          <w:tcPr>
            <w:tcW w:w="0" w:type="dxa"/>
            <w:vAlign w:val="bottom"/>
          </w:tcPr>
          <w:p>
            <w:pPr>
              <w:spacing w:after="0"/>
              <w:rPr>
                <w:sz w:val="1"/>
                <w:szCs w:val="1"/>
                <w:color w:val="auto"/>
              </w:rPr>
            </w:pPr>
          </w:p>
        </w:tc>
      </w:tr>
      <w:tr>
        <w:trPr>
          <w:trHeight w:val="164"/>
        </w:trPr>
        <w:tc>
          <w:tcPr>
            <w:tcW w:w="3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*patent applications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WO2016/089751A1</w:t>
            </w:r>
          </w:p>
        </w:tc>
        <w:tc>
          <w:tcPr>
            <w:tcW w:w="220" w:type="dxa"/>
            <w:vAlign w:val="bottom"/>
            <w:tcBorders>
              <w:top w:val="single" w:sz="8" w:color="CCECFF"/>
            </w:tcBorders>
            <w:shd w:val="clear" w:color="auto" w:fill="CCECFF"/>
          </w:tcPr>
          <w:p>
            <w:pPr>
              <w:spacing w:after="0"/>
              <w:rPr>
                <w:sz w:val="17"/>
                <w:szCs w:val="17"/>
                <w:color w:val="auto"/>
              </w:rPr>
            </w:pPr>
          </w:p>
        </w:tc>
        <w:tc>
          <w:tcPr>
            <w:tcW w:w="2340" w:type="dxa"/>
            <w:vAlign w:val="bottom"/>
            <w:tcBorders>
              <w:top w:val="single" w:sz="8" w:color="auto"/>
            </w:tcBorders>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14/559,080 (3 December 2014)</w:t>
            </w:r>
          </w:p>
        </w:tc>
        <w:tc>
          <w:tcPr>
            <w:tcW w:w="240" w:type="dxa"/>
            <w:vAlign w:val="bottom"/>
            <w:tcBorders>
              <w:top w:val="single" w:sz="8" w:color="CCECFF"/>
            </w:tcBorders>
            <w:shd w:val="clear" w:color="auto" w:fill="CCECFF"/>
          </w:tcPr>
          <w:p>
            <w:pPr>
              <w:spacing w:after="0"/>
              <w:rPr>
                <w:sz w:val="17"/>
                <w:szCs w:val="17"/>
                <w:color w:val="auto"/>
              </w:rPr>
            </w:pPr>
          </w:p>
        </w:tc>
        <w:tc>
          <w:tcPr>
            <w:tcW w:w="22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8"/>
              </w:rPr>
              <w:t>AU2015355211B2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(PCT/US2015/062950)</w:t>
            </w: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14/559,123 (3 December 2014)</w:t>
            </w: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8"/>
              </w:rPr>
              <w:t>AU2017218934B2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14/559,118 (3 December 2014)</w:t>
            </w: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8"/>
              </w:rPr>
              <w:t>AU2017276270B2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14/559,105 (3 December 2014)</w:t>
            </w: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8"/>
              </w:rPr>
              <w:t>AU2018204184B2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shd w:val="clear" w:color="auto" w:fill="CCECFF"/>
          </w:tcPr>
          <w:p>
            <w:pPr>
              <w:spacing w:after="0" w:line="187" w:lineRule="exact"/>
              <w:rPr>
                <w:sz w:val="20"/>
                <w:szCs w:val="20"/>
                <w:color w:val="auto"/>
              </w:rPr>
            </w:pPr>
            <w:r>
              <w:rPr>
                <w:rFonts w:ascii="Times New Roman" w:cs="Times New Roman" w:eastAsia="Times New Roman" w:hAnsi="Times New Roman"/>
                <w:sz w:val="17"/>
                <w:szCs w:val="17"/>
                <w:color w:val="auto"/>
              </w:rPr>
              <w:t>Title: Systems and Methods for</w:t>
            </w:r>
          </w:p>
        </w:tc>
        <w:tc>
          <w:tcPr>
            <w:tcW w:w="220" w:type="dxa"/>
            <w:vAlign w:val="bottom"/>
            <w:shd w:val="clear" w:color="auto" w:fill="CCECFF"/>
          </w:tcPr>
          <w:p>
            <w:pPr>
              <w:spacing w:after="0"/>
              <w:rPr>
                <w:sz w:val="16"/>
                <w:szCs w:val="16"/>
                <w:color w:val="auto"/>
              </w:rPr>
            </w:pPr>
          </w:p>
        </w:tc>
        <w:tc>
          <w:tcPr>
            <w:tcW w:w="23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260" w:type="dxa"/>
            <w:vAlign w:val="bottom"/>
            <w:shd w:val="clear" w:color="auto" w:fill="CCECFF"/>
          </w:tcPr>
          <w:p>
            <w:pPr>
              <w:jc w:val="center"/>
              <w:spacing w:after="0" w:line="187" w:lineRule="exact"/>
              <w:rPr>
                <w:sz w:val="20"/>
                <w:szCs w:val="20"/>
                <w:color w:val="auto"/>
              </w:rPr>
            </w:pPr>
            <w:r>
              <w:rPr>
                <w:rFonts w:ascii="Times New Roman" w:cs="Times New Roman" w:eastAsia="Times New Roman" w:hAnsi="Times New Roman"/>
                <w:sz w:val="17"/>
                <w:szCs w:val="17"/>
                <w:color w:val="auto"/>
                <w:w w:val="98"/>
              </w:rPr>
              <w:t>AU2018247259B2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Providing Non-Invasive</w:t>
            </w: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9"/>
              </w:rPr>
              <w:t>CA2969729C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Neurorehabilitation of a Patient</w:t>
            </w: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EP3226962B1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rPr>
              <w:t>EP3662969B1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3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9"/>
              </w:rPr>
              <w:t>IL252648B</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WO2016/089752A1</w:t>
            </w:r>
          </w:p>
        </w:tc>
        <w:tc>
          <w:tcPr>
            <w:tcW w:w="220" w:type="dxa"/>
            <w:vAlign w:val="bottom"/>
          </w:tcPr>
          <w:p>
            <w:pPr>
              <w:spacing w:after="0"/>
              <w:rPr>
                <w:sz w:val="16"/>
                <w:szCs w:val="16"/>
                <w:color w:val="auto"/>
              </w:rPr>
            </w:pPr>
          </w:p>
        </w:tc>
        <w:tc>
          <w:tcPr>
            <w:tcW w:w="2340" w:type="dxa"/>
            <w:vAlign w:val="bottom"/>
          </w:tcPr>
          <w:p>
            <w:pPr>
              <w:ind w:left="120"/>
              <w:spacing w:after="0" w:line="187" w:lineRule="exact"/>
              <w:rPr>
                <w:sz w:val="20"/>
                <w:szCs w:val="20"/>
                <w:color w:val="auto"/>
              </w:rPr>
            </w:pPr>
            <w:r>
              <w:rPr>
                <w:rFonts w:ascii="Times New Roman" w:cs="Times New Roman" w:eastAsia="Times New Roman" w:hAnsi="Times New Roman"/>
                <w:sz w:val="17"/>
                <w:szCs w:val="17"/>
                <w:color w:val="auto"/>
              </w:rPr>
              <w:t>14/557,787 (3 December 2014)</w:t>
            </w:r>
          </w:p>
        </w:tc>
        <w:tc>
          <w:tcPr>
            <w:tcW w:w="240" w:type="dxa"/>
            <w:vAlign w:val="bottom"/>
          </w:tcPr>
          <w:p>
            <w:pPr>
              <w:spacing w:after="0"/>
              <w:rPr>
                <w:sz w:val="16"/>
                <w:szCs w:val="16"/>
                <w:color w:val="auto"/>
              </w:rPr>
            </w:pPr>
          </w:p>
        </w:tc>
        <w:tc>
          <w:tcPr>
            <w:tcW w:w="226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8"/>
              </w:rPr>
              <w:t>AU2015355212B2</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(PCT/US2015/062953)</w:t>
            </w:r>
          </w:p>
        </w:tc>
        <w:tc>
          <w:tcPr>
            <w:tcW w:w="220" w:type="dxa"/>
            <w:vAlign w:val="bottom"/>
          </w:tcPr>
          <w:p>
            <w:pPr>
              <w:spacing w:after="0"/>
              <w:rPr>
                <w:sz w:val="17"/>
                <w:szCs w:val="17"/>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14/557,789 (3 December 2014)</w:t>
            </w: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AU2017228517B2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14/559,045 (3 December 2014)</w:t>
            </w: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AU2019200175B2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AU2019246836B2</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 Devices for Delivering Non-</w:t>
            </w: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CA2969731C</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Invasive Neuromodulation to a</w:t>
            </w: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EP3226961B1</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Patient</w:t>
            </w: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EP19190373.1A*</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IL252649A0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WO2016/089795A1</w:t>
            </w: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14/559,080 (3 December 2014)</w:t>
            </w: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(PCT/US2015/063059)</w:t>
            </w: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14/559,123 (3 December 2014)</w:t>
            </w: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14/559,118 (3 December 2014)</w:t>
            </w: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7"/>
                <w:szCs w:val="17"/>
                <w:color w:val="auto"/>
              </w:rPr>
              <w:t>Title: Methods of Manufacturing</w:t>
            </w: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rPr>
              <w:t>14/559,105 (3 December 2014)</w:t>
            </w: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vMerge w:val="continue"/>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3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2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Devices for the Neurorehabilitation</w:t>
            </w:r>
          </w:p>
        </w:tc>
        <w:tc>
          <w:tcPr>
            <w:tcW w:w="220" w:type="dxa"/>
            <w:vAlign w:val="bottom"/>
            <w:shd w:val="clear" w:color="auto" w:fill="CCECFF"/>
          </w:tcPr>
          <w:p>
            <w:pPr>
              <w:spacing w:after="0"/>
              <w:rPr>
                <w:sz w:val="17"/>
                <w:szCs w:val="17"/>
                <w:color w:val="auto"/>
              </w:rPr>
            </w:pPr>
          </w:p>
        </w:tc>
        <w:tc>
          <w:tcPr>
            <w:tcW w:w="23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4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of a Patient</w:t>
            </w:r>
          </w:p>
        </w:tc>
        <w:tc>
          <w:tcPr>
            <w:tcW w:w="220" w:type="dxa"/>
            <w:vAlign w:val="bottom"/>
            <w:shd w:val="clear" w:color="auto" w:fill="CCECFF"/>
          </w:tcPr>
          <w:p>
            <w:pPr>
              <w:spacing w:after="0"/>
              <w:rPr>
                <w:sz w:val="19"/>
                <w:szCs w:val="19"/>
                <w:color w:val="auto"/>
              </w:rPr>
            </w:pPr>
          </w:p>
        </w:tc>
        <w:tc>
          <w:tcPr>
            <w:tcW w:w="23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WO2020/176954</w:t>
            </w:r>
          </w:p>
        </w:tc>
        <w:tc>
          <w:tcPr>
            <w:tcW w:w="220" w:type="dxa"/>
            <w:vAlign w:val="bottom"/>
          </w:tcPr>
          <w:p>
            <w:pPr>
              <w:spacing w:after="0"/>
              <w:rPr>
                <w:sz w:val="16"/>
                <w:szCs w:val="16"/>
                <w:color w:val="auto"/>
              </w:rPr>
            </w:pPr>
          </w:p>
        </w:tc>
        <w:tc>
          <w:tcPr>
            <w:tcW w:w="2340" w:type="dxa"/>
            <w:vAlign w:val="bottom"/>
          </w:tcPr>
          <w:p>
            <w:pPr>
              <w:ind w:left="120"/>
              <w:spacing w:after="0" w:line="187" w:lineRule="exact"/>
              <w:rPr>
                <w:sz w:val="20"/>
                <w:szCs w:val="20"/>
                <w:color w:val="auto"/>
              </w:rPr>
            </w:pPr>
            <w:r>
              <w:rPr>
                <w:rFonts w:ascii="Times New Roman" w:cs="Times New Roman" w:eastAsia="Times New Roman" w:hAnsi="Times New Roman"/>
                <w:sz w:val="17"/>
                <w:szCs w:val="17"/>
                <w:color w:val="auto"/>
              </w:rPr>
              <w:t>62/812,185 (28 February 2019)</w:t>
            </w:r>
          </w:p>
        </w:tc>
        <w:tc>
          <w:tcPr>
            <w:tcW w:w="240" w:type="dxa"/>
            <w:vAlign w:val="bottom"/>
          </w:tcPr>
          <w:p>
            <w:pPr>
              <w:spacing w:after="0"/>
              <w:rPr>
                <w:sz w:val="16"/>
                <w:szCs w:val="16"/>
                <w:color w:val="auto"/>
              </w:rPr>
            </w:pPr>
          </w:p>
        </w:tc>
        <w:tc>
          <w:tcPr>
            <w:tcW w:w="226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9"/>
              </w:rPr>
              <w:t>AU2020228618A1*</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(PCT/US2020/019853)</w:t>
            </w: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CA3131684A1*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CN113728393A*</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 Computer Systems and</w:t>
            </w: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EP20712806.7A*</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Methods for Enhancing</w:t>
            </w: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IL285901A*</w:t>
            </w:r>
          </w:p>
        </w:tc>
        <w:tc>
          <w:tcPr>
            <w:tcW w:w="0" w:type="dxa"/>
            <w:vAlign w:val="bottom"/>
          </w:tcPr>
          <w:p>
            <w:pPr>
              <w:spacing w:after="0"/>
              <w:rPr>
                <w:sz w:val="1"/>
                <w:szCs w:val="1"/>
                <w:color w:val="auto"/>
              </w:rPr>
            </w:pPr>
          </w:p>
        </w:tc>
      </w:tr>
      <w:tr>
        <w:trPr>
          <w:trHeight w:val="219"/>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Neurorehabilitation</w:t>
            </w: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UK2596678B</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current owned Australian design patent portfolio consists of the following:</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Australian Design</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Application</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Australian</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40" w:type="dxa"/>
            <w:vAlign w:val="bottom"/>
          </w:tcPr>
          <w:p>
            <w:pPr>
              <w:spacing w:after="0"/>
              <w:rPr>
                <w:sz w:val="13"/>
                <w:szCs w:val="13"/>
                <w:color w:val="auto"/>
              </w:rPr>
            </w:pPr>
          </w:p>
        </w:tc>
        <w:tc>
          <w:tcPr>
            <w:tcW w:w="42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64"/>
        </w:trPr>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Application No.</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c>
          <w:tcPr>
            <w:tcW w:w="560" w:type="dxa"/>
            <w:vAlign w:val="bottom"/>
            <w:gridSpan w:val="2"/>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201914827</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8/26/2019</w:t>
            </w: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4"/>
                <w:szCs w:val="14"/>
                <w:color w:val="auto"/>
              </w:rPr>
              <w:t>Issued</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w w:val="98"/>
              </w:rPr>
              <w:t>201914827</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10/8/2019</w:t>
            </w:r>
          </w:p>
        </w:tc>
        <w:tc>
          <w:tcPr>
            <w:tcW w:w="140" w:type="dxa"/>
            <w:vAlign w:val="bottom"/>
            <w:tcBorders>
              <w:top w:val="single" w:sz="8" w:color="CCEEFF"/>
            </w:tcBorders>
            <w:shd w:val="clear" w:color="auto" w:fill="CCEEFF"/>
          </w:tcPr>
          <w:p>
            <w:pPr>
              <w:spacing w:after="0"/>
              <w:rPr>
                <w:sz w:val="11"/>
                <w:szCs w:val="11"/>
                <w:color w:val="auto"/>
              </w:rPr>
            </w:pPr>
          </w:p>
        </w:tc>
        <w:tc>
          <w:tcPr>
            <w:tcW w:w="42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Design patent covering system design used in the PoNS device</w:t>
            </w:r>
          </w:p>
        </w:tc>
        <w:tc>
          <w:tcPr>
            <w:tcW w:w="0" w:type="dxa"/>
            <w:vAlign w:val="bottom"/>
          </w:tcPr>
          <w:p>
            <w:pPr>
              <w:spacing w:after="0"/>
              <w:rPr>
                <w:sz w:val="1"/>
                <w:szCs w:val="1"/>
                <w:color w:val="auto"/>
              </w:rPr>
            </w:pPr>
          </w:p>
        </w:tc>
      </w:tr>
      <w:tr>
        <w:trPr>
          <w:trHeight w:val="140"/>
        </w:trPr>
        <w:tc>
          <w:tcPr>
            <w:tcW w:w="15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201914900</w:t>
            </w:r>
          </w:p>
        </w:tc>
        <w:tc>
          <w:tcPr>
            <w:tcW w:w="14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8/28/2019</w:t>
            </w:r>
          </w:p>
        </w:tc>
        <w:tc>
          <w:tcPr>
            <w:tcW w:w="140" w:type="dxa"/>
            <w:vAlign w:val="bottom"/>
          </w:tcPr>
          <w:p>
            <w:pPr>
              <w:spacing w:after="0"/>
              <w:rPr>
                <w:sz w:val="12"/>
                <w:szCs w:val="12"/>
                <w:color w:val="auto"/>
              </w:rPr>
            </w:pPr>
          </w:p>
        </w:tc>
        <w:tc>
          <w:tcPr>
            <w:tcW w:w="56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6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w w:val="98"/>
              </w:rPr>
              <w:t>201914900</w:t>
            </w:r>
          </w:p>
        </w:tc>
        <w:tc>
          <w:tcPr>
            <w:tcW w:w="14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10/24/2019</w:t>
            </w:r>
          </w:p>
        </w:tc>
        <w:tc>
          <w:tcPr>
            <w:tcW w:w="4380" w:type="dxa"/>
            <w:vAlign w:val="bottom"/>
            <w:gridSpan w:val="2"/>
          </w:tcPr>
          <w:p>
            <w:pPr>
              <w:ind w:left="120"/>
              <w:spacing w:after="0" w:line="140" w:lineRule="exact"/>
              <w:rPr>
                <w:sz w:val="20"/>
                <w:szCs w:val="20"/>
                <w:color w:val="auto"/>
              </w:rPr>
            </w:pPr>
            <w:r>
              <w:rPr>
                <w:rFonts w:ascii="Times New Roman" w:cs="Times New Roman" w:eastAsia="Times New Roman" w:hAnsi="Times New Roman"/>
                <w:sz w:val="14"/>
                <w:szCs w:val="14"/>
                <w:color w:val="auto"/>
              </w:rPr>
              <w:t>Design patent covering the controller design used in the PoNS device</w:t>
            </w:r>
          </w:p>
        </w:tc>
        <w:tc>
          <w:tcPr>
            <w:tcW w:w="0" w:type="dxa"/>
            <w:vAlign w:val="bottom"/>
          </w:tcPr>
          <w:p>
            <w:pPr>
              <w:spacing w:after="0"/>
              <w:rPr>
                <w:sz w:val="1"/>
                <w:szCs w:val="1"/>
                <w:color w:val="auto"/>
              </w:rPr>
            </w:pPr>
          </w:p>
        </w:tc>
      </w:tr>
      <w:tr>
        <w:trPr>
          <w:trHeight w:val="140"/>
        </w:trPr>
        <w:tc>
          <w:tcPr>
            <w:tcW w:w="15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201914906</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8/28/2019</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w w:val="98"/>
              </w:rPr>
              <w:t>201914906</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10/23/2019</w:t>
            </w:r>
          </w:p>
        </w:tc>
        <w:tc>
          <w:tcPr>
            <w:tcW w:w="4380" w:type="dxa"/>
            <w:vAlign w:val="bottom"/>
            <w:gridSpan w:val="2"/>
            <w:shd w:val="clear" w:color="auto" w:fill="CCEEFF"/>
          </w:tcPr>
          <w:p>
            <w:pPr>
              <w:ind w:left="120"/>
              <w:spacing w:after="0" w:line="140" w:lineRule="exact"/>
              <w:rPr>
                <w:sz w:val="20"/>
                <w:szCs w:val="20"/>
                <w:color w:val="auto"/>
              </w:rPr>
            </w:pPr>
            <w:r>
              <w:rPr>
                <w:rFonts w:ascii="Times New Roman" w:cs="Times New Roman" w:eastAsia="Times New Roman" w:hAnsi="Times New Roman"/>
                <w:sz w:val="14"/>
                <w:szCs w:val="14"/>
                <w:color w:val="auto"/>
              </w:rPr>
              <w:t>Design patent covering the mouthpiece design used in the PoNS device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current owned Canadian design patent portfolio consists of the following:</w:t>
      </w: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Canadian</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Application</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Canadian</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40" w:type="dxa"/>
            <w:vAlign w:val="bottom"/>
            <w:gridSpan w:val="2"/>
          </w:tcPr>
          <w:p>
            <w:pPr>
              <w:jc w:val="center"/>
              <w:ind w:right="40"/>
              <w:spacing w:after="0" w:line="140" w:lineRule="exact"/>
              <w:rPr>
                <w:sz w:val="20"/>
                <w:szCs w:val="20"/>
                <w:color w:val="auto"/>
              </w:rPr>
            </w:pPr>
            <w:r>
              <w:rPr>
                <w:rFonts w:ascii="Times New Roman" w:cs="Times New Roman" w:eastAsia="Times New Roman" w:hAnsi="Times New Roman"/>
                <w:sz w:val="14"/>
                <w:szCs w:val="14"/>
                <w:b w:val="1"/>
                <w:bCs w:val="1"/>
                <w:color w:val="auto"/>
                <w:w w:val="93"/>
              </w:rPr>
              <w:t>Design</w:t>
            </w:r>
          </w:p>
        </w:tc>
        <w:tc>
          <w:tcPr>
            <w:tcW w:w="8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4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4"/>
                <w:szCs w:val="14"/>
                <w:b w:val="1"/>
                <w:bCs w:val="1"/>
                <w:color w:val="auto"/>
                <w:w w:val="94"/>
              </w:rPr>
              <w:t>Application</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Patent No.</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502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64"/>
        </w:trPr>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8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162676</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6"/>
              </w:rPr>
              <w:t>6/2/2015</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w w:val="94"/>
              </w:rPr>
              <w:t>Issued</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162676</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2/29/2016</w:t>
            </w:r>
          </w:p>
        </w:tc>
        <w:tc>
          <w:tcPr>
            <w:tcW w:w="140" w:type="dxa"/>
            <w:vAlign w:val="bottom"/>
            <w:tcBorders>
              <w:top w:val="single" w:sz="8" w:color="CCEEFF"/>
            </w:tcBorders>
            <w:shd w:val="clear" w:color="auto" w:fill="CCEEFF"/>
          </w:tcPr>
          <w:p>
            <w:pPr>
              <w:spacing w:after="0"/>
              <w:rPr>
                <w:sz w:val="11"/>
                <w:szCs w:val="11"/>
                <w:color w:val="auto"/>
              </w:rPr>
            </w:pPr>
          </w:p>
        </w:tc>
        <w:tc>
          <w:tcPr>
            <w:tcW w:w="50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Design patent covering system design used in the current PoNS device</w:t>
            </w:r>
          </w:p>
        </w:tc>
        <w:tc>
          <w:tcPr>
            <w:tcW w:w="0" w:type="dxa"/>
            <w:vAlign w:val="bottom"/>
          </w:tcPr>
          <w:p>
            <w:pPr>
              <w:spacing w:after="0"/>
              <w:rPr>
                <w:sz w:val="1"/>
                <w:szCs w:val="1"/>
                <w:color w:val="auto"/>
              </w:rPr>
            </w:pPr>
          </w:p>
        </w:tc>
      </w:tr>
      <w:tr>
        <w:trPr>
          <w:trHeight w:val="140"/>
        </w:trPr>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162672</w:t>
            </w:r>
          </w:p>
        </w:tc>
        <w:tc>
          <w:tcPr>
            <w:tcW w:w="14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6/2/2015</w:t>
            </w:r>
          </w:p>
        </w:tc>
        <w:tc>
          <w:tcPr>
            <w:tcW w:w="140" w:type="dxa"/>
            <w:vAlign w:val="bottom"/>
          </w:tcPr>
          <w:p>
            <w:pPr>
              <w:spacing w:after="0"/>
              <w:rPr>
                <w:sz w:val="12"/>
                <w:szCs w:val="12"/>
                <w:color w:val="auto"/>
              </w:rPr>
            </w:pPr>
          </w:p>
        </w:tc>
        <w:tc>
          <w:tcPr>
            <w:tcW w:w="5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162672</w:t>
            </w:r>
          </w:p>
        </w:tc>
        <w:tc>
          <w:tcPr>
            <w:tcW w:w="14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2/29/2016</w:t>
            </w:r>
          </w:p>
        </w:tc>
        <w:tc>
          <w:tcPr>
            <w:tcW w:w="140" w:type="dxa"/>
            <w:vAlign w:val="bottom"/>
          </w:tcPr>
          <w:p>
            <w:pPr>
              <w:spacing w:after="0"/>
              <w:rPr>
                <w:sz w:val="12"/>
                <w:szCs w:val="12"/>
                <w:color w:val="auto"/>
              </w:rPr>
            </w:pPr>
          </w:p>
        </w:tc>
        <w:tc>
          <w:tcPr>
            <w:tcW w:w="502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an alternative mouthpiece not used in the current PoNS device</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162671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6/2/2015</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162671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2/29/2016</w:t>
            </w:r>
          </w:p>
        </w:tc>
        <w:tc>
          <w:tcPr>
            <w:tcW w:w="140" w:type="dxa"/>
            <w:vAlign w:val="bottom"/>
            <w:shd w:val="clear" w:color="auto" w:fill="CCEEFF"/>
          </w:tcPr>
          <w:p>
            <w:pPr>
              <w:spacing w:after="0"/>
              <w:rPr>
                <w:sz w:val="12"/>
                <w:szCs w:val="12"/>
                <w:color w:val="auto"/>
              </w:rPr>
            </w:pPr>
          </w:p>
        </w:tc>
        <w:tc>
          <w:tcPr>
            <w:tcW w:w="50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an alternative mouthpiece not used in the current PoNS device</w:t>
            </w:r>
          </w:p>
        </w:tc>
        <w:tc>
          <w:tcPr>
            <w:tcW w:w="0" w:type="dxa"/>
            <w:vAlign w:val="bottom"/>
          </w:tcPr>
          <w:p>
            <w:pPr>
              <w:spacing w:after="0"/>
              <w:rPr>
                <w:sz w:val="1"/>
                <w:szCs w:val="1"/>
                <w:color w:val="auto"/>
              </w:rPr>
            </w:pPr>
          </w:p>
        </w:tc>
      </w:tr>
      <w:tr>
        <w:trPr>
          <w:trHeight w:val="140"/>
        </w:trPr>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162674</w:t>
            </w:r>
          </w:p>
        </w:tc>
        <w:tc>
          <w:tcPr>
            <w:tcW w:w="14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6/2/2015</w:t>
            </w:r>
          </w:p>
        </w:tc>
        <w:tc>
          <w:tcPr>
            <w:tcW w:w="140" w:type="dxa"/>
            <w:vAlign w:val="bottom"/>
          </w:tcPr>
          <w:p>
            <w:pPr>
              <w:spacing w:after="0"/>
              <w:rPr>
                <w:sz w:val="12"/>
                <w:szCs w:val="12"/>
                <w:color w:val="auto"/>
              </w:rPr>
            </w:pPr>
          </w:p>
        </w:tc>
        <w:tc>
          <w:tcPr>
            <w:tcW w:w="5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162674</w:t>
            </w:r>
          </w:p>
        </w:tc>
        <w:tc>
          <w:tcPr>
            <w:tcW w:w="14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2/29/2016</w:t>
            </w:r>
          </w:p>
        </w:tc>
        <w:tc>
          <w:tcPr>
            <w:tcW w:w="140" w:type="dxa"/>
            <w:vAlign w:val="bottom"/>
          </w:tcPr>
          <w:p>
            <w:pPr>
              <w:spacing w:after="0"/>
              <w:rPr>
                <w:sz w:val="12"/>
                <w:szCs w:val="12"/>
                <w:color w:val="auto"/>
              </w:rPr>
            </w:pPr>
          </w:p>
        </w:tc>
        <w:tc>
          <w:tcPr>
            <w:tcW w:w="502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mouthpiece used in the current PoNS device</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162675</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6/2/2015</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162675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2/29/2016</w:t>
            </w:r>
          </w:p>
        </w:tc>
        <w:tc>
          <w:tcPr>
            <w:tcW w:w="140" w:type="dxa"/>
            <w:vAlign w:val="bottom"/>
            <w:shd w:val="clear" w:color="auto" w:fill="CCEEFF"/>
          </w:tcPr>
          <w:p>
            <w:pPr>
              <w:spacing w:after="0"/>
              <w:rPr>
                <w:sz w:val="12"/>
                <w:szCs w:val="12"/>
                <w:color w:val="auto"/>
              </w:rPr>
            </w:pPr>
          </w:p>
        </w:tc>
        <w:tc>
          <w:tcPr>
            <w:tcW w:w="50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an alternative controller not used in the current PoNS device</w:t>
            </w:r>
          </w:p>
        </w:tc>
        <w:tc>
          <w:tcPr>
            <w:tcW w:w="0" w:type="dxa"/>
            <w:vAlign w:val="bottom"/>
          </w:tcPr>
          <w:p>
            <w:pPr>
              <w:spacing w:after="0"/>
              <w:rPr>
                <w:sz w:val="1"/>
                <w:szCs w:val="1"/>
                <w:color w:val="auto"/>
              </w:rPr>
            </w:pPr>
          </w:p>
        </w:tc>
      </w:tr>
      <w:tr>
        <w:trPr>
          <w:trHeight w:val="140"/>
        </w:trPr>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162670</w:t>
            </w:r>
          </w:p>
        </w:tc>
        <w:tc>
          <w:tcPr>
            <w:tcW w:w="14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6/2/2015</w:t>
            </w:r>
          </w:p>
        </w:tc>
        <w:tc>
          <w:tcPr>
            <w:tcW w:w="140" w:type="dxa"/>
            <w:vAlign w:val="bottom"/>
          </w:tcPr>
          <w:p>
            <w:pPr>
              <w:spacing w:after="0"/>
              <w:rPr>
                <w:sz w:val="12"/>
                <w:szCs w:val="12"/>
                <w:color w:val="auto"/>
              </w:rPr>
            </w:pPr>
          </w:p>
        </w:tc>
        <w:tc>
          <w:tcPr>
            <w:tcW w:w="5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162670</w:t>
            </w:r>
          </w:p>
        </w:tc>
        <w:tc>
          <w:tcPr>
            <w:tcW w:w="14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2/29/2016</w:t>
            </w:r>
          </w:p>
        </w:tc>
        <w:tc>
          <w:tcPr>
            <w:tcW w:w="140" w:type="dxa"/>
            <w:vAlign w:val="bottom"/>
          </w:tcPr>
          <w:p>
            <w:pPr>
              <w:spacing w:after="0"/>
              <w:rPr>
                <w:sz w:val="12"/>
                <w:szCs w:val="12"/>
                <w:color w:val="auto"/>
              </w:rPr>
            </w:pPr>
          </w:p>
        </w:tc>
        <w:tc>
          <w:tcPr>
            <w:tcW w:w="502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the controller used in the PoNS device</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162673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6/2/2015</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162673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2/29/2016</w:t>
            </w:r>
          </w:p>
        </w:tc>
        <w:tc>
          <w:tcPr>
            <w:tcW w:w="140" w:type="dxa"/>
            <w:vAlign w:val="bottom"/>
            <w:shd w:val="clear" w:color="auto" w:fill="CCEEFF"/>
          </w:tcPr>
          <w:p>
            <w:pPr>
              <w:spacing w:after="0"/>
              <w:rPr>
                <w:sz w:val="12"/>
                <w:szCs w:val="12"/>
                <w:color w:val="auto"/>
              </w:rPr>
            </w:pPr>
          </w:p>
        </w:tc>
        <w:tc>
          <w:tcPr>
            <w:tcW w:w="50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system design used in the current PoNS device</w:t>
            </w:r>
          </w:p>
        </w:tc>
        <w:tc>
          <w:tcPr>
            <w:tcW w:w="0" w:type="dxa"/>
            <w:vAlign w:val="bottom"/>
          </w:tcPr>
          <w:p>
            <w:pPr>
              <w:spacing w:after="0"/>
              <w:rPr>
                <w:sz w:val="1"/>
                <w:szCs w:val="1"/>
                <w:color w:val="auto"/>
              </w:rPr>
            </w:pPr>
          </w:p>
        </w:tc>
      </w:tr>
      <w:tr>
        <w:trPr>
          <w:trHeight w:val="140"/>
        </w:trPr>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189953</w:t>
            </w:r>
          </w:p>
        </w:tc>
        <w:tc>
          <w:tcPr>
            <w:tcW w:w="14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8/28/2019</w:t>
            </w:r>
          </w:p>
        </w:tc>
        <w:tc>
          <w:tcPr>
            <w:tcW w:w="140" w:type="dxa"/>
            <w:vAlign w:val="bottom"/>
          </w:tcPr>
          <w:p>
            <w:pPr>
              <w:spacing w:after="0"/>
              <w:rPr>
                <w:sz w:val="12"/>
                <w:szCs w:val="12"/>
                <w:color w:val="auto"/>
              </w:rPr>
            </w:pPr>
          </w:p>
        </w:tc>
        <w:tc>
          <w:tcPr>
            <w:tcW w:w="5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189953</w:t>
            </w:r>
          </w:p>
        </w:tc>
        <w:tc>
          <w:tcPr>
            <w:tcW w:w="14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10/5/2021</w:t>
            </w:r>
          </w:p>
        </w:tc>
        <w:tc>
          <w:tcPr>
            <w:tcW w:w="140" w:type="dxa"/>
            <w:vAlign w:val="bottom"/>
          </w:tcPr>
          <w:p>
            <w:pPr>
              <w:spacing w:after="0"/>
              <w:rPr>
                <w:sz w:val="12"/>
                <w:szCs w:val="12"/>
                <w:color w:val="auto"/>
              </w:rPr>
            </w:pPr>
          </w:p>
        </w:tc>
        <w:tc>
          <w:tcPr>
            <w:tcW w:w="502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alternative system design used in the current PoNS device</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189954</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8/28/2019</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Issued</w:t>
            </w: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189954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8/8/2023</w:t>
            </w:r>
          </w:p>
        </w:tc>
        <w:tc>
          <w:tcPr>
            <w:tcW w:w="140" w:type="dxa"/>
            <w:vAlign w:val="bottom"/>
            <w:shd w:val="clear" w:color="auto" w:fill="CCEEFF"/>
          </w:tcPr>
          <w:p>
            <w:pPr>
              <w:spacing w:after="0"/>
              <w:rPr>
                <w:sz w:val="12"/>
                <w:szCs w:val="12"/>
                <w:color w:val="auto"/>
              </w:rPr>
            </w:pPr>
          </w:p>
        </w:tc>
        <w:tc>
          <w:tcPr>
            <w:tcW w:w="50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Design patent covering alternative system design used in the current PoNS device</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189955</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8/28/2019</w:t>
            </w:r>
          </w:p>
        </w:tc>
        <w:tc>
          <w:tcPr>
            <w:tcW w:w="14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189955</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6/18/2021</w:t>
            </w:r>
          </w:p>
        </w:tc>
        <w:tc>
          <w:tcPr>
            <w:tcW w:w="14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Design patent covering alternative system design used in the current PoNS device</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current owned Russian design patent portfolio consists of the following:</w:t>
      </w: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Russian Design</w:t>
            </w:r>
          </w:p>
        </w:tc>
        <w:tc>
          <w:tcPr>
            <w:tcW w:w="1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Status</w:t>
            </w:r>
          </w:p>
        </w:tc>
        <w:tc>
          <w:tcPr>
            <w:tcW w:w="1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Russian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Issue Date</w:t>
            </w:r>
          </w:p>
        </w:tc>
        <w:tc>
          <w:tcPr>
            <w:tcW w:w="140" w:type="dxa"/>
            <w:vAlign w:val="bottom"/>
          </w:tcPr>
          <w:p>
            <w:pPr>
              <w:spacing w:after="0"/>
              <w:rPr>
                <w:sz w:val="13"/>
                <w:szCs w:val="13"/>
                <w:color w:val="auto"/>
              </w:rPr>
            </w:pPr>
          </w:p>
        </w:tc>
        <w:tc>
          <w:tcPr>
            <w:tcW w:w="488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64"/>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Application No.</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380" w:type="dxa"/>
            <w:vAlign w:val="bottom"/>
            <w:vMerge w:val="continue"/>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9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4"/>
              </w:rPr>
              <w:t>2015501883</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6"/>
              </w:rPr>
              <w:t>6/3/2015</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w w:val="94"/>
              </w:rPr>
              <w:t>Issued</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98981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7/16/2016</w:t>
            </w:r>
          </w:p>
        </w:tc>
        <w:tc>
          <w:tcPr>
            <w:tcW w:w="140" w:type="dxa"/>
            <w:vAlign w:val="bottom"/>
            <w:tcBorders>
              <w:top w:val="single" w:sz="8" w:color="CCEEFF"/>
            </w:tcBorders>
            <w:shd w:val="clear" w:color="auto" w:fill="CCEEFF"/>
          </w:tcPr>
          <w:p>
            <w:pPr>
              <w:spacing w:after="0"/>
              <w:rPr>
                <w:sz w:val="11"/>
                <w:szCs w:val="11"/>
                <w:color w:val="auto"/>
              </w:rPr>
            </w:pPr>
          </w:p>
        </w:tc>
        <w:tc>
          <w:tcPr>
            <w:tcW w:w="4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Design patent covering the system design currently used in the PoNS device</w:t>
            </w:r>
          </w:p>
        </w:tc>
        <w:tc>
          <w:tcPr>
            <w:tcW w:w="0" w:type="dxa"/>
            <w:vAlign w:val="bottom"/>
          </w:tcPr>
          <w:p>
            <w:pPr>
              <w:spacing w:after="0"/>
              <w:rPr>
                <w:sz w:val="1"/>
                <w:szCs w:val="1"/>
                <w:color w:val="auto"/>
              </w:rPr>
            </w:pPr>
          </w:p>
        </w:tc>
      </w:tr>
      <w:tr>
        <w:trPr>
          <w:trHeight w:val="140"/>
        </w:trPr>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2015501882</w:t>
            </w:r>
          </w:p>
        </w:tc>
        <w:tc>
          <w:tcPr>
            <w:tcW w:w="860" w:type="dxa"/>
            <w:vAlign w:val="bottom"/>
            <w:gridSpan w:val="2"/>
          </w:tcPr>
          <w:p>
            <w:pPr>
              <w:jc w:val="center"/>
              <w:ind w:left="72"/>
              <w:spacing w:after="0" w:line="140" w:lineRule="exact"/>
              <w:rPr>
                <w:sz w:val="20"/>
                <w:szCs w:val="20"/>
                <w:color w:val="auto"/>
              </w:rPr>
            </w:pPr>
            <w:r>
              <w:rPr>
                <w:rFonts w:ascii="Times New Roman" w:cs="Times New Roman" w:eastAsia="Times New Roman" w:hAnsi="Times New Roman"/>
                <w:sz w:val="14"/>
                <w:szCs w:val="14"/>
                <w:color w:val="auto"/>
                <w:w w:val="96"/>
              </w:rPr>
              <w:t>6/3/2015</w:t>
            </w:r>
          </w:p>
        </w:tc>
        <w:tc>
          <w:tcPr>
            <w:tcW w:w="140" w:type="dxa"/>
            <w:vAlign w:val="bottom"/>
          </w:tcPr>
          <w:p>
            <w:pPr>
              <w:spacing w:after="0"/>
              <w:rPr>
                <w:sz w:val="12"/>
                <w:szCs w:val="12"/>
                <w:color w:val="auto"/>
              </w:rPr>
            </w:pPr>
          </w:p>
        </w:tc>
        <w:tc>
          <w:tcPr>
            <w:tcW w:w="38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00" w:type="dxa"/>
            <w:vAlign w:val="bottom"/>
            <w:gridSpan w:val="2"/>
          </w:tcPr>
          <w:p>
            <w:pPr>
              <w:jc w:val="center"/>
              <w:ind w:left="72"/>
              <w:spacing w:after="0" w:line="140" w:lineRule="exact"/>
              <w:rPr>
                <w:sz w:val="20"/>
                <w:szCs w:val="20"/>
                <w:color w:val="auto"/>
              </w:rPr>
            </w:pPr>
            <w:r>
              <w:rPr>
                <w:rFonts w:ascii="Times New Roman" w:cs="Times New Roman" w:eastAsia="Times New Roman" w:hAnsi="Times New Roman"/>
                <w:sz w:val="14"/>
                <w:szCs w:val="14"/>
                <w:color w:val="auto"/>
                <w:w w:val="97"/>
              </w:rPr>
              <w:t>99240</w:t>
            </w:r>
          </w:p>
        </w:tc>
        <w:tc>
          <w:tcPr>
            <w:tcW w:w="14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8/16/2016</w:t>
            </w:r>
          </w:p>
        </w:tc>
        <w:tc>
          <w:tcPr>
            <w:tcW w:w="502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4"/>
                <w:szCs w:val="14"/>
                <w:color w:val="auto"/>
              </w:rPr>
              <w:t>Design patent covering the mouthpiece design currently used in the PoNS device</w:t>
            </w:r>
          </w:p>
        </w:tc>
        <w:tc>
          <w:tcPr>
            <w:tcW w:w="0" w:type="dxa"/>
            <w:vAlign w:val="bottom"/>
          </w:tcPr>
          <w:p>
            <w:pPr>
              <w:spacing w:after="0"/>
              <w:rPr>
                <w:sz w:val="1"/>
                <w:szCs w:val="1"/>
                <w:color w:val="auto"/>
              </w:rPr>
            </w:pPr>
          </w:p>
        </w:tc>
      </w:tr>
      <w:tr>
        <w:trPr>
          <w:trHeight w:val="140"/>
        </w:trPr>
        <w:tc>
          <w:tcPr>
            <w:tcW w:w="9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2015501881</w:t>
            </w:r>
          </w:p>
        </w:tc>
        <w:tc>
          <w:tcPr>
            <w:tcW w:w="860" w:type="dxa"/>
            <w:vAlign w:val="bottom"/>
            <w:gridSpan w:val="2"/>
            <w:shd w:val="clear" w:color="auto" w:fill="CCEEFF"/>
          </w:tcPr>
          <w:p>
            <w:pPr>
              <w:jc w:val="center"/>
              <w:ind w:left="72"/>
              <w:spacing w:after="0" w:line="140" w:lineRule="exact"/>
              <w:rPr>
                <w:sz w:val="20"/>
                <w:szCs w:val="20"/>
                <w:color w:val="auto"/>
              </w:rPr>
            </w:pPr>
            <w:r>
              <w:rPr>
                <w:rFonts w:ascii="Times New Roman" w:cs="Times New Roman" w:eastAsia="Times New Roman" w:hAnsi="Times New Roman"/>
                <w:sz w:val="14"/>
                <w:szCs w:val="14"/>
                <w:color w:val="auto"/>
                <w:w w:val="96"/>
              </w:rPr>
              <w:t>6/3/2015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00" w:type="dxa"/>
            <w:vAlign w:val="bottom"/>
            <w:gridSpan w:val="2"/>
            <w:shd w:val="clear" w:color="auto" w:fill="CCEEFF"/>
          </w:tcPr>
          <w:p>
            <w:pPr>
              <w:jc w:val="center"/>
              <w:ind w:left="72"/>
              <w:spacing w:after="0" w:line="140" w:lineRule="exact"/>
              <w:rPr>
                <w:sz w:val="20"/>
                <w:szCs w:val="20"/>
                <w:color w:val="auto"/>
              </w:rPr>
            </w:pPr>
            <w:r>
              <w:rPr>
                <w:rFonts w:ascii="Times New Roman" w:cs="Times New Roman" w:eastAsia="Times New Roman" w:hAnsi="Times New Roman"/>
                <w:sz w:val="14"/>
                <w:szCs w:val="14"/>
                <w:color w:val="auto"/>
                <w:w w:val="97"/>
              </w:rPr>
              <w:t>98947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7/16/2016</w:t>
            </w:r>
          </w:p>
        </w:tc>
        <w:tc>
          <w:tcPr>
            <w:tcW w:w="5020" w:type="dxa"/>
            <w:vAlign w:val="bottom"/>
            <w:gridSpan w:val="2"/>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Design patent covering the controller design currently used in the PoNS device</w:t>
            </w:r>
          </w:p>
        </w:tc>
        <w:tc>
          <w:tcPr>
            <w:tcW w:w="0" w:type="dxa"/>
            <w:vAlign w:val="bottom"/>
          </w:tcPr>
          <w:p>
            <w:pPr>
              <w:spacing w:after="0"/>
              <w:rPr>
                <w:sz w:val="1"/>
                <w:szCs w:val="1"/>
                <w:color w:val="auto"/>
              </w:rPr>
            </w:pPr>
          </w:p>
        </w:tc>
      </w:tr>
      <w:tr>
        <w:trPr>
          <w:trHeight w:val="140"/>
        </w:trPr>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2019503623</w:t>
            </w:r>
          </w:p>
        </w:tc>
        <w:tc>
          <w:tcPr>
            <w:tcW w:w="860" w:type="dxa"/>
            <w:vAlign w:val="bottom"/>
            <w:gridSpan w:val="2"/>
          </w:tcPr>
          <w:p>
            <w:pPr>
              <w:jc w:val="center"/>
              <w:ind w:left="52"/>
              <w:spacing w:after="0" w:line="140" w:lineRule="exact"/>
              <w:rPr>
                <w:sz w:val="20"/>
                <w:szCs w:val="20"/>
                <w:color w:val="auto"/>
              </w:rPr>
            </w:pPr>
            <w:r>
              <w:rPr>
                <w:rFonts w:ascii="Times New Roman" w:cs="Times New Roman" w:eastAsia="Times New Roman" w:hAnsi="Times New Roman"/>
                <w:sz w:val="14"/>
                <w:szCs w:val="14"/>
                <w:color w:val="auto"/>
                <w:w w:val="95"/>
              </w:rPr>
              <w:t>8/28/2019</w:t>
            </w:r>
          </w:p>
        </w:tc>
        <w:tc>
          <w:tcPr>
            <w:tcW w:w="140" w:type="dxa"/>
            <w:vAlign w:val="bottom"/>
          </w:tcPr>
          <w:p>
            <w:pPr>
              <w:spacing w:after="0"/>
              <w:rPr>
                <w:sz w:val="12"/>
                <w:szCs w:val="12"/>
                <w:color w:val="auto"/>
              </w:rPr>
            </w:pPr>
          </w:p>
        </w:tc>
        <w:tc>
          <w:tcPr>
            <w:tcW w:w="38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00" w:type="dxa"/>
            <w:vAlign w:val="bottom"/>
            <w:gridSpan w:val="2"/>
          </w:tcPr>
          <w:p>
            <w:pPr>
              <w:jc w:val="center"/>
              <w:ind w:left="52"/>
              <w:spacing w:after="0" w:line="140" w:lineRule="exact"/>
              <w:rPr>
                <w:sz w:val="20"/>
                <w:szCs w:val="20"/>
                <w:color w:val="auto"/>
              </w:rPr>
            </w:pPr>
            <w:r>
              <w:rPr>
                <w:rFonts w:ascii="Times New Roman" w:cs="Times New Roman" w:eastAsia="Times New Roman" w:hAnsi="Times New Roman"/>
                <w:sz w:val="14"/>
                <w:szCs w:val="14"/>
                <w:color w:val="auto"/>
                <w:w w:val="95"/>
              </w:rPr>
              <w:t>120540</w:t>
            </w:r>
          </w:p>
        </w:tc>
        <w:tc>
          <w:tcPr>
            <w:tcW w:w="14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7/13/2020</w:t>
            </w:r>
          </w:p>
        </w:tc>
        <w:tc>
          <w:tcPr>
            <w:tcW w:w="502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4"/>
                <w:szCs w:val="14"/>
                <w:color w:val="auto"/>
              </w:rPr>
              <w:t>Design patent covering alternative system design used in the current PoNS device</w:t>
            </w:r>
          </w:p>
        </w:tc>
        <w:tc>
          <w:tcPr>
            <w:tcW w:w="0" w:type="dxa"/>
            <w:vAlign w:val="bottom"/>
          </w:tcPr>
          <w:p>
            <w:pPr>
              <w:spacing w:after="0"/>
              <w:rPr>
                <w:sz w:val="1"/>
                <w:szCs w:val="1"/>
                <w:color w:val="auto"/>
              </w:rPr>
            </w:pPr>
          </w:p>
        </w:tc>
      </w:tr>
      <w:tr>
        <w:trPr>
          <w:trHeight w:val="140"/>
        </w:trPr>
        <w:tc>
          <w:tcPr>
            <w:tcW w:w="9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4"/>
              </w:rPr>
              <w:t>2019503624</w:t>
            </w:r>
          </w:p>
        </w:tc>
        <w:tc>
          <w:tcPr>
            <w:tcW w:w="860" w:type="dxa"/>
            <w:vAlign w:val="bottom"/>
            <w:gridSpan w:val="2"/>
            <w:shd w:val="clear" w:color="auto" w:fill="CCEEFF"/>
          </w:tcPr>
          <w:p>
            <w:pPr>
              <w:jc w:val="center"/>
              <w:ind w:left="52"/>
              <w:spacing w:after="0" w:line="140" w:lineRule="exact"/>
              <w:rPr>
                <w:sz w:val="20"/>
                <w:szCs w:val="20"/>
                <w:color w:val="auto"/>
              </w:rPr>
            </w:pPr>
            <w:r>
              <w:rPr>
                <w:rFonts w:ascii="Times New Roman" w:cs="Times New Roman" w:eastAsia="Times New Roman" w:hAnsi="Times New Roman"/>
                <w:sz w:val="14"/>
                <w:szCs w:val="14"/>
                <w:color w:val="auto"/>
                <w:w w:val="95"/>
              </w:rPr>
              <w:t>8/28/2019</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w w:val="94"/>
              </w:rPr>
              <w:t>Issued</w:t>
            </w:r>
          </w:p>
        </w:tc>
        <w:tc>
          <w:tcPr>
            <w:tcW w:w="800" w:type="dxa"/>
            <w:vAlign w:val="bottom"/>
            <w:gridSpan w:val="2"/>
            <w:shd w:val="clear" w:color="auto" w:fill="CCEEFF"/>
          </w:tcPr>
          <w:p>
            <w:pPr>
              <w:jc w:val="center"/>
              <w:ind w:left="52"/>
              <w:spacing w:after="0" w:line="140" w:lineRule="exact"/>
              <w:rPr>
                <w:sz w:val="20"/>
                <w:szCs w:val="20"/>
                <w:color w:val="auto"/>
              </w:rPr>
            </w:pPr>
            <w:r>
              <w:rPr>
                <w:rFonts w:ascii="Times New Roman" w:cs="Times New Roman" w:eastAsia="Times New Roman" w:hAnsi="Times New Roman"/>
                <w:sz w:val="14"/>
                <w:szCs w:val="14"/>
                <w:color w:val="auto"/>
                <w:w w:val="95"/>
              </w:rPr>
              <w:t>120541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7/13/2020</w:t>
            </w:r>
          </w:p>
        </w:tc>
        <w:tc>
          <w:tcPr>
            <w:tcW w:w="5020" w:type="dxa"/>
            <w:vAlign w:val="bottom"/>
            <w:gridSpan w:val="2"/>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Design patent covering alternative system design used in the current PoNS device</w:t>
            </w:r>
          </w:p>
        </w:tc>
        <w:tc>
          <w:tcPr>
            <w:tcW w:w="0" w:type="dxa"/>
            <w:vAlign w:val="bottom"/>
          </w:tcPr>
          <w:p>
            <w:pPr>
              <w:spacing w:after="0"/>
              <w:rPr>
                <w:sz w:val="1"/>
                <w:szCs w:val="1"/>
                <w:color w:val="auto"/>
              </w:rPr>
            </w:pPr>
          </w:p>
        </w:tc>
      </w:tr>
      <w:tr>
        <w:trPr>
          <w:trHeight w:val="175"/>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2019503625</w:t>
            </w:r>
          </w:p>
        </w:tc>
        <w:tc>
          <w:tcPr>
            <w:tcW w:w="86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5"/>
              </w:rPr>
              <w:t>8/28/2019</w:t>
            </w:r>
          </w:p>
        </w:tc>
        <w:tc>
          <w:tcPr>
            <w:tcW w:w="14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4"/>
              </w:rPr>
              <w:t>Issued</w:t>
            </w:r>
          </w:p>
        </w:tc>
        <w:tc>
          <w:tcPr>
            <w:tcW w:w="80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5"/>
              </w:rPr>
              <w:t>120727</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7/27/2020</w:t>
            </w:r>
          </w:p>
        </w:tc>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Design patent covering alternative system design used in the current PoNS device</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current owned EU design patent portfolio consists of the following:</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EU</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Community</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Application</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EU Community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Design</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Application</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0"/>
              </w:rPr>
              <w:t>Status</w:t>
            </w:r>
          </w:p>
        </w:tc>
        <w:tc>
          <w:tcPr>
            <w:tcW w:w="140" w:type="dxa"/>
            <w:vAlign w:val="bottom"/>
          </w:tcPr>
          <w:p>
            <w:pPr>
              <w:spacing w:after="0"/>
              <w:rPr>
                <w:sz w:val="12"/>
                <w:szCs w:val="12"/>
                <w:color w:val="auto"/>
              </w:rPr>
            </w:pPr>
          </w:p>
        </w:tc>
        <w:tc>
          <w:tcPr>
            <w:tcW w:w="21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Design Reg. No.</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Issue Date</w:t>
            </w:r>
          </w:p>
        </w:tc>
        <w:tc>
          <w:tcPr>
            <w:tcW w:w="140" w:type="dxa"/>
            <w:vAlign w:val="bottom"/>
          </w:tcPr>
          <w:p>
            <w:pPr>
              <w:spacing w:after="0"/>
              <w:rPr>
                <w:sz w:val="12"/>
                <w:szCs w:val="12"/>
                <w:color w:val="auto"/>
              </w:rPr>
            </w:pPr>
          </w:p>
        </w:tc>
        <w:tc>
          <w:tcPr>
            <w:tcW w:w="510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84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002712026</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2"/>
              <w:spacing w:after="0" w:line="133" w:lineRule="exact"/>
              <w:rPr>
                <w:sz w:val="20"/>
                <w:szCs w:val="20"/>
                <w:color w:val="auto"/>
              </w:rPr>
            </w:pPr>
            <w:r>
              <w:rPr>
                <w:rFonts w:ascii="Times New Roman" w:cs="Times New Roman" w:eastAsia="Times New Roman" w:hAnsi="Times New Roman"/>
                <w:sz w:val="14"/>
                <w:szCs w:val="14"/>
                <w:color w:val="auto"/>
              </w:rPr>
              <w:t>6/2/2015</w:t>
            </w: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w w:val="94"/>
              </w:rPr>
              <w:t>Issued</w:t>
            </w:r>
          </w:p>
        </w:tc>
        <w:tc>
          <w:tcPr>
            <w:tcW w:w="14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96"/>
              </w:rPr>
              <w:t>002712026-0001 - 002712026-0007</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2"/>
              <w:spacing w:after="0" w:line="133" w:lineRule="exact"/>
              <w:rPr>
                <w:sz w:val="20"/>
                <w:szCs w:val="20"/>
                <w:color w:val="auto"/>
              </w:rPr>
            </w:pPr>
            <w:r>
              <w:rPr>
                <w:rFonts w:ascii="Times New Roman" w:cs="Times New Roman" w:eastAsia="Times New Roman" w:hAnsi="Times New Roman"/>
                <w:sz w:val="14"/>
                <w:szCs w:val="14"/>
                <w:color w:val="auto"/>
              </w:rPr>
              <w:t>9/4/2015</w:t>
            </w:r>
          </w:p>
        </w:tc>
        <w:tc>
          <w:tcPr>
            <w:tcW w:w="140" w:type="dxa"/>
            <w:vAlign w:val="bottom"/>
            <w:tcBorders>
              <w:top w:val="single" w:sz="8" w:color="CCEEFF"/>
            </w:tcBorders>
            <w:shd w:val="clear" w:color="auto" w:fill="CCEEFF"/>
          </w:tcPr>
          <w:p>
            <w:pPr>
              <w:spacing w:after="0"/>
              <w:rPr>
                <w:sz w:val="11"/>
                <w:szCs w:val="11"/>
                <w:color w:val="auto"/>
              </w:rPr>
            </w:pPr>
          </w:p>
        </w:tc>
        <w:tc>
          <w:tcPr>
            <w:tcW w:w="5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w w:val="96"/>
              </w:rPr>
              <w:t>Design patents covering several aspects of the system design currently used in the PoNS devic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006753877</w:t>
            </w:r>
          </w:p>
        </w:tc>
        <w:tc>
          <w:tcPr>
            <w:tcW w:w="8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8/23/2019</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4"/>
              </w:rPr>
              <w:t>Issued</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6"/>
              </w:rPr>
              <w:t>006753877-0001 – 006753877-0008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11/21/2019</w:t>
            </w: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Design patents covering the controller design used in the PoNS device</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40" w:right="1340"/>
        <w:spacing w:after="0" w:line="259" w:lineRule="auto"/>
        <w:rPr>
          <w:sz w:val="20"/>
          <w:szCs w:val="20"/>
          <w:color w:val="auto"/>
        </w:rPr>
      </w:pPr>
      <w:r>
        <w:rPr>
          <w:rFonts w:ascii="Times New Roman" w:cs="Times New Roman" w:eastAsia="Times New Roman" w:hAnsi="Times New Roman"/>
          <w:sz w:val="17"/>
          <w:szCs w:val="17"/>
          <w:color w:val="auto"/>
        </w:rPr>
        <w:t>Currently, we own rights in five trademarks: PoNS, PoNS Therapy,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PoNS Therapy, Helius, Helius Medical, and Helius Medical Technologies marks.</w:t>
      </w:r>
    </w:p>
    <w:p>
      <w:pPr>
        <w:spacing w:after="0" w:line="173" w:lineRule="exact"/>
        <w:rPr>
          <w:sz w:val="20"/>
          <w:szCs w:val="20"/>
          <w:color w:val="auto"/>
        </w:rPr>
      </w:pPr>
    </w:p>
    <w:p>
      <w:pPr>
        <w:ind w:left="40" w:right="1260"/>
        <w:spacing w:after="0" w:line="263" w:lineRule="auto"/>
        <w:rPr>
          <w:sz w:val="20"/>
          <w:szCs w:val="20"/>
          <w:color w:val="auto"/>
        </w:rPr>
      </w:pPr>
      <w:r>
        <w:rPr>
          <w:rFonts w:ascii="Times New Roman" w:cs="Times New Roman" w:eastAsia="Times New Roman" w:hAnsi="Times New Roman"/>
          <w:sz w:val="17"/>
          <w:szCs w:val="17"/>
          <w:color w:val="auto"/>
        </w:rPr>
        <w:t>We are the owner of the trademark registrations for the Helius, Helius Medical, PoNS, and PoNS Therapy marks in the U.S. as well as the trademark registrations for the PoNS mark in Australia, Europe, Israel, New Zealand, and Russia. We have also applied for the Helius trademark in Canada.</w:t>
      </w:r>
    </w:p>
    <w:p>
      <w:pPr>
        <w:spacing w:after="0" w:line="3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10220"/>
          </w:cols>
          <w:pgMar w:left="1440" w:top="491" w:right="23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Below is a listing of our active trademark registrations or pending trademark applications: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Mark</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Country</w:t>
            </w: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Registration Number</w:t>
            </w:r>
          </w:p>
        </w:tc>
        <w:tc>
          <w:tcPr>
            <w:tcW w:w="1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Application Number</w:t>
            </w:r>
          </w:p>
        </w:tc>
      </w:tr>
      <w:tr>
        <w:trPr>
          <w:trHeight w:val="196"/>
        </w:trPr>
        <w:tc>
          <w:tcPr>
            <w:tcW w:w="20" w:type="dxa"/>
            <w:vAlign w:val="bottom"/>
          </w:tcPr>
          <w:p>
            <w:pPr>
              <w:spacing w:after="0"/>
              <w:rPr>
                <w:sz w:val="17"/>
                <w:szCs w:val="17"/>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PONS</w:t>
            </w:r>
          </w:p>
        </w:tc>
        <w:tc>
          <w:tcPr>
            <w:tcW w:w="2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2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4,998,391</w:t>
            </w:r>
          </w:p>
        </w:tc>
        <w:tc>
          <w:tcPr>
            <w:tcW w:w="2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86978547</w:t>
            </w:r>
          </w:p>
        </w:tc>
      </w:tr>
      <w:tr>
        <w:trPr>
          <w:trHeight w:val="203"/>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U.S.</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5,845,725</w:t>
            </w:r>
          </w:p>
        </w:tc>
        <w:tc>
          <w:tcPr>
            <w:tcW w:w="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86440699</w:t>
            </w: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PONS THERAPY</w:t>
            </w:r>
          </w:p>
        </w:tc>
        <w:tc>
          <w:tcPr>
            <w:tcW w:w="20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9"/>
              </w:rPr>
              <w:t>U.S.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7,219,613</w:t>
            </w:r>
          </w:p>
        </w:tc>
        <w:tc>
          <w:tcPr>
            <w:tcW w:w="2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97124824</w:t>
            </w:r>
          </w:p>
        </w:tc>
      </w:tr>
      <w:tr>
        <w:trPr>
          <w:trHeight w:val="203"/>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HELIUS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U.S.</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7,231,015</w:t>
            </w:r>
          </w:p>
        </w:tc>
        <w:tc>
          <w:tcPr>
            <w:tcW w:w="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88443662</w:t>
            </w: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HELIUS MEDICAL</w:t>
            </w:r>
          </w:p>
        </w:tc>
        <w:tc>
          <w:tcPr>
            <w:tcW w:w="20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9"/>
              </w:rPr>
              <w:t>U.S.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7,579,897</w:t>
            </w:r>
          </w:p>
        </w:tc>
        <w:tc>
          <w:tcPr>
            <w:tcW w:w="2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88443664</w:t>
            </w:r>
          </w:p>
        </w:tc>
      </w:tr>
      <w:tr>
        <w:trPr>
          <w:trHeight w:val="203"/>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Australia</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1923122</w:t>
            </w:r>
          </w:p>
        </w:tc>
        <w:tc>
          <w:tcPr>
            <w:tcW w:w="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1923122</w:t>
            </w: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HELIUS</w:t>
            </w:r>
          </w:p>
        </w:tc>
        <w:tc>
          <w:tcPr>
            <w:tcW w:w="20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7"/>
              </w:rPr>
              <w:t>Canada</w:t>
            </w:r>
          </w:p>
        </w:tc>
        <w:tc>
          <w:tcPr>
            <w:tcW w:w="2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w w:val="98"/>
              </w:rPr>
              <w:t>pending</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1996550</w:t>
            </w:r>
          </w:p>
        </w:tc>
      </w:tr>
      <w:tr>
        <w:trPr>
          <w:trHeight w:val="203"/>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Europe</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15004799</w:t>
            </w:r>
          </w:p>
        </w:tc>
        <w:tc>
          <w:tcPr>
            <w:tcW w:w="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15004799</w:t>
            </w: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Israel</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306606</w:t>
            </w:r>
          </w:p>
        </w:tc>
        <w:tc>
          <w:tcPr>
            <w:tcW w:w="2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306606</w:t>
            </w:r>
          </w:p>
        </w:tc>
      </w:tr>
      <w:tr>
        <w:trPr>
          <w:trHeight w:val="203"/>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New Zealand</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1091833</w:t>
            </w:r>
          </w:p>
        </w:tc>
        <w:tc>
          <w:tcPr>
            <w:tcW w:w="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1091833</w:t>
            </w: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Russia</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634298</w:t>
            </w:r>
          </w:p>
        </w:tc>
        <w:tc>
          <w:tcPr>
            <w:tcW w:w="2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2015712398</w:t>
            </w:r>
          </w:p>
        </w:tc>
      </w:tr>
      <w:tr>
        <w:trPr>
          <w:trHeight w:val="203"/>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Russia</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674026</w:t>
            </w:r>
          </w:p>
        </w:tc>
        <w:tc>
          <w:tcPr>
            <w:tcW w:w="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2010729117</w:t>
            </w: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PONS</w:t>
            </w:r>
          </w:p>
        </w:tc>
        <w:tc>
          <w:tcPr>
            <w:tcW w:w="20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Russia</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653065</w:t>
            </w:r>
          </w:p>
        </w:tc>
        <w:tc>
          <w:tcPr>
            <w:tcW w:w="2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2017727589</w:t>
            </w:r>
          </w:p>
        </w:tc>
      </w:tr>
    </w:tbl>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15" w:lineRule="exact"/>
        <w:rPr>
          <w:sz w:val="20"/>
          <w:szCs w:val="20"/>
          <w:color w:val="auto"/>
        </w:rPr>
      </w:pPr>
    </w:p>
    <w:p>
      <w:pPr>
        <w:ind w:left="40" w:right="159"/>
        <w:spacing w:after="0" w:line="263" w:lineRule="auto"/>
        <w:rPr>
          <w:sz w:val="20"/>
          <w:szCs w:val="20"/>
          <w:color w:val="auto"/>
        </w:rPr>
      </w:pPr>
      <w:r>
        <w:rPr>
          <w:rFonts w:ascii="Times New Roman" w:cs="Times New Roman" w:eastAsia="Times New Roman" w:hAnsi="Times New Roman"/>
          <w:sz w:val="17"/>
          <w:szCs w:val="17"/>
          <w:color w:val="auto"/>
        </w:rPr>
        <w:t>Our products under development and our operations are subject to significant government regulation. In the U.S., our products are regulated as medical devices by the FDA and other federal, state, and local regulatory authorities. The following is a general description of the review and marketing authorization process of the FDA for medical devices.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FDA Regulation of Medical Devices</w:t>
      </w:r>
    </w:p>
    <w:p>
      <w:pPr>
        <w:spacing w:after="0" w:line="215" w:lineRule="exact"/>
        <w:rPr>
          <w:sz w:val="20"/>
          <w:szCs w:val="20"/>
          <w:color w:val="auto"/>
        </w:rPr>
      </w:pPr>
    </w:p>
    <w:p>
      <w:pPr>
        <w:ind w:left="40" w:right="219"/>
        <w:spacing w:after="0" w:line="278" w:lineRule="auto"/>
        <w:rPr>
          <w:sz w:val="20"/>
          <w:szCs w:val="20"/>
          <w:color w:val="auto"/>
        </w:rPr>
      </w:pPr>
      <w:r>
        <w:rPr>
          <w:rFonts w:ascii="Times New Roman" w:cs="Times New Roman" w:eastAsia="Times New Roman" w:hAnsi="Times New Roman"/>
          <w:sz w:val="17"/>
          <w:szCs w:val="17"/>
          <w:color w:val="auto"/>
        </w:rPr>
        <w:t>The FDA and other U.S. and foreign governmental agencies regulate, among other things, the following activities with respect to medical devices:</w:t>
      </w:r>
    </w:p>
    <w:p>
      <w:pPr>
        <w:spacing w:after="0" w:line="157" w:lineRule="exact"/>
        <w:rPr>
          <w:sz w:val="20"/>
          <w:szCs w:val="20"/>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development and manufacturing;</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labeling, content and language of instructions for use and storage;</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storage and safety;</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sales and distribution;</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pre-market clearance and approval;</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keeping procedures;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and promotion;</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and field safety corrective actions;</w:t>
      </w:r>
    </w:p>
    <w:p>
      <w:pPr>
        <w:spacing w:after="0" w:line="58" w:lineRule="exact"/>
        <w:rPr>
          <w:rFonts w:ascii="Times New Roman" w:cs="Times New Roman" w:eastAsia="Times New Roman" w:hAnsi="Times New Roman"/>
          <w:sz w:val="17"/>
          <w:szCs w:val="17"/>
          <w:color w:val="auto"/>
        </w:rPr>
      </w:pPr>
    </w:p>
    <w:p>
      <w:pPr>
        <w:ind w:left="680" w:right="359" w:hanging="304"/>
        <w:spacing w:after="0" w:line="278" w:lineRule="auto"/>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including reporting of deaths or serious injuries and malfunctions that, if they were to recur, could lead to death or serious injury;</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approval studies; and</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import and export.</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 the U.S., numerous laws and regulations govern all the processes by which medical devices are brought to market and marketed.</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These include the Food, Drug, and Cosmetic, or FD&amp;C Act and the FDA’s implementation of regulations, among others.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FDA Review, Clearance and Approval Processes</w:t>
      </w:r>
    </w:p>
    <w:p>
      <w:pPr>
        <w:spacing w:after="0" w:line="215"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Unless an exemption applies, each medical device commercially distributed in the U.S. requires either FDA clearance of a 510(k) premarket notification, approval of a premarket approval, or PMA, or approval of a de novo application. Under the FDCA, medical devices are classified into one of three classes—Class I, Class II or Class III— 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spacing w:after="0" w:line="177" w:lineRule="exact"/>
        <w:rPr>
          <w:sz w:val="20"/>
          <w:szCs w:val="20"/>
          <w:color w:val="auto"/>
        </w:rPr>
      </w:pPr>
    </w:p>
    <w:p>
      <w:pPr>
        <w:ind w:left="40" w:right="239"/>
        <w:spacing w:after="0" w:line="256" w:lineRule="auto"/>
        <w:rPr>
          <w:sz w:val="20"/>
          <w:szCs w:val="20"/>
          <w:color w:val="auto"/>
        </w:rPr>
      </w:pPr>
      <w:r>
        <w:rPr>
          <w:rFonts w:ascii="Times New Roman" w:cs="Times New Roman" w:eastAsia="Times New Roman" w:hAnsi="Times New Roman"/>
          <w:sz w:val="17"/>
          <w:szCs w:val="17"/>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77"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84"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7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7"/>
          <w:szCs w:val="17"/>
          <w:color w:val="auto"/>
        </w:rPr>
        <w:t>Our PoNS device is currently regulated as a Class II medical device for use in MS. However, if the FDA requires us to go through a lengthier, more rigorous examination for the PoNS device for balance and gait deficit in stroke, introducing the product for stroke could be delayed or canceled. For example, if the FDA decides that the de novo classification procedures are not the appropriate path to obtain marketing authorizations for the PoNS device in stroke,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 with respect to our PoNS device.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510(k) Clearance Process</w:t>
      </w:r>
    </w:p>
    <w:p>
      <w:pPr>
        <w:spacing w:after="0" w:line="21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39"/>
        <w:spacing w:after="0" w:line="278" w:lineRule="auto"/>
        <w:rPr>
          <w:sz w:val="20"/>
          <w:szCs w:val="20"/>
          <w:color w:val="auto"/>
        </w:rPr>
      </w:pPr>
      <w:r>
        <w:rPr>
          <w:rFonts w:ascii="Times New Roman" w:cs="Times New Roman" w:eastAsia="Times New Roman" w:hAnsi="Times New Roman"/>
          <w:sz w:val="17"/>
          <w:szCs w:val="17"/>
          <w:color w:val="auto"/>
        </w:rPr>
        <w:t>device does not raise new questions of safety and effectiveness and is at least as safe and effective as the predicate device. A showing of substantial equivalence sometimes, but not always, requires clinical data.</w:t>
      </w:r>
    </w:p>
    <w:p>
      <w:pPr>
        <w:spacing w:after="0" w:line="157"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Before the FDA will accept a 510(k) submission for substantive review, the FDA will first assess whether the submission satisfies a minimum threshold of acceptability through its eSTAR submission form. If the eSTAR does not pass technical screening (i.e., an eSTAR is provided where none of the attachments to a question are relevant to the question, or if an inaccurate response is provided to any question), the submission may be put on an early Technical Screening hold for 180 days, until a complete replacement eSTAR is submitted.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If the FDA agrees that the device is substantially equivalent to a predicate device currently on the market, it will grant</w:t>
      </w:r>
    </w:p>
    <w:p>
      <w:pPr>
        <w:spacing w:after="0" w:line="23" w:lineRule="exact"/>
        <w:rPr>
          <w:sz w:val="20"/>
          <w:szCs w:val="20"/>
          <w:color w:val="auto"/>
        </w:rPr>
      </w:pPr>
    </w:p>
    <w:p>
      <w:pPr>
        <w:ind w:left="40" w:right="259"/>
        <w:spacing w:after="0" w:line="251" w:lineRule="auto"/>
        <w:rPr>
          <w:sz w:val="20"/>
          <w:szCs w:val="20"/>
          <w:color w:val="auto"/>
        </w:rPr>
      </w:pPr>
      <w:r>
        <w:rPr>
          <w:rFonts w:ascii="Times New Roman" w:cs="Times New Roman" w:eastAsia="Times New Roman" w:hAnsi="Times New Roman"/>
          <w:sz w:val="17"/>
          <w:szCs w:val="17"/>
          <w:color w:val="auto"/>
        </w:rPr>
        <w:t>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 novo Classification Process</w:t>
      </w:r>
    </w:p>
    <w:p>
      <w:pPr>
        <w:spacing w:after="0" w:line="215"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6"/>
          <w:szCs w:val="16"/>
          <w:color w:val="auto"/>
        </w:rPr>
        <w:t xml:space="preserve">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procedure.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if the manufacturer first submitted a 510(k) pre-market notification and received a determination from the FDA that the device was not substantially equivalent. FDASIA streamlined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pathway by permitting manufacturers to request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directly without first submitting a 510(k) pre-market notification to the FDA and receiving a not substantially equivalent determination. Under FDASIA, the FDA was required to classify the device within</w:t>
      </w:r>
    </w:p>
    <w:p>
      <w:pPr>
        <w:spacing w:after="0" w:line="8"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7"/>
          <w:szCs w:val="17"/>
          <w:color w:val="auto"/>
        </w:rPr>
        <w:t xml:space="preserve">120 days following receipt of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application. If the manufacturer sought reclassification into Class II, the manufacturer was to include a draft proposal for special controls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78" w:lineRule="exact"/>
        <w:rPr>
          <w:sz w:val="20"/>
          <w:szCs w:val="20"/>
          <w:color w:val="auto"/>
        </w:rPr>
      </w:pPr>
    </w:p>
    <w:p>
      <w:pPr>
        <w:ind w:left="40" w:right="139"/>
        <w:spacing w:after="0" w:line="283" w:lineRule="auto"/>
        <w:rPr>
          <w:sz w:val="20"/>
          <w:szCs w:val="20"/>
          <w:color w:val="auto"/>
        </w:rPr>
      </w:pPr>
      <w:r>
        <w:rPr>
          <w:rFonts w:ascii="Times New Roman" w:cs="Times New Roman" w:eastAsia="Times New Roman" w:hAnsi="Times New Roman"/>
          <w:sz w:val="17"/>
          <w:szCs w:val="17"/>
          <w:color w:val="auto"/>
        </w:rPr>
        <w:t xml:space="preserve">FDA granted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for the PoNS device for gait deficit in MS, which resulted in Class II classification. In order to be placed in Class II, the FDA required reasonable assurance of safety and effectiveness of the PoNS device.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779"/>
        <w:spacing w:after="0" w:line="278" w:lineRule="auto"/>
        <w:rPr>
          <w:sz w:val="20"/>
          <w:szCs w:val="20"/>
          <w:color w:val="auto"/>
        </w:rPr>
      </w:pPr>
      <w:r>
        <w:rPr>
          <w:rFonts w:ascii="Times New Roman" w:cs="Times New Roman" w:eastAsia="Times New Roman" w:hAnsi="Times New Roman"/>
          <w:sz w:val="17"/>
          <w:szCs w:val="17"/>
          <w:color w:val="auto"/>
        </w:rPr>
        <w:t>Under Class II, general controls (e.g., premarket notification) and special controls (e.g., specific performance testing) are applicable.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Clinical Trials</w:t>
      </w:r>
    </w:p>
    <w:p>
      <w:pPr>
        <w:spacing w:after="0" w:line="215"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7"/>
          <w:szCs w:val="17"/>
          <w:color w:val="auto"/>
        </w:rPr>
        <w:t>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as defined by the FDA, to human health,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spacing w:after="0" w:line="186"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2"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spacing w:after="0" w:line="177"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Pervasive and Continuing U.S. Food and Drug Administration and Healthcare Regulation</w:t>
      </w:r>
    </w:p>
    <w:p>
      <w:pPr>
        <w:spacing w:after="0" w:line="215" w:lineRule="exact"/>
        <w:rPr>
          <w:sz w:val="20"/>
          <w:szCs w:val="20"/>
          <w:color w:val="auto"/>
        </w:rPr>
      </w:pPr>
    </w:p>
    <w:p>
      <w:pPr>
        <w:ind w:left="40" w:right="419"/>
        <w:spacing w:after="0" w:line="278" w:lineRule="auto"/>
        <w:rPr>
          <w:sz w:val="20"/>
          <w:szCs w:val="20"/>
          <w:color w:val="auto"/>
        </w:rPr>
      </w:pPr>
      <w:r>
        <w:rPr>
          <w:rFonts w:ascii="Times New Roman" w:cs="Times New Roman" w:eastAsia="Times New Roman" w:hAnsi="Times New Roman"/>
          <w:sz w:val="17"/>
          <w:szCs w:val="17"/>
          <w:color w:val="auto"/>
        </w:rPr>
        <w:t>After a device is cleared or approved for marketing, numerous and pervasive regulatory requirements continue to apply. These include:</w:t>
      </w:r>
    </w:p>
    <w:p>
      <w:pPr>
        <w:spacing w:after="0" w:line="157" w:lineRule="exact"/>
        <w:rPr>
          <w:sz w:val="20"/>
          <w:szCs w:val="20"/>
          <w:color w:val="auto"/>
        </w:rPr>
      </w:pPr>
    </w:p>
    <w:p>
      <w:pPr>
        <w:ind w:left="4420" w:right="4299" w:hanging="4044"/>
        <w:spacing w:after="0" w:line="540" w:lineRule="auto"/>
        <w:tabs>
          <w:tab w:leader="none" w:pos="682" w:val="left"/>
        </w:tabs>
        <w:numPr>
          <w:ilvl w:val="0"/>
          <w:numId w:val="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establishment, registration and device listing with the FDA; </w:t>
      </w:r>
      <w:r>
        <w:rPr>
          <w:rFonts w:ascii="Times New Roman" w:cs="Times New Roman" w:eastAsia="Times New Roman" w:hAnsi="Times New Roman"/>
          <w:sz w:val="16"/>
          <w:szCs w:val="16"/>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586740</wp:posOffset>
            </wp:positionV>
            <wp:extent cx="565594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right="159" w:hanging="304"/>
        <w:spacing w:after="0" w:line="263"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8" w:lineRule="exact"/>
        <w:rPr>
          <w:rFonts w:ascii="Times New Roman" w:cs="Times New Roman" w:eastAsia="Times New Roman" w:hAnsi="Times New Roman"/>
          <w:sz w:val="17"/>
          <w:szCs w:val="17"/>
          <w:color w:val="231F20"/>
        </w:rPr>
      </w:pPr>
    </w:p>
    <w:p>
      <w:pPr>
        <w:ind w:left="680" w:right="539" w:hanging="304"/>
        <w:spacing w:after="0" w:line="278"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labeling regulations and FDA prohibitions against the promotion of investigational products, or ‘‘off-label’’ uses of cleared or approved products;</w:t>
      </w:r>
    </w:p>
    <w:p>
      <w:pPr>
        <w:spacing w:after="0" w:line="4"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requirements related to promotional activities;</w:t>
      </w:r>
    </w:p>
    <w:p>
      <w:pPr>
        <w:spacing w:after="0" w:line="58" w:lineRule="exact"/>
        <w:rPr>
          <w:rFonts w:ascii="Times New Roman" w:cs="Times New Roman" w:eastAsia="Times New Roman" w:hAnsi="Times New Roman"/>
          <w:sz w:val="17"/>
          <w:szCs w:val="17"/>
          <w:color w:val="231F20"/>
        </w:rPr>
      </w:pPr>
    </w:p>
    <w:p>
      <w:pPr>
        <w:ind w:left="680" w:right="739" w:hanging="304"/>
        <w:spacing w:after="0" w:line="278"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clearance or approval of product modifications to 510(k)-cleared devices that could significantly affect safety or effectiveness or that would constitute a major change in intended use of one of our cleared devices;</w:t>
      </w:r>
    </w:p>
    <w:p>
      <w:pPr>
        <w:spacing w:after="0" w:line="4" w:lineRule="exact"/>
        <w:rPr>
          <w:rFonts w:ascii="Times New Roman" w:cs="Times New Roman" w:eastAsia="Times New Roman" w:hAnsi="Times New Roman"/>
          <w:sz w:val="17"/>
          <w:szCs w:val="17"/>
          <w:color w:val="231F20"/>
        </w:rPr>
      </w:pPr>
    </w:p>
    <w:p>
      <w:pPr>
        <w:ind w:left="680" w:right="79" w:hanging="304"/>
        <w:spacing w:after="0" w:line="263"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8" w:lineRule="exact"/>
        <w:rPr>
          <w:rFonts w:ascii="Times New Roman" w:cs="Times New Roman" w:eastAsia="Times New Roman" w:hAnsi="Times New Roman"/>
          <w:sz w:val="17"/>
          <w:szCs w:val="17"/>
          <w:color w:val="231F20"/>
        </w:rPr>
      </w:pPr>
    </w:p>
    <w:p>
      <w:pPr>
        <w:jc w:val="both"/>
        <w:ind w:left="680" w:right="59" w:hanging="304"/>
        <w:spacing w:after="0" w:line="263"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8" w:lineRule="exact"/>
        <w:rPr>
          <w:rFonts w:ascii="Times New Roman" w:cs="Times New Roman" w:eastAsia="Times New Roman" w:hAnsi="Times New Roman"/>
          <w:sz w:val="17"/>
          <w:szCs w:val="17"/>
          <w:color w:val="231F20"/>
        </w:rPr>
      </w:pPr>
    </w:p>
    <w:p>
      <w:pPr>
        <w:ind w:left="680" w:right="139" w:hanging="304"/>
        <w:spacing w:after="0" w:line="278"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FDA’s recall authority, whereby the agency can order device manufacturers to recall from the market a product that is in violation of governing laws and regulations; and</w:t>
      </w:r>
    </w:p>
    <w:p>
      <w:pPr>
        <w:spacing w:after="0" w:line="4" w:lineRule="exact"/>
        <w:rPr>
          <w:rFonts w:ascii="Times New Roman" w:cs="Times New Roman" w:eastAsia="Times New Roman" w:hAnsi="Times New Roman"/>
          <w:sz w:val="17"/>
          <w:szCs w:val="17"/>
          <w:color w:val="231F20"/>
        </w:rPr>
      </w:pPr>
    </w:p>
    <w:p>
      <w:pPr>
        <w:ind w:left="680" w:right="179" w:hanging="304"/>
        <w:spacing w:after="0" w:line="278" w:lineRule="auto"/>
        <w:tabs>
          <w:tab w:leader="none" w:pos="68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post-market surveillance activities and regulations, which apply when deemed by the FDA to be necessary to protect the public health or to provide additional safety and effectiveness data for the device.</w:t>
      </w:r>
    </w:p>
    <w:p>
      <w:pPr>
        <w:spacing w:after="0" w:line="157"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Advertising and promotion of medical devices, in addition to being regulated by the FDA, are also regulated by the FTC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spacing w:after="0" w:line="178"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7"/>
          <w:szCs w:val="17"/>
          <w:color w:val="auto"/>
        </w:rPr>
        <w:t>Healthcare providers, physicians, and third party payers play a primary role in the recommendation and use of our current products and will do so for any future products we commercialize. Arrangements with third party payers, healthcare providers and physicians expose us to broadly applicable fraud and abuse and other healthcare laws and regulations that may constrain the business or financial arrangements and relationships through which we market, sell and distribute products. In the United States, we are subject to various federal and state anti-fraud and abuse laws, including, without limitation, the federal health care program Anti-Kickback Statute, the federal civil False Claims Act, and the health care fraud provisions of the federal Health Insurance Portability and Accountability Act.</w:t>
      </w:r>
    </w:p>
    <w:p>
      <w:pPr>
        <w:spacing w:after="0" w:line="178"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The Anti-Kickback Statute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lease, or order , or arranging for or recommending, any good or service, including a device, for which payment may be made under a federal healthcare program, such as Medicare or Medicaid. The term “remuneration” expressly includes kickbacks, bribes, or rebates and also has been broadly interpreted to include anything of value. There are a number of statutory exceptions and regulatory safe harbors protecting certain business arrangements from prosecution under the Anti-Kickback Statute, however, those exceptions and safe harbors are drawn narrowly, and there may be no available exception or safe harbor for many common business activities, such as reimbursement support programs, educational and research grants, or charitable donations. Practices that involve remuneration to those who prescribe, purchase, or recommend medical devices, including discounts, providing items or services for free or engaging such individuals as consultants, advisors, or speakers, may be subject to scrutiny if they do not fit squarely within an exception or safe harbor and would be subject to a facts and circumstances analysis to determine compliance with the Anti-Kickback Statute. Violations of this law are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punishable by up to ten years in prison, criminal fines, administrative civil money penalties, damages, disgorgement and exclusion from participation in federal healthcare programs. In addition, a person or entity does not need to have actual knowledge of the statute or specific intent to violate it. Various states have adopted laws similar to the Anti-Kickback Statute, and some of these state laws may be broader in scope in that some of these state laws extend to all payers and may not contain safe harbors.</w:t>
      </w:r>
    </w:p>
    <w:p>
      <w:pPr>
        <w:spacing w:after="0" w:line="173"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7"/>
          <w:szCs w:val="17"/>
          <w:color w:val="auto"/>
        </w:rPr>
        <w:t>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knowingly presenting or causing to be presented a false statement or record material to payment of a false claim or knowingly and improperly avoiding, decreasing or concealing an obligation to pay money to the federal government. Penalties for a False Claims Act violation include three times the actual damages sustained by the government, plus significant mandatory civil penalties for each separate false claim and the potential for exclusion from participation in federal healthcare programs.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also are deemed false or fraudulent claims for purposes of the False Claims Act. Our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 Conduct that violates the False Claims Act also may implicate various federal criminal statutes. Various states have adopted laws similar to the False Claims Act, and many of these state laws are broader in scope and apply to all payers, and therefore, are not limited to only those claims submitted to the federal government.</w:t>
      </w:r>
    </w:p>
    <w:p>
      <w:pPr>
        <w:spacing w:after="0" w:line="18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(“HIPAA”) imposes criminal liability for, among other things, knowingly and willfully executing, or attempting to execute, a scheme to defraud any healthcare benefit program, including private third-party payers, or knowingly and willfully falsifying, concealing or covering up a material fact or making any materially false, fictitious or fraudulent statement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77"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Centers for Medicare and Medicaid Services information related to payments and other transfers of value, directly or indirectly, to physicians, physician assistants, nurse practitioners, clinical nurse specialists, certified nurse anesthetists, and certified nurse midwives, and teaching hospitals, as well as ownership and investment interests held by physicians and their immediate family members.</w:t>
      </w:r>
    </w:p>
    <w:p>
      <w:pPr>
        <w:spacing w:after="0" w:line="177"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p>
      <w:pPr>
        <w:spacing w:after="0" w:line="171" w:lineRule="exact"/>
        <w:rPr>
          <w:sz w:val="20"/>
          <w:szCs w:val="20"/>
          <w:color w:val="auto"/>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untitled letters, warning letters, fines, injunctions, consent decrees and civil penalties;</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unanticipated expenditures to address or defend such actions</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customer notifications for repair, replacement, refunds;</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recall, detention or seizure of our products;</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operating restrictions or partial suspension or total shutdown of production;</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refusing or delaying our requests for 510(k) clearance or PMA approval of new products or modified products;</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operating restrictions;</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withdrawing 510(k) clearances or PMA approvals that have already been granted;</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refusal to grant export approval for our products; or</w:t>
      </w:r>
    </w:p>
    <w:p>
      <w:pPr>
        <w:spacing w:after="0" w:line="58" w:lineRule="exact"/>
        <w:rPr>
          <w:rFonts w:ascii="Times New Roman" w:cs="Times New Roman" w:eastAsia="Times New Roman" w:hAnsi="Times New Roman"/>
          <w:sz w:val="17"/>
          <w:szCs w:val="17"/>
          <w:color w:val="231F20"/>
        </w:rPr>
      </w:pPr>
    </w:p>
    <w:p>
      <w:pPr>
        <w:ind w:left="680" w:hanging="304"/>
        <w:spacing w:after="0"/>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criminal prosecution.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 Healthcare Reform</w:t>
      </w:r>
    </w:p>
    <w:p>
      <w:pPr>
        <w:spacing w:after="0" w:line="215"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7"/>
          <w:szCs w:val="17"/>
          <w:color w:val="auto"/>
        </w:rPr>
        <w:t>In the United States, there has been significant interest in implementing cost-containment programs to limit the growth of government-paid healthcare costs, including price controls and restrictions on reimbursement. Because private payers often follow Medicare and Medicaid coverage policy and payment limitations in setting their own reimbursement rates, any reduction in reimbursement that results from federal legislation or regulation may result in a similar reduction in payments from private payers. We expect to experience pricing pressures in connection with the sale of our due to the trend toward managed healthcare, the increasing influence of health maintenance organizations, and additional legislative and regulatory measures.</w:t>
      </w:r>
    </w:p>
    <w:p>
      <w:pPr>
        <w:spacing w:after="0" w:line="177"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Such legislative changes in the United States include the Affordable Care Act (ACA), which intended to broaden access to health insurance, reduced or constrained the growth of healthcare spending, enhanced remedies against healthcare fraud and abuse, added new transparency requirements for healthcare and health insurance industries, and imposed additional health policy reforms. We expect that additional federal, state, and foreign healthcare reform measures will be adopted in the future, any of which could limit the amounts that federal, state, and foreign governments will pay for healthcare products and services, which could result in limited coverage and reimbursement of, reduced demand for, or additional pricing pressures on our products.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Health Canada</w:t>
      </w:r>
    </w:p>
    <w:p>
      <w:pPr>
        <w:spacing w:after="0" w:line="215" w:lineRule="exact"/>
        <w:rPr>
          <w:sz w:val="20"/>
          <w:szCs w:val="20"/>
          <w:color w:val="auto"/>
        </w:rPr>
      </w:pPr>
    </w:p>
    <w:p>
      <w:pPr>
        <w:ind w:left="40" w:right="259"/>
        <w:spacing w:after="0" w:line="278" w:lineRule="auto"/>
        <w:rPr>
          <w:sz w:val="20"/>
          <w:szCs w:val="20"/>
          <w:color w:val="auto"/>
        </w:rPr>
      </w:pPr>
      <w:r>
        <w:rPr>
          <w:rFonts w:ascii="Times New Roman" w:cs="Times New Roman" w:eastAsia="Times New Roman" w:hAnsi="Times New Roman"/>
          <w:sz w:val="17"/>
          <w:szCs w:val="17"/>
          <w:color w:val="auto"/>
        </w:rPr>
        <w:t>After a medical device has been approved for commercial use in Canada, there are a number of Health Canada requirements that must be adhered to including but not limited to the following:</w:t>
      </w:r>
    </w:p>
    <w:p>
      <w:pPr>
        <w:spacing w:after="0" w:line="157" w:lineRule="exact"/>
        <w:rPr>
          <w:sz w:val="20"/>
          <w:szCs w:val="20"/>
          <w:color w:val="auto"/>
        </w:rPr>
      </w:pPr>
    </w:p>
    <w:p>
      <w:pPr>
        <w:ind w:left="680" w:hanging="304"/>
        <w:spacing w:after="0"/>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license renewals;</w:t>
      </w:r>
    </w:p>
    <w:p>
      <w:pPr>
        <w:spacing w:after="0" w:line="58" w:lineRule="exact"/>
        <w:rPr>
          <w:rFonts w:ascii="Times New Roman" w:cs="Times New Roman" w:eastAsia="Times New Roman" w:hAnsi="Times New Roman"/>
          <w:sz w:val="17"/>
          <w:szCs w:val="17"/>
          <w:color w:val="auto"/>
        </w:rPr>
      </w:pPr>
    </w:p>
    <w:p>
      <w:pPr>
        <w:ind w:left="680" w:right="119" w:hanging="304"/>
        <w:spacing w:after="0" w:line="263"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regulations, which prohibit “misbranded” devices from entering the market, as well as prohibit on the promotion of products for unapproved or “off-label” use and impose other restrictions on labeling including truthfulness and accuracy;</w:t>
      </w:r>
    </w:p>
    <w:p>
      <w:pPr>
        <w:spacing w:after="0" w:line="1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assessment of product modifications for significant changes that would require license amendments;</w:t>
      </w:r>
    </w:p>
    <w:p>
      <w:pPr>
        <w:spacing w:after="0" w:line="58" w:lineRule="exact"/>
        <w:rPr>
          <w:rFonts w:ascii="Times New Roman" w:cs="Times New Roman" w:eastAsia="Times New Roman" w:hAnsi="Times New Roman"/>
          <w:sz w:val="17"/>
          <w:szCs w:val="17"/>
          <w:color w:val="auto"/>
        </w:rPr>
      </w:pPr>
    </w:p>
    <w:p>
      <w:pPr>
        <w:ind w:left="680" w:right="359" w:hanging="304"/>
        <w:spacing w:after="0" w:line="263"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p>
      <w:pPr>
        <w:spacing w:after="0" w:line="1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post-approval restrictions or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European Union</w:t>
      </w:r>
    </w:p>
    <w:p>
      <w:pPr>
        <w:spacing w:after="0" w:line="215"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7"/>
          <w:szCs w:val="17"/>
          <w:color w:val="auto"/>
        </w:rPr>
        <w:t xml:space="preserve">We submitted an application for a CE certification of the PoNS device with our UK based notified body in December 2018. </w:t>
      </w:r>
      <w:r>
        <w:rPr>
          <w:rFonts w:ascii="Times New Roman" w:cs="Times New Roman" w:eastAsia="Times New Roman" w:hAnsi="Times New Roman"/>
          <w:sz w:val="17"/>
          <w:szCs w:val="17"/>
          <w:color w:val="231F20"/>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August 2019, we withdrew our </w:t>
      </w:r>
      <w:r>
        <w:rPr>
          <w:rFonts w:ascii="Times New Roman" w:cs="Times New Roman" w:eastAsia="Times New Roman" w:hAnsi="Times New Roman"/>
          <w:sz w:val="17"/>
          <w:szCs w:val="17"/>
          <w:color w:val="000000"/>
        </w:rPr>
        <w:t>application for the CE certification conformity process procedure due to notified body activities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being delayed by Brexit and the upcoming medical devices regulation changes. We have engaged G-MED NA as our notified body and will reconsider submitting to the EU when conditions stabilize. The successful completion of this review would result in CE certification of the PoNS device in the EU, which now excludes the UK. Some EU member states have additional notification requirements that we expect to satisfy before we launch our PoNS Therapy in those member states. Once the PoNS device is placed into the EU market, post market requirements apply including but not limited to:</w:t>
      </w:r>
    </w:p>
    <w:p>
      <w:pPr>
        <w:spacing w:after="0" w:line="178" w:lineRule="exact"/>
        <w:rPr>
          <w:sz w:val="20"/>
          <w:szCs w:val="20"/>
          <w:color w:val="auto"/>
        </w:rPr>
      </w:pPr>
    </w:p>
    <w:p>
      <w:pPr>
        <w:ind w:left="680" w:hanging="304"/>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the labeling promotes only intended use(s) of the device which have been certified;</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assessment of product modifications for significant changes may require license amendments;</w:t>
      </w:r>
    </w:p>
    <w:p>
      <w:pPr>
        <w:spacing w:after="0" w:line="58" w:lineRule="exact"/>
        <w:rPr>
          <w:rFonts w:ascii="Times New Roman" w:cs="Times New Roman" w:eastAsia="Times New Roman" w:hAnsi="Times New Roman"/>
          <w:sz w:val="17"/>
          <w:szCs w:val="17"/>
          <w:color w:val="auto"/>
        </w:rPr>
      </w:pPr>
    </w:p>
    <w:p>
      <w:pPr>
        <w:ind w:left="680" w:right="179" w:hanging="304"/>
        <w:spacing w:after="0" w:line="263" w:lineRule="auto"/>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p>
      <w:pPr>
        <w:spacing w:after="0" w:line="1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post-approval restrictions or conditions.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Australia</w:t>
      </w:r>
    </w:p>
    <w:p>
      <w:pPr>
        <w:spacing w:after="0" w:line="21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We submitted our application for marketing authorization to the TGA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indicated for short term use by healthcare professionals as an adjunct to a therapeutic exercise program to improve balance and gait. PoNS is not intended to be used alone without an exercise program.</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Data Privacy and Security Laws; Breaches</w:t>
      </w:r>
    </w:p>
    <w:p>
      <w:pPr>
        <w:spacing w:after="0" w:line="215"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Medical device companies may be subject to U.S. federal and state health information privacy, security and data breach notification laws, which may govern the collection, use, disclosure and protection of health-related and other personal information. 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The FTC has the power to enforce promises as it interprets them, and events that we cannot fully control, such as data breaches,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result in FTC enforcement. Enforcement by the FTC under the FTC Act can result in civil penalties or enforcement actions.</w:t>
      </w:r>
    </w:p>
    <w:p>
      <w:pPr>
        <w:spacing w:after="0" w:line="211"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7"/>
          <w:szCs w:val="17"/>
          <w:color w:val="auto"/>
        </w:rPr>
        <w:t>In addition, certain state laws govern the privacy and security of health information in certain circumstances, some of which may be more stringent, broader in scope or offer greater individual rights with respect to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as amended by the California Privacy Rights Act (“CCPA”) which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certain data breaches that is expected to increase data breach litigation. The amendments introduced by the CPRA went effect on January 1, 2023, and new implementing regulations continue to be introduced by the California Privacy Protection Agency, a dedicated California privacy regulator. Failure to comply with the CCPA may result in, among other things, significant civil penalties and injunctive relief, or statutory or actual damages. In addition to the CCPA, numerous other states’ legislatures are considering similar laws that will require ongoing compliance efforts and investment. For example, Virginia, Colorado, Utah, Indiana, Iowa, Tennessee, Montana, Texas, and Connecticut have enacted privacy laws similar to the CCPA that impose new obligations or limitations in areas affecting our business and we continue to assess the impact of these state legislation, on our business as additional information and guidance becomes available.</w:t>
      </w:r>
    </w:p>
    <w:p>
      <w:pPr>
        <w:spacing w:after="0" w:line="186"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In the European Union, the General Data Protection Regulation, including as implemented in the UK (collectively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for the most serious breaches of up to €20 million or up to 4% of the total worldwide annual turnover of the preceding financial year, whichever is higher, and other administrative penalties.</w:t>
      </w:r>
    </w:p>
    <w:p>
      <w:pPr>
        <w:spacing w:after="0" w:line="184"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7"/>
          <w:szCs w:val="17"/>
          <w:color w:val="auto"/>
        </w:rPr>
        <w:t>With regard to transfer of personal data, the GDPR restricts the ability of companies to transfer personal data from the EU to the U.S. and other countries, which may adversely affect our ability to transfer personal data or otherwise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In July 2023, the European Commission adopted its adequacy decision for the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is using the EU Standard Contractual Clauses as approved by the European Commission in June 2021. In order to use the EU Standard Contractual Clauses mechanism, the exporter and the importer must ensure that the importer may guarantee a level of personal data protection in the importing country’s level of protection must be adequate that is essentially equivalent to that of the EEA. Compliance with EU data transfer obligations involves conducting transfer impact assessments, which includes documenting detailed analyses of data access and protection laws in the countries in which data importers are located, which can be costly and time-consuming. Data importers must also expend resources in analyzing their ability to comply with transfer obligations, including implementing new safeguards and controls to further protect personal data. A lack of valid transfer mechanisms for GDPR-covered data could increase exposure to enforcement actions and may affect our business operations and require commercial cost (including potentially limiting our ability to collaborate/work with certain third parties and/or requiring an increase in our data processing capabilities in the EU/UK). Further, the European/UK data protection laws (including laws on data transfers) may also be updated/revised,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accompanied by new guidance and/or judicial/regulatory interpretations, which could entail further impacts on our compliance efforts and increased cost.</w:t>
      </w:r>
    </w:p>
    <w:p>
      <w:pPr>
        <w:spacing w:after="0" w:line="157" w:lineRule="exact"/>
        <w:rPr>
          <w:sz w:val="20"/>
          <w:szCs w:val="20"/>
          <w:color w:val="auto"/>
        </w:rPr>
      </w:pPr>
    </w:p>
    <w:p>
      <w:pPr>
        <w:ind w:left="40" w:right="319"/>
        <w:spacing w:after="0" w:line="259" w:lineRule="auto"/>
        <w:rPr>
          <w:sz w:val="20"/>
          <w:szCs w:val="20"/>
          <w:color w:val="auto"/>
        </w:rPr>
      </w:pPr>
      <w:r>
        <w:rPr>
          <w:rFonts w:ascii="Times New Roman" w:cs="Times New Roman" w:eastAsia="Times New Roman" w:hAnsi="Times New Roman"/>
          <w:sz w:val="17"/>
          <w:szCs w:val="17"/>
          <w:color w:val="auto"/>
        </w:rPr>
        <w:t>Additionally, other countries outside of Europe/UK have enacted or are considering enacting similar cross-border data transfer restrictions and laws requiring local data residency, which could increase the cost and complexity of delivering our services and operating our business. The type of challenges we face in Europe/UK will likely also arise in other jurisdictions that adopt laws similar in construction to the GDPR or regulatory frameworks of equivalent complexity.</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Corporate History Highlights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Formation and Reincorporation</w:t>
      </w:r>
    </w:p>
    <w:p>
      <w:pPr>
        <w:spacing w:after="0" w:line="21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Inc. to spin us out to become an independent entity that is a reporting issuer in Canada and for us to complete a reverse take-over of 0995162 B.C. Ltd.</w:t>
      </w:r>
    </w:p>
    <w:p>
      <w:pPr>
        <w:spacing w:after="0" w:line="177" w:lineRule="exact"/>
        <w:rPr>
          <w:sz w:val="20"/>
          <w:szCs w:val="20"/>
          <w:color w:val="auto"/>
        </w:rPr>
      </w:pPr>
    </w:p>
    <w:p>
      <w:pPr>
        <w:ind w:left="40" w:right="239"/>
        <w:spacing w:after="0" w:line="259" w:lineRule="auto"/>
        <w:rPr>
          <w:sz w:val="20"/>
          <w:szCs w:val="20"/>
          <w:color w:val="auto"/>
        </w:rPr>
      </w:pPr>
      <w:r>
        <w:rPr>
          <w:rFonts w:ascii="Times New Roman" w:cs="Times New Roman" w:eastAsia="Times New Roman" w:hAnsi="Times New Roman"/>
          <w:sz w:val="17"/>
          <w:szCs w:val="17"/>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On March 11, 2025, we obtained a Certificate of Formation for Revelation Neuro with the Secretary of State of Texas.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Acquisitions, Mergers and Dissolutions</w:t>
      </w:r>
    </w:p>
    <w:p>
      <w:pPr>
        <w:spacing w:after="0" w:line="215" w:lineRule="exact"/>
        <w:rPr>
          <w:sz w:val="20"/>
          <w:szCs w:val="20"/>
          <w:color w:val="auto"/>
        </w:rPr>
      </w:pPr>
    </w:p>
    <w:p>
      <w:pPr>
        <w:ind w:left="40" w:right="359"/>
        <w:spacing w:after="0" w:line="278" w:lineRule="auto"/>
        <w:rPr>
          <w:sz w:val="20"/>
          <w:szCs w:val="20"/>
          <w:color w:val="auto"/>
        </w:rPr>
      </w:pPr>
      <w:r>
        <w:rPr>
          <w:rFonts w:ascii="Times New Roman" w:cs="Times New Roman" w:eastAsia="Times New Roman" w:hAnsi="Times New Roman"/>
          <w:sz w:val="17"/>
          <w:szCs w:val="17"/>
          <w:color w:val="auto"/>
        </w:rPr>
        <w:t>On June 13, 2014, we acquired NeuroHabilitation Corporation (“NHC”) and on December 21, 2018, NHC changed its name to Helius Medical, Inc. HMI is our operating subsidiary in the United States.</w:t>
      </w:r>
    </w:p>
    <w:p>
      <w:pPr>
        <w:spacing w:after="0" w:line="157" w:lineRule="exact"/>
        <w:rPr>
          <w:sz w:val="20"/>
          <w:szCs w:val="20"/>
          <w:color w:val="auto"/>
        </w:rPr>
      </w:pPr>
    </w:p>
    <w:p>
      <w:pPr>
        <w:ind w:left="40" w:right="99"/>
        <w:spacing w:after="0" w:line="310" w:lineRule="auto"/>
        <w:rPr>
          <w:sz w:val="20"/>
          <w:szCs w:val="20"/>
          <w:color w:val="auto"/>
        </w:rPr>
      </w:pPr>
      <w:r>
        <w:rPr>
          <w:rFonts w:ascii="Times New Roman" w:cs="Times New Roman" w:eastAsia="Times New Roman" w:hAnsi="Times New Roman"/>
          <w:sz w:val="16"/>
          <w:szCs w:val="16"/>
          <w:color w:val="auto"/>
        </w:rPr>
        <w:t>On October 30, 2019, we acquired Heuro, a company incorporated under the federal laws of Canada. Heuro is an indirect wholly owned subsidiary of HMC, a company incorporated under the federal laws of Canada. HMC is our operating subsidiary in Canada.</w:t>
      </w:r>
    </w:p>
    <w:p>
      <w:pPr>
        <w:spacing w:after="0" w:line="135" w:lineRule="exact"/>
        <w:rPr>
          <w:sz w:val="20"/>
          <w:szCs w:val="20"/>
          <w:color w:val="auto"/>
        </w:rPr>
      </w:pPr>
    </w:p>
    <w:p>
      <w:pPr>
        <w:ind w:left="40" w:right="459"/>
        <w:spacing w:after="0" w:line="278" w:lineRule="auto"/>
        <w:rPr>
          <w:sz w:val="20"/>
          <w:szCs w:val="20"/>
          <w:color w:val="auto"/>
        </w:rPr>
      </w:pPr>
      <w:r>
        <w:rPr>
          <w:rFonts w:ascii="Times New Roman" w:cs="Times New Roman" w:eastAsia="Times New Roman" w:hAnsi="Times New Roman"/>
          <w:sz w:val="17"/>
          <w:szCs w:val="17"/>
          <w:color w:val="auto"/>
        </w:rPr>
        <w:t>On September 12, 2024, Helius NeuroRehab, Inc., a wholly owned and dormant subsidiary of HMTI, was merged into HMTI pursuant to a Certificate of Ownership and Merger certified by the State of Delaware.</w:t>
      </w:r>
    </w:p>
    <w:p>
      <w:pPr>
        <w:spacing w:after="0" w:line="157" w:lineRule="exact"/>
        <w:rPr>
          <w:sz w:val="20"/>
          <w:szCs w:val="20"/>
          <w:color w:val="auto"/>
        </w:rPr>
      </w:pPr>
    </w:p>
    <w:p>
      <w:pPr>
        <w:ind w:left="40" w:right="859"/>
        <w:spacing w:after="0" w:line="278" w:lineRule="auto"/>
        <w:rPr>
          <w:sz w:val="20"/>
          <w:szCs w:val="20"/>
          <w:color w:val="auto"/>
        </w:rPr>
      </w:pPr>
      <w:r>
        <w:rPr>
          <w:rFonts w:ascii="Times New Roman" w:cs="Times New Roman" w:eastAsia="Times New Roman" w:hAnsi="Times New Roman"/>
          <w:sz w:val="17"/>
          <w:szCs w:val="17"/>
          <w:color w:val="auto"/>
        </w:rPr>
        <w:t>On September 20, 2024, Heuro was dissolved pursuant to a Certificate of Dissolution issued under the Canada Business Corporations Act.</w:t>
      </w:r>
    </w:p>
    <w:p>
      <w:pPr>
        <w:spacing w:after="0" w:line="157" w:lineRule="exact"/>
        <w:rPr>
          <w:sz w:val="20"/>
          <w:szCs w:val="20"/>
          <w:color w:val="auto"/>
        </w:rPr>
      </w:pPr>
    </w:p>
    <w:p>
      <w:pPr>
        <w:ind w:left="40" w:right="99"/>
        <w:spacing w:after="0" w:line="278" w:lineRule="auto"/>
        <w:rPr>
          <w:sz w:val="20"/>
          <w:szCs w:val="20"/>
          <w:color w:val="auto"/>
        </w:rPr>
      </w:pPr>
      <w:r>
        <w:rPr>
          <w:rFonts w:ascii="Times New Roman" w:cs="Times New Roman" w:eastAsia="Times New Roman" w:hAnsi="Times New Roman"/>
          <w:sz w:val="17"/>
          <w:szCs w:val="17"/>
          <w:color w:val="auto"/>
        </w:rPr>
        <w:t>On September 23, 2024, Helius Canada Acquisition Ltd., a wholly owned Canadian subsidiary of HMC, was dissolved pursuant to a Certificate of Dissolution issued under the Canada Business Corporations Act.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5" w:lineRule="exact"/>
        <w:rPr>
          <w:sz w:val="20"/>
          <w:szCs w:val="20"/>
          <w:color w:val="auto"/>
        </w:rPr>
      </w:pPr>
    </w:p>
    <w:p>
      <w:pPr>
        <w:ind w:left="40" w:right="199"/>
        <w:spacing w:after="0" w:line="272" w:lineRule="auto"/>
        <w:rPr>
          <w:sz w:val="20"/>
          <w:szCs w:val="20"/>
          <w:color w:val="auto"/>
        </w:rPr>
      </w:pPr>
      <w:r>
        <w:rPr>
          <w:rFonts w:ascii="Times New Roman" w:cs="Times New Roman" w:eastAsia="Times New Roman" w:hAnsi="Times New Roman"/>
          <w:sz w:val="16"/>
          <w:szCs w:val="16"/>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Form 10-K. Additionally, the SEC maintains a website that contains annual, quarterly, and current reports, proxy statements, and other information that issuers (including us) file electronically with the SEC. The SEC’s website address is http://www.sec.gov.</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15" w:lineRule="exact"/>
        <w:rPr>
          <w:sz w:val="20"/>
          <w:szCs w:val="20"/>
          <w:color w:val="auto"/>
        </w:rPr>
      </w:pPr>
    </w:p>
    <w:p>
      <w:pPr>
        <w:ind w:left="40" w:right="259"/>
        <w:spacing w:after="0" w:line="263" w:lineRule="auto"/>
        <w:rPr>
          <w:sz w:val="20"/>
          <w:szCs w:val="20"/>
          <w:color w:val="auto"/>
        </w:rPr>
      </w:pPr>
      <w:r>
        <w:rPr>
          <w:rFonts w:ascii="Times New Roman" w:cs="Times New Roman" w:eastAsia="Times New Roman" w:hAnsi="Times New Roman"/>
          <w:sz w:val="17"/>
          <w:szCs w:val="17"/>
          <w:color w:val="auto"/>
        </w:rPr>
        <w:t>As a neurotechnology company focused on neurological wellness through the development, licensing or acquisition of non-implantable technologies targeted at reducing symptoms of neurological disease or trauma, our human capital is important to the long-term success of our company.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People</w:t>
      </w:r>
    </w:p>
    <w:p>
      <w:pPr>
        <w:spacing w:after="0" w:line="215"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7"/>
          <w:szCs w:val="17"/>
          <w:color w:val="auto"/>
        </w:rPr>
        <w:t>We believe our diverse workforce is comprised of engaged individuals with appropriate qualifications and competencies to support our growth. Our senior management team has an average of over 25 years of experience in the health sciences industry with recognized leadership expertise in their functional areas.</w:t>
      </w:r>
    </w:p>
    <w:p>
      <w:pPr>
        <w:spacing w:after="0" w:line="171" w:lineRule="exact"/>
        <w:rPr>
          <w:sz w:val="20"/>
          <w:szCs w:val="20"/>
          <w:color w:val="auto"/>
        </w:rPr>
      </w:pPr>
    </w:p>
    <w:p>
      <w:pPr>
        <w:ind w:left="40" w:right="199"/>
        <w:spacing w:after="0" w:line="263" w:lineRule="auto"/>
        <w:rPr>
          <w:sz w:val="20"/>
          <w:szCs w:val="20"/>
          <w:color w:val="auto"/>
        </w:rPr>
      </w:pPr>
      <w:r>
        <w:rPr>
          <w:rFonts w:ascii="Times New Roman" w:cs="Times New Roman" w:eastAsia="Times New Roman" w:hAnsi="Times New Roman"/>
          <w:sz w:val="17"/>
          <w:szCs w:val="17"/>
          <w:color w:val="auto"/>
        </w:rPr>
        <w:t>As of December 31, 2024, we had 21 full-time employees, of which 19 are located in the United States and 2 are located in Canada. None of our employees were covered by collective bargaining agreements. We have not experienced any interruptions of operations due to disputes with our employees.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Talent Acquisition, Development and Retention</w:t>
      </w:r>
    </w:p>
    <w:p>
      <w:pPr>
        <w:spacing w:after="0" w:line="215" w:lineRule="exact"/>
        <w:rPr>
          <w:sz w:val="20"/>
          <w:szCs w:val="20"/>
          <w:color w:val="auto"/>
        </w:rPr>
      </w:pPr>
    </w:p>
    <w:p>
      <w:pPr>
        <w:ind w:left="40" w:right="79"/>
        <w:spacing w:after="0" w:line="287" w:lineRule="auto"/>
        <w:rPr>
          <w:sz w:val="20"/>
          <w:szCs w:val="20"/>
          <w:color w:val="auto"/>
        </w:rPr>
      </w:pPr>
      <w:r>
        <w:rPr>
          <w:rFonts w:ascii="Times New Roman" w:cs="Times New Roman" w:eastAsia="Times New Roman" w:hAnsi="Times New Roman"/>
          <w:sz w:val="16"/>
          <w:szCs w:val="16"/>
          <w:color w:val="auto"/>
        </w:rPr>
        <w:t>Hiring, developing, and retaining high-performing employees is important to our operations and we are focused on creating experiences that foster growth, performance and retention. Retaining and acquiring the right talent in this competitive environment, particularly at speed and scale, will continue to be a priority. Our workforce reflects talent from diverse perspectives.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Benefits, Safety and Wellness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addition to offering market competitive salaries and wages, we offer comprehensive health benefits to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11"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An investment in our securities has a high degree of risk. Before you invest you should carefully consider the risks and uncertainties described below and the other information in this Form 10-K. Any of the risks and uncertainties set forth herein could materially and adversely affect our business, results of operations and financial condition, which in turn could materially and adversely affect the trading price or value of our securities. Additional risks not currently known to us or which we consider immaterial based on information currently available to us may also materially adversely affect us. As a result, you could lose all or part of your investment.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Capital</w:t>
      </w:r>
    </w:p>
    <w:p>
      <w:pPr>
        <w:spacing w:after="0" w:line="211" w:lineRule="exact"/>
        <w:rPr>
          <w:sz w:val="20"/>
          <w:szCs w:val="20"/>
          <w:color w:val="auto"/>
        </w:rPr>
      </w:pPr>
    </w:p>
    <w:p>
      <w:pPr>
        <w:ind w:left="40" w:right="2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have incurred substantial net losses since our inception and anticipate that we will continue to incur substantial net losses for the foreseeable future. We may never achieve or sustain profitability.</w:t>
      </w:r>
    </w:p>
    <w:p>
      <w:pPr>
        <w:spacing w:after="0" w:line="153"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We have incurred substantial net losses since our inception. For the years ended December 31, 2024 and 2023, we incurred a net loss of $11.7 million and $8.9 million, respectively, and used cash in operating activities of $11.1 million and $10.4 million, respectively. We have an accumulated deficit of $171.7 million as of December 31, 2024.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Although we have received a medical device license from Health Canada to market the PoNS device in Canada, marketing authorization from the FDA for the sale of our PoNS device in the U.S. and market authorization from the TGA in Australia, we expect to continue to incur substantial losses for the foreseeable future as we continue to expand our commercialization efforts.</w:t>
      </w:r>
    </w:p>
    <w:p>
      <w:pPr>
        <w:spacing w:after="0" w:line="174" w:lineRule="exact"/>
        <w:rPr>
          <w:sz w:val="20"/>
          <w:szCs w:val="20"/>
          <w:color w:val="auto"/>
        </w:rPr>
      </w:pPr>
    </w:p>
    <w:p>
      <w:pPr>
        <w:ind w:left="4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will require additional financing to carry out our plan of operations and if we are unable to obtain such financing, our business may fail.</w:t>
      </w:r>
    </w:p>
    <w:p>
      <w:pPr>
        <w:spacing w:after="0" w:line="153"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During the year ended December 31, 2024, we generated approximately $0.5 million in revenue from the commercial sales of products in the United States and Canada. Because we have generated limited revenues from commercialization, our operations to date have been principally financed through public and private offerings of our common stocks, warrants and convertible debt and exercises of options and warrants. There are a number of conditions that we must satisfy before we will be able to generate sufficient revenue to fund our operations, including but not limited to the recruitment of patients for treatment, and demonstration of effectiveness sufficient to generate commercial orders by customers for our product.</w:t>
      </w:r>
    </w:p>
    <w:p>
      <w:pPr>
        <w:spacing w:after="0" w:line="177"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7"/>
          <w:szCs w:val="17"/>
          <w:color w:val="auto"/>
        </w:rPr>
        <w:t>These factors raise substantial doubt about our ability to continue as a going concern through at least 12 months from the date of this Form 10-K. We had $1.1 million of cash as of December 31, 2024, and we do not currently have sufficient resources to accomplish all of the above conditions necessary for us to generate sufficient revenues to achieve profitability, and we will require additional financing to fund our operations beyond the second quarter of 2025. There is no guarantee that such funding will be available at all or in sufficient amounts to satisfy our required expenditures.</w:t>
      </w:r>
    </w:p>
    <w:p>
      <w:pPr>
        <w:spacing w:after="0" w:line="177"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169"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by issuing securities or through debt financings or licensing arrangements may cause significant dilution to our existing stockholders, restrict our operations or require us to relinquish rights to our technologies or product on terms unfavorable to us.</w:t>
      </w:r>
    </w:p>
    <w:p>
      <w:pPr>
        <w:spacing w:after="0" w:line="167" w:lineRule="exact"/>
        <w:rPr>
          <w:sz w:val="20"/>
          <w:szCs w:val="20"/>
          <w:color w:val="auto"/>
        </w:rPr>
      </w:pPr>
    </w:p>
    <w:p>
      <w:pPr>
        <w:ind w:left="40" w:right="299"/>
        <w:spacing w:after="0" w:line="263" w:lineRule="auto"/>
        <w:rPr>
          <w:sz w:val="20"/>
          <w:szCs w:val="20"/>
          <w:color w:val="auto"/>
        </w:rPr>
      </w:pPr>
      <w:r>
        <w:rPr>
          <w:rFonts w:ascii="Times New Roman" w:cs="Times New Roman" w:eastAsia="Times New Roman" w:hAnsi="Times New Roman"/>
          <w:sz w:val="17"/>
          <w:szCs w:val="17"/>
          <w:color w:val="auto"/>
        </w:rPr>
        <w:t>Our operations to date have principally been financed by public and private offerings of our common stock warrants and convertible debt and exercises of warrants and options. Until we can generate significant revenue from product sales, if ever, we expect to finance our operations through the sale of equity, debt financings, or other capital sources, including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7"/>
          <w:szCs w:val="17"/>
          <w:color w:val="auto"/>
        </w:rPr>
        <w:t>potential collaborations with other companies or other strategic 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future revenue streams, research programs or product candidates, or otherwise grant licenses on terms that are not favorable to us. If we are unable to raise additional capital when needed, we may be required to delay, limit, reduce or terminate our product development or commercialization efforts,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178" w:lineRule="exact"/>
        <w:rPr>
          <w:sz w:val="20"/>
          <w:szCs w:val="20"/>
          <w:color w:val="auto"/>
        </w:rPr>
      </w:pPr>
    </w:p>
    <w:p>
      <w:pPr>
        <w:jc w:val="both"/>
        <w:ind w:left="40" w:right="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167"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7"/>
          <w:szCs w:val="17"/>
          <w:color w:val="auto"/>
        </w:rPr>
        <w:t>In connection with our management’s assessment, our report from our independent registered public accounting firm for the year ended December 31, 2024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We believe our existing capital resources will be sufficient to fund our operations into the second quarter of 2025. We also expect our expenses to increase as we continue to conduct trials of PoNS Therapy® and as we pursue further regulatory approvals, and maintain, expand and protect our intellectual property portfolio.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Global macroeconomic instability could adversely affect our ability to raise additional financing.</w:t>
      </w:r>
    </w:p>
    <w:p>
      <w:pPr>
        <w:spacing w:after="0" w:line="215"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Generally, global macroeconomic conditions remain uncertain, largely due to the effects of geopolitical conflicts in the Ukraine and in the Middle East, disruptions in the banking system and financial markets, increased inflation, sustained high interest rates and unpredictable trade policies, including tariffs, customs regulations and other trade restrictions. The general economic and capital market conditions, both in the U.S.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the Development and Commercialization of our Product</w:t>
      </w:r>
    </w:p>
    <w:p>
      <w:pPr>
        <w:spacing w:after="0" w:line="211" w:lineRule="exact"/>
        <w:rPr>
          <w:sz w:val="20"/>
          <w:szCs w:val="20"/>
          <w:color w:val="auto"/>
        </w:rPr>
      </w:pPr>
    </w:p>
    <w:p>
      <w:pPr>
        <w:ind w:left="40" w:right="19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currently only have one product which is approved in the U.S. only for treatment of gait deficit, for MS and otherwise only in Canada and Australia.</w:t>
      </w:r>
    </w:p>
    <w:p>
      <w:pPr>
        <w:spacing w:after="0" w:line="153"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We currently have no products CE certified and CE marked for commercial distribution in Europe, or in any other country outside of Canada, the U.S. and Australia. In the U.S. we have not received marketing authorization for use of the PoNS device other than for MS. In addition, the FDA has previously rejected our de novo application for marketing authorization of the PoNS device for mmTBI. In Europe, we are developing the PoNS device for use in the neuromodulation market, but we cannot begin marketing and selling the device in Europe until we obtain applicable CE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7"/>
          <w:szCs w:val="17"/>
          <w:color w:val="auto"/>
        </w:rPr>
        <w:t>certificate of conformity from a notified body in the EU after successful completion of a conformity assessment procedure. The process of obtaining regulatory authorization and/or certification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and/or certification of a product or rejection of a regulatory application altogether.</w:t>
      </w:r>
    </w:p>
    <w:p>
      <w:pPr>
        <w:spacing w:after="0" w:line="177" w:lineRule="exact"/>
        <w:rPr>
          <w:sz w:val="20"/>
          <w:szCs w:val="20"/>
          <w:color w:val="auto"/>
        </w:rPr>
      </w:pPr>
    </w:p>
    <w:p>
      <w:pPr>
        <w:ind w:left="40" w:right="239"/>
        <w:spacing w:after="0" w:line="276" w:lineRule="auto"/>
        <w:rPr>
          <w:sz w:val="20"/>
          <w:szCs w:val="20"/>
          <w:color w:val="auto"/>
        </w:rPr>
      </w:pPr>
      <w:r>
        <w:rPr>
          <w:rFonts w:ascii="Times New Roman" w:cs="Times New Roman" w:eastAsia="Times New Roman" w:hAnsi="Times New Roman"/>
          <w:sz w:val="16"/>
          <w:szCs w:val="16"/>
          <w:color w:val="auto"/>
        </w:rPr>
        <w:t>We are developing the PoNS device for other indications, or symptoms caused by neurological disorders, and will be required to commit our own resources to fund development of any other indications and each would require separate regulatory clearance, certification or other marketing authorization in other territories. The costs of such development efforts and regulatory clearance, certification or other marketing authorization could be substantial and would likely require additional funding, and each such indication would be subject to the same foregoing risks and uncertainties for FDA clearance/authorization.</w:t>
      </w:r>
    </w:p>
    <w:p>
      <w:pPr>
        <w:spacing w:after="0" w:line="162"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Obtaining FDA marketing authorization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169"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PoNS technology is a novel form of neurostimulation therapy, and the medical community tends not to adopt new therapies very rapidly. If physicians elect not to prescribe the PoNS Therapy, we will be unable to generate significant revenue.</w:t>
      </w:r>
    </w:p>
    <w:p>
      <w:pPr>
        <w:spacing w:after="0" w:line="153"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Our continued deployment strategy depends on physicians prescribing the PoNS Therapy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p>
      <w:pPr>
        <w:spacing w:after="0" w:line="173" w:lineRule="exact"/>
        <w:rPr>
          <w:sz w:val="20"/>
          <w:szCs w:val="20"/>
          <w:color w:val="auto"/>
        </w:rPr>
      </w:pPr>
    </w:p>
    <w:p>
      <w:pPr>
        <w:ind w:left="680" w:hanging="30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or perceived lack of evidence supporting the beneficial characteristics of our technology;</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long-term data on the use of PoNS technology for therapy;</w:t>
      </w:r>
    </w:p>
    <w:p>
      <w:pPr>
        <w:spacing w:after="0" w:line="58" w:lineRule="exact"/>
        <w:rPr>
          <w:rFonts w:ascii="Times New Roman" w:cs="Times New Roman" w:eastAsia="Times New Roman" w:hAnsi="Times New Roman"/>
          <w:sz w:val="17"/>
          <w:szCs w:val="17"/>
          <w:color w:val="auto"/>
        </w:rPr>
      </w:pPr>
    </w:p>
    <w:p>
      <w:pPr>
        <w:ind w:left="680" w:right="419" w:hanging="304"/>
        <w:spacing w:after="0" w:line="278"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perception that there are insufficient advantages of our product relative to currently available products or compared to supervised therapeutic exercise alone;</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effectively train physical therapists in the supervision of patients’ use of PoNS Therapy;</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hospitals may choose not to purchase our product;</w:t>
      </w:r>
    </w:p>
    <w:p>
      <w:pPr>
        <w:spacing w:after="0" w:line="58" w:lineRule="exact"/>
        <w:rPr>
          <w:rFonts w:ascii="Times New Roman" w:cs="Times New Roman" w:eastAsia="Times New Roman" w:hAnsi="Times New Roman"/>
          <w:sz w:val="17"/>
          <w:szCs w:val="17"/>
          <w:color w:val="auto"/>
        </w:rPr>
      </w:pPr>
    </w:p>
    <w:p>
      <w:pPr>
        <w:ind w:left="680" w:right="279" w:hanging="304"/>
        <w:spacing w:after="0" w:line="278"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group purchasing organizations may choose not to contract for our product, thus limiting availability of our products to hospital purchasers;</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coverage or adequate payment from managed care plans and other third-party payers for our product;</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Medicare, Medicaid or other third-party payers may limit or not permit reimbursement for our product; and</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or improvement of competitive products.</w:t>
      </w:r>
    </w:p>
    <w:p>
      <w:pPr>
        <w:spacing w:after="0" w:line="211" w:lineRule="exact"/>
        <w:rPr>
          <w:sz w:val="20"/>
          <w:szCs w:val="20"/>
          <w:color w:val="auto"/>
        </w:rPr>
      </w:pPr>
    </w:p>
    <w:p>
      <w:pPr>
        <w:ind w:left="40" w:right="199"/>
        <w:spacing w:after="0" w:line="278" w:lineRule="auto"/>
        <w:rPr>
          <w:sz w:val="20"/>
          <w:szCs w:val="20"/>
          <w:color w:val="auto"/>
        </w:rPr>
      </w:pPr>
      <w:r>
        <w:rPr>
          <w:rFonts w:ascii="Times New Roman" w:cs="Times New Roman" w:eastAsia="Times New Roman" w:hAnsi="Times New Roman"/>
          <w:sz w:val="17"/>
          <w:szCs w:val="17"/>
          <w:color w:val="auto"/>
        </w:rPr>
        <w:t>If the medical community is slow to adopt or declines to adopt our PoNS device for neurostimulation therapy, we will not be able to generate significant revenues which would have a material adverse effect on our business.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There is limited market awareness of our product, and the neuromodulation market is new and uncertain.</w:t>
      </w:r>
    </w:p>
    <w:p>
      <w:pPr>
        <w:spacing w:after="0" w:line="215"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7"/>
          <w:szCs w:val="17"/>
          <w:color w:val="auto"/>
        </w:rPr>
        <w:t>There is currently limited market awareness of our product. In order to succeed, we must, among other things, increase market awareness of our PoNS Therapy and expand our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419"/>
        <w:spacing w:after="0" w:line="278" w:lineRule="auto"/>
        <w:rPr>
          <w:sz w:val="20"/>
          <w:szCs w:val="20"/>
          <w:color w:val="auto"/>
        </w:rPr>
      </w:pPr>
      <w:r>
        <w:rPr>
          <w:rFonts w:ascii="Times New Roman" w:cs="Times New Roman" w:eastAsia="Times New Roman" w:hAnsi="Times New Roman"/>
          <w:sz w:val="17"/>
          <w:szCs w:val="17"/>
          <w:color w:val="auto"/>
        </w:rPr>
        <w:t>fails to become more integrated in neurological therapy, it could have a materially adverse effect on our business and financial position.</w:t>
      </w:r>
    </w:p>
    <w:p>
      <w:pPr>
        <w:spacing w:after="0" w:line="153"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167"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177"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There can be no assurance that we will be able to establish ourselves in the neurostimulation market, or, if established, that we will be able to maintain our market position. Our commercial opportunity may be reduced if our competitors develop new or improved products that are more convenient, more effective or less expensive than our product is. Additionally, technologies developed by our competitors may render the PoNS device uneconomical or obsolete.</w:t>
      </w:r>
    </w:p>
    <w:p>
      <w:pPr>
        <w:spacing w:after="0" w:line="169"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product is currently made available to authorized users of the Department of Veterans Affairs Federal Supply Schedule and if we were no longer eligible to sell our products through such channel, our business may be adversely affected.</w:t>
      </w:r>
    </w:p>
    <w:p>
      <w:pPr>
        <w:spacing w:after="0" w:line="153"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7"/>
          <w:szCs w:val="17"/>
          <w:color w:val="auto"/>
        </w:rPr>
        <w:t>Our PoNS device is eligible for reimbursement by the Department of Veterans Affairs and included on the Federal Supply Schedule pricing program. We must comply with additional laws and requirements applicable to our operations and manufacturing processes in order to remain eligible for this program. Our PoNS device is available for purchase by the Department of Veterans Affairs off contract. If we were to lose eligibility for reimbursement by the Department of Veterans Affairs, our business, financial condition and results of operations could be adversely affected.</w:t>
      </w:r>
    </w:p>
    <w:p>
      <w:pPr>
        <w:spacing w:after="0" w:line="177" w:lineRule="exact"/>
        <w:rPr>
          <w:sz w:val="20"/>
          <w:szCs w:val="20"/>
          <w:color w:val="auto"/>
        </w:rPr>
      </w:pPr>
    </w:p>
    <w:p>
      <w:pPr>
        <w:jc w:val="both"/>
        <w:ind w:left="40" w:right="439"/>
        <w:spacing w:after="0" w:line="278" w:lineRule="auto"/>
        <w:rPr>
          <w:sz w:val="20"/>
          <w:szCs w:val="20"/>
          <w:color w:val="auto"/>
        </w:rPr>
      </w:pPr>
      <w:r>
        <w:rPr>
          <w:rFonts w:ascii="Times New Roman" w:cs="Times New Roman" w:eastAsia="Times New Roman" w:hAnsi="Times New Roman"/>
          <w:sz w:val="17"/>
          <w:szCs w:val="17"/>
          <w:color w:val="auto"/>
        </w:rPr>
        <w:t>Additionally, in February 2025, large layoffs were conducted in the Department of Veterans Affairs, which could significantly delay and impede our interactions with the Department of Veterans Affairs.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Reliance on Third Parties</w:t>
      </w:r>
    </w:p>
    <w:p>
      <w:pPr>
        <w:spacing w:after="0" w:line="211" w:lineRule="exact"/>
        <w:rPr>
          <w:sz w:val="20"/>
          <w:szCs w:val="20"/>
          <w:color w:val="auto"/>
        </w:rPr>
      </w:pPr>
    </w:p>
    <w:p>
      <w:pPr>
        <w:ind w:left="40" w:right="1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are, and will continue to be, dependent in significant part on outside scientists and third-party research institutions for our research and development in order to be able to commercialize our product.</w:t>
      </w:r>
    </w:p>
    <w:p>
      <w:pPr>
        <w:spacing w:after="0" w:line="153" w:lineRule="exact"/>
        <w:rPr>
          <w:sz w:val="20"/>
          <w:szCs w:val="20"/>
          <w:color w:val="auto"/>
        </w:rPr>
      </w:pPr>
    </w:p>
    <w:p>
      <w:pPr>
        <w:jc w:val="both"/>
        <w:ind w:left="40" w:right="439"/>
        <w:spacing w:after="0" w:line="263" w:lineRule="auto"/>
        <w:rPr>
          <w:sz w:val="20"/>
          <w:szCs w:val="20"/>
          <w:color w:val="auto"/>
        </w:rPr>
      </w:pPr>
      <w:r>
        <w:rPr>
          <w:rFonts w:ascii="Times New Roman" w:cs="Times New Roman" w:eastAsia="Times New Roman" w:hAnsi="Times New Roman"/>
          <w:sz w:val="17"/>
          <w:szCs w:val="17"/>
          <w:color w:val="auto"/>
        </w:rPr>
        <w:t>We rely, and will continue to rely, on third-party research institutions, collaborators and consultants. Such third-party research institutions, collaborators and consultants may determine to cease providing services to us at any time, which would delay our product development and commercialization efforts.</w:t>
      </w:r>
    </w:p>
    <w:p>
      <w:pPr>
        <w:spacing w:after="0" w:line="167" w:lineRule="exact"/>
        <w:rPr>
          <w:sz w:val="20"/>
          <w:szCs w:val="20"/>
          <w:color w:val="auto"/>
        </w:rPr>
      </w:pPr>
    </w:p>
    <w:p>
      <w:pPr>
        <w:ind w:left="40" w:right="29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depend on third parties for the manufacture and distribution of our product and the loss of our third-party manufacturer and distributor could harm our business.</w:t>
      </w:r>
    </w:p>
    <w:p>
      <w:pPr>
        <w:spacing w:after="0" w:line="153"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We depend on our third-party contract manufacturing partner to manufacture and supply our PoNS device for clinical and commercial purposes.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the QSR, any of which could result in their inability to manufacture sufficient quantities of our commercially available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899"/>
        <w:spacing w:after="0" w:line="278" w:lineRule="auto"/>
        <w:rPr>
          <w:sz w:val="20"/>
          <w:szCs w:val="20"/>
          <w:color w:val="auto"/>
        </w:rPr>
      </w:pPr>
      <w:r>
        <w:rPr>
          <w:rFonts w:ascii="Times New Roman" w:cs="Times New Roman" w:eastAsia="Times New Roman" w:hAnsi="Times New Roman"/>
          <w:sz w:val="17"/>
          <w:szCs w:val="17"/>
          <w:color w:val="auto"/>
        </w:rPr>
        <w:t>product to meet market demand or lead to significant delays in the availability of materials for our product and/or FDA enforcement actions against them and/or us.</w:t>
      </w:r>
    </w:p>
    <w:p>
      <w:pPr>
        <w:spacing w:after="0" w:line="157"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7"/>
          <w:szCs w:val="17"/>
          <w:color w:val="auto"/>
        </w:rPr>
        <w:t>Production of therapeutic products may require raw materials for which the sources and amount of supply are limited or may be hindered by quality or scheduling issues in respect of the third-party suppliers over which the Company has limited control. An inability to obtain adequate supplies of raw materials could significantly delay the development, regulatory approval and sales and marketing of a product. 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our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11" w:lineRule="exact"/>
        <w:rPr>
          <w:sz w:val="20"/>
          <w:szCs w:val="20"/>
          <w:color w:val="auto"/>
        </w:rPr>
      </w:pPr>
    </w:p>
    <w:p>
      <w:pPr>
        <w:ind w:left="40" w:right="6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our intellectual property protection is inadequate, competitors may gain access to our technology and undermine our competitive position.</w:t>
      </w:r>
    </w:p>
    <w:p>
      <w:pPr>
        <w:spacing w:after="0" w:line="153" w:lineRule="exact"/>
        <w:rPr>
          <w:sz w:val="20"/>
          <w:szCs w:val="20"/>
          <w:color w:val="auto"/>
        </w:rPr>
      </w:pPr>
    </w:p>
    <w:p>
      <w:pPr>
        <w:ind w:left="40" w:right="99"/>
        <w:spacing w:after="0" w:line="270" w:lineRule="auto"/>
        <w:rPr>
          <w:sz w:val="20"/>
          <w:szCs w:val="20"/>
          <w:color w:val="auto"/>
        </w:rPr>
      </w:pPr>
      <w:r>
        <w:rPr>
          <w:rFonts w:ascii="Times New Roman" w:cs="Times New Roman" w:eastAsia="Times New Roman" w:hAnsi="Times New Roman"/>
          <w:sz w:val="16"/>
          <w:szCs w:val="16"/>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U.S. Our means of protecting any proprietary rights we may receive in the U.S.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162" w:lineRule="exact"/>
        <w:rPr>
          <w:sz w:val="20"/>
          <w:szCs w:val="20"/>
          <w:color w:val="auto"/>
        </w:rPr>
      </w:pPr>
    </w:p>
    <w:p>
      <w:pPr>
        <w:ind w:left="40" w:right="2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153"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7"/>
          <w:szCs w:val="17"/>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77" w:lineRule="exact"/>
        <w:rPr>
          <w:sz w:val="20"/>
          <w:szCs w:val="20"/>
          <w:color w:val="auto"/>
        </w:rPr>
      </w:pPr>
    </w:p>
    <w:p>
      <w:pPr>
        <w:ind w:left="40" w:right="299"/>
        <w:spacing w:after="0" w:line="253" w:lineRule="auto"/>
        <w:rPr>
          <w:sz w:val="20"/>
          <w:szCs w:val="20"/>
          <w:color w:val="auto"/>
        </w:rPr>
      </w:pPr>
      <w:r>
        <w:rPr>
          <w:rFonts w:ascii="Times New Roman" w:cs="Times New Roman" w:eastAsia="Times New Roman" w:hAnsi="Times New Roman"/>
          <w:sz w:val="17"/>
          <w:szCs w:val="17"/>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239"/>
        <w:spacing w:after="0" w:line="263" w:lineRule="auto"/>
        <w:rPr>
          <w:sz w:val="20"/>
          <w:szCs w:val="20"/>
          <w:color w:val="auto"/>
        </w:rPr>
      </w:pPr>
      <w:r>
        <w:rPr>
          <w:rFonts w:ascii="Times New Roman" w:cs="Times New Roman" w:eastAsia="Times New Roman" w:hAnsi="Times New Roman"/>
          <w:sz w:val="17"/>
          <w:szCs w:val="17"/>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There are risks to our intellectual property based on our international business operations.</w:t>
      </w:r>
    </w:p>
    <w:p>
      <w:pPr>
        <w:spacing w:after="0" w:line="215"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6"/>
          <w:szCs w:val="16"/>
          <w:color w:val="auto"/>
        </w:rPr>
        <w:t>We may face risks to our technology and intellectual property as a result of our conducting business outside of the U.S., including as a result of our strategic arrangement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211" w:lineRule="exact"/>
        <w:rPr>
          <w:sz w:val="20"/>
          <w:szCs w:val="20"/>
          <w:color w:val="auto"/>
        </w:rPr>
      </w:pPr>
    </w:p>
    <w:p>
      <w:pPr>
        <w:ind w:left="40" w:right="59"/>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Before we can market and sell our products for additional indications, we are required to obtain marketing authorization and/or certification from the FDA and foreign regulatory authorities. These authorizations and/or certifications will take significant time and require significant research, development, and clinical study expenditures, and ultimately may not succeed.</w:t>
      </w:r>
    </w:p>
    <w:p>
      <w:pPr>
        <w:spacing w:after="0" w:line="150"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7"/>
          <w:szCs w:val="17"/>
          <w:color w:val="auto"/>
        </w:rPr>
        <w:t xml:space="preserve">Before we begin to label and market the PoNS Therapy for new uses in the U.S., we are required to obtain marketing authorization via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and clearance request for our product or approval of pre-market approval application from the FDA, unless an exemption from pre-market review applies. While we have marketing authorization for the PoNS Therapy in the U.S. for use as a short-term treatment of gait deficit due to mild-to-moderate symptoms of MS, we have not received regulatory authorization or approval for any other indication. The process of obtaining regulatory authorizations or approvals, including completion of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process, to market a medical device can be costly and time consuming, and we may not be able to successfully obtain pre-market reviews on a timely basis, if at all.</w:t>
      </w:r>
    </w:p>
    <w:p>
      <w:pPr>
        <w:spacing w:after="0" w:line="178"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In April 2019, the FDA declined our request for de novo classification and clearance for mmTBI, in part due to insufficient clinical evidence regarding effectiveness of our product from mmTBI. Following a pre-submission meeting with the FDA, we are assessing the feasibility of a clinical program to advance the development of a study aimed to obtain clearance for gait and balance deficits in mmTBI if nondilutive financing to fund the program becomes available. The FDA has substantial discretion in the de novo review process and may refuse to accept any future application(s)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and/or certification from the FDA or other regulatory authorities.</w:t>
      </w:r>
    </w:p>
    <w:p>
      <w:pPr>
        <w:spacing w:after="0" w:line="181"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Moreover, in addition to continuing our pursuit of an indication for stroke and mmTBI with the FDA, we are currently considering the development of the PoNS device for other potential indications, including cerebral palsy, Parkinson’s disease, baby boomers balance, and neurological wellness, as well as expanding the label of our current indications.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39"/>
        <w:spacing w:after="0" w:line="254" w:lineRule="auto"/>
        <w:rPr>
          <w:sz w:val="20"/>
          <w:szCs w:val="20"/>
          <w:color w:val="auto"/>
        </w:rPr>
      </w:pPr>
      <w:r>
        <w:rPr>
          <w:rFonts w:ascii="Times New Roman" w:cs="Times New Roman" w:eastAsia="Times New Roman" w:hAnsi="Times New Roman"/>
          <w:sz w:val="17"/>
          <w:szCs w:val="17"/>
          <w:color w:val="auto"/>
        </w:rPr>
        <w:t xml:space="preserve">If the FDA requires us to go through a lengthier, more rigorous examination for the PoNS device for any of these indications or any other indications we may pursue, as it has for the PoNS device in the indication for mmTBI,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74" w:lineRule="exact"/>
        <w:rPr>
          <w:sz w:val="20"/>
          <w:szCs w:val="20"/>
          <w:color w:val="auto"/>
        </w:rPr>
      </w:pPr>
    </w:p>
    <w:p>
      <w:pPr>
        <w:ind w:left="40" w:right="2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FDA marketing authorization will be costly, may result in time-consuming delays and will subject us to ongoing compliance costs and regulatory risk for non-compliance.</w:t>
      </w:r>
    </w:p>
    <w:p>
      <w:pPr>
        <w:spacing w:after="0" w:line="153"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7"/>
          <w:szCs w:val="17"/>
          <w:color w:val="auto"/>
        </w:rPr>
        <w:t xml:space="preserve">Even though we have obtained FDA market clearance for our product as a treatment for MS, obtaining FDA marketing authorization,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and clearance, or PMA approval for medical devices for additional indications can be expensive and uncertain, generally takes from several months to several years, and generally requires detailed and comprehensive scientific and clinical data. Notwithstanding the expense, these efforts may never result in FDA authorization.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FDA can delay, limit or deny authorization of a device for many reasons, including:</w:t>
      </w:r>
    </w:p>
    <w:p>
      <w:pPr>
        <w:spacing w:after="0" w:line="211" w:lineRule="exact"/>
        <w:rPr>
          <w:sz w:val="20"/>
          <w:szCs w:val="20"/>
          <w:color w:val="auto"/>
        </w:rPr>
      </w:pPr>
    </w:p>
    <w:p>
      <w:pPr>
        <w:ind w:left="680" w:right="619" w:hanging="304"/>
        <w:spacing w:after="0" w:line="278" w:lineRule="auto"/>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to the FDA’s satisfaction that our product candidate is safe and effective for its intended users;</w:t>
      </w:r>
    </w:p>
    <w:p>
      <w:pPr>
        <w:spacing w:after="0" w:line="4"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from our pre-clinical studies and clinical trials may be insufficient to support authorization, where required; and</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process or facilities we use may not meet applicable requirements.</w:t>
      </w:r>
    </w:p>
    <w:p>
      <w:pPr>
        <w:spacing w:after="0" w:line="211"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6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 xml:space="preserve">Obtaining market authorization for our product as a treatment for additional indications will require a 510(k) clearance,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and clearance, or pre-market approval under which the FDA will likely place substantial restrictions on how our device is marketed or sold. Moreover, the manufacture of medical devices must comply with the FDA’s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182" w:lineRule="exact"/>
        <w:rPr>
          <w:sz w:val="20"/>
          <w:szCs w:val="20"/>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warning letters, fines, injunctions, consent decrees and civil penalties;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of repair, replacement, refunds, detention or seizure of our products;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requests for marketing authorization of new products or modified products;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marketing authorizations that have already been granted;</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to provide Certificates for Foreign Government;</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to grant export approval for our products; or</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pursuing criminal prosecution.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7"/>
          <w:szCs w:val="17"/>
          <w:color w:val="auto"/>
        </w:rPr>
        <w:t>Regulatory enforcement or inquiries, or other increased scrutiny on us, could affect the perceived safety and efficacy of our product candidate and dissuade our customers from using our product candidate, if and when it is authorized for marketing.</w:t>
      </w:r>
    </w:p>
    <w:p>
      <w:pPr>
        <w:spacing w:after="0" w:line="15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Once commercialized, modifications to our marketed products may require new 510(k) clearances or approval of PMA supplements or may require us to cease marketing or recall the modified products until clearances or regulatory approvals are obtained.</w:t>
      </w:r>
    </w:p>
    <w:p>
      <w:pPr>
        <w:spacing w:after="0" w:line="167"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Modifications to any of our products once they are commercialized may require new regulatory approvals or clearances, including 510(k) clearances or approval of PMAs or PMA supplements,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affect safety or efficacy and does not represent a major change in its intended use, so that no new clearance or approval is necessary. However, the FDA can review a manufacturer’s decision and may disagree. The FDA may also on its own initiative determine that a new clearance or approval of a PMA supplement is required. We may make modifications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and/or seek new marketing authorizations and harm our operating results. In these circumstances, we may be subject to significant enforcement actions.</w:t>
      </w:r>
    </w:p>
    <w:p>
      <w:pPr>
        <w:spacing w:after="0" w:line="17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The transition to the new presidential administration could hinder the FDA’s ability to perform normal business functions on which our business may rely, which could negatively impact our business.</w:t>
      </w:r>
    </w:p>
    <w:p>
      <w:pPr>
        <w:spacing w:after="0" w:line="15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ability of the FDA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among other factors. Average review times at the agency may fluctuate as a result. In addition, government funding of other government agencies on which our operations may rely is subject to the political process, which is inherently fluid and unpredictable.</w:t>
      </w:r>
    </w:p>
    <w:p>
      <w:pPr>
        <w:spacing w:after="0" w:line="177" w:lineRule="exact"/>
        <w:rPr>
          <w:sz w:val="20"/>
          <w:szCs w:val="20"/>
          <w:color w:val="auto"/>
        </w:rPr>
      </w:pPr>
    </w:p>
    <w:p>
      <w:pPr>
        <w:ind w:left="40" w:right="299"/>
        <w:spacing w:after="0" w:line="253" w:lineRule="auto"/>
        <w:rPr>
          <w:sz w:val="20"/>
          <w:szCs w:val="20"/>
          <w:color w:val="auto"/>
        </w:rPr>
      </w:pPr>
      <w:r>
        <w:rPr>
          <w:rFonts w:ascii="Times New Roman" w:cs="Times New Roman" w:eastAsia="Times New Roman" w:hAnsi="Times New Roman"/>
          <w:sz w:val="17"/>
          <w:szCs w:val="17"/>
          <w:color w:val="auto"/>
        </w:rPr>
        <w:t>Disruptions at the FDA may also increase the time necessary for market authorization submissions for additional indications for our product to be reviewed and/or approved by the FDA, which would adversely affect our business. For example, the Trump Administration has discussed several changes to the reach and oversight of the FDA, which could affect its relationship with the medical device industry and transparency in decision making. Additionally, over the last several years, the U.S. government has shut down multiple times and certain regulatory agencies, such as the FDA, have had to furlough critical FDA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w:t>
      </w:r>
    </w:p>
    <w:p>
      <w:pPr>
        <w:spacing w:after="0" w:line="181"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7"/>
          <w:szCs w:val="17"/>
          <w:color w:val="auto"/>
        </w:rPr>
        <w:t>Additionally, recent actions by the United States federal government have caused concern in the industry that this may occur. For example, beginning on February 13, 2025, the Department of Health and Human Services began firing a large number of its probationary employees, a category that includes new federal employees and 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There are also reports that the United States federal government intends to request Congress to reduce FDA funding in upcoming budgets. Such funding cuts may also delay the development and approval of new indications for PoNS.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be required to conduct clinical trials to support a de novo submission or PMA application for the PoNS device with respect to one or more indications and we expect to be required to conduct clinical trials to support regulatory marketing authorization for future product candidates.</w:t>
      </w:r>
    </w:p>
    <w:p>
      <w:pPr>
        <w:spacing w:after="0" w:line="167"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7"/>
          <w:szCs w:val="17"/>
          <w:color w:val="auto"/>
        </w:rPr>
        <w:t xml:space="preserve">In order to commercialize our product candidate in the U.S. with respect to specified indications,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process, or is not exempt from premarket review by the FDA.</w:t>
      </w:r>
    </w:p>
    <w:p>
      <w:pPr>
        <w:spacing w:after="0" w:line="173"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spacing w:after="0" w:line="173" w:lineRule="exact"/>
        <w:rPr>
          <w:sz w:val="20"/>
          <w:szCs w:val="20"/>
          <w:color w:val="auto"/>
        </w:rPr>
      </w:pPr>
    </w:p>
    <w:p>
      <w:pPr>
        <w:ind w:left="40" w:right="39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167"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6"/>
          <w:szCs w:val="16"/>
          <w:color w:val="auto"/>
        </w:rPr>
        <w:t>We are currently engaged in multiple clinical trials and may continue to pursue additional clinical trials in the future.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71"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We cannot guarantee that clinical trials will be conducted as planned or completed on schedule, if at all. A failure of one or more clinical trials can occur at any stage of testing. Delays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and/or certification, and commercialization, which would harm our business, financial condition, and results of operations.</w:t>
      </w:r>
    </w:p>
    <w:p>
      <w:pPr>
        <w:spacing w:after="0" w:line="17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are, and will continue to be, dependent in significant part on outside scientists and third-party research institutions for our research and development in order to be able to commercialize our product.</w:t>
      </w:r>
    </w:p>
    <w:p>
      <w:pPr>
        <w:spacing w:after="0" w:line="15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We are and will continue to conduct clinical trials to obtain FDA marketing authorization. We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and/or certification process. Moreover, our business may be implicated if any of these third parties violates federal or state fraud and abuse or false claims laws and regulations or healthcare privacy and security laws.</w:t>
      </w:r>
    </w:p>
    <w:p>
      <w:pPr>
        <w:spacing w:after="0" w:line="17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and/or certification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82"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management’s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3"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suspend or discontinue clinical trials due to side effects or other safety risks that could preclude approval of our products.</w:t>
      </w:r>
    </w:p>
    <w:p>
      <w:pPr>
        <w:spacing w:after="0" w:line="153"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169" w:lineRule="exact"/>
        <w:rPr>
          <w:sz w:val="20"/>
          <w:szCs w:val="20"/>
          <w:color w:val="auto"/>
        </w:rPr>
      </w:pPr>
    </w:p>
    <w:p>
      <w:pPr>
        <w:ind w:left="40" w:right="4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coverage or adequate reimbursement for our products, use of our products may decline and our ability to generate revenue may be decreased.</w:t>
      </w:r>
    </w:p>
    <w:p>
      <w:pPr>
        <w:spacing w:after="0" w:line="153"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In the U.S.,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our products. The existence of coverage and adequate reimbursement for our products by government and private payers is critical to market acceptance of our existing and future products. Suppliers are not likely to furnish our existing and any future products if they do not receive adequate reimbursement for our products.</w:t>
      </w:r>
    </w:p>
    <w:p>
      <w:pPr>
        <w:spacing w:after="0" w:line="177"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Many private payers currently base their reimbursement policies on the coverage decisions and payment amounts determined by CMS, which administers the Medicare program. Others may adopt different coverage or reimbursement policies for our products, while some governmental programs, such as Medicaid, have reimbursement policies that vary from state to state, some of which may not pay for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was not medically necessary, was not used in accordance with cost-effective treatment methods, as determined by the third-party payer, or was used for an unapproved use. Unfavorable coverage or reimbursement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decisions by government programs or private payers underscore the uncertainty that our products face in the market and could have a material adverse effect on our business.</w:t>
      </w:r>
    </w:p>
    <w:p>
      <w:pPr>
        <w:spacing w:after="0" w:line="157"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7"/>
          <w:szCs w:val="17"/>
          <w:color w:val="auto"/>
        </w:rPr>
        <w:t>The healthcare industry in the U.S. has experienced a trend toward cost containment as government and private payers seek to control healthcare costs by paying service providers lower rates. While we believe that suppliers will be able to obtain coverage for our products, the level of payment available to them for our products may change over time. Federal and state healthcare programs, such as Medicare and Medicaid, closely regulate program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suppliers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suppliers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suppliers could adversely affect our ability to market, sell our products, and negatively affect our financial performance.</w:t>
      </w:r>
    </w:p>
    <w:p>
      <w:pPr>
        <w:spacing w:after="0" w:line="188"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173" w:lineRule="exact"/>
        <w:rPr>
          <w:sz w:val="20"/>
          <w:szCs w:val="20"/>
          <w:color w:val="auto"/>
        </w:rPr>
      </w:pPr>
    </w:p>
    <w:p>
      <w:pPr>
        <w:ind w:left="40" w:right="6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53"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We are subject to numerous healthcare laws that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w:t>
      </w:r>
    </w:p>
    <w:p>
      <w:pPr>
        <w:spacing w:after="0" w:line="173" w:lineRule="exact"/>
        <w:rPr>
          <w:sz w:val="20"/>
          <w:szCs w:val="20"/>
          <w:color w:val="auto"/>
        </w:rPr>
      </w:pPr>
    </w:p>
    <w:p>
      <w:pPr>
        <w:ind w:left="680" w:right="99" w:hanging="304"/>
        <w:spacing w:after="0" w:line="268" w:lineRule="auto"/>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healthcare Anti-Kickback Statute prohibits any person from, among other things, knowingly and willfully offering, paying, soliciting, or receiving remuneration, directly or indirectly, in cash or in kind, to 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medical device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Penalties for violations of the Anti-Kickback Statute include, but are not limited to, criminal, civil and/or administrative penalties, damages, fines, disgorgement, individual imprisonment, possible exclusion from Medicare, Medicaid and other federal healthcare programs, and the curtailment or restructuring of operations.</w:t>
      </w:r>
    </w:p>
    <w:p>
      <w:pPr>
        <w:spacing w:after="0" w:line="18" w:lineRule="exact"/>
        <w:rPr>
          <w:rFonts w:ascii="Times New Roman" w:cs="Times New Roman" w:eastAsia="Times New Roman" w:hAnsi="Times New Roman"/>
          <w:sz w:val="16"/>
          <w:szCs w:val="16"/>
          <w:color w:val="auto"/>
        </w:rPr>
      </w:pPr>
    </w:p>
    <w:p>
      <w:pPr>
        <w:ind w:left="680" w:right="459" w:hanging="304"/>
        <w:spacing w:after="0" w:line="263" w:lineRule="auto"/>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an obligation to pay money to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80" w:right="79"/>
        <w:spacing w:after="0" w:line="269" w:lineRule="auto"/>
        <w:rPr>
          <w:sz w:val="20"/>
          <w:szCs w:val="20"/>
          <w:color w:val="auto"/>
        </w:rPr>
      </w:pPr>
      <w:r>
        <w:rPr>
          <w:rFonts w:ascii="Times New Roman" w:cs="Times New Roman" w:eastAsia="Times New Roman" w:hAnsi="Times New Roman"/>
          <w:sz w:val="16"/>
          <w:szCs w:val="16"/>
          <w:color w:val="auto"/>
        </w:rPr>
        <w:t>government, or false or fraudulent claim to knowingly and improperly avoiding, decreasing, or concealing an obligation to pay money to the federal government. Private individuals, commonly known as “whistleblowers,” can bring civil False Claims Act qui tam actions, on behalf of the government and such individuals may share in amounts paid by the entity to the government in recovery or settlement. In addition, a claim including items or services resulting from a violation of the federal Anti-Kickback Statute constitutes a false or fraudulent claim for purposes of the federal civil False Claims Act.</w:t>
      </w:r>
    </w:p>
    <w:p>
      <w:pPr>
        <w:spacing w:after="0" w:line="1" w:lineRule="exact"/>
        <w:rPr>
          <w:sz w:val="20"/>
          <w:szCs w:val="20"/>
          <w:color w:val="auto"/>
        </w:rPr>
      </w:pPr>
    </w:p>
    <w:p>
      <w:pPr>
        <w:ind w:left="680" w:right="279"/>
        <w:spacing w:after="0" w:line="252" w:lineRule="auto"/>
        <w:rPr>
          <w:sz w:val="20"/>
          <w:szCs w:val="20"/>
          <w:color w:val="auto"/>
        </w:rPr>
      </w:pPr>
      <w:r>
        <w:rPr>
          <w:rFonts w:ascii="Times New Roman" w:cs="Times New Roman" w:eastAsia="Times New Roman" w:hAnsi="Times New Roman"/>
          <w:sz w:val="17"/>
          <w:szCs w:val="17"/>
          <w:color w:val="auto"/>
        </w:rPr>
        <w:t>False Claims Act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27" w:lineRule="exact"/>
        <w:rPr>
          <w:sz w:val="20"/>
          <w:szCs w:val="20"/>
          <w:color w:val="auto"/>
        </w:rPr>
      </w:pPr>
    </w:p>
    <w:p>
      <w:pPr>
        <w:ind w:left="680" w:right="219" w:hanging="304"/>
        <w:spacing w:after="0" w:line="254" w:lineRule="auto"/>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among other things, imposes criminal and civil liability for knowingly and willfully executing a scheme to defraud any healthcare benefit program, including private third party payers,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25" w:lineRule="exact"/>
        <w:rPr>
          <w:rFonts w:ascii="Times New Roman" w:cs="Times New Roman" w:eastAsia="Times New Roman" w:hAnsi="Times New Roman"/>
          <w:sz w:val="17"/>
          <w:szCs w:val="17"/>
          <w:color w:val="auto"/>
        </w:rPr>
      </w:pPr>
    </w:p>
    <w:p>
      <w:pPr>
        <w:ind w:left="680" w:right="319" w:hanging="304"/>
        <w:spacing w:after="0" w:line="254" w:lineRule="auto"/>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Centers for Medicare and Medicaid Services information related to payments and other transfers of value, directly or indirectly, to physicians, physician assistants, nurse practitioners, clinical nurse specialists, certified nurse anesthetists, and certified nurse midwives, and teaching hospitals, as well as ownership and investment interests held by physicians and their immediate family members.</w:t>
      </w:r>
    </w:p>
    <w:p>
      <w:pPr>
        <w:spacing w:after="0" w:line="25" w:lineRule="exact"/>
        <w:rPr>
          <w:rFonts w:ascii="Times New Roman" w:cs="Times New Roman" w:eastAsia="Times New Roman" w:hAnsi="Times New Roman"/>
          <w:sz w:val="17"/>
          <w:szCs w:val="17"/>
          <w:color w:val="auto"/>
        </w:rPr>
      </w:pPr>
    </w:p>
    <w:p>
      <w:pPr>
        <w:ind w:left="680" w:right="179" w:hanging="304"/>
        <w:spacing w:after="0" w:line="263" w:lineRule="auto"/>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laws and regulations, such as state anti-kickback and false claims laws, may apply to sales or marketing arrangements and claims involving healthcare items or services reimbursed by any third-party payers, including private insurers or patients.</w:t>
      </w:r>
    </w:p>
    <w:p>
      <w:pPr>
        <w:spacing w:after="0" w:line="171"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If our operations are found to be in violation of any of the laws described above or any other domestic or foreign laws and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spacing w:after="0" w:line="177" w:lineRule="exact"/>
        <w:rPr>
          <w:sz w:val="20"/>
          <w:szCs w:val="20"/>
          <w:color w:val="auto"/>
        </w:rPr>
      </w:pPr>
    </w:p>
    <w:p>
      <w:pPr>
        <w:ind w:left="40" w:right="63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communications regarding products and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173" w:lineRule="exact"/>
        <w:rPr>
          <w:sz w:val="20"/>
          <w:szCs w:val="20"/>
          <w:color w:val="auto"/>
        </w:rPr>
      </w:pPr>
    </w:p>
    <w:p>
      <w:pPr>
        <w:ind w:left="40" w:right="259"/>
        <w:spacing w:after="0" w:line="272" w:lineRule="auto"/>
        <w:rPr>
          <w:sz w:val="20"/>
          <w:szCs w:val="20"/>
          <w:color w:val="auto"/>
        </w:rPr>
      </w:pPr>
      <w:r>
        <w:rPr>
          <w:rFonts w:ascii="Times New Roman" w:cs="Times New Roman" w:eastAsia="Times New Roman" w:hAnsi="Times New Roman"/>
          <w:sz w:val="16"/>
          <w:szCs w:val="16"/>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right="23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Even after marketing authorization and/or certification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167"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U.S.</w:t>
      </w:r>
    </w:p>
    <w:p>
      <w:pPr>
        <w:spacing w:after="0" w:line="173" w:lineRule="exact"/>
        <w:rPr>
          <w:sz w:val="20"/>
          <w:szCs w:val="20"/>
          <w:color w:val="auto"/>
        </w:rPr>
      </w:pPr>
    </w:p>
    <w:p>
      <w:pPr>
        <w:ind w:left="40" w:right="139"/>
        <w:spacing w:after="0" w:line="263" w:lineRule="auto"/>
        <w:rPr>
          <w:sz w:val="20"/>
          <w:szCs w:val="20"/>
          <w:color w:val="auto"/>
        </w:rPr>
      </w:pPr>
      <w:r>
        <w:rPr>
          <w:rFonts w:ascii="Times New Roman" w:cs="Times New Roman" w:eastAsia="Times New Roman" w:hAnsi="Times New Roman"/>
          <w:sz w:val="17"/>
          <w:szCs w:val="17"/>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71" w:lineRule="exact"/>
        <w:rPr>
          <w:sz w:val="20"/>
          <w:szCs w:val="20"/>
          <w:color w:val="auto"/>
        </w:rPr>
      </w:pPr>
    </w:p>
    <w:p>
      <w:pPr>
        <w:jc w:val="both"/>
        <w:ind w:left="40" w:right="359"/>
        <w:spacing w:after="0" w:line="263" w:lineRule="auto"/>
        <w:rPr>
          <w:sz w:val="20"/>
          <w:szCs w:val="20"/>
          <w:color w:val="auto"/>
        </w:rPr>
      </w:pPr>
      <w:r>
        <w:rPr>
          <w:rFonts w:ascii="Times New Roman" w:cs="Times New Roman" w:eastAsia="Times New Roman" w:hAnsi="Times New Roman"/>
          <w:sz w:val="17"/>
          <w:szCs w:val="17"/>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71" w:lineRule="exact"/>
        <w:rPr>
          <w:sz w:val="20"/>
          <w:szCs w:val="20"/>
          <w:color w:val="auto"/>
        </w:rPr>
      </w:pPr>
    </w:p>
    <w:p>
      <w:pPr>
        <w:ind w:left="40" w:right="419"/>
        <w:spacing w:after="0" w:line="263" w:lineRule="auto"/>
        <w:rPr>
          <w:sz w:val="20"/>
          <w:szCs w:val="20"/>
          <w:color w:val="auto"/>
        </w:rPr>
      </w:pPr>
      <w:r>
        <w:rPr>
          <w:rFonts w:ascii="Times New Roman" w:cs="Times New Roman" w:eastAsia="Times New Roman" w:hAnsi="Times New Roman"/>
          <w:sz w:val="17"/>
          <w:szCs w:val="17"/>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171" w:lineRule="exact"/>
        <w:rPr>
          <w:sz w:val="20"/>
          <w:szCs w:val="20"/>
          <w:color w:val="auto"/>
        </w:rPr>
      </w:pPr>
    </w:p>
    <w:p>
      <w:pPr>
        <w:ind w:left="40" w:right="279"/>
        <w:spacing w:after="0" w:line="255" w:lineRule="auto"/>
        <w:rPr>
          <w:sz w:val="20"/>
          <w:szCs w:val="20"/>
          <w:color w:val="auto"/>
        </w:rPr>
      </w:pPr>
      <w:r>
        <w:rPr>
          <w:rFonts w:ascii="Times New Roman" w:cs="Times New Roman" w:eastAsia="Times New Roman" w:hAnsi="Times New Roman"/>
          <w:sz w:val="17"/>
          <w:szCs w:val="17"/>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73"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After commercialization, 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80"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7"/>
          <w:szCs w:val="17"/>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84" w:lineRule="exact"/>
        <w:rPr>
          <w:sz w:val="20"/>
          <w:szCs w:val="20"/>
          <w:color w:val="auto"/>
        </w:rPr>
      </w:pPr>
    </w:p>
    <w:p>
      <w:pPr>
        <w:ind w:left="40" w:right="119"/>
        <w:spacing w:after="0" w:line="278" w:lineRule="auto"/>
        <w:rPr>
          <w:sz w:val="20"/>
          <w:szCs w:val="20"/>
          <w:color w:val="auto"/>
        </w:rPr>
      </w:pPr>
      <w:r>
        <w:rPr>
          <w:rFonts w:ascii="Times New Roman" w:cs="Times New Roman" w:eastAsia="Times New Roman" w:hAnsi="Times New Roman"/>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7"/>
          <w:szCs w:val="17"/>
          <w:color w:val="auto"/>
        </w:rPr>
        <w:t>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7" w:lineRule="exact"/>
        <w:rPr>
          <w:sz w:val="20"/>
          <w:szCs w:val="20"/>
          <w:color w:val="auto"/>
        </w:rPr>
      </w:pPr>
    </w:p>
    <w:p>
      <w:pPr>
        <w:ind w:left="40" w:right="139"/>
        <w:spacing w:after="0" w:line="263" w:lineRule="auto"/>
        <w:rPr>
          <w:sz w:val="20"/>
          <w:szCs w:val="20"/>
          <w:color w:val="auto"/>
        </w:rPr>
      </w:pPr>
      <w:r>
        <w:rPr>
          <w:rFonts w:ascii="Times New Roman" w:cs="Times New Roman" w:eastAsia="Times New Roman" w:hAnsi="Times New Roman"/>
          <w:sz w:val="17"/>
          <w:szCs w:val="17"/>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w:t>
      </w:r>
    </w:p>
    <w:p>
      <w:pPr>
        <w:spacing w:after="0" w:line="171"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78"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7"/>
          <w:szCs w:val="17"/>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171" w:lineRule="exact"/>
        <w:rPr>
          <w:sz w:val="20"/>
          <w:szCs w:val="20"/>
          <w:color w:val="auto"/>
        </w:rPr>
      </w:pPr>
    </w:p>
    <w:p>
      <w:pPr>
        <w:ind w:left="680" w:hanging="304"/>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warning letters, fines, injunctions, consent decrees and civil penalties;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expenditures to address or defend such actions;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or repair, replacement, refund, recall, detention or seizure of our products;</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54" w:lineRule="exact"/>
        <w:rPr>
          <w:rFonts w:ascii="Times New Roman" w:cs="Times New Roman" w:eastAsia="Times New Roman" w:hAnsi="Times New Roman"/>
          <w:sz w:val="17"/>
          <w:szCs w:val="17"/>
          <w:color w:val="auto"/>
        </w:rPr>
      </w:pPr>
    </w:p>
    <w:p>
      <w:pPr>
        <w:ind w:left="680" w:right="119" w:hanging="304"/>
        <w:spacing w:after="0" w:line="283" w:lineRule="auto"/>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refusing or delaying our requests for 510(k) clearance,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clearance, PMA approval, NDA, or BLA of new products or modified products;</w:t>
      </w:r>
    </w:p>
    <w:p>
      <w:pPr>
        <w:ind w:left="680" w:hanging="304"/>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clearances or approvals that have already been granted;</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approval for our products; or</w:t>
      </w:r>
    </w:p>
    <w:p>
      <w:pPr>
        <w:spacing w:after="0" w:line="58"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211"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7"/>
          <w:szCs w:val="17"/>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9" w:lineRule="exact"/>
        <w:rPr>
          <w:sz w:val="20"/>
          <w:szCs w:val="20"/>
          <w:color w:val="auto"/>
        </w:rPr>
      </w:pPr>
    </w:p>
    <w:p>
      <w:pPr>
        <w:ind w:left="40" w:right="3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153"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It is impossible to predict whether legislative changes will be enacted, or FDA regulations, guidance or interpretations changed, and what the impact of such changes, if any, may be. Any new regulations or revisions or reinterpretations of existing regulations may impose additional costs or lengthen review times of future products. For example, In January of 2024, FDA issued a final rule to replace the QSR with the adoption of ISO 13485, known as the Quality Management System Regulation, or QMSR. The new rule comes into effect in February if 2026.</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7"/>
          <w:szCs w:val="17"/>
          <w:color w:val="auto"/>
        </w:rPr>
        <w:t>Any changes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77"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7"/>
          <w:szCs w:val="17"/>
          <w:color w:val="auto"/>
        </w:rPr>
        <w:t>The policies of the Trump Administration and their impact on the regulation of our products in the United States remain uncertain. For example, efforts to reduce the size of government could lead to fewer government personnel and reviewers for our product candidates or product modifications. Any such reduction in the size of review teams could lead to longer review times, fewer opportunities for interactive communications with the FDA, and fewer medical devices being cleared or approved.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 Moreover, the imposition of tariffs on foreign goods could impact our supply chain leading to fewer suppliers in the marketplace or make it more difficult or expensive to import components or parts needed for our medical devices.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Worldwide economic and social instability could adversely affect our revenue, financial condition, or results of operations.</w:t>
      </w:r>
    </w:p>
    <w:p>
      <w:pPr>
        <w:spacing w:after="0" w:line="215"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7"/>
          <w:szCs w:val="17"/>
          <w:color w:val="auto"/>
        </w:rPr>
        <w:t>The health of the global economy as well as the stability of the social fabric of our society affects our business and operating results. Global economic conditions in recent years have been volatile and disruptive due a number of factors such as geopolitical conflicts including those in Ukraine and in the Middle East, disruptions in the banking system and financial markets, supply chain disruptions, labor shortages, increased inflation, sustained high interest rates and unpredictable trade policies, including tariffs, customs regulations and other trade restrictions. These conditions from time to time have, and could in the future, caused or exacerbated significant slowdowns in our industry and in the markets in which we operate, negatively impacting our business and results of operations. Our customers may experience financial difficulties or be unable to borrow money to fund their operations, which may adversely impact their ability to purchase our products or to pay for our products on a timely basis, if at all. In addition, adverse economic conditions have impacted and may continue to adversely impact our suppliers’ ability to provide our manufacturer with materials and components, which may negatively impact our business. Furthermore, these economic conditions make it more difficult for us to accurately forecast and plan our future business activities.</w:t>
      </w:r>
    </w:p>
    <w:p>
      <w:pPr>
        <w:spacing w:after="0" w:line="178"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153"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We may find that the costs of carrying out our plan of operations are greater than we anticipate. We expect our expenses to increase over time in connection with our ongoing activities, particularly if and as we: expand our commercialization efforts of our PoNS device in the U.S. for MS; make improvements to our manufacturing process and product design; launch clinical trials for stroke and other indications;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net operating losses to offset future taxable income may be subject to certain limitations.</w:t>
      </w:r>
    </w:p>
    <w:p>
      <w:pPr>
        <w:spacing w:after="0" w:line="215" w:lineRule="exact"/>
        <w:rPr>
          <w:sz w:val="20"/>
          <w:szCs w:val="20"/>
          <w:color w:val="auto"/>
        </w:rPr>
      </w:pPr>
    </w:p>
    <w:p>
      <w:pPr>
        <w:ind w:left="40" w:right="119"/>
        <w:spacing w:after="0" w:line="274" w:lineRule="auto"/>
        <w:rPr>
          <w:sz w:val="20"/>
          <w:szCs w:val="20"/>
          <w:color w:val="auto"/>
        </w:rPr>
      </w:pPr>
      <w:r>
        <w:rPr>
          <w:rFonts w:ascii="Times New Roman" w:cs="Times New Roman" w:eastAsia="Times New Roman" w:hAnsi="Times New Roman"/>
          <w:sz w:val="16"/>
          <w:szCs w:val="16"/>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spacing w:after="0" w:line="163"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7"/>
          <w:szCs w:val="17"/>
          <w:color w:val="auto"/>
        </w:rPr>
        <w:t>We may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common stock or warrants.</w:t>
      </w:r>
    </w:p>
    <w:p>
      <w:pPr>
        <w:spacing w:after="0" w:line="173" w:lineRule="exact"/>
        <w:rPr>
          <w:sz w:val="20"/>
          <w:szCs w:val="20"/>
          <w:color w:val="auto"/>
        </w:rPr>
      </w:pPr>
    </w:p>
    <w:p>
      <w:pPr>
        <w:ind w:left="40" w:right="59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As a result of the use of our product in clinical trials, and through the sale of our products, we may be liable for product liability claims and we may not carry sufficient product liability insurance.</w:t>
      </w:r>
    </w:p>
    <w:p>
      <w:pPr>
        <w:spacing w:after="0" w:line="153"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7"/>
          <w:szCs w:val="17"/>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spacing w:after="0" w:line="180" w:lineRule="exact"/>
        <w:rPr>
          <w:sz w:val="20"/>
          <w:szCs w:val="20"/>
          <w:color w:val="auto"/>
        </w:rPr>
      </w:pPr>
    </w:p>
    <w:p>
      <w:pPr>
        <w:ind w:left="40" w:right="2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153"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77"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Investors could lose confidence in our financial reports, and the value of our common stock may be adversely affected, if our internal controls over financial reporting are found not to be effective by management or by our independent registered public accounting firm.</w:t>
      </w:r>
    </w:p>
    <w:p>
      <w:pPr>
        <w:spacing w:after="0" w:line="167"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As long as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could affect the accuracy and timing of our financial reporting.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79"/>
        <w:spacing w:after="0" w:line="310" w:lineRule="auto"/>
        <w:rPr>
          <w:sz w:val="20"/>
          <w:szCs w:val="20"/>
          <w:color w:val="auto"/>
        </w:rPr>
      </w:pPr>
      <w:r>
        <w:rPr>
          <w:rFonts w:ascii="Times New Roman" w:cs="Times New Roman" w:eastAsia="Times New Roman" w:hAnsi="Times New Roman"/>
          <w:sz w:val="16"/>
          <w:szCs w:val="16"/>
          <w:color w:val="auto"/>
        </w:rPr>
        <w:t>Investors could lose confidence in our financial reports, and the value of our common stock may be harmed, if our internal controls over financial reporting are found not to be effective by management or by our independent registered public accounting firm.</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Several people who work for us on a part-time consulting basis may be subject to conflicts of interest.</w:t>
      </w:r>
    </w:p>
    <w:p>
      <w:pPr>
        <w:spacing w:after="0" w:line="215"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7"/>
          <w:szCs w:val="17"/>
          <w:color w:val="auto"/>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spacing w:after="0" w:line="173" w:lineRule="exact"/>
        <w:rPr>
          <w:sz w:val="20"/>
          <w:szCs w:val="20"/>
          <w:color w:val="auto"/>
        </w:rPr>
      </w:pPr>
    </w:p>
    <w:p>
      <w:pPr>
        <w:ind w:left="40" w:right="2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operations would suffer in the event of computer system failures, cyber-attacks or a deficiency in our cyber-security.</w:t>
      </w:r>
    </w:p>
    <w:p>
      <w:pPr>
        <w:spacing w:after="0" w:line="153"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7"/>
          <w:szCs w:val="17"/>
          <w:color w:val="auto"/>
        </w:rPr>
        <w:t>Despite the implementation of security measures, our information technology, communication networks and related systems, and those of third parties on which we rely, could be damaged, disrupted, breached or otherwise compromised from computer viruses, malware, natural disasters, terrorism, war, telecommunication and electrical failures, cyber-attacks or cyber-intrusions (including ransomware attacks) over the Internet, attachments to emails, persons inside our organization, or persons with access to systems inside our organization. No network or system can ever be completely secure, and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For example, in October 2019, we were the victim of a business email compromise fraud which resulted in our incurring a loss of approximately $0.1 million. If any such attack, intrusion or other event were to occur and cause interruptions in our operations, it could result in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cybersecurity incident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If a cybersecurity incident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cybersecurity incidents.</w:t>
      </w:r>
    </w:p>
    <w:p>
      <w:pPr>
        <w:spacing w:after="0" w:line="179"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167"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We operate, or intend to operate, in a number of tax jurisdictions globally, including in the U.S.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spacing w:after="0" w:line="177"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7"/>
          <w:szCs w:val="17"/>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right="99"/>
        <w:spacing w:after="0" w:line="263" w:lineRule="auto"/>
        <w:rPr>
          <w:sz w:val="20"/>
          <w:szCs w:val="20"/>
          <w:color w:val="auto"/>
        </w:rPr>
      </w:pPr>
      <w:r>
        <w:rPr>
          <w:rFonts w:ascii="Times New Roman" w:cs="Times New Roman" w:eastAsia="Times New Roman" w:hAnsi="Times New Roman"/>
          <w:sz w:val="17"/>
          <w:szCs w:val="17"/>
          <w:color w:val="auto"/>
        </w:rPr>
        <w:t>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71" w:lineRule="exact"/>
        <w:rPr>
          <w:sz w:val="20"/>
          <w:szCs w:val="20"/>
          <w:color w:val="auto"/>
        </w:rPr>
      </w:pPr>
    </w:p>
    <w:p>
      <w:pPr>
        <w:ind w:left="40" w:right="639"/>
        <w:spacing w:after="0" w:line="278" w:lineRule="auto"/>
        <w:rPr>
          <w:sz w:val="20"/>
          <w:szCs w:val="20"/>
          <w:color w:val="auto"/>
        </w:rPr>
      </w:pPr>
      <w:r>
        <w:rPr>
          <w:rFonts w:ascii="Times New Roman" w:cs="Times New Roman" w:eastAsia="Times New Roman" w:hAnsi="Times New Roman"/>
          <w:sz w:val="17"/>
          <w:szCs w:val="17"/>
          <w:color w:val="auto"/>
        </w:rPr>
        <w:t>The cumulative impact of these and other changes in tax law is uncertain and our business and financial condition could be adversely affected. The impact of these changes on holders of our securities is also uncertain and could be adverse.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11" w:lineRule="exact"/>
        <w:rPr>
          <w:sz w:val="20"/>
          <w:szCs w:val="20"/>
          <w:color w:val="auto"/>
        </w:rPr>
      </w:pPr>
    </w:p>
    <w:p>
      <w:pPr>
        <w:ind w:left="40" w:right="1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could be delisted from The Nasdaq Capital Market, which could seriously harm the liquidity of our stock and our ability to raise capital or complete a strategic transaction.</w:t>
      </w:r>
    </w:p>
    <w:p>
      <w:pPr>
        <w:spacing w:after="0" w:line="153" w:lineRule="exact"/>
        <w:rPr>
          <w:sz w:val="20"/>
          <w:szCs w:val="20"/>
          <w:color w:val="auto"/>
        </w:rPr>
      </w:pPr>
    </w:p>
    <w:p>
      <w:pPr>
        <w:ind w:left="40" w:right="219"/>
        <w:spacing w:after="0" w:line="253" w:lineRule="auto"/>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“HSDT”. In order to maintain that listing, we must satisfy minimum financial and other requirements including, without limitation, the minimum stockholders’ equity requirement and the minimum bid price requirement. There can be no assurances that we will be successful in maintaining, or if we fall out of compliance, in regaining compliance with the continued listing requirements and maintaining the listing of our common stock on the Nasdaq Capital Market. Delisting from Nasdaq could adversely affect our ability to raise additional financing through the public or private sale of equity securities and we would incur additional costs under requirements of state “blue sky” laws in connection with any sales of our securities. Delisting could also have other negative results, including the potential loss of confidence by employees, the loss of institutional investor interest and fewer business development opportunities.</w:t>
      </w:r>
    </w:p>
    <w:p>
      <w:pPr>
        <w:spacing w:after="0" w:line="181"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7"/>
          <w:szCs w:val="17"/>
          <w:color w:val="auto"/>
        </w:rPr>
        <w:t>On August 9, 2024, we received a Notification Letter from the Listing Qualifications Staff (the “Staff”) of Nasdaq notifying us that because the closing bid price of our common stock was below $1.00 per share for the prior 30 consecutive business days, we are not in compliance with the minimum bid price requirement for continued listing on The Nasdaq Capital Market, as set forth in Nasdaq Marketplace Rule 5550(a)(2) (the “Minimum Bid Price Requirement”). On February 7, 2025, we received a second Notification Letter from the Staff notifying us that the 180-day compliance period had expired and that we are ineligible for an additional 180-day period due to the Company’s noncompliance with the $5,000,000 minimum stockholders’ equity initial listing requirement for the Nasdaq Capital Market. As a result, the second Notification Letter informed us that our listed common stock would be subject to delisting pending the request of an appeal with regards to this determination. The Company had a hearing with the Nasdaq Hearing Panel on March 18, 2025. At the hearing, we presented our plan for regaining compliance with the Minimum Bid Price Requirement and requested a further extension so that we may complete the execution of our plan. Although we believe our plan will be sufficient to enable us to regain compliance, no assurance can be provided that Nasdaq will ultimately accept our plan or that we will ultimately regain compliance with the Minimum Bid Price Requirement. As of the date of this report, we have not received a determination from the hearings panel. Our common stock will remain listed and eligible for trading on Nasdaq pending the ultimate conclusion of the hearing process.</w:t>
      </w:r>
    </w:p>
    <w:p>
      <w:pPr>
        <w:spacing w:after="0" w:line="187"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7"/>
          <w:szCs w:val="17"/>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 Any such delisting action may materially adversely affect our ability to raise capital or pursue strategic transactions on acceptable terms, or at all.</w:t>
      </w:r>
    </w:p>
    <w:p>
      <w:pPr>
        <w:spacing w:after="0" w:line="177"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7"/>
          <w:szCs w:val="17"/>
          <w:color w:val="auto"/>
        </w:rPr>
        <w:t>In addition, if our common stock is delisted from the Nasdaq Capital Market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that has a market price of less than $5.00 per share, subject to certain exceptions).</w:t>
      </w:r>
    </w:p>
    <w:p>
      <w:pPr>
        <w:spacing w:after="0" w:line="177"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on The Nasdaq Capital Market may not continue to develop or be sustained.</w:t>
      </w:r>
    </w:p>
    <w:p>
      <w:pPr>
        <w:spacing w:after="0" w:line="215"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Although our common stock is listed on The Nasdaq Capital Market, we cannot assure you that an active trading market for our common stock will continue to develop or be sustained. If an active market for our common stock does not continue to develop or is not sustained, it may be difficult for investors in our common stock to sell their shares of our common stock without depressing the market price for the shares or to sell the shares at all.</w:t>
      </w:r>
    </w:p>
    <w:p>
      <w:pPr>
        <w:spacing w:after="0" w:line="169" w:lineRule="exact"/>
        <w:rPr>
          <w:sz w:val="20"/>
          <w:szCs w:val="20"/>
          <w:color w:val="auto"/>
        </w:rPr>
      </w:pPr>
    </w:p>
    <w:p>
      <w:pPr>
        <w:ind w:left="40" w:right="2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Trading of our common stock could be sporadic, and the price of our common stock may be volatile; we caution you as to the highly illiquid nature of an investment in our shares.</w:t>
      </w:r>
    </w:p>
    <w:p>
      <w:pPr>
        <w:spacing w:after="0" w:line="153"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7"/>
          <w:szCs w:val="17"/>
          <w:color w:val="auto"/>
        </w:rPr>
        <w:t>Our common stock has been listed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stock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87" w:lineRule="exact"/>
        <w:rPr>
          <w:sz w:val="20"/>
          <w:szCs w:val="20"/>
          <w:color w:val="auto"/>
        </w:rPr>
      </w:pPr>
    </w:p>
    <w:p>
      <w:pPr>
        <w:jc w:val="both"/>
        <w:ind w:left="40" w:right="299"/>
        <w:spacing w:after="0" w:line="280" w:lineRule="auto"/>
        <w:rPr>
          <w:sz w:val="20"/>
          <w:szCs w:val="20"/>
          <w:color w:val="auto"/>
        </w:rPr>
      </w:pPr>
      <w:r>
        <w:rPr>
          <w:rFonts w:ascii="Times New Roman" w:cs="Times New Roman" w:eastAsia="Times New Roman" w:hAnsi="Times New Roman"/>
          <w:sz w:val="16"/>
          <w:szCs w:val="16"/>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154"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7"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charter documents also contain other provisions that could have an anti-takeover effect, including:</w:t>
      </w:r>
    </w:p>
    <w:p>
      <w:pPr>
        <w:spacing w:after="0" w:line="121" w:lineRule="exact"/>
        <w:rPr>
          <w:sz w:val="20"/>
          <w:szCs w:val="20"/>
          <w:color w:val="auto"/>
        </w:rPr>
      </w:pPr>
    </w:p>
    <w:p>
      <w:pPr>
        <w:ind w:left="680" w:hanging="304"/>
        <w:spacing w:after="0"/>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stockholders are not entitled to remove directors other than by a 66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vote and only for cause;</w:t>
      </w:r>
    </w:p>
    <w:p>
      <w:pPr>
        <w:spacing w:after="0" w:line="36"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are not be permitted to take actions by written consent;</w:t>
      </w:r>
    </w:p>
    <w:p>
      <w:pPr>
        <w:spacing w:after="0" w:line="5"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cannot call a special meeting of stockholders; and</w:t>
      </w:r>
    </w:p>
    <w:p>
      <w:pPr>
        <w:spacing w:after="0" w:line="7" w:lineRule="exact"/>
        <w:rPr>
          <w:rFonts w:ascii="Times New Roman" w:cs="Times New Roman" w:eastAsia="Times New Roman" w:hAnsi="Times New Roman"/>
          <w:sz w:val="17"/>
          <w:szCs w:val="17"/>
          <w:color w:val="auto"/>
        </w:rPr>
      </w:pPr>
    </w:p>
    <w:p>
      <w:pPr>
        <w:ind w:left="680" w:right="679" w:hanging="304"/>
        <w:spacing w:after="0" w:line="259" w:lineRule="auto"/>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must give advance notice to nominate directors or submit proposals for consideration at stockholder meetings.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3"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73"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192" w:lineRule="exact"/>
        <w:rPr>
          <w:sz w:val="20"/>
          <w:szCs w:val="20"/>
          <w:color w:val="auto"/>
        </w:rPr>
      </w:pPr>
    </w:p>
    <w:p>
      <w:pPr>
        <w:ind w:left="40" w:right="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53"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We have not paid any dividends and do not foresee paying dividends in the future.</w:t>
      </w:r>
    </w:p>
    <w:p>
      <w:pPr>
        <w:spacing w:after="0" w:line="215"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We intend to retain earnings, if any, to finance the growth and development of our business and do not intend to pay cash dividends on shares of our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spacing w:after="0" w:line="169" w:lineRule="exact"/>
        <w:rPr>
          <w:sz w:val="20"/>
          <w:szCs w:val="20"/>
          <w:color w:val="auto"/>
        </w:rPr>
      </w:pPr>
    </w:p>
    <w:p>
      <w:pPr>
        <w:ind w:left="40" w:right="29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A decline in the price of our common stock could affect our ability to raise any required working capital and adversely affect our operations.</w:t>
      </w:r>
    </w:p>
    <w:p>
      <w:pPr>
        <w:spacing w:after="0" w:line="153"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A decline in the price of our common stock could result in a reduction in the liquidity of our common stock and a reduction in our ability to raise any required capital for our operations. Because our operations to date have been principally financed through public and private offerings of our common stock and warrants and exercises of options and warrants,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pacing w:after="0" w:line="173" w:lineRule="exact"/>
        <w:rPr>
          <w:sz w:val="20"/>
          <w:szCs w:val="20"/>
          <w:color w:val="auto"/>
        </w:rPr>
      </w:pPr>
    </w:p>
    <w:p>
      <w:pPr>
        <w:ind w:left="40" w:right="1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are heavily dependent upon the ability and expertise of our management team and a very limited number of employees and the loss of such individuals could have a material adverse effect on our business, operating results or financial condition.</w:t>
      </w:r>
    </w:p>
    <w:p>
      <w:pPr>
        <w:spacing w:after="0" w:line="15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169"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1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Our corporate information technology, communication networks, enterprise applications, accounting and financial reporting platforms, and related systems are necessary for the operation of our business. We use these systems, among others, to manage our product development, to communicate internally and externally, to operate our accounting and record-keeping functions, to store and access data including sensitive patient data and for many other key aspects of our business. Our business operations rely on the secure collection, storage, transmission, and other processing of proprietary, confidential, and sensitive data.</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1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customers or patients, violation of data privacy or security laws, litigation, and legal, financial and reputational risk.</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coordination with third-party consultants, we have implemented and maintain various information security processes designed to identify, assess and manage material risks from cybersecurity threats to our critical systems and data. Depending on the environment, we implement and maintain various technical, physical, and organizational measures, processes, standards, and/or policies designed to manage and mitigate material risks from cybersecurity threats to our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information systems and data,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vendor risk management program and employee training. We conduct annual reviews and tests of our information security program to evaluate its effectiveness and improve our security measures and planning.</w:t>
      </w:r>
    </w:p>
    <w:p>
      <w:pPr>
        <w:spacing w:after="0" w:line="177" w:lineRule="exact"/>
        <w:rPr>
          <w:sz w:val="20"/>
          <w:szCs w:val="20"/>
          <w:color w:val="auto"/>
        </w:rPr>
      </w:pPr>
    </w:p>
    <w:p>
      <w:pPr>
        <w:jc w:val="both"/>
        <w:ind w:left="40" w:right="59"/>
        <w:spacing w:after="0" w:line="274" w:lineRule="auto"/>
        <w:rPr>
          <w:sz w:val="20"/>
          <w:szCs w:val="20"/>
          <w:color w:val="auto"/>
        </w:rPr>
      </w:pPr>
      <w:r>
        <w:rPr>
          <w:rFonts w:ascii="Times New Roman" w:cs="Times New Roman" w:eastAsia="Times New Roman" w:hAnsi="Times New Roman"/>
          <w:sz w:val="16"/>
          <w:szCs w:val="16"/>
          <w:color w:val="auto"/>
        </w:rPr>
        <w:t>To operate our business, we utilize certain third-party service providers and vendors to support a variety of functions. We seek to engage reliable, reputable service providers and vendors that maintain cybersecurity programs, and we implement a vetting process to ensure that all third-party service providers and vendors comply with our cybersecurity program requirements.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spacing w:after="0" w:line="16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We are not aware of any risks from cybersecurity threats, including as a result of any cybersecurity incidents, which have materially affected or are reasonably likely to materially affect our Company, including our business strategy, results of operations, or financial condition.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1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Board of Directors holds oversight responsibility for the Company’s strategy and risk management, including material risks related to cybersecurity threats. Oversight of such cybersecurity risks is executed directly by the Board of Directors. The Board receives reports and engages in regular discussions with management regarding the Company’s significant risk exposures resulting from material cybersecurity threats and the measures implemented to monitor and reasonably manage these risks.</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Director of Information Technology leads our information security organization and reports to our Chief Executive Officer and Chief Financial Officer on matters related to cybersecurity who then in turn report to the Board of Directors any material information regarding such cybersecurity matters. Our Director of Information Technology has over 30 years of IT experience and has developed a focus of experience in the healthcare industry.</w:t>
      </w:r>
    </w:p>
    <w:p>
      <w:pPr>
        <w:spacing w:after="0" w:line="169"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15" w:lineRule="exact"/>
        <w:rPr>
          <w:sz w:val="20"/>
          <w:szCs w:val="20"/>
          <w:color w:val="auto"/>
        </w:rPr>
      </w:pPr>
    </w:p>
    <w:p>
      <w:pPr>
        <w:jc w:val="both"/>
        <w:ind w:left="40" w:right="279"/>
        <w:spacing w:after="0" w:line="263" w:lineRule="auto"/>
        <w:rPr>
          <w:sz w:val="20"/>
          <w:szCs w:val="20"/>
          <w:color w:val="auto"/>
        </w:rPr>
      </w:pPr>
      <w:r>
        <w:rPr>
          <w:rFonts w:ascii="Times New Roman" w:cs="Times New Roman" w:eastAsia="Times New Roman" w:hAnsi="Times New Roman"/>
          <w:sz w:val="17"/>
          <w:szCs w:val="17"/>
          <w:color w:val="auto"/>
        </w:rPr>
        <w:t>The Company leases corporate office space in Newtown, Pennsylvania under an operating lease. In January 2025, the Company entered into an agreement with the landlord to extend the term of such lease to expire in March 2026. The lease does not contain any options to extend. We believe our current facility is adequate for our needs.</w:t>
      </w:r>
    </w:p>
    <w:p>
      <w:pPr>
        <w:spacing w:after="0" w:line="167"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15"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7"/>
          <w:szCs w:val="17"/>
          <w:color w:val="auto"/>
        </w:rPr>
        <w:t>From time to time, we are subject to litigation and claims arising in the ordinary course of business.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or financial condition. Regardless of the outcome, litigation can have an adverse impact on us because of defense and settlement costs, diversion of management resources and other factors.</w:t>
      </w:r>
    </w:p>
    <w:p>
      <w:pPr>
        <w:spacing w:after="0" w:line="173"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1" w:lineRule="exact"/>
        <w:rPr>
          <w:sz w:val="20"/>
          <w:szCs w:val="20"/>
          <w:color w:val="auto"/>
        </w:rPr>
      </w:pPr>
    </w:p>
    <w:p>
      <w:pPr>
        <w:ind w:left="1080" w:right="79" w:hanging="1028"/>
        <w:spacing w:after="0" w:line="283" w:lineRule="auto"/>
        <w:tabs>
          <w:tab w:leader="none" w:pos="10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common stock is traded on the Nasdaq Capital Market under the symbol “HSDT”.</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5"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7"/>
          <w:szCs w:val="17"/>
          <w:color w:val="auto"/>
        </w:rPr>
        <w:t>As of March 18, 2025, there were approximately 37 holders of record of our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5" w:lineRule="exact"/>
        <w:rPr>
          <w:sz w:val="20"/>
          <w:szCs w:val="20"/>
          <w:color w:val="auto"/>
        </w:rPr>
      </w:pPr>
    </w:p>
    <w:p>
      <w:pPr>
        <w:ind w:left="40" w:right="339"/>
        <w:spacing w:after="0" w:line="278" w:lineRule="auto"/>
        <w:rPr>
          <w:sz w:val="20"/>
          <w:szCs w:val="20"/>
          <w:color w:val="auto"/>
        </w:rPr>
      </w:pPr>
      <w:r>
        <w:rPr>
          <w:rFonts w:ascii="Times New Roman" w:cs="Times New Roman" w:eastAsia="Times New Roman" w:hAnsi="Times New Roman"/>
          <w:sz w:val="17"/>
          <w:szCs w:val="17"/>
          <w:color w:val="auto"/>
        </w:rPr>
        <w:t>We have never paid any cash dividends on our common stock and have no current plans to pay any cash dividends. Our current policy is to retain any future earnings for use in our business.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7"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80" w:right="339" w:hanging="1028"/>
        <w:spacing w:after="0" w:line="283" w:lineRule="auto"/>
        <w:tabs>
          <w:tab w:leader="none" w:pos="106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53"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our consolidated financial statements and related notes included elsewhere in this Form 10-K (collectively referred to as the "consolidated financial statements"). Further, you should read the following discussion and analysis of our financial condition and results of operations together with “Item 1A. Risk Factors” included elsewhere in this Form 10-K for a discussion of important factors that could cause actual results to differ materially from the results described in or implied by the forward-looking statements contained in the following discussion and analysis. See also “Forward-Looking Statements.”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5"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We are a neurotechnology company focused on neurological wellness. Our purpose is to develop, license or acquire non-implantable technologies targeted at reducing symptoms of neurological disease or trauma.</w:t>
      </w:r>
    </w:p>
    <w:p>
      <w:pPr>
        <w:spacing w:after="0" w:line="157"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6"/>
          <w:szCs w:val="16"/>
          <w:color w:val="auto"/>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neuromodulation stimulator. PoNS has marketing clearance in the U.S. for use in the U.S. as a short-term treatment of gait deficit due to mild-to-moderate symptoms for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or mmTBI,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Corporate Updates</w:t>
      </w:r>
    </w:p>
    <w:p>
      <w:pPr>
        <w:spacing w:after="0" w:line="215"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7"/>
          <w:szCs w:val="17"/>
          <w:color w:val="auto"/>
        </w:rPr>
        <w:t>On August 9, 2024, we received written notice (the “Notification Letter”) from The Nasdaq Stock Market LLC (“Nasdaq”) notifying us that the Company was not in compliance with the minimum bid price requirements set forth in Nasdaq Listing Rule 5550(a)(2)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Class A common stock (“Common Stock”) for the 30 consecutive business days prior to the date of the Notification Letter, the Company did not meet the minimum closing bid price requirement. To regain compliance, the closing bid price of the Company’s Common Stock must be at least $1.00 per share for a minimum of 10 consecutive business days at any time prior to February 5, 2025. There can be no assurance that we will be able to regain compliance with the minimum bid price requirement and other Nasdaq listing criteria. If we fail to meet the applicable continued listing requirements for the Nasdaq Capital Market, Nasdaq may delist our Common Stock. If such delisting should occur, it would likely have a negative effect on the price of our Common Stock and would impair an investor’s ability to sell or purchase our Common Stock when desired.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 Additionally, Nasdaq rules allow an expedited delisting of securities of companies that have had one or more reverse stock splits with a cumulative ratio of one for 250 or more shares over the prior two-year period. Under these rules, if a company falls out of compliance with the $1.00 minimum bid price after completing reverse stock splits over the immediately preceding two years that cumulatively result in a ratio one for 250 shares, the company will not be able to avail itself of any compliance periods and Nasdaq will instead require the issuance of a Staff delisting determination, which is appealable to a hearings panel. Our ability to remain listed on Nasdaq may be negatively impacted by this Nasdaq rule.</w:t>
      </w:r>
    </w:p>
    <w:p>
      <w:pPr>
        <w:spacing w:after="0" w:line="17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On February 7, 2025, we received a determination letter from Nasdaq notifying us that because we did not comply with the $5 million minimum stockholders’ equity initial listing requirement for The Nasdaq Capital Market, we were not eligible for a second 180-day period. On February 14, 2025, we requested an appeal of this determination and will submit a plan to regain compliance. The Company had a hearing with the Nasdaq Hearing Panel on March 18, 2025. At the hearing, we presented our plan for regaining compliance with the Minimum Bid Price Requirement and requested a further extension so that we may complete the execution of our plan. Although we believe our plan will be sufficient to enable us to regain compliance, no assurance can be provided that Nasdaq will ultimately accept our plan or that we will ultimately regain compliance with the Minimum Bid Price Requirement. As of the date of this report, we have not received a determination from the hearings panel. Our common stock will remain listed and eligible for trading on Nasdaq pending the ultimate conclusion of the hearing process.</w:t>
      </w:r>
    </w:p>
    <w:p>
      <w:pPr>
        <w:spacing w:after="0" w:line="178" w:lineRule="exact"/>
        <w:rPr>
          <w:sz w:val="20"/>
          <w:szCs w:val="20"/>
          <w:color w:val="auto"/>
        </w:rPr>
      </w:pPr>
    </w:p>
    <w:p>
      <w:pPr>
        <w:ind w:left="40" w:right="279"/>
        <w:spacing w:after="0" w:line="263" w:lineRule="auto"/>
        <w:rPr>
          <w:sz w:val="20"/>
          <w:szCs w:val="20"/>
          <w:color w:val="auto"/>
        </w:rPr>
      </w:pPr>
      <w:r>
        <w:rPr>
          <w:rFonts w:ascii="Times New Roman" w:cs="Times New Roman" w:eastAsia="Times New Roman" w:hAnsi="Times New Roman"/>
          <w:sz w:val="17"/>
          <w:szCs w:val="17"/>
          <w:color w:val="auto"/>
        </w:rPr>
        <w:t>On March 11, 2025, we established Revelation Neuro to pursue the development of a new gold standard of care for personalized neurorehabilitation using a non-implantable AI powered brain computer interface combining our newly developed intellectual property with Helius’ existing intellectual property.</w:t>
      </w:r>
    </w:p>
    <w:p>
      <w:pPr>
        <w:spacing w:after="0" w:line="171" w:lineRule="exact"/>
        <w:rPr>
          <w:sz w:val="20"/>
          <w:szCs w:val="20"/>
          <w:color w:val="auto"/>
        </w:rPr>
      </w:pPr>
    </w:p>
    <w:p>
      <w:pPr>
        <w:ind w:left="40" w:right="139"/>
        <w:spacing w:after="0" w:line="263" w:lineRule="auto"/>
        <w:rPr>
          <w:sz w:val="20"/>
          <w:szCs w:val="20"/>
          <w:color w:val="auto"/>
        </w:rPr>
      </w:pPr>
      <w:r>
        <w:rPr>
          <w:rFonts w:ascii="Times New Roman" w:cs="Times New Roman" w:eastAsia="Times New Roman" w:hAnsi="Times New Roman"/>
          <w:sz w:val="17"/>
          <w:szCs w:val="17"/>
          <w:color w:val="auto"/>
        </w:rPr>
        <w:t>On January 21, 2025, the Company entered into warrant exercise inducement offer letters with certain holders of existing Series A warrants and Series B warrants generating gross proceeds of $3.7 million as discussed further in Note 15 in our consolidated financial statements.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Presently, PoNS Therapy is not reimbursed under contract by any third-party payers in the U.S. We are pursuing commercial insurance coverage for PoNS within the Durable Medical Equipment benefit category. On February 29, 2024, CMS assigned HCPCS Level II codes to the PoNS controller and PoNS mouthpiece, effective April 1, 2024. On May 2, 2024, CMS published a proposed fee schedule payment rates for the PoNS controller and PoNS mouthpiece to be discussed at CMS' bi-annual Healthcare Common Procedure Coding System (“HCPCS”) public meeting to be held on May 29, 2024. For the PoNS Controller (HCPCS Code A4593), CMS preliminarily set pricing by mapping reimbursement to existing code E0745, (Neuromuscular stimulator, electronic shock unit), resulting in a capped fee of $1,206.53. For the PoNS Mouthpiece (HCPCS code A4594), CMS based pricing on the previously offered, temporary, cash pay price of $4,500, resulting in a total capped payment of $3,075.53.</w:t>
      </w:r>
    </w:p>
    <w:p>
      <w:pPr>
        <w:spacing w:after="0" w:line="181" w:lineRule="exact"/>
        <w:rPr>
          <w:sz w:val="20"/>
          <w:szCs w:val="20"/>
          <w:color w:val="auto"/>
        </w:rPr>
      </w:pPr>
    </w:p>
    <w:p>
      <w:pPr>
        <w:ind w:left="40" w:right="659"/>
        <w:spacing w:after="0" w:line="263" w:lineRule="auto"/>
        <w:rPr>
          <w:sz w:val="20"/>
          <w:szCs w:val="20"/>
          <w:color w:val="auto"/>
        </w:rPr>
      </w:pPr>
      <w:r>
        <w:rPr>
          <w:rFonts w:ascii="Times New Roman" w:cs="Times New Roman" w:eastAsia="Times New Roman" w:hAnsi="Times New Roman"/>
          <w:sz w:val="17"/>
          <w:szCs w:val="17"/>
          <w:color w:val="auto"/>
        </w:rPr>
        <w:t>The Company subsequently provided CMS additional information to support reimbursement economics and presented that information at the public meeting with CMS on May 29, 2024 for consideration by CMS for determination of the final reimbursement amount for each of the PoNS controller and mouthpiece.</w:t>
      </w:r>
    </w:p>
    <w:p>
      <w:pPr>
        <w:spacing w:after="0" w:line="171" w:lineRule="exact"/>
        <w:rPr>
          <w:sz w:val="20"/>
          <w:szCs w:val="20"/>
          <w:color w:val="auto"/>
        </w:rPr>
      </w:pPr>
    </w:p>
    <w:p>
      <w:pPr>
        <w:ind w:left="40" w:right="159"/>
        <w:spacing w:after="0" w:line="276" w:lineRule="auto"/>
        <w:rPr>
          <w:sz w:val="20"/>
          <w:szCs w:val="20"/>
          <w:color w:val="auto"/>
        </w:rPr>
      </w:pPr>
      <w:r>
        <w:rPr>
          <w:rFonts w:ascii="Times New Roman" w:cs="Times New Roman" w:eastAsia="Times New Roman" w:hAnsi="Times New Roman"/>
          <w:sz w:val="16"/>
          <w:szCs w:val="16"/>
          <w:color w:val="auto"/>
        </w:rPr>
        <w:t>On October 7, 2024, CMS posted the final payment rate for the PoNS Mouthpiece (HCPCS code A4594) at $2,963.30, which will be effective January 1, 2025 and deferred final national determination of the payment rate for the PoNS Controller (HCPCS Code A4593) to the next payment cycle. At the Company’s request, Company management subsequently met with CMS in December 2024 prior to PoNS Mouthpiece pricing taking effect on January 1, 2025 to request that they revisit the starting point for the gap filling process to more appropriately use the market pricing established through negotiation with the VA and an insurance carrier.</w:t>
      </w:r>
    </w:p>
    <w:p>
      <w:pPr>
        <w:spacing w:after="0" w:line="162" w:lineRule="exact"/>
        <w:rPr>
          <w:sz w:val="20"/>
          <w:szCs w:val="20"/>
          <w:color w:val="auto"/>
        </w:rPr>
      </w:pPr>
    </w:p>
    <w:p>
      <w:pPr>
        <w:ind w:left="40" w:right="59"/>
        <w:spacing w:after="0" w:line="287" w:lineRule="auto"/>
        <w:rPr>
          <w:sz w:val="20"/>
          <w:szCs w:val="20"/>
          <w:color w:val="auto"/>
        </w:rPr>
      </w:pPr>
      <w:r>
        <w:rPr>
          <w:rFonts w:ascii="Times New Roman" w:cs="Times New Roman" w:eastAsia="Times New Roman" w:hAnsi="Times New Roman"/>
          <w:sz w:val="16"/>
          <w:szCs w:val="16"/>
          <w:color w:val="auto"/>
        </w:rPr>
        <w:t>On October 8, 2024, CMS published the preliminary rate for the PoNS Controller (HCPCS Code A4593) at the capped total payment of $519.80, based on its view that the product is comparable to devices reported with HCPCS code E0730 (transcutaneous electrical nerve stimulation (TENS) device, four or more leads, for multiple nerve stimulation) to be effective April 1, 2025.</w:t>
      </w:r>
    </w:p>
    <w:p>
      <w:pPr>
        <w:spacing w:after="0" w:line="153" w:lineRule="exact"/>
        <w:rPr>
          <w:sz w:val="20"/>
          <w:szCs w:val="20"/>
          <w:color w:val="auto"/>
        </w:rPr>
      </w:pPr>
    </w:p>
    <w:p>
      <w:pPr>
        <w:ind w:left="40" w:right="259"/>
        <w:spacing w:after="0" w:line="263" w:lineRule="auto"/>
        <w:rPr>
          <w:sz w:val="20"/>
          <w:szCs w:val="20"/>
          <w:color w:val="auto"/>
        </w:rPr>
      </w:pPr>
      <w:r>
        <w:rPr>
          <w:rFonts w:ascii="Times New Roman" w:cs="Times New Roman" w:eastAsia="Times New Roman" w:hAnsi="Times New Roman"/>
          <w:sz w:val="17"/>
          <w:szCs w:val="17"/>
          <w:color w:val="auto"/>
        </w:rPr>
        <w:t>On January 13, 2025, CMS posted final Medicare Durable Medical Equipment, Prosthetics, Orthotics, and Supplies fee schedule payment rates for the PoNS Controller (HCPCS Code A4593) at the capped total payment of $532.27 and no changes to the previous final determination for the PoNS Mouthpiece (HCPCS code A4594) were made.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During the first quarter of 2024, the Company partnered with Lovell Government Services (“Lovell”), an SBA-certified Service-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Disabled Veteran-Owned Small Business, to make the PoNS device available to federal healthcare systems. In May 2024, PoNS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became available on the Veteran Affairs Federal Supply Schedule and General Services Administration Advantage Contracts at</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$23,843.72 for the PoNS device and $7,344.97 for the PoNS mouthpiece. In July 2024, PoNS became available to the Department</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of Defense and U.S. Military facilities on the Distribution and Pricing Agreement at $23,724.50 for the PoNS device and $7,308.25</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PoNS mouthpiece. In December 2024, the first PoNS System sale to the VA Healthcare System through Lovell was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delivered at the contracted price of $23,844, comprised of $16,499 for the PoNS Controller and $7,345 for the PoNS Mouthpiece.</w:t>
      </w:r>
    </w:p>
    <w:p>
      <w:pPr>
        <w:spacing w:after="0" w:line="195" w:lineRule="exact"/>
        <w:rPr>
          <w:sz w:val="20"/>
          <w:szCs w:val="20"/>
          <w:color w:val="auto"/>
        </w:rPr>
      </w:pPr>
    </w:p>
    <w:p>
      <w:pPr>
        <w:ind w:left="40" w:right="259"/>
        <w:spacing w:after="0" w:line="278" w:lineRule="auto"/>
        <w:rPr>
          <w:sz w:val="20"/>
          <w:szCs w:val="20"/>
          <w:color w:val="auto"/>
        </w:rPr>
      </w:pPr>
      <w:r>
        <w:rPr>
          <w:rFonts w:ascii="Times New Roman" w:cs="Times New Roman" w:eastAsia="Times New Roman" w:hAnsi="Times New Roman"/>
          <w:sz w:val="17"/>
          <w:szCs w:val="17"/>
          <w:color w:val="auto"/>
        </w:rPr>
        <w:t>As discussed further in Note 8 to our consolidated financial statements, in May 2024, the Company closed on a registered public offering of its Common Stock and warrants and received net proceeds of approximately $5.5 million.</w:t>
      </w:r>
    </w:p>
    <w:p>
      <w:pPr>
        <w:spacing w:after="0" w:line="157"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On April 4, 2024, the Company received written notice from Nasdaq stating that the Company no longer complied with the minimum stockholders’ equity requirement under Nasdaq Listing Rule 5550(b)(1) for continued listing on Nasdaq because the Company’s stockholders' equity, as reported in our 2023 10-K, had fallen below $2.5 million. The notice also indicated that the Company did not meet the alternative compliance standards. Under applicable Nasdaq rules, the Company had 45 calendar days from the date of the notice, or until May 20, 2024, to submit a plan to regain compliance. On May 31, 2024, the Company received formal notification from Nasdaq confirming that, following the consummation of a registered public offering on May 9, 2024, the Company regained compliance with the minimum stockholders’ equity requirement, and that the Company satisfied all other applicable criteria for continued listing on Nasdaq.</w:t>
      </w:r>
    </w:p>
    <w:p>
      <w:pPr>
        <w:spacing w:after="0" w:line="181"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7"/>
          <w:szCs w:val="17"/>
          <w:color w:val="auto"/>
        </w:rPr>
        <w:t>During the second quarter of 2024, the Company received the first third-party reimbursement from a major insurance carrier at a 7% rebate, which resulted in pricing of $23,900 for the PoNS device, comprised of $16,554 for the PoNS controller and $7,347 for the PoNS mouthpiece, exclusive of rounding.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359"/>
        <w:spacing w:after="0" w:line="263" w:lineRule="auto"/>
        <w:rPr>
          <w:sz w:val="20"/>
          <w:szCs w:val="20"/>
          <w:color w:val="auto"/>
        </w:rPr>
      </w:pPr>
      <w:r>
        <w:rPr>
          <w:rFonts w:ascii="Times New Roman" w:cs="Times New Roman" w:eastAsia="Times New Roman" w:hAnsi="Times New Roman"/>
          <w:sz w:val="17"/>
          <w:szCs w:val="17"/>
          <w:color w:val="auto"/>
        </w:rPr>
        <w:t>In June 2024, the Company began establishing sales representative agreements with organizations and individuals to sell PoNS devices to Veterans Affairs (“VA”) facilities in the U.S. The Company has since established agreements with representatives covering facilities in Texas and east of the Mississippi with plans to expand west.</w:t>
      </w:r>
    </w:p>
    <w:p>
      <w:pPr>
        <w:spacing w:after="0" w:line="171" w:lineRule="exact"/>
        <w:rPr>
          <w:sz w:val="20"/>
          <w:szCs w:val="20"/>
          <w:color w:val="auto"/>
        </w:rPr>
      </w:pPr>
    </w:p>
    <w:p>
      <w:pPr>
        <w:ind w:left="40" w:right="159"/>
        <w:spacing w:after="0" w:line="252" w:lineRule="auto"/>
        <w:rPr>
          <w:sz w:val="20"/>
          <w:szCs w:val="20"/>
          <w:color w:val="auto"/>
        </w:rPr>
      </w:pPr>
      <w:r>
        <w:rPr>
          <w:rFonts w:ascii="Times New Roman" w:cs="Times New Roman" w:eastAsia="Times New Roman" w:hAnsi="Times New Roman"/>
          <w:sz w:val="17"/>
          <w:szCs w:val="17"/>
          <w:color w:val="auto"/>
        </w:rPr>
        <w:t>During the first quarter of 2024, leveraging the Breakthrough Designation, the Company reached alignment with the FDA on the registrational program to evaluate the therapeutic benefit of PoNS on gait and balance deficits in chronic stroke subjects, which originally included two initial studies. The first was an investigator-initiated randomized placebo-controlled trial (“MUSC-RCT”) in approximately 60 subjects, led by Dr. Steven Kautz at the Medical University of South Carolina (“MUSC”) and Dr. Mark Bowden at Brooks Rehabilitation. The second study was a company-sponsored open-label study (“HMI-OLS”), in approximately 30 subjects. Following guidance from FDA, Helius added, in May 2024, a third company-sponsored randomized placebo-controlled trial (“HMI-RCT”) in approximately 60 subjects, as the pivotal study, along with the OLS, for the registrational program. All three studies shared the same design and endpoints, including primary outcomes on gait and balance improvement, as well as key secondary endpoints with Type 1 error of reduced risk of falling and maintenance of effect at 12 weeks post-treatment.</w:t>
      </w:r>
    </w:p>
    <w:p>
      <w:pPr>
        <w:spacing w:after="0" w:line="184"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7"/>
          <w:szCs w:val="17"/>
          <w:color w:val="auto"/>
        </w:rPr>
        <w:t>Enrollment of the stroke registrational studies started at MUSC for the MUSC-RCT in August 2023 and, at Brooks Rehabilitation, in August 2024. In June 2024, Helius started enrollment of the HMI-OLS at five U.S. Centers of Excellence for Neurorehabilitation including Shepherd Center, MGH-IHP, REHABOLOGYM, Brooks Rehabilitation and New England Neurological Center. Enrollment continued, with the HMI-RCT, in July 2024 at Neuro-Concept Rehabilitation Center, Neuphysio, Synaptic Health, Bergin Motion in Canada and REHABOLOGYM in the U.S.</w:t>
      </w:r>
    </w:p>
    <w:p>
      <w:pPr>
        <w:spacing w:after="0" w:line="177"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has completed and far exceeded the initial 90-subject target enrollment for its stroke registrational program enrolling 128 participants by December 31, 2024. With maximum enrollment of over 150 participants achieved at the end of January 2025, the Company is on track to submit for FDA authorization for stroke in the second quarter of 2025, with the plan to achieve FDA authorization by the end of 2025.</w:t>
      </w:r>
    </w:p>
    <w:p>
      <w:pPr>
        <w:spacing w:after="0" w:line="173" w:lineRule="exact"/>
        <w:rPr>
          <w:sz w:val="20"/>
          <w:szCs w:val="20"/>
          <w:color w:val="auto"/>
        </w:rPr>
      </w:pPr>
    </w:p>
    <w:p>
      <w:pPr>
        <w:ind w:left="40" w:right="419"/>
        <w:spacing w:after="0" w:line="278" w:lineRule="auto"/>
        <w:rPr>
          <w:sz w:val="20"/>
          <w:szCs w:val="20"/>
          <w:color w:val="auto"/>
        </w:rPr>
      </w:pPr>
      <w:r>
        <w:rPr>
          <w:rFonts w:ascii="Times New Roman" w:cs="Times New Roman" w:eastAsia="Times New Roman" w:hAnsi="Times New Roman"/>
          <w:sz w:val="17"/>
          <w:szCs w:val="17"/>
          <w:color w:val="auto"/>
        </w:rPr>
        <w:t>During the fourth quarter of 2024, the Company completed the transition of the manufacturing of PoNS device controllers and mouthpieces to Minnetronix, Inc. from its previous contract manufacturer, Key Tronic Corporation.</w:t>
      </w:r>
    </w:p>
    <w:p>
      <w:pPr>
        <w:spacing w:after="0" w:line="15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color w:val="auto"/>
        </w:rPr>
        <w:t>We also intend to provide broad access and reimbursement for the PoNS Therapy over time through commercial insurers. Prior to broad commercial payer coverage, we anticipate the primary source of sales will be self-pay and VA patients. We expect to support the cost of the PoNS Therapy by working with advocacy groups and charitable organizations to help self-pay patients access our technology. In general, we anticipate that it will take at least 24 months to obtain broad coverage and reimbursement among government and private payers from the date that the HCPCS codes became effective.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Material Trends and Uncertainties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Global Economic Conditions</w:t>
      </w:r>
    </w:p>
    <w:p>
      <w:pPr>
        <w:spacing w:after="0" w:line="215"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Generally, worldwide economic conditions remain uncertain, in part due to supply chain disruptions, labor shortages, global conflicts, increased inflation and unpredictable trade policies, including tariffs, customs regulations and other trade restriction. The general economic and capital market conditions both in the U.S. and worldwide, have been volatile in recent years and at times have adversely affected our access to capital and have increased the cost of capital. The capital and credit markets may not be available to support future capital raising activity on favorable terms. If economic conditions continue to remain volatile or decline, our future cost of equity or debt capital and access to the capital markets could be adversely affected.</w:t>
      </w:r>
    </w:p>
    <w:p>
      <w:pPr>
        <w:spacing w:after="0" w:line="177"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7"/>
          <w:szCs w:val="17"/>
          <w:color w:val="auto"/>
        </w:rPr>
        <w:t>Our operating results could be materially impacted by changes in the overall macroeconomic environment and other economic factors. Changes in economic conditions,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379"/>
        <w:spacing w:after="0" w:line="278" w:lineRule="auto"/>
        <w:rPr>
          <w:sz w:val="20"/>
          <w:szCs w:val="20"/>
          <w:color w:val="auto"/>
        </w:rPr>
      </w:pPr>
      <w:r>
        <w:rPr>
          <w:rFonts w:ascii="Times New Roman" w:cs="Times New Roman" w:eastAsia="Times New Roman" w:hAnsi="Times New Roman"/>
          <w:sz w:val="17"/>
          <w:szCs w:val="17"/>
          <w:color w:val="auto"/>
        </w:rPr>
        <w:t>mitigate these impacts, if these measures are not effective, our business, financial condition, results of operations, and liquidity could be materially adversely affected.</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Other Trends and Uncertainties</w:t>
      </w:r>
    </w:p>
    <w:p>
      <w:pPr>
        <w:spacing w:after="0" w:line="215"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To successfully commercialize, we need to continue to build infrastructure necessary to grow our business including adding headcount and implementing or upgrading business systems. Competition for talent in today’s labor market may impact our ability to add headcount and to recruit talent with the expertise we need to develop our commercial infrastructure.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2024 and 2023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7"/>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6"/>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Product sales, net: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United States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3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Canada</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product sales, net</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revenue</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revenue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(loss) profit</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Amortization expense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Fixed asset impairment</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13,841</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12,489</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Nonoperating income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Change in fair value of derivative liability</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income, net</w:t>
            </w:r>
          </w:p>
        </w:tc>
        <w:tc>
          <w:tcPr>
            <w:tcW w:w="1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Nonoperating income, net</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3,578</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2024 Compared to Year Ended December 31, 2023</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5" w:lineRule="exact"/>
        <w:rPr>
          <w:sz w:val="20"/>
          <w:szCs w:val="20"/>
          <w:color w:val="auto"/>
        </w:rPr>
      </w:pPr>
    </w:p>
    <w:p>
      <w:pPr>
        <w:jc w:val="both"/>
        <w:ind w:left="40" w:right="139"/>
        <w:spacing w:after="0" w:line="263" w:lineRule="auto"/>
        <w:rPr>
          <w:sz w:val="20"/>
          <w:szCs w:val="20"/>
          <w:color w:val="auto"/>
        </w:rPr>
      </w:pPr>
      <w:r>
        <w:rPr>
          <w:rFonts w:ascii="Times New Roman" w:cs="Times New Roman" w:eastAsia="Times New Roman" w:hAnsi="Times New Roman"/>
          <w:sz w:val="17"/>
          <w:szCs w:val="17"/>
          <w:color w:val="auto"/>
        </w:rPr>
        <w:t>The decrease in total net product sales was primarily attributable to a decrease in unit volumes for U.S. sales of PoNS systems due to the termination of our Patient Therapy Access Program (“PTAP”) on June 30, 2023 as well as the termination of the previously offered temporary cash pay pricing in May 2024.</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15"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7"/>
          <w:szCs w:val="17"/>
          <w:color w:val="auto"/>
        </w:rPr>
        <w:t>The cost of revenue for 2024 as compared to the same period in the prior year remained relatively flat year to year due to decreased unit volumes sold offset by increases in certain inventory reserve adjustments, warranty and fixed employee costs.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Gross (Loss) Profit</w:t>
      </w:r>
    </w:p>
    <w:p>
      <w:pPr>
        <w:spacing w:after="0" w:line="215" w:lineRule="exact"/>
        <w:rPr>
          <w:sz w:val="20"/>
          <w:szCs w:val="20"/>
          <w:color w:val="auto"/>
        </w:rPr>
      </w:pPr>
    </w:p>
    <w:p>
      <w:pPr>
        <w:jc w:val="both"/>
        <w:ind w:left="40" w:right="79"/>
        <w:spacing w:after="0" w:line="263" w:lineRule="auto"/>
        <w:rPr>
          <w:sz w:val="20"/>
          <w:szCs w:val="20"/>
          <w:color w:val="auto"/>
        </w:rPr>
      </w:pPr>
      <w:r>
        <w:rPr>
          <w:rFonts w:ascii="Times New Roman" w:cs="Times New Roman" w:eastAsia="Times New Roman" w:hAnsi="Times New Roman"/>
          <w:sz w:val="17"/>
          <w:szCs w:val="17"/>
          <w:color w:val="auto"/>
        </w:rPr>
        <w:t>Gross loss for the year ended December 31, 2024 was $62,000 compared to gross profit of $61,000 for the same period in the prior year. Decreased revenues in 2024 with cost of revenues remaining flat from the prior year were the primary reasons for the year-to-year variance.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15" w:lineRule="exact"/>
        <w:rPr>
          <w:sz w:val="20"/>
          <w:szCs w:val="20"/>
          <w:color w:val="auto"/>
        </w:rPr>
      </w:pPr>
    </w:p>
    <w:p>
      <w:pPr>
        <w:jc w:val="both"/>
        <w:ind w:left="40" w:right="299"/>
        <w:spacing w:after="0" w:line="259" w:lineRule="auto"/>
        <w:rPr>
          <w:sz w:val="20"/>
          <w:szCs w:val="20"/>
          <w:color w:val="auto"/>
        </w:rPr>
      </w:pPr>
      <w:r>
        <w:rPr>
          <w:rFonts w:ascii="Times New Roman" w:cs="Times New Roman" w:eastAsia="Times New Roman" w:hAnsi="Times New Roman"/>
          <w:sz w:val="17"/>
          <w:szCs w:val="17"/>
          <w:color w:val="auto"/>
        </w:rPr>
        <w:t>The increase in selling, general and administrative expenses was primarily from a $0.7 million increase in non-cash stock-based compensation expense, a $0.3 million in increased legal costs partially offset by a $0.2 million decrease in insurance costs and a $0.1 million decrease in franchise taxes. Refer to Note 9 to our consolidated financial statements for detailed information about stock-based compensation.</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5" w:lineRule="exact"/>
        <w:rPr>
          <w:sz w:val="20"/>
          <w:szCs w:val="20"/>
          <w:color w:val="auto"/>
        </w:rPr>
      </w:pPr>
    </w:p>
    <w:p>
      <w:pPr>
        <w:jc w:val="both"/>
        <w:ind w:left="40" w:right="199"/>
        <w:spacing w:after="0" w:line="263" w:lineRule="auto"/>
        <w:rPr>
          <w:sz w:val="20"/>
          <w:szCs w:val="20"/>
          <w:color w:val="auto"/>
        </w:rPr>
      </w:pPr>
      <w:r>
        <w:rPr>
          <w:rFonts w:ascii="Times New Roman" w:cs="Times New Roman" w:eastAsia="Times New Roman" w:hAnsi="Times New Roman"/>
          <w:sz w:val="17"/>
          <w:szCs w:val="17"/>
          <w:color w:val="auto"/>
        </w:rPr>
        <w:t>The increase in research and development expenses was primarily from increases in clinical trial related costs of $0.4 million, an increase in non-cash employee stock compensation expense of $0.2 million and product development costs of $0.1 million. Refer to Note 9 to our consolidated financial statements for detailed information about stock-based compensation.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Amortization Expense</w:t>
      </w:r>
    </w:p>
    <w:p>
      <w:pPr>
        <w:spacing w:after="0" w:line="215" w:lineRule="exact"/>
        <w:rPr>
          <w:sz w:val="20"/>
          <w:szCs w:val="20"/>
          <w:color w:val="auto"/>
        </w:rPr>
      </w:pPr>
    </w:p>
    <w:p>
      <w:pPr>
        <w:ind w:left="40" w:right="359"/>
        <w:spacing w:after="0" w:line="259" w:lineRule="auto"/>
        <w:rPr>
          <w:sz w:val="20"/>
          <w:szCs w:val="20"/>
          <w:color w:val="auto"/>
        </w:rPr>
      </w:pPr>
      <w:r>
        <w:rPr>
          <w:rFonts w:ascii="Times New Roman" w:cs="Times New Roman" w:eastAsia="Times New Roman" w:hAnsi="Times New Roman"/>
          <w:sz w:val="17"/>
          <w:szCs w:val="17"/>
          <w:color w:val="auto"/>
        </w:rPr>
        <w:t>Amortization expense is primarily comprised of the amortization of acquired finite-lived intangible assets. The decrease in amortization expense is primarily due to the remaining unamortized intangible assets becoming fully amortized during the year ended December 31, 2024. Refer to Note 6 to our consolidated financial statements for additional information about the composition of intangible assets.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Fixed Asset Impairment</w:t>
      </w:r>
    </w:p>
    <w:p>
      <w:pPr>
        <w:spacing w:after="0" w:line="215" w:lineRule="exact"/>
        <w:rPr>
          <w:sz w:val="20"/>
          <w:szCs w:val="20"/>
          <w:color w:val="auto"/>
        </w:rPr>
      </w:pPr>
    </w:p>
    <w:p>
      <w:pPr>
        <w:ind w:left="40" w:right="319"/>
        <w:spacing w:after="0" w:line="278" w:lineRule="auto"/>
        <w:rPr>
          <w:sz w:val="20"/>
          <w:szCs w:val="20"/>
          <w:color w:val="auto"/>
        </w:rPr>
      </w:pPr>
      <w:r>
        <w:rPr>
          <w:rFonts w:ascii="Times New Roman" w:cs="Times New Roman" w:eastAsia="Times New Roman" w:hAnsi="Times New Roman"/>
          <w:sz w:val="17"/>
          <w:szCs w:val="17"/>
          <w:color w:val="auto"/>
        </w:rPr>
        <w:t>During the fourth quarter of 2024, we recorded an impairment of $40,000 for certain software used with our enterprise resource planning system. Refer to Note 3 to our consolidated financial statements for additional information.</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Nonoperating Income</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(Expense) Income, Net</w:t>
      </w:r>
    </w:p>
    <w:p>
      <w:pPr>
        <w:spacing w:after="0" w:line="215" w:lineRule="exact"/>
        <w:rPr>
          <w:sz w:val="20"/>
          <w:szCs w:val="20"/>
          <w:color w:val="auto"/>
        </w:rPr>
      </w:pPr>
    </w:p>
    <w:p>
      <w:pPr>
        <w:ind w:left="40" w:right="119"/>
        <w:spacing w:after="0" w:line="280" w:lineRule="auto"/>
        <w:rPr>
          <w:sz w:val="20"/>
          <w:szCs w:val="20"/>
          <w:color w:val="auto"/>
        </w:rPr>
      </w:pPr>
      <w:r>
        <w:rPr>
          <w:rFonts w:ascii="Times New Roman" w:cs="Times New Roman" w:eastAsia="Times New Roman" w:hAnsi="Times New Roman"/>
          <w:sz w:val="16"/>
          <w:szCs w:val="16"/>
          <w:color w:val="auto"/>
        </w:rPr>
        <w:t>Net interest expense for the year ended December 31, 2024 was primarily attributable to interest expense related to the Company’s insurance premium financing and lower interest income earned on investments of excess cash in an unrestricted money market savings account year to year due to lower current year cash balances and a shift to excess cash being primarily invested in money market mutual funds earning dividend income in the current year, versus interest bearing securities in the prior year.</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Liability</w:t>
      </w:r>
    </w:p>
    <w:p>
      <w:pPr>
        <w:spacing w:after="0" w:line="215"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As discussed in more detail in Note 8 to our consolidated financial statements, the warrants issued in connection with the August 2022 Public Offering are being accounted for as a derivative liability instrument. The change in fair value of derivative liability for the year ended December 31, 2024 of $3.0 million is the result of the decrease in our stock price offset partially by reduced outstanding warrant exposure due to warrant exercises during the year.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Exchange (Loss) Gain</w:t>
      </w:r>
    </w:p>
    <w:p>
      <w:pPr>
        <w:spacing w:after="0" w:line="215" w:lineRule="exact"/>
        <w:rPr>
          <w:sz w:val="20"/>
          <w:szCs w:val="20"/>
          <w:color w:val="auto"/>
        </w:rPr>
      </w:pPr>
    </w:p>
    <w:p>
      <w:pPr>
        <w:ind w:left="40" w:right="319"/>
        <w:spacing w:after="0" w:line="278" w:lineRule="auto"/>
        <w:rPr>
          <w:sz w:val="20"/>
          <w:szCs w:val="20"/>
          <w:color w:val="auto"/>
        </w:rPr>
      </w:pPr>
      <w:r>
        <w:rPr>
          <w:rFonts w:ascii="Times New Roman" w:cs="Times New Roman" w:eastAsia="Times New Roman" w:hAnsi="Times New Roman"/>
          <w:sz w:val="17"/>
          <w:szCs w:val="17"/>
          <w:color w:val="auto"/>
        </w:rPr>
        <w:t>The foreign exchange loss for the year ended December 31, 2024 was primarily due to higher Canadian to U.S. dollar exchange rates in 2024.</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income was primarily attributable to dividend income earned on investments of excess cash in a money market mutual fund.</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ind w:left="40" w:right="699"/>
        <w:spacing w:after="0" w:line="278" w:lineRule="auto"/>
        <w:rPr>
          <w:sz w:val="20"/>
          <w:szCs w:val="20"/>
          <w:color w:val="auto"/>
        </w:rPr>
      </w:pPr>
      <w:r>
        <w:rPr>
          <w:rFonts w:ascii="Times New Roman" w:cs="Times New Roman" w:eastAsia="Times New Roman" w:hAnsi="Times New Roman"/>
          <w:sz w:val="17"/>
          <w:szCs w:val="17"/>
          <w:color w:val="auto"/>
        </w:rPr>
        <w:t>The following table summarizes our cash and cash equivalents and working capital as of December 31, 2024 and 2023 (in thousands):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4"/>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5,182</w:t>
            </w:r>
          </w:p>
        </w:tc>
      </w:tr>
      <w:tr>
        <w:trPr>
          <w:trHeight w:val="219"/>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7"/>
                <w:szCs w:val="17"/>
                <w:color w:val="auto"/>
              </w:rPr>
              <w:t>Working capital</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5,559</w:t>
            </w:r>
          </w:p>
        </w:tc>
      </w:tr>
    </w:tbl>
    <w:p>
      <w:pPr>
        <w:spacing w:after="0" w:line="171"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7"/>
          <w:szCs w:val="17"/>
          <w:color w:val="auto"/>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most recently included $5.5 million in net proceeds we received from a public offering of our common stock and warrants completed in May 2024 (“May 2024 Public Offering”) as discussed in more detail in Note 8 to our consolidated financial statements.</w:t>
      </w:r>
    </w:p>
    <w:p>
      <w:pPr>
        <w:spacing w:after="0" w:line="177"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color w:val="auto"/>
        </w:rPr>
        <w:t>As discussed in more detail in Note 8 to our consolidated financial statements, the Company entered into a sales agreement related to our at-the-market offering program (“ATM”) under which we may offer and sell shares having gross proceeds up to $2.0 million. During the year ended December 31, 2024, the Company issued and sold shares with gross proceeds of $1.3 million under the ATM. In addition, the Company received gross proceeds of $0.2 million from the issuance of shares upon the exercise of warrants for the year ended December 31, 2024. On January 21, 2025, the Company entered into warrant exercise inducement offer letters and new warrant issuance which generated $3.4 million in net proceeds as discussed in more detail in Note 15 to our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Statement of Cash Flows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years ended December 31, 2024 and 2023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8"/>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Operating Activities</w:t>
      </w:r>
    </w:p>
    <w:p>
      <w:pPr>
        <w:spacing w:after="0" w:line="215" w:lineRule="exact"/>
        <w:rPr>
          <w:sz w:val="20"/>
          <w:szCs w:val="20"/>
          <w:color w:val="auto"/>
        </w:rPr>
      </w:pPr>
    </w:p>
    <w:p>
      <w:pPr>
        <w:jc w:val="both"/>
        <w:ind w:left="40" w:right="79"/>
        <w:spacing w:after="0" w:line="278" w:lineRule="auto"/>
        <w:rPr>
          <w:sz w:val="20"/>
          <w:szCs w:val="20"/>
          <w:color w:val="auto"/>
        </w:rPr>
      </w:pPr>
      <w:r>
        <w:rPr>
          <w:rFonts w:ascii="Times New Roman" w:cs="Times New Roman" w:eastAsia="Times New Roman" w:hAnsi="Times New Roman"/>
          <w:sz w:val="17"/>
          <w:szCs w:val="17"/>
          <w:color w:val="auto"/>
        </w:rPr>
        <w:t>The higher level of cash used in operating activities in 2024 primarily resulted from increases in selling, general and administrative expenses and research and development expenses as compared to 2023.</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investing activities are primarily related to the purchase of property and equipment.</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215"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During the year ended December 31, 2024, we received net proceeds of $1.3 million from the issuance and sale of shares under the ATM. In addition, we received $0.2 million in net proceeds from the exercise of warrants. During the year ended December 31, 2024, we received net proceeds of $5.5 million from the sale of shares primarily from our May 2024 Public Offering, as described in Note 8 to our consolidated financial statements.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Requirements</w:t>
      </w:r>
    </w:p>
    <w:p>
      <w:pPr>
        <w:spacing w:after="0" w:line="215"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Our ability to generate product revenues sufficient to achieve profitability will depend heavily on the successful commercialization of PoNS Therapy in the U.S. Our net loss was $11.7 million and $8.9 million for the years ended December 31, 2024 and 2023, respectively. As of December 31, 2024, we had an accumulated deficit of $171.7 million. We expect to continue to incur significant expenses and operating losses for the foreseeable future. These and other factors indicate substantial doubt about our ability to continue as a going concern. Refer to Note 1 to our consolidated financial statements for additional discussion about our going concern uncertainty.</w:t>
      </w:r>
    </w:p>
    <w:p>
      <w:pPr>
        <w:spacing w:after="0" w:line="177"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including the $0.1 million of additional net proceeds from the ATM and $3.4 million in net proceeds from warrant inducements in 2025 through the date of this filing, will be sufficient to fund our operations into the second quarter of 2025, but we will be required to seek additional funding through the sale of equity or debt financing to continue to fund our operations thereafter. We will need additional funding for our ongoing clinical trials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78" w:lineRule="exact"/>
        <w:rPr>
          <w:sz w:val="20"/>
          <w:szCs w:val="20"/>
          <w:color w:val="auto"/>
        </w:rPr>
      </w:pPr>
    </w:p>
    <w:p>
      <w:pPr>
        <w:ind w:left="40" w:right="159"/>
        <w:spacing w:after="0" w:line="280" w:lineRule="auto"/>
        <w:rPr>
          <w:sz w:val="20"/>
          <w:szCs w:val="20"/>
          <w:color w:val="auto"/>
        </w:rPr>
      </w:pPr>
      <w:r>
        <w:rPr>
          <w:rFonts w:ascii="Times New Roman" w:cs="Times New Roman" w:eastAsia="Times New Roman" w:hAnsi="Times New Roman"/>
          <w:sz w:val="16"/>
          <w:szCs w:val="16"/>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15"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accounting for warrants.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5"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generates nearly all of its revenue from product sales directly to patients, its e-commerce partner in the United States and to clinics in Canada. Revenue from product sales is recognized at a point in time as the performance obligation is satisfied and when the customer obtains control at the established transaction price. Taxes that the Company collects concurrent with revenue-producing activities are excluded from revenue.</w:t>
      </w:r>
    </w:p>
    <w:p>
      <w:pPr>
        <w:spacing w:after="0" w:line="173"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The Company requires some customers in the United States to prepay the full product selling price, net of cash discount, prior to shipment. The Company records a contract liability for any customer prepayment received for which delivery had not yet occurred as of the end of the period.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Accounting and Valuation of Warrants</w:t>
      </w:r>
    </w:p>
    <w:p>
      <w:pPr>
        <w:spacing w:after="0" w:line="215" w:lineRule="exact"/>
        <w:rPr>
          <w:sz w:val="20"/>
          <w:szCs w:val="20"/>
          <w:color w:val="auto"/>
        </w:rPr>
      </w:pPr>
    </w:p>
    <w:p>
      <w:pPr>
        <w:ind w:left="40" w:right="79"/>
        <w:spacing w:after="0" w:line="276" w:lineRule="auto"/>
        <w:rPr>
          <w:sz w:val="20"/>
          <w:szCs w:val="20"/>
          <w:color w:val="auto"/>
        </w:rPr>
      </w:pPr>
      <w:r>
        <w:rPr>
          <w:rFonts w:ascii="Times New Roman" w:cs="Times New Roman" w:eastAsia="Times New Roman" w:hAnsi="Times New Roman"/>
          <w:sz w:val="16"/>
          <w:szCs w:val="16"/>
          <w:color w:val="auto"/>
        </w:rPr>
        <w:t>We have issued and may continue to issue warrants to purchase shares of common stock through our public and private offerings. We account for such warrants in accordance with ASC 480 Distinguishing Liabilities from Equity, which identifies three categories of freestanding financial instruments that are required to be accounted for as a liability. If determined to be classified as a liability, we will remeasure the fair value of the warrants at each balance sheet date. If determined to be classified as equity, the fair value of the warrants will be measured as of the date of issuance and will not be subject to remeasurement at each balance sheet date.</w:t>
      </w:r>
    </w:p>
    <w:p>
      <w:pPr>
        <w:spacing w:after="0" w:line="162"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We evaluate our financial instruments and other contracts to determine if those contracts or embedded components of those contracts qualify as derivatives to be separately accounted for in accordance with ASC 815, Derivatives and Hedging. The result of this accounting treatment is that the fair value of the derivative is re-measured at each balance sheet date and recorded as a liability or asset and the change in fair value is recorded in the consolidated statements of operations and comprehensive loss. Upon settlement of a derivative financial instrument, the instrument is re-measured at the settlement date and then that fair value of the underlying instrument is reclassified to equity.</w:t>
      </w:r>
    </w:p>
    <w:p>
      <w:pPr>
        <w:spacing w:after="0" w:line="17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if the right to exercise or settle the derivative financial instrument lies with the holder.</w:t>
      </w:r>
    </w:p>
    <w:p>
      <w:pPr>
        <w:spacing w:after="0" w:line="177" w:lineRule="exact"/>
        <w:rPr>
          <w:sz w:val="20"/>
          <w:szCs w:val="20"/>
          <w:color w:val="auto"/>
        </w:rPr>
      </w:pPr>
    </w:p>
    <w:p>
      <w:pPr>
        <w:ind w:left="40" w:right="259"/>
        <w:spacing w:after="0" w:line="278" w:lineRule="auto"/>
        <w:rPr>
          <w:sz w:val="20"/>
          <w:szCs w:val="20"/>
          <w:color w:val="auto"/>
        </w:rPr>
      </w:pPr>
      <w:r>
        <w:rPr>
          <w:rFonts w:ascii="Times New Roman" w:cs="Times New Roman" w:eastAsia="Times New Roman" w:hAnsi="Times New Roman"/>
          <w:sz w:val="17"/>
          <w:szCs w:val="17"/>
          <w:color w:val="auto"/>
        </w:rPr>
        <w:t>We use the Monte Carlo and Black-Scholes option-pricing models to value derivative financial instrument liabilities. This model uses Level 3 inputs in the fair value hierarchy established by ASC 820 - Fair Value Measurement.</w:t>
      </w:r>
    </w:p>
    <w:p>
      <w:pPr>
        <w:spacing w:after="0" w:line="157" w:lineRule="exact"/>
        <w:rPr>
          <w:sz w:val="20"/>
          <w:szCs w:val="20"/>
          <w:color w:val="auto"/>
        </w:rPr>
      </w:pPr>
    </w:p>
    <w:p>
      <w:pPr>
        <w:jc w:val="both"/>
        <w:ind w:left="40" w:right="479"/>
        <w:spacing w:after="0" w:line="263" w:lineRule="auto"/>
        <w:rPr>
          <w:sz w:val="20"/>
          <w:szCs w:val="20"/>
          <w:color w:val="auto"/>
        </w:rPr>
      </w:pPr>
      <w:r>
        <w:rPr>
          <w:rFonts w:ascii="Times New Roman" w:cs="Times New Roman" w:eastAsia="Times New Roman" w:hAnsi="Times New Roman"/>
          <w:sz w:val="17"/>
          <w:szCs w:val="17"/>
          <w:color w:val="auto"/>
        </w:rPr>
        <w:t>As of December 31, 2024, our derivative financial instruments accounted for in accordance with ASC 815 were comprised of warrants issued in connection with our August 2022 public offering as discussed in more detail in Note 8 to our Consolidated Financial Statements.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5"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We record a valuation allowance to reduce deferred tax assets to the amount that is believed more likely than not to be realized.</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215" w:lineRule="exact"/>
        <w:rPr>
          <w:sz w:val="20"/>
          <w:szCs w:val="20"/>
          <w:color w:val="auto"/>
        </w:rPr>
      </w:pPr>
    </w:p>
    <w:p>
      <w:pPr>
        <w:ind w:left="40" w:right="579"/>
        <w:spacing w:after="0" w:line="278" w:lineRule="auto"/>
        <w:rPr>
          <w:sz w:val="20"/>
          <w:szCs w:val="20"/>
          <w:color w:val="auto"/>
        </w:rPr>
      </w:pPr>
      <w:r>
        <w:rPr>
          <w:rFonts w:ascii="Times New Roman" w:cs="Times New Roman" w:eastAsia="Times New Roman" w:hAnsi="Times New Roman"/>
          <w:sz w:val="17"/>
          <w:szCs w:val="17"/>
          <w:color w:val="auto"/>
        </w:rPr>
        <w:t>Because we have generated limited revenues from commercialization, our operations to date have been principally financed through public and private offerings of our common stock and convertible debt and exercises of options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279"/>
        <w:spacing w:after="0" w:line="278" w:lineRule="auto"/>
        <w:rPr>
          <w:sz w:val="20"/>
          <w:szCs w:val="20"/>
          <w:color w:val="auto"/>
        </w:rPr>
      </w:pPr>
      <w:r>
        <w:rPr>
          <w:rFonts w:ascii="Times New Roman" w:cs="Times New Roman" w:eastAsia="Times New Roman" w:hAnsi="Times New Roman"/>
          <w:sz w:val="17"/>
          <w:szCs w:val="17"/>
          <w:color w:val="auto"/>
        </w:rPr>
        <w:t>warrants. There are a number of conditions that we must satisfy before we will be able to generate sufficient revenue to fund our operations, including but not limited to the successful commercialization of the PoNS device in the U.S.</w:t>
      </w:r>
    </w:p>
    <w:p>
      <w:pPr>
        <w:spacing w:after="0" w:line="157"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These factors raise substantial doubt about our ability to continue as a going concern through at least 12 months from the date of this Form 10-K. While we had $1.1 million of cash as of December 31, 2024, we do not currently have sufficient resources to accomplish all of the above conditions necessary for us to generate sufficient revenues to achieve profitability, and we expect that we will require additional financing to continue to fund our operations. There is no guarantee that such funding will be available at all or in sufficient amounts to satisfy our required expenditures. In reviewing this filing, you should carefully consider this uncertainty, the risks described in the section entitled “Item 1A. Risk Factors” and other risks described throughout this Form 10-K.</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Information regarding recently issued accounting pronouncements is included in Note 2 to the consolidated financial statements.</w:t>
      </w:r>
    </w:p>
    <w:p>
      <w:pPr>
        <w:spacing w:after="0" w:line="207"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information required by this item is included in this Form 10-K beginning on page F-1 and is incorporated herein by reference.</w:t>
      </w:r>
    </w:p>
    <w:p>
      <w:pPr>
        <w:spacing w:after="0" w:line="219" w:lineRule="exact"/>
        <w:rPr>
          <w:sz w:val="20"/>
          <w:szCs w:val="20"/>
          <w:color w:val="auto"/>
        </w:rPr>
      </w:pPr>
    </w:p>
    <w:p>
      <w:pPr>
        <w:ind w:left="1080" w:right="159" w:hanging="1028"/>
        <w:spacing w:after="0" w:line="283" w:lineRule="auto"/>
        <w:tabs>
          <w:tab w:leader="none" w:pos="106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7"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5"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7"/>
          <w:szCs w:val="17"/>
          <w:color w:val="auto"/>
        </w:rPr>
        <w:t>As required by Rule 13a-15(b) under the Securities Exchange Act of 1934, as amended, or the Exchange Act, under the direction of the Chief Executive Officer and the Chief Financial Officer, we have evaluated our disclosure controls and procedures as defined in Rule 13a-15(e) or 15d-15(e) as of the end of the period covered by this Form 10-K. Based on this evaluation, our Chief Executive Officer and Chief Financial Officer have concluded that our disclosure controls and procedures were effective as of the end of the period covered by this Form 10-K.</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1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We are responsible for establishing and maintaining adequate internal controls over financial reporting. Our management assessed the effectiveness of our internal controls over financial reporting as of December 31, 2024.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2024, our internal control over financial reporting was effective.</w:t>
      </w:r>
    </w:p>
    <w:p>
      <w:pPr>
        <w:spacing w:after="0" w:line="181" w:lineRule="exact"/>
        <w:rPr>
          <w:sz w:val="20"/>
          <w:szCs w:val="20"/>
          <w:color w:val="auto"/>
        </w:rPr>
      </w:pPr>
    </w:p>
    <w:p>
      <w:pPr>
        <w:ind w:left="40" w:right="459"/>
        <w:spacing w:after="0" w:line="278" w:lineRule="auto"/>
        <w:rPr>
          <w:sz w:val="20"/>
          <w:szCs w:val="20"/>
          <w:color w:val="auto"/>
        </w:rPr>
      </w:pPr>
      <w:r>
        <w:rPr>
          <w:rFonts w:ascii="Times New Roman" w:cs="Times New Roman" w:eastAsia="Times New Roman" w:hAnsi="Times New Roman"/>
          <w:sz w:val="17"/>
          <w:szCs w:val="17"/>
          <w:color w:val="auto"/>
        </w:rPr>
        <w:t>This Form 10-K does not include an attestation report of our independent registered public accounting firm regarding internal control over financial reporting as required by Section 404(b) of the Sarbanes Oxley Act of 2002. As a non-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39"/>
        <w:spacing w:after="0" w:line="278" w:lineRule="auto"/>
        <w:rPr>
          <w:sz w:val="20"/>
          <w:szCs w:val="20"/>
          <w:color w:val="auto"/>
        </w:rPr>
      </w:pPr>
      <w:r>
        <w:rPr>
          <w:rFonts w:ascii="Times New Roman" w:cs="Times New Roman" w:eastAsia="Times New Roman" w:hAnsi="Times New Roman"/>
          <w:sz w:val="17"/>
          <w:szCs w:val="17"/>
          <w:color w:val="auto"/>
        </w:rPr>
        <w:t>accelerated filer, our management’s report was not subject to attestation by our registered public accounting firm pursuant to rules of the SEC that permit us to provide only management’s report in this Form 10-K.</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5" w:lineRule="exact"/>
        <w:rPr>
          <w:sz w:val="20"/>
          <w:szCs w:val="20"/>
          <w:color w:val="auto"/>
        </w:rPr>
      </w:pPr>
    </w:p>
    <w:p>
      <w:pPr>
        <w:ind w:left="40" w:right="339"/>
        <w:spacing w:after="0" w:line="259" w:lineRule="auto"/>
        <w:rPr>
          <w:sz w:val="20"/>
          <w:szCs w:val="20"/>
          <w:color w:val="auto"/>
        </w:rPr>
      </w:pPr>
      <w:r>
        <w:rPr>
          <w:rFonts w:ascii="Times New Roman" w:cs="Times New Roman" w:eastAsia="Times New Roman" w:hAnsi="Times New Roman"/>
          <w:sz w:val="17"/>
          <w:szCs w:val="17"/>
          <w:color w:val="auto"/>
        </w:rPr>
        <w:t>We monitor our internal control over financial reporting on a continuous basis. There has not been any change in our internal control over financial reporting identified in connection with the evaluation required by Rule 13a-15(f) and 15d-15(f) under the Exchange Act that occurred during the year ended December 31, 2024 which has materially affected, or is reasonably likely to materially affect, our internal control over financial reporting.</w:t>
      </w:r>
    </w:p>
    <w:p>
      <w:pPr>
        <w:spacing w:after="0" w:line="169"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7"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1"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1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information required by Item 10 is hereby incorporated by reference to the sections of the 2025 Proxy Statement under the captions “Information Regarding the Board of Directors and Corporate Governance,” “Proposal 1 - Election of Directors,” “Executive Officers”, and “Delinquent Section 16(a) Reports”.</w:t>
      </w:r>
    </w:p>
    <w:p>
      <w:pPr>
        <w:spacing w:after="0" w:line="37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1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information required by Item 11 is hereby incorporated by reference to the sections of the 2025 Proxy Statement under the captions “Executive Compensation” and “Information Regarding the Board of Directors and Corporate Governance– Non-Employee Director Compensation.”</w:t>
      </w:r>
    </w:p>
    <w:p>
      <w:pPr>
        <w:spacing w:after="0" w:line="370" w:lineRule="exact"/>
        <w:rPr>
          <w:sz w:val="20"/>
          <w:szCs w:val="20"/>
          <w:color w:val="auto"/>
        </w:rPr>
      </w:pPr>
    </w:p>
    <w:p>
      <w:pPr>
        <w:ind w:left="1080" w:right="859" w:hanging="1028"/>
        <w:spacing w:after="0" w:line="283" w:lineRule="auto"/>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53" w:lineRule="exact"/>
        <w:rPr>
          <w:sz w:val="20"/>
          <w:szCs w:val="20"/>
          <w:color w:val="auto"/>
        </w:rPr>
      </w:pPr>
    </w:p>
    <w:p>
      <w:pPr>
        <w:ind w:left="40" w:right="379"/>
        <w:spacing w:after="0" w:line="278" w:lineRule="auto"/>
        <w:rPr>
          <w:sz w:val="20"/>
          <w:szCs w:val="20"/>
          <w:color w:val="auto"/>
        </w:rPr>
      </w:pPr>
      <w:r>
        <w:rPr>
          <w:rFonts w:ascii="Times New Roman" w:cs="Times New Roman" w:eastAsia="Times New Roman" w:hAnsi="Times New Roman"/>
          <w:sz w:val="17"/>
          <w:szCs w:val="17"/>
          <w:color w:val="auto"/>
        </w:rPr>
        <w:t>The information required by Item 12 is hereby incorporated by reference to the sections of the 2025 Proxy Statement under the captions “Security Ownership of Certain Beneficial Owners and Management" and "Executive Compensation.”</w:t>
      </w:r>
    </w:p>
    <w:p>
      <w:pPr>
        <w:spacing w:after="0" w:line="166"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1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information required by Item 13 is hereby incorporated by reference to the sections of the 2025 Proxy Statement under the captions “Certain Relationships and Related Transactions” and “Information Regarding the Board of Directors and Corporate Governance - Independence of the Board of Directors.”</w:t>
      </w:r>
    </w:p>
    <w:p>
      <w:pPr>
        <w:spacing w:after="0" w:line="37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215"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7"/>
          <w:szCs w:val="17"/>
          <w:color w:val="auto"/>
        </w:rPr>
        <w:t>The information required by Item 14 is hereby incorporated by reference to the sections of the 2025 Proxy Statement under the caption “Proposal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1"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documents are filed as part of this Form 10-K:</w:t>
      </w:r>
    </w:p>
    <w:p>
      <w:pPr>
        <w:spacing w:after="0" w:line="211" w:lineRule="exact"/>
        <w:rPr>
          <w:sz w:val="20"/>
          <w:szCs w:val="20"/>
          <w:color w:val="auto"/>
        </w:rPr>
      </w:pPr>
    </w:p>
    <w:p>
      <w:pPr>
        <w:ind w:left="560" w:hanging="413"/>
        <w:spacing w:after="0"/>
        <w:tabs>
          <w:tab w:leader="none" w:pos="5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Statements—See the Index to Consolidated Financial Statements on Page F-1.</w:t>
      </w:r>
    </w:p>
    <w:p>
      <w:pPr>
        <w:spacing w:after="0" w:line="211" w:lineRule="exact"/>
        <w:rPr>
          <w:rFonts w:ascii="Times New Roman" w:cs="Times New Roman" w:eastAsia="Times New Roman" w:hAnsi="Times New Roman"/>
          <w:sz w:val="17"/>
          <w:szCs w:val="17"/>
          <w:color w:val="auto"/>
        </w:rPr>
      </w:pPr>
    </w:p>
    <w:p>
      <w:pPr>
        <w:ind w:left="560" w:right="119" w:hanging="413"/>
        <w:spacing w:after="0" w:line="263" w:lineRule="auto"/>
        <w:tabs>
          <w:tab w:leader="none" w:pos="5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Schedules—None. We have omitted financial statement schedules because they are not required or are not applicable, or the required information is shown in the consolidated financial statements or notes to the consolidated financial statements.</w:t>
      </w:r>
    </w:p>
    <w:p>
      <w:pPr>
        <w:spacing w:after="0" w:line="170" w:lineRule="exact"/>
        <w:rPr>
          <w:rFonts w:ascii="Times New Roman" w:cs="Times New Roman" w:eastAsia="Times New Roman" w:hAnsi="Times New Roman"/>
          <w:sz w:val="17"/>
          <w:szCs w:val="17"/>
          <w:color w:val="auto"/>
        </w:rPr>
      </w:pPr>
    </w:p>
    <w:p>
      <w:pPr>
        <w:ind w:left="560" w:hanging="413"/>
        <w:spacing w:after="0"/>
        <w:tabs>
          <w:tab w:leader="none" w:pos="5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4"/>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20" w:type="dxa"/>
            <w:vAlign w:val="bottom"/>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Pr>
          <w:p>
            <w:pPr>
              <w:spacing w:after="0"/>
              <w:rPr>
                <w:sz w:val="24"/>
                <w:szCs w:val="24"/>
                <w:color w:val="auto"/>
              </w:rPr>
            </w:pPr>
          </w:p>
        </w:tc>
        <w:tc>
          <w:tcPr>
            <w:tcW w:w="780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w w:val="99"/>
              </w:rPr>
            </w:pPr>
            <w:hyperlink r:id="rId88">
              <w:r>
                <w:rPr>
                  <w:rFonts w:ascii="Times New Roman" w:cs="Times New Roman" w:eastAsia="Times New Roman" w:hAnsi="Times New Roman"/>
                  <w:sz w:val="17"/>
                  <w:szCs w:val="17"/>
                  <w:color w:val="0000EE"/>
                  <w:w w:val="99"/>
                </w:rPr>
                <w:t>Certificate of Conversion filed with the Delaware Secretary of State on July 18, 2018 (incorporated by reference to</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88">
              <w:r>
                <w:rPr>
                  <w:rFonts w:ascii="Times New Roman" w:cs="Times New Roman" w:eastAsia="Times New Roman" w:hAnsi="Times New Roman"/>
                  <w:sz w:val="17"/>
                  <w:szCs w:val="17"/>
                  <w:color w:val="0000EE"/>
                </w:rPr>
                <w:t>Exhibit 3.1 to the Form 10-Q filed August 9, 2018)</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w w:val="99"/>
              </w:rPr>
            </w:pPr>
            <w:hyperlink r:id="rId89">
              <w:r>
                <w:rPr>
                  <w:rFonts w:ascii="Times New Roman" w:cs="Times New Roman" w:eastAsia="Times New Roman" w:hAnsi="Times New Roman"/>
                  <w:sz w:val="17"/>
                  <w:szCs w:val="17"/>
                  <w:color w:val="0000EE"/>
                  <w:w w:val="99"/>
                </w:rPr>
                <w:t>Certificate of Incorporation, as corrected (incorporated by reference to Exhibit 3.1 to the Form 8-K filed October 30,</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4" w:lineRule="exact"/>
              <w:rPr>
                <w:rFonts w:ascii="Times New Roman" w:cs="Times New Roman" w:eastAsia="Times New Roman" w:hAnsi="Times New Roman"/>
                <w:sz w:val="17"/>
                <w:szCs w:val="17"/>
                <w:color w:val="0000EE"/>
              </w:rPr>
            </w:pPr>
            <w:hyperlink r:id="rId89">
              <w:r>
                <w:rPr>
                  <w:rFonts w:ascii="Times New Roman" w:cs="Times New Roman" w:eastAsia="Times New Roman" w:hAnsi="Times New Roman"/>
                  <w:sz w:val="17"/>
                  <w:szCs w:val="17"/>
                  <w:color w:val="0000EE"/>
                </w:rPr>
                <w:t>2018)</w:t>
              </w:r>
            </w:hyperlink>
          </w:p>
        </w:tc>
        <w:tc>
          <w:tcPr>
            <w:tcW w:w="6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3.3</w:t>
            </w:r>
          </w:p>
        </w:tc>
        <w:tc>
          <w:tcPr>
            <w:tcW w:w="220" w:type="dxa"/>
            <w:vAlign w:val="bottom"/>
          </w:tcPr>
          <w:p>
            <w:pPr>
              <w:spacing w:after="0"/>
              <w:rPr>
                <w:sz w:val="15"/>
                <w:szCs w:val="15"/>
                <w:color w:val="auto"/>
              </w:rPr>
            </w:pPr>
          </w:p>
        </w:tc>
        <w:tc>
          <w:tcPr>
            <w:tcW w:w="7800" w:type="dxa"/>
            <w:vAlign w:val="bottom"/>
            <w:tcBorders>
              <w:bottom w:val="single" w:sz="8" w:color="0000EE"/>
            </w:tcBorders>
            <w:gridSpan w:val="25"/>
          </w:tcPr>
          <w:p>
            <w:pPr>
              <w:spacing w:after="0" w:line="184" w:lineRule="exact"/>
              <w:rPr>
                <w:rFonts w:ascii="Times New Roman" w:cs="Times New Roman" w:eastAsia="Times New Roman" w:hAnsi="Times New Roman"/>
                <w:sz w:val="17"/>
                <w:szCs w:val="17"/>
                <w:color w:val="0000EE"/>
                <w:w w:val="99"/>
              </w:rPr>
            </w:pPr>
            <w:hyperlink r:id="rId90">
              <w:r>
                <w:rPr>
                  <w:rFonts w:ascii="Times New Roman" w:cs="Times New Roman" w:eastAsia="Times New Roman" w:hAnsi="Times New Roman"/>
                  <w:sz w:val="17"/>
                  <w:szCs w:val="17"/>
                  <w:color w:val="0000EE"/>
                  <w:w w:val="99"/>
                </w:rPr>
                <w:t>Certificate of Amendment to Certificate of Incorporation (incorporated by reference to Exhibit 3.1 to the Form 8-K</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filed on December 31, 2020)</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3.4</w:t>
            </w:r>
          </w:p>
        </w:tc>
        <w:tc>
          <w:tcPr>
            <w:tcW w:w="220" w:type="dxa"/>
            <w:vAlign w:val="bottom"/>
          </w:tcPr>
          <w:p>
            <w:pPr>
              <w:spacing w:after="0"/>
              <w:rPr>
                <w:sz w:val="15"/>
                <w:szCs w:val="15"/>
                <w:color w:val="auto"/>
              </w:rPr>
            </w:pPr>
          </w:p>
        </w:tc>
        <w:tc>
          <w:tcPr>
            <w:tcW w:w="7740" w:type="dxa"/>
            <w:vAlign w:val="bottom"/>
            <w:tcBorders>
              <w:bottom w:val="single" w:sz="8" w:color="0000EE"/>
            </w:tcBorders>
            <w:gridSpan w:val="22"/>
          </w:tcPr>
          <w:p>
            <w:pPr>
              <w:spacing w:after="0" w:line="184" w:lineRule="exact"/>
              <w:rPr>
                <w:rFonts w:ascii="Times New Roman" w:cs="Times New Roman" w:eastAsia="Times New Roman" w:hAnsi="Times New Roman"/>
                <w:sz w:val="17"/>
                <w:szCs w:val="17"/>
                <w:color w:val="0000EE"/>
                <w:w w:val="99"/>
              </w:rPr>
            </w:pPr>
            <w:hyperlink r:id="rId90">
              <w:r>
                <w:rPr>
                  <w:rFonts w:ascii="Times New Roman" w:cs="Times New Roman" w:eastAsia="Times New Roman" w:hAnsi="Times New Roman"/>
                  <w:sz w:val="17"/>
                  <w:szCs w:val="17"/>
                  <w:color w:val="0000EE"/>
                  <w:w w:val="99"/>
                </w:rPr>
                <w:t>Certificate of Amendment to Certificate of Incorporation, as corrected (incorporated by reference to Exhibit 3.1 to</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the Form 8-K filed on August 16, 2023)</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3.5</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Second Amended and Restated Bylaws (incorporated by reference to Exhibit 3.3 to the Form 8-K filed March 15,</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4" w:lineRule="exact"/>
              <w:rPr>
                <w:rFonts w:ascii="Times New Roman" w:cs="Times New Roman" w:eastAsia="Times New Roman" w:hAnsi="Times New Roman"/>
                <w:sz w:val="17"/>
                <w:szCs w:val="17"/>
                <w:color w:val="0000EE"/>
                <w:w w:val="95"/>
              </w:rPr>
            </w:pPr>
            <w:hyperlink r:id="rId91">
              <w:r>
                <w:rPr>
                  <w:rFonts w:ascii="Times New Roman" w:cs="Times New Roman" w:eastAsia="Times New Roman" w:hAnsi="Times New Roman"/>
                  <w:sz w:val="17"/>
                  <w:szCs w:val="17"/>
                  <w:color w:val="0000EE"/>
                  <w:w w:val="95"/>
                </w:rPr>
                <w:t>2024)</w:t>
              </w:r>
            </w:hyperlink>
          </w:p>
        </w:tc>
        <w:tc>
          <w:tcPr>
            <w:tcW w:w="2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5"/>
                <w:szCs w:val="15"/>
                <w:color w:val="auto"/>
              </w:rPr>
            </w:pPr>
          </w:p>
        </w:tc>
        <w:tc>
          <w:tcPr>
            <w:tcW w:w="6840" w:type="dxa"/>
            <w:vAlign w:val="bottom"/>
            <w:tcBorders>
              <w:bottom w:val="single" w:sz="8" w:color="0000EE"/>
            </w:tcBorders>
            <w:gridSpan w:val="14"/>
          </w:tcPr>
          <w:p>
            <w:pPr>
              <w:spacing w:after="0" w:line="184" w:lineRule="exact"/>
              <w:rPr>
                <w:rFonts w:ascii="Times New Roman" w:cs="Times New Roman" w:eastAsia="Times New Roman" w:hAnsi="Times New Roman"/>
                <w:sz w:val="17"/>
                <w:szCs w:val="17"/>
                <w:color w:val="0000EE"/>
                <w:w w:val="99"/>
              </w:rPr>
            </w:pPr>
            <w:hyperlink r:id="rId92">
              <w:r>
                <w:rPr>
                  <w:rFonts w:ascii="Times New Roman" w:cs="Times New Roman" w:eastAsia="Times New Roman" w:hAnsi="Times New Roman"/>
                  <w:sz w:val="17"/>
                  <w:szCs w:val="17"/>
                  <w:color w:val="0000EE"/>
                  <w:w w:val="99"/>
                </w:rPr>
                <w:t>Form of Warrant (incorporated by reference to Exhibit 4.1 to the Form S-1/A filed January 20, 2021)</w:t>
              </w:r>
            </w:hyperlink>
          </w:p>
        </w:tc>
        <w:tc>
          <w:tcPr>
            <w:tcW w:w="10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Warrant Agency Agreement (incorporated by reference to Exhibit 4.2 to the Form S-1/A filed January 20, 2021)</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Description of Registrant’s Securities (incorporated by reference to Exhibit 4.7 to the Form 10-K filed March 14,</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4"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2021)</w:t>
              </w:r>
            </w:hyperlink>
          </w:p>
        </w:tc>
        <w:tc>
          <w:tcPr>
            <w:tcW w:w="6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Warrant Agency Agreement dated as of February 1, 2021 by and between Helius Medical Technologies, Inc.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American Stock Transfer &amp; Trust Company, LLC (incorporated by reference to Exhibit 4.2 to the Form 8-K filed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4"/>
          </w:tcPr>
          <w:p>
            <w:pPr>
              <w:spacing w:after="0" w:line="184" w:lineRule="exact"/>
              <w:rPr>
                <w:rFonts w:ascii="Times New Roman" w:cs="Times New Roman" w:eastAsia="Times New Roman" w:hAnsi="Times New Roman"/>
                <w:sz w:val="17"/>
                <w:szCs w:val="17"/>
                <w:color w:val="0000EE"/>
                <w:w w:val="98"/>
              </w:rPr>
            </w:pPr>
            <w:hyperlink r:id="rId95">
              <w:r>
                <w:rPr>
                  <w:rFonts w:ascii="Times New Roman" w:cs="Times New Roman" w:eastAsia="Times New Roman" w:hAnsi="Times New Roman"/>
                  <w:sz w:val="17"/>
                  <w:szCs w:val="17"/>
                  <w:color w:val="0000EE"/>
                  <w:w w:val="98"/>
                </w:rPr>
                <w:t>February 1, 2021)</w:t>
              </w:r>
            </w:hyperlink>
          </w:p>
        </w:tc>
        <w:tc>
          <w:tcPr>
            <w:tcW w:w="6440" w:type="dxa"/>
            <w:vAlign w:val="bottom"/>
            <w:tcBorders>
              <w:top w:val="single" w:sz="8" w:color="0000EE"/>
            </w:tcBorders>
            <w:gridSpan w:val="16"/>
          </w:tcPr>
          <w:p>
            <w:pPr>
              <w:spacing w:after="0"/>
              <w:rPr>
                <w:sz w:val="15"/>
                <w:szCs w:val="15"/>
                <w:color w:val="auto"/>
              </w:rPr>
            </w:pPr>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4.5</w:t>
            </w:r>
          </w:p>
        </w:tc>
        <w:tc>
          <w:tcPr>
            <w:tcW w:w="220" w:type="dxa"/>
            <w:vAlign w:val="bottom"/>
          </w:tcPr>
          <w:p>
            <w:pPr>
              <w:spacing w:after="0"/>
              <w:rPr>
                <w:sz w:val="15"/>
                <w:szCs w:val="15"/>
                <w:color w:val="auto"/>
              </w:rPr>
            </w:pPr>
          </w:p>
        </w:tc>
        <w:tc>
          <w:tcPr>
            <w:tcW w:w="7600" w:type="dxa"/>
            <w:vAlign w:val="bottom"/>
            <w:tcBorders>
              <w:bottom w:val="single" w:sz="8" w:color="0000EE"/>
            </w:tcBorders>
            <w:gridSpan w:val="19"/>
          </w:tcPr>
          <w:p>
            <w:pPr>
              <w:spacing w:after="0" w:line="184" w:lineRule="exact"/>
              <w:rPr>
                <w:rFonts w:ascii="Times New Roman" w:cs="Times New Roman" w:eastAsia="Times New Roman" w:hAnsi="Times New Roman"/>
                <w:sz w:val="17"/>
                <w:szCs w:val="17"/>
                <w:color w:val="0000EE"/>
                <w:w w:val="99"/>
              </w:rPr>
            </w:pPr>
            <w:hyperlink r:id="rId96">
              <w:r>
                <w:rPr>
                  <w:rFonts w:ascii="Times New Roman" w:cs="Times New Roman" w:eastAsia="Times New Roman" w:hAnsi="Times New Roman"/>
                  <w:sz w:val="17"/>
                  <w:szCs w:val="17"/>
                  <w:color w:val="0000EE"/>
                  <w:w w:val="99"/>
                </w:rPr>
                <w:t>Form of Warrant to purchase shares of common stock (incorporated by reference to Exhibit 4.1 to the Form 8-K</w:t>
              </w:r>
            </w:hyperlink>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filed August 9, 2022)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4.6</w:t>
            </w:r>
          </w:p>
        </w:tc>
        <w:tc>
          <w:tcPr>
            <w:tcW w:w="220" w:type="dxa"/>
            <w:vAlign w:val="bottom"/>
          </w:tcPr>
          <w:p>
            <w:pPr>
              <w:spacing w:after="0"/>
              <w:rPr>
                <w:sz w:val="15"/>
                <w:szCs w:val="15"/>
                <w:color w:val="auto"/>
              </w:rPr>
            </w:pPr>
          </w:p>
        </w:tc>
        <w:tc>
          <w:tcPr>
            <w:tcW w:w="7520" w:type="dxa"/>
            <w:vAlign w:val="bottom"/>
            <w:tcBorders>
              <w:bottom w:val="single" w:sz="8" w:color="0000EE"/>
            </w:tcBorders>
            <w:gridSpan w:val="16"/>
          </w:tcPr>
          <w:p>
            <w:pPr>
              <w:spacing w:after="0" w:line="184" w:lineRule="exact"/>
              <w:rPr>
                <w:rFonts w:ascii="Times New Roman" w:cs="Times New Roman" w:eastAsia="Times New Roman" w:hAnsi="Times New Roman"/>
                <w:sz w:val="17"/>
                <w:szCs w:val="17"/>
                <w:color w:val="0000EE"/>
                <w:w w:val="98"/>
              </w:rPr>
            </w:pPr>
            <w:hyperlink r:id="rId97">
              <w:r>
                <w:rPr>
                  <w:rFonts w:ascii="Times New Roman" w:cs="Times New Roman" w:eastAsia="Times New Roman" w:hAnsi="Times New Roman"/>
                  <w:sz w:val="17"/>
                  <w:szCs w:val="17"/>
                  <w:color w:val="0000EE"/>
                  <w:w w:val="98"/>
                </w:rPr>
                <w:t>Warrant Agency Agreement dated as of August 9, 2022 by and between Helius Medical Technologies, Inc. and</w:t>
              </w:r>
            </w:hyperlink>
          </w:p>
        </w:tc>
        <w:tc>
          <w:tcPr>
            <w:tcW w:w="4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American Stock Transfer &amp; Trust Company, LLC (incorporated by reference to Exhibit 4.2 to the Form 8-K filed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4" w:lineRule="exact"/>
              <w:rPr>
                <w:rFonts w:ascii="Times New Roman" w:cs="Times New Roman" w:eastAsia="Times New Roman" w:hAnsi="Times New Roman"/>
                <w:sz w:val="17"/>
                <w:szCs w:val="17"/>
                <w:color w:val="0000EE"/>
                <w:w w:val="98"/>
              </w:rPr>
            </w:pPr>
            <w:hyperlink r:id="rId97">
              <w:r>
                <w:rPr>
                  <w:rFonts w:ascii="Times New Roman" w:cs="Times New Roman" w:eastAsia="Times New Roman" w:hAnsi="Times New Roman"/>
                  <w:sz w:val="17"/>
                  <w:szCs w:val="17"/>
                  <w:color w:val="0000EE"/>
                  <w:w w:val="98"/>
                </w:rPr>
                <w:t>August 9, 2022)</w:t>
              </w:r>
            </w:hyperlink>
          </w:p>
        </w:tc>
        <w:tc>
          <w:tcPr>
            <w:tcW w:w="6560" w:type="dxa"/>
            <w:vAlign w:val="bottom"/>
            <w:tcBorders>
              <w:top w:val="single" w:sz="8" w:color="0000EE"/>
            </w:tcBorders>
            <w:gridSpan w:val="17"/>
          </w:tcPr>
          <w:p>
            <w:pPr>
              <w:spacing w:after="0"/>
              <w:rPr>
                <w:sz w:val="15"/>
                <w:szCs w:val="15"/>
                <w:color w:val="auto"/>
              </w:rPr>
            </w:pPr>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4.7</w:t>
            </w:r>
          </w:p>
        </w:tc>
        <w:tc>
          <w:tcPr>
            <w:tcW w:w="220" w:type="dxa"/>
            <w:vAlign w:val="bottom"/>
          </w:tcPr>
          <w:p>
            <w:pPr>
              <w:spacing w:after="0"/>
              <w:rPr>
                <w:sz w:val="15"/>
                <w:szCs w:val="15"/>
                <w:color w:val="auto"/>
              </w:rPr>
            </w:pPr>
          </w:p>
        </w:tc>
        <w:tc>
          <w:tcPr>
            <w:tcW w:w="7560" w:type="dxa"/>
            <w:vAlign w:val="bottom"/>
            <w:tcBorders>
              <w:bottom w:val="single" w:sz="8" w:color="0000EE"/>
            </w:tcBorders>
            <w:gridSpan w:val="18"/>
          </w:tcPr>
          <w:p>
            <w:pPr>
              <w:spacing w:after="0" w:line="184" w:lineRule="exact"/>
              <w:rPr>
                <w:rFonts w:ascii="Times New Roman" w:cs="Times New Roman" w:eastAsia="Times New Roman" w:hAnsi="Times New Roman"/>
                <w:sz w:val="17"/>
                <w:szCs w:val="17"/>
                <w:color w:val="0000EE"/>
                <w:w w:val="99"/>
              </w:rPr>
            </w:pPr>
            <w:hyperlink r:id="rId98">
              <w:r>
                <w:rPr>
                  <w:rFonts w:ascii="Times New Roman" w:cs="Times New Roman" w:eastAsia="Times New Roman" w:hAnsi="Times New Roman"/>
                  <w:sz w:val="17"/>
                  <w:szCs w:val="17"/>
                  <w:color w:val="0000EE"/>
                  <w:w w:val="99"/>
                </w:rPr>
                <w:t>Form of Series A Warrant to purchase shares of Common Stock (incorporated by reference to Exhibit 4.1 to the</w:t>
              </w:r>
            </w:hyperlink>
          </w:p>
        </w:tc>
        <w:tc>
          <w:tcPr>
            <w:tcW w:w="3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Borders>
              <w:bottom w:val="single" w:sz="8" w:color="0000EE"/>
            </w:tcBorders>
            <w:gridSpan w:val="8"/>
          </w:tcPr>
          <w:p>
            <w:pPr>
              <w:spacing w:after="0" w:line="184" w:lineRule="exact"/>
              <w:rPr>
                <w:rFonts w:ascii="Times New Roman" w:cs="Times New Roman" w:eastAsia="Times New Roman" w:hAnsi="Times New Roman"/>
                <w:sz w:val="17"/>
                <w:szCs w:val="17"/>
                <w:color w:val="0000EE"/>
                <w:w w:val="99"/>
              </w:rPr>
            </w:pPr>
            <w:hyperlink r:id="rId98">
              <w:r>
                <w:rPr>
                  <w:rFonts w:ascii="Times New Roman" w:cs="Times New Roman" w:eastAsia="Times New Roman" w:hAnsi="Times New Roman"/>
                  <w:sz w:val="17"/>
                  <w:szCs w:val="17"/>
                  <w:color w:val="0000EE"/>
                  <w:w w:val="99"/>
                </w:rPr>
                <w:t>Form 8-K filed May 9, 2024)</w:t>
              </w:r>
            </w:hyperlink>
          </w:p>
        </w:tc>
        <w:tc>
          <w:tcPr>
            <w:tcW w:w="592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Form of Series B Warrant to purchase shares of Common Stock (incorporated by reference to Exhibit 4.2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8"/>
          </w:tcPr>
          <w:p>
            <w:pPr>
              <w:spacing w:after="0" w:line="184" w:lineRule="exact"/>
              <w:rPr>
                <w:rFonts w:ascii="Times New Roman" w:cs="Times New Roman" w:eastAsia="Times New Roman" w:hAnsi="Times New Roman"/>
                <w:sz w:val="17"/>
                <w:szCs w:val="17"/>
                <w:color w:val="0000EE"/>
                <w:w w:val="99"/>
              </w:rPr>
            </w:pPr>
            <w:hyperlink r:id="rId99">
              <w:r>
                <w:rPr>
                  <w:rFonts w:ascii="Times New Roman" w:cs="Times New Roman" w:eastAsia="Times New Roman" w:hAnsi="Times New Roman"/>
                  <w:sz w:val="17"/>
                  <w:szCs w:val="17"/>
                  <w:color w:val="0000EE"/>
                  <w:w w:val="99"/>
                </w:rPr>
                <w:t>Form 8-K filed May 9, 2024)</w:t>
              </w:r>
            </w:hyperlink>
          </w:p>
        </w:tc>
        <w:tc>
          <w:tcPr>
            <w:tcW w:w="5540" w:type="dxa"/>
            <w:vAlign w:val="bottom"/>
            <w:tcBorders>
              <w:top w:val="single" w:sz="8" w:color="0000EE"/>
            </w:tcBorders>
            <w:gridSpan w:val="9"/>
          </w:tcPr>
          <w:p>
            <w:pPr>
              <w:spacing w:after="0"/>
              <w:rPr>
                <w:sz w:val="15"/>
                <w:szCs w:val="15"/>
                <w:color w:val="auto"/>
              </w:rPr>
            </w:pPr>
          </w:p>
        </w:tc>
        <w:tc>
          <w:tcPr>
            <w:tcW w:w="3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4.9</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w w:val="99"/>
              </w:rPr>
            </w:pPr>
            <w:hyperlink r:id="rId100">
              <w:r>
                <w:rPr>
                  <w:rFonts w:ascii="Times New Roman" w:cs="Times New Roman" w:eastAsia="Times New Roman" w:hAnsi="Times New Roman"/>
                  <w:sz w:val="17"/>
                  <w:szCs w:val="17"/>
                  <w:color w:val="0000EE"/>
                  <w:w w:val="99"/>
                </w:rPr>
                <w:t>Form of Placement Agent Warrant to purchase shares of Common Stock (incorporated by reference to Exhibit 4.3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top w:val="single" w:sz="8" w:color="0000EE"/>
              <w:bottom w:val="single" w:sz="8" w:color="0000EE"/>
            </w:tcBorders>
            <w:gridSpan w:val="9"/>
          </w:tcPr>
          <w:p>
            <w:pPr>
              <w:spacing w:after="0" w:line="184" w:lineRule="exact"/>
              <w:rPr>
                <w:rFonts w:ascii="Times New Roman" w:cs="Times New Roman" w:eastAsia="Times New Roman" w:hAnsi="Times New Roman"/>
                <w:sz w:val="17"/>
                <w:szCs w:val="17"/>
                <w:color w:val="0000EE"/>
                <w:w w:val="98"/>
              </w:rPr>
            </w:pPr>
            <w:hyperlink r:id="rId100">
              <w:r>
                <w:rPr>
                  <w:rFonts w:ascii="Times New Roman" w:cs="Times New Roman" w:eastAsia="Times New Roman" w:hAnsi="Times New Roman"/>
                  <w:sz w:val="17"/>
                  <w:szCs w:val="17"/>
                  <w:color w:val="0000EE"/>
                  <w:w w:val="98"/>
                </w:rPr>
                <w:t>the Form 8-K filed May 9, 2024)</w:t>
              </w:r>
            </w:hyperlink>
          </w:p>
        </w:tc>
        <w:tc>
          <w:tcPr>
            <w:tcW w:w="5640" w:type="dxa"/>
            <w:vAlign w:val="bottom"/>
            <w:tcBorders>
              <w:top w:val="single" w:sz="8" w:color="0000EE"/>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4.10</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Form of Pre-Funded Warrant to purchase shares of Common Stock (incorporated by reference to Exhibit 4.4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60" w:type="dxa"/>
            <w:vAlign w:val="bottom"/>
            <w:tcBorders>
              <w:top w:val="single" w:sz="8" w:color="0000EE"/>
            </w:tcBorders>
            <w:gridSpan w:val="23"/>
          </w:tcPr>
          <w:p>
            <w:pPr>
              <w:spacing w:after="0" w:line="184"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Form 8-K filed May 9, 2024)</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4.11</w:t>
            </w:r>
          </w:p>
        </w:tc>
        <w:tc>
          <w:tcPr>
            <w:tcW w:w="220" w:type="dxa"/>
            <w:vAlign w:val="bottom"/>
          </w:tcPr>
          <w:p>
            <w:pPr>
              <w:spacing w:after="0"/>
              <w:rPr>
                <w:sz w:val="15"/>
                <w:szCs w:val="15"/>
                <w:color w:val="auto"/>
              </w:rPr>
            </w:pPr>
          </w:p>
        </w:tc>
        <w:tc>
          <w:tcPr>
            <w:tcW w:w="7780" w:type="dxa"/>
            <w:vAlign w:val="bottom"/>
            <w:tcBorders>
              <w:bottom w:val="single" w:sz="8" w:color="0000EE"/>
            </w:tcBorders>
            <w:gridSpan w:val="24"/>
          </w:tcPr>
          <w:p>
            <w:pPr>
              <w:spacing w:after="0" w:line="184" w:lineRule="exact"/>
              <w:rPr>
                <w:rFonts w:ascii="Times New Roman" w:cs="Times New Roman" w:eastAsia="Times New Roman" w:hAnsi="Times New Roman"/>
                <w:sz w:val="17"/>
                <w:szCs w:val="17"/>
                <w:color w:val="0000EE"/>
                <w:w w:val="99"/>
              </w:rPr>
            </w:pPr>
            <w:hyperlink r:id="rId102">
              <w:r>
                <w:rPr>
                  <w:rFonts w:ascii="Times New Roman" w:cs="Times New Roman" w:eastAsia="Times New Roman" w:hAnsi="Times New Roman"/>
                  <w:sz w:val="17"/>
                  <w:szCs w:val="17"/>
                  <w:color w:val="0000EE"/>
                  <w:w w:val="99"/>
                </w:rPr>
                <w:t>Form of Inducement Warrant to purchase shares of Common Stock (incorporated by reference to Exhibit 4.1 to the</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Form 8-K filed January 24, 2025)</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License Agreement between Advanced NeuroRehabilitation, LLC and Yuri Danilov, Mitchell Tyler, Kurt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gridSpan w:val="13"/>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28"/>
          </w:tcPr>
          <w:p>
            <w:pPr>
              <w:spacing w:after="0" w:line="184"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Kaczmarek and John Klus, dated June 29, 2011 (incorporated by reference to Exhibit 10.8 to the Amendment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0" w:type="dxa"/>
            <w:vAlign w:val="bottom"/>
            <w:tcBorders>
              <w:top w:val="single" w:sz="8" w:color="0000EE"/>
            </w:tcBorders>
            <w:gridSpan w:val="19"/>
          </w:tcPr>
          <w:p>
            <w:pPr>
              <w:spacing w:after="0" w:line="184"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Form S-1 filed with the SEC on September 23, 2014)</w:t>
              </w:r>
            </w:hyperlink>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Borders>
              <w:top w:val="single" w:sz="8" w:color="0000EE"/>
            </w:tcBorders>
            <w:gridSpan w:val="13"/>
          </w:tcPr>
          <w:p>
            <w:pPr>
              <w:ind w:left="3380"/>
              <w:spacing w:after="0"/>
              <w:rPr>
                <w:sz w:val="20"/>
                <w:szCs w:val="20"/>
                <w:color w:val="auto"/>
              </w:rPr>
            </w:pPr>
            <w:r>
              <w:rPr>
                <w:rFonts w:ascii="Times New Roman" w:cs="Times New Roman" w:eastAsia="Times New Roman" w:hAnsi="Times New Roman"/>
                <w:sz w:val="17"/>
                <w:szCs w:val="17"/>
                <w:color w:val="auto"/>
              </w:rPr>
              <w:t>73</w:t>
            </w: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2"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20" w:type="dxa"/>
            <w:vAlign w:val="bottom"/>
            <w:gridSpan w:val="3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4"/>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20" w:type="dxa"/>
            <w:vAlign w:val="bottom"/>
            <w:gridSpan w:val="3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7"/>
                <w:szCs w:val="17"/>
                <w:color w:val="auto"/>
              </w:rPr>
              <w:t>10.2</w:t>
            </w:r>
          </w:p>
        </w:tc>
        <w:tc>
          <w:tcPr>
            <w:tcW w:w="220" w:type="dxa"/>
            <w:vAlign w:val="bottom"/>
          </w:tcPr>
          <w:p>
            <w:pPr>
              <w:spacing w:after="0"/>
              <w:rPr>
                <w:sz w:val="14"/>
                <w:szCs w:val="14"/>
                <w:color w:val="auto"/>
              </w:rPr>
            </w:pPr>
          </w:p>
        </w:tc>
        <w:tc>
          <w:tcPr>
            <w:tcW w:w="7660" w:type="dxa"/>
            <w:vAlign w:val="bottom"/>
            <w:tcBorders>
              <w:top w:val="single" w:sz="8" w:color="auto"/>
              <w:bottom w:val="single" w:sz="8" w:color="0000EE"/>
            </w:tcBorders>
            <w:gridSpan w:val="27"/>
          </w:tcPr>
          <w:p>
            <w:pPr>
              <w:spacing w:after="0" w:line="171" w:lineRule="exact"/>
              <w:rPr>
                <w:rFonts w:ascii="Times New Roman" w:cs="Times New Roman" w:eastAsia="Times New Roman" w:hAnsi="Times New Roman"/>
                <w:sz w:val="17"/>
                <w:szCs w:val="17"/>
                <w:color w:val="0000EE"/>
                <w:w w:val="99"/>
              </w:rPr>
            </w:pPr>
            <w:hyperlink r:id="rId104">
              <w:r>
                <w:rPr>
                  <w:rFonts w:ascii="Times New Roman" w:cs="Times New Roman" w:eastAsia="Times New Roman" w:hAnsi="Times New Roman"/>
                  <w:sz w:val="17"/>
                  <w:szCs w:val="17"/>
                  <w:color w:val="0000EE"/>
                  <w:w w:val="99"/>
                </w:rPr>
                <w:t>Amended and Restated Patent Sub-License Agreement between Advanced NeuroRehabilitation, LLC and Helius</w:t>
              </w:r>
            </w:hyperlink>
          </w:p>
        </w:tc>
        <w:tc>
          <w:tcPr>
            <w:tcW w:w="260" w:type="dxa"/>
            <w:vAlign w:val="bottom"/>
            <w:tcBorders>
              <w:top w:val="single" w:sz="8" w:color="auto"/>
            </w:tcBorders>
            <w:gridSpan w:val="1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Medical, Inc, having an effective date of January 22, 2013 (incorporated by reference to Exhibit 10.1 to the Form 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60" w:type="dxa"/>
            <w:vAlign w:val="bottom"/>
            <w:tcBorders>
              <w:top w:val="single" w:sz="8" w:color="0000EE"/>
            </w:tcBorders>
            <w:gridSpan w:val="35"/>
          </w:tcPr>
          <w:p>
            <w:pPr>
              <w:spacing w:after="0" w:line="184" w:lineRule="exact"/>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1 filed with the SEC on July 14, 2014)</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10.3</w:t>
            </w:r>
          </w:p>
        </w:tc>
        <w:tc>
          <w:tcPr>
            <w:tcW w:w="220" w:type="dxa"/>
            <w:vAlign w:val="bottom"/>
          </w:tcPr>
          <w:p>
            <w:pPr>
              <w:spacing w:after="0"/>
              <w:rPr>
                <w:sz w:val="15"/>
                <w:szCs w:val="15"/>
                <w:color w:val="auto"/>
              </w:rPr>
            </w:pPr>
          </w:p>
        </w:tc>
        <w:tc>
          <w:tcPr>
            <w:tcW w:w="7720" w:type="dxa"/>
            <w:vAlign w:val="bottom"/>
            <w:tcBorders>
              <w:bottom w:val="single" w:sz="8" w:color="0000EE"/>
            </w:tcBorders>
            <w:gridSpan w:val="30"/>
          </w:tcPr>
          <w:p>
            <w:pPr>
              <w:spacing w:after="0" w:line="184" w:lineRule="exact"/>
              <w:rPr>
                <w:rFonts w:ascii="Times New Roman" w:cs="Times New Roman" w:eastAsia="Times New Roman" w:hAnsi="Times New Roman"/>
                <w:sz w:val="17"/>
                <w:szCs w:val="17"/>
                <w:color w:val="0000EE"/>
                <w:w w:val="99"/>
              </w:rPr>
            </w:pPr>
            <w:hyperlink r:id="rId105">
              <w:r>
                <w:rPr>
                  <w:rFonts w:ascii="Times New Roman" w:cs="Times New Roman" w:eastAsia="Times New Roman" w:hAnsi="Times New Roman"/>
                  <w:sz w:val="17"/>
                  <w:szCs w:val="17"/>
                  <w:color w:val="0000EE"/>
                  <w:w w:val="99"/>
                </w:rPr>
                <w:t>Second Amended and Restated Patent Sub-License Agreement between Advanced NeuroRehabilitation, LLC and</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80" w:type="dxa"/>
            <w:vAlign w:val="bottom"/>
            <w:tcBorders>
              <w:bottom w:val="single" w:sz="8" w:color="0000EE"/>
            </w:tcBorders>
            <w:gridSpan w:val="36"/>
          </w:tcPr>
          <w:p>
            <w:pPr>
              <w:spacing w:after="0" w:line="184" w:lineRule="exact"/>
              <w:rPr>
                <w:rFonts w:ascii="Times New Roman" w:cs="Times New Roman" w:eastAsia="Times New Roman" w:hAnsi="Times New Roman"/>
                <w:sz w:val="17"/>
                <w:szCs w:val="17"/>
                <w:color w:val="0000EE"/>
                <w:w w:val="99"/>
              </w:rPr>
            </w:pPr>
            <w:hyperlink r:id="rId105">
              <w:r>
                <w:rPr>
                  <w:rFonts w:ascii="Times New Roman" w:cs="Times New Roman" w:eastAsia="Times New Roman" w:hAnsi="Times New Roman"/>
                  <w:sz w:val="17"/>
                  <w:szCs w:val="17"/>
                  <w:color w:val="0000EE"/>
                  <w:w w:val="99"/>
                </w:rPr>
                <w:t>Helius Medical, Inc, dated June 6, 2014, but having an effective date of January 22, 2013 (incorporated by reference</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05">
              <w:r>
                <w:rPr>
                  <w:rFonts w:ascii="Times New Roman" w:cs="Times New Roman" w:eastAsia="Times New Roman" w:hAnsi="Times New Roman"/>
                  <w:sz w:val="17"/>
                  <w:szCs w:val="17"/>
                  <w:color w:val="0000EE"/>
                </w:rPr>
                <w:t>to Exhibit 10.7 to the Form S-1 filed with the SEC on July 14, 2014)</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220" w:type="dxa"/>
            <w:vAlign w:val="bottom"/>
          </w:tcPr>
          <w:p>
            <w:pPr>
              <w:spacing w:after="0"/>
              <w:rPr>
                <w:sz w:val="15"/>
                <w:szCs w:val="15"/>
                <w:color w:val="auto"/>
              </w:rPr>
            </w:pPr>
          </w:p>
        </w:tc>
        <w:tc>
          <w:tcPr>
            <w:tcW w:w="7680" w:type="dxa"/>
            <w:vAlign w:val="bottom"/>
            <w:tcBorders>
              <w:bottom w:val="single" w:sz="8" w:color="0000EE"/>
            </w:tcBorders>
            <w:gridSpan w:val="28"/>
          </w:tcPr>
          <w:p>
            <w:pPr>
              <w:spacing w:after="0" w:line="184" w:lineRule="exact"/>
              <w:rPr>
                <w:rFonts w:ascii="Times New Roman" w:cs="Times New Roman" w:eastAsia="Times New Roman" w:hAnsi="Times New Roman"/>
                <w:sz w:val="17"/>
                <w:szCs w:val="17"/>
                <w:color w:val="0000EE"/>
                <w:w w:val="99"/>
              </w:rPr>
            </w:pPr>
            <w:hyperlink r:id="rId106">
              <w:r>
                <w:rPr>
                  <w:rFonts w:ascii="Times New Roman" w:cs="Times New Roman" w:eastAsia="Times New Roman" w:hAnsi="Times New Roman"/>
                  <w:sz w:val="17"/>
                  <w:szCs w:val="17"/>
                  <w:color w:val="0000EE"/>
                  <w:w w:val="99"/>
                </w:rPr>
                <w:t>Design and Manufacturing Consultant Agreement between Helius Medical, Inc and Clinvue, LLC, dated January</w:t>
              </w:r>
            </w:hyperlink>
          </w:p>
        </w:tc>
        <w:tc>
          <w:tcPr>
            <w:tcW w:w="2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20" w:type="dxa"/>
            <w:vAlign w:val="bottom"/>
            <w:tcBorders>
              <w:bottom w:val="single" w:sz="8" w:color="0000EE"/>
            </w:tcBorders>
            <w:gridSpan w:val="20"/>
          </w:tcPr>
          <w:p>
            <w:pPr>
              <w:spacing w:after="0" w:line="184" w:lineRule="exact"/>
              <w:rPr>
                <w:rFonts w:ascii="Times New Roman" w:cs="Times New Roman" w:eastAsia="Times New Roman" w:hAnsi="Times New Roman"/>
                <w:sz w:val="17"/>
                <w:szCs w:val="17"/>
                <w:color w:val="0000EE"/>
                <w:w w:val="99"/>
              </w:rPr>
            </w:pPr>
            <w:hyperlink r:id="rId106">
              <w:r>
                <w:rPr>
                  <w:rFonts w:ascii="Times New Roman" w:cs="Times New Roman" w:eastAsia="Times New Roman" w:hAnsi="Times New Roman"/>
                  <w:sz w:val="17"/>
                  <w:szCs w:val="17"/>
                  <w:color w:val="0000EE"/>
                  <w:w w:val="99"/>
                </w:rPr>
                <w:t>30, 2013 (incorporated by reference to Exhibit 10.3 to the Form S-1 filed with the SEC on July 14, 2014)</w:t>
              </w:r>
            </w:hyperlink>
          </w:p>
        </w:tc>
        <w:tc>
          <w:tcPr>
            <w:tcW w:w="8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10.6‡</w:t>
            </w:r>
          </w:p>
        </w:tc>
        <w:tc>
          <w:tcPr>
            <w:tcW w:w="7720" w:type="dxa"/>
            <w:vAlign w:val="bottom"/>
            <w:tcBorders>
              <w:bottom w:val="single" w:sz="8" w:color="0000EE"/>
            </w:tcBorders>
            <w:gridSpan w:val="30"/>
          </w:tcPr>
          <w:p>
            <w:pPr>
              <w:spacing w:after="0" w:line="184" w:lineRule="exact"/>
              <w:rPr>
                <w:rFonts w:ascii="Times New Roman" w:cs="Times New Roman" w:eastAsia="Times New Roman" w:hAnsi="Times New Roman"/>
                <w:sz w:val="17"/>
                <w:szCs w:val="17"/>
                <w:color w:val="0000EE"/>
                <w:w w:val="99"/>
              </w:rPr>
            </w:pPr>
            <w:hyperlink r:id="rId107">
              <w:r>
                <w:rPr>
                  <w:rFonts w:ascii="Times New Roman" w:cs="Times New Roman" w:eastAsia="Times New Roman" w:hAnsi="Times New Roman"/>
                  <w:sz w:val="17"/>
                  <w:szCs w:val="17"/>
                  <w:color w:val="0000EE"/>
                  <w:w w:val="99"/>
                </w:rPr>
                <w:t>Asset Purchase Agreement between the Company and A&amp;B (HK) Company Limited, dated as of October 9, 2015</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07">
              <w:r>
                <w:rPr>
                  <w:rFonts w:ascii="Times New Roman" w:cs="Times New Roman" w:eastAsia="Times New Roman" w:hAnsi="Times New Roman"/>
                  <w:sz w:val="17"/>
                  <w:szCs w:val="17"/>
                  <w:color w:val="0000EE"/>
                </w:rPr>
                <w:t>(incorporated by reference to Exhibit 2.1 to the Form 8-K filed with the SEC on October 16, 2015)</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10.6.1</w:t>
            </w:r>
          </w:p>
        </w:tc>
        <w:tc>
          <w:tcPr>
            <w:tcW w:w="220" w:type="dxa"/>
            <w:vAlign w:val="bottom"/>
          </w:tcPr>
          <w:p>
            <w:pPr>
              <w:spacing w:after="0"/>
              <w:rPr>
                <w:sz w:val="15"/>
                <w:szCs w:val="15"/>
                <w:color w:val="auto"/>
              </w:rPr>
            </w:pPr>
          </w:p>
        </w:tc>
        <w:tc>
          <w:tcPr>
            <w:tcW w:w="7640" w:type="dxa"/>
            <w:vAlign w:val="bottom"/>
            <w:tcBorders>
              <w:bottom w:val="single" w:sz="8" w:color="0000EE"/>
            </w:tcBorders>
            <w:gridSpan w:val="26"/>
          </w:tcPr>
          <w:p>
            <w:pPr>
              <w:spacing w:after="0" w:line="184" w:lineRule="exact"/>
              <w:rPr>
                <w:rFonts w:ascii="Times New Roman" w:cs="Times New Roman" w:eastAsia="Times New Roman" w:hAnsi="Times New Roman"/>
                <w:sz w:val="17"/>
                <w:szCs w:val="17"/>
                <w:color w:val="0000EE"/>
                <w:w w:val="99"/>
              </w:rPr>
            </w:pPr>
            <w:hyperlink r:id="rId108">
              <w:r>
                <w:rPr>
                  <w:rFonts w:ascii="Times New Roman" w:cs="Times New Roman" w:eastAsia="Times New Roman" w:hAnsi="Times New Roman"/>
                  <w:sz w:val="17"/>
                  <w:szCs w:val="17"/>
                  <w:color w:val="0000EE"/>
                  <w:w w:val="99"/>
                </w:rPr>
                <w:t>Amendment to Asset Purchase Agreement between the Company and A&amp;B (HK) Company Limited, dated as of</w:t>
              </w:r>
            </w:hyperlink>
          </w:p>
        </w:tc>
        <w:tc>
          <w:tcPr>
            <w:tcW w:w="2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08">
              <w:r>
                <w:rPr>
                  <w:rFonts w:ascii="Times New Roman" w:cs="Times New Roman" w:eastAsia="Times New Roman" w:hAnsi="Times New Roman"/>
                  <w:sz w:val="17"/>
                  <w:szCs w:val="17"/>
                  <w:color w:val="0000EE"/>
                </w:rPr>
                <w:t>October 30, 2017 (incorporated by reference to Exhibit 10.1 to the Form 8-K filed with the SEC on November 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0000EE"/>
              <w:bottom w:val="single" w:sz="8" w:color="0000EE"/>
            </w:tcBorders>
            <w:gridSpan w:val="3"/>
          </w:tcPr>
          <w:p>
            <w:pPr>
              <w:spacing w:after="0" w:line="184" w:lineRule="exact"/>
              <w:rPr>
                <w:rFonts w:ascii="Times New Roman" w:cs="Times New Roman" w:eastAsia="Times New Roman" w:hAnsi="Times New Roman"/>
                <w:sz w:val="17"/>
                <w:szCs w:val="17"/>
                <w:color w:val="0000EE"/>
              </w:rPr>
            </w:pPr>
            <w:hyperlink r:id="rId108">
              <w:r>
                <w:rPr>
                  <w:rFonts w:ascii="Times New Roman" w:cs="Times New Roman" w:eastAsia="Times New Roman" w:hAnsi="Times New Roman"/>
                  <w:sz w:val="17"/>
                  <w:szCs w:val="17"/>
                  <w:color w:val="0000EE"/>
                </w:rPr>
                <w:t>2017)</w:t>
              </w:r>
            </w:hyperlink>
          </w:p>
        </w:tc>
        <w:tc>
          <w:tcPr>
            <w:tcW w:w="9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10.6.2</w:t>
            </w:r>
          </w:p>
        </w:tc>
        <w:tc>
          <w:tcPr>
            <w:tcW w:w="220" w:type="dxa"/>
            <w:vAlign w:val="bottom"/>
          </w:tcPr>
          <w:p>
            <w:pPr>
              <w:spacing w:after="0"/>
              <w:rPr>
                <w:sz w:val="15"/>
                <w:szCs w:val="15"/>
                <w:color w:val="auto"/>
              </w:rPr>
            </w:pPr>
          </w:p>
        </w:tc>
        <w:tc>
          <w:tcPr>
            <w:tcW w:w="7700" w:type="dxa"/>
            <w:vAlign w:val="bottom"/>
            <w:tcBorders>
              <w:bottom w:val="single" w:sz="8" w:color="0000EE"/>
            </w:tcBorders>
            <w:gridSpan w:val="29"/>
          </w:tcPr>
          <w:p>
            <w:pPr>
              <w:spacing w:after="0" w:line="184" w:lineRule="exact"/>
              <w:rPr>
                <w:rFonts w:ascii="Times New Roman" w:cs="Times New Roman" w:eastAsia="Times New Roman" w:hAnsi="Times New Roman"/>
                <w:sz w:val="17"/>
                <w:szCs w:val="17"/>
                <w:color w:val="0000EE"/>
                <w:w w:val="99"/>
              </w:rPr>
            </w:pPr>
            <w:hyperlink r:id="rId109">
              <w:r>
                <w:rPr>
                  <w:rFonts w:ascii="Times New Roman" w:cs="Times New Roman" w:eastAsia="Times New Roman" w:hAnsi="Times New Roman"/>
                  <w:sz w:val="17"/>
                  <w:szCs w:val="17"/>
                  <w:color w:val="0000EE"/>
                  <w:w w:val="99"/>
                </w:rPr>
                <w:t>Supplemental Agreement to Asset Purchase Agreement dated October 9, 2015, between Helius Medical, Inc. and</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tcBorders>
              <w:bottom w:val="single" w:sz="8" w:color="0000EE"/>
            </w:tcBorders>
            <w:gridSpan w:val="34"/>
          </w:tcPr>
          <w:p>
            <w:pPr>
              <w:spacing w:after="0" w:line="184" w:lineRule="exact"/>
              <w:rPr>
                <w:rFonts w:ascii="Times New Roman" w:cs="Times New Roman" w:eastAsia="Times New Roman" w:hAnsi="Times New Roman"/>
                <w:sz w:val="17"/>
                <w:szCs w:val="17"/>
                <w:color w:val="0000EE"/>
                <w:w w:val="99"/>
              </w:rPr>
            </w:pPr>
            <w:hyperlink r:id="rId109">
              <w:r>
                <w:rPr>
                  <w:rFonts w:ascii="Times New Roman" w:cs="Times New Roman" w:eastAsia="Times New Roman" w:hAnsi="Times New Roman"/>
                  <w:sz w:val="17"/>
                  <w:szCs w:val="17"/>
                  <w:color w:val="0000EE"/>
                  <w:w w:val="99"/>
                </w:rPr>
                <w:t>A&amp;B (HK) Company Limited, dated as of August 15, 2018 (incorporated by reference to Exhibit 10.27 to the Form</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bottom w:val="single" w:sz="8" w:color="0000EE"/>
            </w:tcBorders>
            <w:gridSpan w:val="5"/>
          </w:tcPr>
          <w:p>
            <w:pPr>
              <w:spacing w:after="0" w:line="184" w:lineRule="exact"/>
              <w:rPr>
                <w:rFonts w:ascii="Times New Roman" w:cs="Times New Roman" w:eastAsia="Times New Roman" w:hAnsi="Times New Roman"/>
                <w:sz w:val="17"/>
                <w:szCs w:val="17"/>
                <w:color w:val="0000EE"/>
                <w:w w:val="98"/>
              </w:rPr>
            </w:pPr>
            <w:hyperlink r:id="rId109">
              <w:r>
                <w:rPr>
                  <w:rFonts w:ascii="Times New Roman" w:cs="Times New Roman" w:eastAsia="Times New Roman" w:hAnsi="Times New Roman"/>
                  <w:sz w:val="17"/>
                  <w:szCs w:val="17"/>
                  <w:color w:val="0000EE"/>
                  <w:w w:val="98"/>
                </w:rPr>
                <w:t>10-K filed March 14, 2019)</w:t>
              </w:r>
            </w:hyperlink>
          </w:p>
        </w:tc>
        <w:tc>
          <w:tcPr>
            <w:tcW w:w="604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10.7†</w:t>
            </w: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10">
              <w:r>
                <w:rPr>
                  <w:rFonts w:ascii="Times New Roman" w:cs="Times New Roman" w:eastAsia="Times New Roman" w:hAnsi="Times New Roman"/>
                  <w:sz w:val="17"/>
                  <w:szCs w:val="17"/>
                  <w:color w:val="0000EE"/>
                </w:rPr>
                <w:t>Amended and Restated June 2014 Equity Incentive Plan (incorporated by reference to Exhibit 4.3 to the Form 10-Q</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tcBorders>
              <w:top w:val="single" w:sz="8" w:color="0000EE"/>
            </w:tcBorders>
            <w:gridSpan w:val="34"/>
          </w:tcPr>
          <w:p>
            <w:pPr>
              <w:spacing w:after="0" w:line="184" w:lineRule="exact"/>
              <w:rPr>
                <w:rFonts w:ascii="Times New Roman" w:cs="Times New Roman" w:eastAsia="Times New Roman" w:hAnsi="Times New Roman"/>
                <w:sz w:val="17"/>
                <w:szCs w:val="17"/>
                <w:color w:val="0000EE"/>
              </w:rPr>
            </w:pPr>
            <w:hyperlink r:id="rId110">
              <w:r>
                <w:rPr>
                  <w:rFonts w:ascii="Times New Roman" w:cs="Times New Roman" w:eastAsia="Times New Roman" w:hAnsi="Times New Roman"/>
                  <w:sz w:val="17"/>
                  <w:szCs w:val="17"/>
                  <w:color w:val="0000EE"/>
                </w:rPr>
                <w:t>filed with the SEC on November 9, 2017)</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10.7.1†</w:t>
            </w:r>
          </w:p>
        </w:tc>
        <w:tc>
          <w:tcPr>
            <w:tcW w:w="7640" w:type="dxa"/>
            <w:vAlign w:val="bottom"/>
            <w:tcBorders>
              <w:bottom w:val="single" w:sz="8" w:color="0000EE"/>
            </w:tcBorders>
            <w:gridSpan w:val="26"/>
          </w:tcPr>
          <w:p>
            <w:pPr>
              <w:spacing w:after="0" w:line="184" w:lineRule="exact"/>
              <w:rPr>
                <w:rFonts w:ascii="Times New Roman" w:cs="Times New Roman" w:eastAsia="Times New Roman" w:hAnsi="Times New Roman"/>
                <w:sz w:val="17"/>
                <w:szCs w:val="17"/>
                <w:color w:val="0000EE"/>
                <w:w w:val="99"/>
              </w:rPr>
            </w:pPr>
            <w:hyperlink r:id="rId111">
              <w:r>
                <w:rPr>
                  <w:rFonts w:ascii="Times New Roman" w:cs="Times New Roman" w:eastAsia="Times New Roman" w:hAnsi="Times New Roman"/>
                  <w:sz w:val="17"/>
                  <w:szCs w:val="17"/>
                  <w:color w:val="0000EE"/>
                  <w:w w:val="99"/>
                </w:rPr>
                <w:t>2014 Stock Incentive Plan Form of Option Grant Agreement (incorporated by reference to Exhibit 10.23.1 to the</w:t>
              </w:r>
            </w:hyperlink>
          </w:p>
        </w:tc>
        <w:tc>
          <w:tcPr>
            <w:tcW w:w="2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bottom w:val="single" w:sz="8" w:color="0000EE"/>
            </w:tcBorders>
            <w:gridSpan w:val="15"/>
          </w:tcPr>
          <w:p>
            <w:pPr>
              <w:spacing w:after="0" w:line="184" w:lineRule="exact"/>
              <w:rPr>
                <w:rFonts w:ascii="Times New Roman" w:cs="Times New Roman" w:eastAsia="Times New Roman" w:hAnsi="Times New Roman"/>
                <w:sz w:val="17"/>
                <w:szCs w:val="17"/>
                <w:color w:val="0000EE"/>
                <w:w w:val="99"/>
              </w:rPr>
            </w:pPr>
            <w:hyperlink r:id="rId111">
              <w:r>
                <w:rPr>
                  <w:rFonts w:ascii="Times New Roman" w:cs="Times New Roman" w:eastAsia="Times New Roman" w:hAnsi="Times New Roman"/>
                  <w:sz w:val="17"/>
                  <w:szCs w:val="17"/>
                  <w:color w:val="0000EE"/>
                  <w:w w:val="99"/>
                </w:rPr>
                <w:t>Transition Report on Form 10-K filed with the SEC on April 3, 2017)</w:t>
              </w:r>
            </w:hyperlink>
          </w:p>
        </w:tc>
        <w:tc>
          <w:tcPr>
            <w:tcW w:w="320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10.8†</w:t>
            </w:r>
          </w:p>
        </w:tc>
        <w:tc>
          <w:tcPr>
            <w:tcW w:w="7680" w:type="dxa"/>
            <w:vAlign w:val="bottom"/>
            <w:tcBorders>
              <w:bottom w:val="single" w:sz="8" w:color="0000EE"/>
            </w:tcBorders>
            <w:gridSpan w:val="28"/>
          </w:tcPr>
          <w:p>
            <w:pPr>
              <w:spacing w:after="0" w:line="184" w:lineRule="exact"/>
              <w:rPr>
                <w:rFonts w:ascii="Times New Roman" w:cs="Times New Roman" w:eastAsia="Times New Roman" w:hAnsi="Times New Roman"/>
                <w:sz w:val="17"/>
                <w:szCs w:val="17"/>
                <w:color w:val="0000EE"/>
                <w:w w:val="99"/>
              </w:rPr>
            </w:pPr>
            <w:hyperlink r:id="rId112">
              <w:r>
                <w:rPr>
                  <w:rFonts w:ascii="Times New Roman" w:cs="Times New Roman" w:eastAsia="Times New Roman" w:hAnsi="Times New Roman"/>
                  <w:sz w:val="17"/>
                  <w:szCs w:val="17"/>
                  <w:color w:val="0000EE"/>
                  <w:w w:val="99"/>
                </w:rPr>
                <w:t>2016 Omnibus Incentive Plan (incorporated by reference to Exhibit 10.25 to the Transition Report on Form 10-K</w:t>
              </w:r>
            </w:hyperlink>
          </w:p>
        </w:tc>
        <w:tc>
          <w:tcPr>
            <w:tcW w:w="2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0000EE"/>
            </w:tcBorders>
            <w:gridSpan w:val="7"/>
          </w:tcPr>
          <w:p>
            <w:pPr>
              <w:spacing w:after="0" w:line="184" w:lineRule="exact"/>
              <w:rPr>
                <w:rFonts w:ascii="Times New Roman" w:cs="Times New Roman" w:eastAsia="Times New Roman" w:hAnsi="Times New Roman"/>
                <w:sz w:val="17"/>
                <w:szCs w:val="17"/>
                <w:color w:val="0000EE"/>
                <w:w w:val="99"/>
              </w:rPr>
            </w:pPr>
            <w:hyperlink r:id="rId112">
              <w:r>
                <w:rPr>
                  <w:rFonts w:ascii="Times New Roman" w:cs="Times New Roman" w:eastAsia="Times New Roman" w:hAnsi="Times New Roman"/>
                  <w:sz w:val="17"/>
                  <w:szCs w:val="17"/>
                  <w:color w:val="0000EE"/>
                  <w:w w:val="99"/>
                </w:rPr>
                <w:t>filed with the SEC on April 3, 2017)</w:t>
              </w:r>
            </w:hyperlink>
          </w:p>
        </w:tc>
        <w:tc>
          <w:tcPr>
            <w:tcW w:w="542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10.8.1†</w:t>
            </w: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13">
              <w:r>
                <w:rPr>
                  <w:rFonts w:ascii="Times New Roman" w:cs="Times New Roman" w:eastAsia="Times New Roman" w:hAnsi="Times New Roman"/>
                  <w:sz w:val="17"/>
                  <w:szCs w:val="17"/>
                  <w:color w:val="0000EE"/>
                </w:rPr>
                <w:t>Amendment Number 1 to the 2016 Omnibus Incentive Plan (incorporated by reference to Exhibit 10.25.1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bottom w:val="single" w:sz="8" w:color="0000EE"/>
            </w:tcBorders>
            <w:gridSpan w:val="15"/>
          </w:tcPr>
          <w:p>
            <w:pPr>
              <w:spacing w:after="0" w:line="184" w:lineRule="exact"/>
              <w:rPr>
                <w:rFonts w:ascii="Times New Roman" w:cs="Times New Roman" w:eastAsia="Times New Roman" w:hAnsi="Times New Roman"/>
                <w:sz w:val="17"/>
                <w:szCs w:val="17"/>
                <w:color w:val="0000EE"/>
                <w:w w:val="99"/>
              </w:rPr>
            </w:pPr>
            <w:hyperlink r:id="rId113">
              <w:r>
                <w:rPr>
                  <w:rFonts w:ascii="Times New Roman" w:cs="Times New Roman" w:eastAsia="Times New Roman" w:hAnsi="Times New Roman"/>
                  <w:sz w:val="17"/>
                  <w:szCs w:val="17"/>
                  <w:color w:val="0000EE"/>
                  <w:w w:val="99"/>
                </w:rPr>
                <w:t>Transition Report on Form 10-K filed with the SEC on April 3, 2017)</w:t>
              </w:r>
            </w:hyperlink>
          </w:p>
        </w:tc>
        <w:tc>
          <w:tcPr>
            <w:tcW w:w="2840" w:type="dxa"/>
            <w:vAlign w:val="bottom"/>
            <w:tcBorders>
              <w:top w:val="single" w:sz="8" w:color="0000EE"/>
            </w:tcBorders>
            <w:gridSpan w:val="9"/>
          </w:tcPr>
          <w:p>
            <w:pPr>
              <w:spacing w:after="0"/>
              <w:rPr>
                <w:sz w:val="15"/>
                <w:szCs w:val="15"/>
                <w:color w:val="auto"/>
              </w:rPr>
            </w:pPr>
          </w:p>
        </w:tc>
        <w:tc>
          <w:tcPr>
            <w:tcW w:w="3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10.8.2†</w:t>
            </w:r>
          </w:p>
        </w:tc>
        <w:tc>
          <w:tcPr>
            <w:tcW w:w="7280" w:type="dxa"/>
            <w:vAlign w:val="bottom"/>
            <w:tcBorders>
              <w:bottom w:val="single" w:sz="8" w:color="0000EE"/>
            </w:tcBorders>
            <w:gridSpan w:val="21"/>
          </w:tcPr>
          <w:p>
            <w:pPr>
              <w:spacing w:after="0" w:line="184" w:lineRule="exact"/>
              <w:rPr>
                <w:rFonts w:ascii="Times New Roman" w:cs="Times New Roman" w:eastAsia="Times New Roman" w:hAnsi="Times New Roman"/>
                <w:sz w:val="17"/>
                <w:szCs w:val="17"/>
                <w:color w:val="0000EE"/>
                <w:w w:val="99"/>
              </w:rPr>
            </w:pPr>
            <w:hyperlink r:id="rId114">
              <w:r>
                <w:rPr>
                  <w:rFonts w:ascii="Times New Roman" w:cs="Times New Roman" w:eastAsia="Times New Roman" w:hAnsi="Times New Roman"/>
                  <w:sz w:val="17"/>
                  <w:szCs w:val="17"/>
                  <w:color w:val="0000EE"/>
                  <w:w w:val="99"/>
                </w:rPr>
                <w:t>Amendment Number 2 to the 2016 Omnibus Incentive Plan (incorporated by reference to Exhibit 4.7 to the</w:t>
              </w:r>
            </w:hyperlink>
          </w:p>
        </w:tc>
        <w:tc>
          <w:tcPr>
            <w:tcW w:w="6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0" w:type="dxa"/>
            <w:vAlign w:val="bottom"/>
            <w:tcBorders>
              <w:bottom w:val="single" w:sz="8" w:color="0000EE"/>
            </w:tcBorders>
            <w:gridSpan w:val="16"/>
          </w:tcPr>
          <w:p>
            <w:pPr>
              <w:spacing w:after="0" w:line="184" w:lineRule="exact"/>
              <w:rPr>
                <w:rFonts w:ascii="Times New Roman" w:cs="Times New Roman" w:eastAsia="Times New Roman" w:hAnsi="Times New Roman"/>
                <w:sz w:val="17"/>
                <w:szCs w:val="17"/>
                <w:color w:val="0000EE"/>
                <w:w w:val="99"/>
              </w:rPr>
            </w:pPr>
            <w:hyperlink r:id="rId114">
              <w:r>
                <w:rPr>
                  <w:rFonts w:ascii="Times New Roman" w:cs="Times New Roman" w:eastAsia="Times New Roman" w:hAnsi="Times New Roman"/>
                  <w:sz w:val="17"/>
                  <w:szCs w:val="17"/>
                  <w:color w:val="0000EE"/>
                  <w:w w:val="99"/>
                </w:rPr>
                <w:t>Registration Statement on Form S-8 filed with the SEC on May 18, 2017)</w:t>
              </w:r>
            </w:hyperlink>
          </w:p>
        </w:tc>
        <w:tc>
          <w:tcPr>
            <w:tcW w:w="292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10.8.3†</w:t>
            </w:r>
          </w:p>
        </w:tc>
        <w:tc>
          <w:tcPr>
            <w:tcW w:w="7680" w:type="dxa"/>
            <w:vAlign w:val="bottom"/>
            <w:tcBorders>
              <w:bottom w:val="single" w:sz="8" w:color="0000EE"/>
            </w:tcBorders>
            <w:gridSpan w:val="28"/>
          </w:tcPr>
          <w:p>
            <w:pPr>
              <w:spacing w:after="0" w:line="184" w:lineRule="exact"/>
              <w:rPr>
                <w:rFonts w:ascii="Times New Roman" w:cs="Times New Roman" w:eastAsia="Times New Roman" w:hAnsi="Times New Roman"/>
                <w:sz w:val="17"/>
                <w:szCs w:val="17"/>
                <w:color w:val="0000EE"/>
                <w:w w:val="99"/>
              </w:rPr>
            </w:pPr>
            <w:hyperlink r:id="rId115">
              <w:r>
                <w:rPr>
                  <w:rFonts w:ascii="Times New Roman" w:cs="Times New Roman" w:eastAsia="Times New Roman" w:hAnsi="Times New Roman"/>
                  <w:sz w:val="17"/>
                  <w:szCs w:val="17"/>
                  <w:color w:val="0000EE"/>
                  <w:w w:val="99"/>
                </w:rPr>
                <w:t>2016 Omnibus Incentive Plan Form of U.S. Option Grant Agreement (incorporated by reference to Exhibit 4.8 to</w:t>
              </w:r>
            </w:hyperlink>
          </w:p>
        </w:tc>
        <w:tc>
          <w:tcPr>
            <w:tcW w:w="2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the Registration Statement on Form S-8 filed with the SEC on May 18, 2017)</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10.8.4†</w:t>
            </w:r>
          </w:p>
        </w:tc>
        <w:tc>
          <w:tcPr>
            <w:tcW w:w="7880" w:type="dxa"/>
            <w:vAlign w:val="bottom"/>
            <w:tcBorders>
              <w:bottom w:val="single" w:sz="8" w:color="0000EE"/>
            </w:tcBorders>
            <w:gridSpan w:val="36"/>
          </w:tcPr>
          <w:p>
            <w:pPr>
              <w:spacing w:after="0" w:line="184" w:lineRule="exact"/>
              <w:rPr>
                <w:rFonts w:ascii="Times New Roman" w:cs="Times New Roman" w:eastAsia="Times New Roman" w:hAnsi="Times New Roman"/>
                <w:sz w:val="17"/>
                <w:szCs w:val="17"/>
                <w:color w:val="0000EE"/>
                <w:w w:val="99"/>
              </w:rPr>
            </w:pPr>
            <w:hyperlink r:id="rId116">
              <w:r>
                <w:rPr>
                  <w:rFonts w:ascii="Times New Roman" w:cs="Times New Roman" w:eastAsia="Times New Roman" w:hAnsi="Times New Roman"/>
                  <w:sz w:val="17"/>
                  <w:szCs w:val="17"/>
                  <w:color w:val="0000EE"/>
                  <w:w w:val="99"/>
                </w:rPr>
                <w:t>2016 Omnibus Incentive Plan Form of Canada Option Grant Agreement (incorporated by reference to Exhibit 4.9 to</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the Registration Statement on Form S-8 filed with the SEC on May 18, 2017)</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10.9*</w:t>
            </w:r>
          </w:p>
        </w:tc>
        <w:tc>
          <w:tcPr>
            <w:tcW w:w="220" w:type="dxa"/>
            <w:vAlign w:val="bottom"/>
          </w:tcPr>
          <w:p>
            <w:pPr>
              <w:spacing w:after="0"/>
              <w:rPr>
                <w:sz w:val="15"/>
                <w:szCs w:val="15"/>
                <w:color w:val="auto"/>
              </w:rPr>
            </w:pPr>
          </w:p>
        </w:tc>
        <w:tc>
          <w:tcPr>
            <w:tcW w:w="7800" w:type="dxa"/>
            <w:vAlign w:val="bottom"/>
            <w:tcBorders>
              <w:bottom w:val="single" w:sz="8" w:color="0000EE"/>
            </w:tcBorders>
            <w:gridSpan w:val="32"/>
          </w:tcPr>
          <w:p>
            <w:pPr>
              <w:spacing w:after="0" w:line="184" w:lineRule="exact"/>
              <w:rPr>
                <w:sz w:val="20"/>
                <w:szCs w:val="20"/>
                <w:color w:val="auto"/>
              </w:rPr>
            </w:pPr>
            <w:r>
              <w:rPr>
                <w:rFonts w:ascii="Times New Roman" w:cs="Times New Roman" w:eastAsia="Times New Roman" w:hAnsi="Times New Roman"/>
                <w:sz w:val="17"/>
                <w:szCs w:val="17"/>
                <w:color w:val="0000EE"/>
                <w:w w:val="99"/>
              </w:rPr>
              <w:t>Commercial Lease Agreement, dated November 29, 2021 between Helius Medical, Inc and 660 Tudor Square, L.P.</w:t>
            </w: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10.9.1*</w:t>
            </w:r>
          </w:p>
        </w:tc>
        <w:tc>
          <w:tcPr>
            <w:tcW w:w="220" w:type="dxa"/>
            <w:vAlign w:val="bottom"/>
          </w:tcPr>
          <w:p>
            <w:pPr>
              <w:spacing w:after="0"/>
              <w:rPr>
                <w:sz w:val="15"/>
                <w:szCs w:val="15"/>
                <w:color w:val="auto"/>
              </w:rPr>
            </w:pPr>
          </w:p>
        </w:tc>
        <w:tc>
          <w:tcPr>
            <w:tcW w:w="7620" w:type="dxa"/>
            <w:vAlign w:val="bottom"/>
            <w:tcBorders>
              <w:bottom w:val="single" w:sz="8" w:color="0000EE"/>
            </w:tcBorders>
            <w:gridSpan w:val="25"/>
          </w:tcPr>
          <w:p>
            <w:pPr>
              <w:spacing w:after="0" w:line="184" w:lineRule="exact"/>
              <w:rPr>
                <w:sz w:val="20"/>
                <w:szCs w:val="20"/>
                <w:color w:val="auto"/>
              </w:rPr>
            </w:pPr>
            <w:r>
              <w:rPr>
                <w:rFonts w:ascii="Times New Roman" w:cs="Times New Roman" w:eastAsia="Times New Roman" w:hAnsi="Times New Roman"/>
                <w:sz w:val="17"/>
                <w:szCs w:val="17"/>
                <w:color w:val="0000EE"/>
                <w:w w:val="99"/>
              </w:rPr>
              <w:t>Lease Addendum #1, dated January 16, 2025 between Helius Medical Technologies, Inc. and 660 Tudor Square,</w:t>
            </w:r>
          </w:p>
        </w:tc>
        <w:tc>
          <w:tcPr>
            <w:tcW w:w="3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0000EE"/>
            </w:tcBorders>
          </w:tcPr>
          <w:p>
            <w:pPr>
              <w:spacing w:after="0" w:line="184" w:lineRule="exact"/>
              <w:rPr>
                <w:sz w:val="20"/>
                <w:szCs w:val="20"/>
                <w:color w:val="auto"/>
              </w:rPr>
            </w:pPr>
            <w:r>
              <w:rPr>
                <w:rFonts w:ascii="Times New Roman" w:cs="Times New Roman" w:eastAsia="Times New Roman" w:hAnsi="Times New Roman"/>
                <w:sz w:val="17"/>
                <w:szCs w:val="17"/>
                <w:color w:val="0000EE"/>
                <w:w w:val="84"/>
              </w:rPr>
              <w:t>L.P.</w:t>
            </w:r>
          </w:p>
        </w:tc>
        <w:tc>
          <w:tcPr>
            <w:tcW w:w="7660" w:type="dxa"/>
            <w:vAlign w:val="bottom"/>
            <w:gridSpan w:val="3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10.10†</w:t>
            </w: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2018 Omnibus Incentive Plan, as amended (incorporated by reference to Exhibit 10.2 to the Form 10-Q filed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4" w:lineRule="exact"/>
              <w:rPr>
                <w:rFonts w:ascii="Times New Roman" w:cs="Times New Roman" w:eastAsia="Times New Roman" w:hAnsi="Times New Roman"/>
                <w:sz w:val="17"/>
                <w:szCs w:val="17"/>
                <w:color w:val="0000EE"/>
                <w:w w:val="97"/>
              </w:rPr>
            </w:pPr>
            <w:hyperlink r:id="rId117">
              <w:r>
                <w:rPr>
                  <w:rFonts w:ascii="Times New Roman" w:cs="Times New Roman" w:eastAsia="Times New Roman" w:hAnsi="Times New Roman"/>
                  <w:sz w:val="17"/>
                  <w:szCs w:val="17"/>
                  <w:color w:val="0000EE"/>
                  <w:w w:val="97"/>
                </w:rPr>
                <w:t>November 8, 2018)</w:t>
              </w:r>
            </w:hyperlink>
          </w:p>
        </w:tc>
        <w:tc>
          <w:tcPr>
            <w:tcW w:w="6040" w:type="dxa"/>
            <w:vAlign w:val="bottom"/>
            <w:tcBorders>
              <w:top w:val="single" w:sz="8" w:color="0000EE"/>
            </w:tcBorders>
            <w:gridSpan w:val="18"/>
          </w:tcPr>
          <w:p>
            <w:pPr>
              <w:spacing w:after="0"/>
              <w:rPr>
                <w:sz w:val="15"/>
                <w:szCs w:val="15"/>
                <w:color w:val="auto"/>
              </w:rPr>
            </w:pPr>
          </w:p>
        </w:tc>
        <w:tc>
          <w:tcPr>
            <w:tcW w:w="5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10.10.1†</w:t>
            </w:r>
          </w:p>
        </w:tc>
        <w:tc>
          <w:tcPr>
            <w:tcW w:w="7660" w:type="dxa"/>
            <w:vAlign w:val="bottom"/>
            <w:tcBorders>
              <w:bottom w:val="single" w:sz="8" w:color="0000EE"/>
            </w:tcBorders>
            <w:gridSpan w:val="27"/>
          </w:tcPr>
          <w:p>
            <w:pPr>
              <w:spacing w:after="0" w:line="184" w:lineRule="exact"/>
              <w:rPr>
                <w:rFonts w:ascii="Times New Roman" w:cs="Times New Roman" w:eastAsia="Times New Roman" w:hAnsi="Times New Roman"/>
                <w:sz w:val="17"/>
                <w:szCs w:val="17"/>
                <w:color w:val="0000EE"/>
                <w:w w:val="99"/>
              </w:rPr>
            </w:pPr>
            <w:hyperlink r:id="rId118">
              <w:r>
                <w:rPr>
                  <w:rFonts w:ascii="Times New Roman" w:cs="Times New Roman" w:eastAsia="Times New Roman" w:hAnsi="Times New Roman"/>
                  <w:sz w:val="17"/>
                  <w:szCs w:val="17"/>
                  <w:color w:val="0000EE"/>
                  <w:w w:val="99"/>
                </w:rPr>
                <w:t>2018 Omnibus Incentive Plan Form of Option Grant Agreement (incorporated by reference to Exhibit 10.3 to the</w:t>
              </w:r>
            </w:hyperlink>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0000EE"/>
            </w:tcBorders>
            <w:gridSpan w:val="6"/>
          </w:tcPr>
          <w:p>
            <w:pPr>
              <w:spacing w:after="0" w:line="184" w:lineRule="exact"/>
              <w:rPr>
                <w:rFonts w:ascii="Times New Roman" w:cs="Times New Roman" w:eastAsia="Times New Roman" w:hAnsi="Times New Roman"/>
                <w:sz w:val="17"/>
                <w:szCs w:val="17"/>
                <w:color w:val="0000EE"/>
                <w:w w:val="99"/>
              </w:rPr>
            </w:pPr>
            <w:hyperlink r:id="rId118">
              <w:r>
                <w:rPr>
                  <w:rFonts w:ascii="Times New Roman" w:cs="Times New Roman" w:eastAsia="Times New Roman" w:hAnsi="Times New Roman"/>
                  <w:sz w:val="17"/>
                  <w:szCs w:val="17"/>
                  <w:color w:val="0000EE"/>
                  <w:w w:val="99"/>
                </w:rPr>
                <w:t>Form 10-Q filed November 8, 2018)</w:t>
              </w:r>
            </w:hyperlink>
          </w:p>
        </w:tc>
        <w:tc>
          <w:tcPr>
            <w:tcW w:w="5440" w:type="dxa"/>
            <w:vAlign w:val="bottom"/>
            <w:gridSpan w:val="3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10.10.2†</w:t>
            </w:r>
          </w:p>
        </w:tc>
        <w:tc>
          <w:tcPr>
            <w:tcW w:w="7920" w:type="dxa"/>
            <w:vAlign w:val="bottom"/>
            <w:gridSpan w:val="37"/>
          </w:tcPr>
          <w:p>
            <w:pPr>
              <w:spacing w:after="0" w:line="184" w:lineRule="exact"/>
              <w:rPr>
                <w:rFonts w:ascii="Times New Roman" w:cs="Times New Roman" w:eastAsia="Times New Roman" w:hAnsi="Times New Roman"/>
                <w:sz w:val="17"/>
                <w:szCs w:val="17"/>
                <w:color w:val="0000EE"/>
                <w:w w:val="99"/>
              </w:rPr>
            </w:pPr>
            <w:hyperlink r:id="rId119">
              <w:r>
                <w:rPr>
                  <w:rFonts w:ascii="Times New Roman" w:cs="Times New Roman" w:eastAsia="Times New Roman" w:hAnsi="Times New Roman"/>
                  <w:sz w:val="17"/>
                  <w:szCs w:val="17"/>
                  <w:color w:val="0000EE"/>
                  <w:w w:val="99"/>
                </w:rPr>
                <w:t>2018 Omnibus Incentive Plan Form of Restricted Stock Unit Grant Agreement (incorporated by reference to Exhibit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10"/>
          </w:tcPr>
          <w:p>
            <w:pPr>
              <w:spacing w:after="0" w:line="184" w:lineRule="exact"/>
              <w:rPr>
                <w:rFonts w:ascii="Times New Roman" w:cs="Times New Roman" w:eastAsia="Times New Roman" w:hAnsi="Times New Roman"/>
                <w:sz w:val="17"/>
                <w:szCs w:val="17"/>
                <w:color w:val="0000EE"/>
                <w:w w:val="98"/>
              </w:rPr>
            </w:pPr>
            <w:hyperlink r:id="rId119">
              <w:r>
                <w:rPr>
                  <w:rFonts w:ascii="Times New Roman" w:cs="Times New Roman" w:eastAsia="Times New Roman" w:hAnsi="Times New Roman"/>
                  <w:sz w:val="17"/>
                  <w:szCs w:val="17"/>
                  <w:color w:val="0000EE"/>
                  <w:w w:val="98"/>
                </w:rPr>
                <w:t>10.</w:t>
              </w:r>
              <w:r>
                <w:rPr>
                  <w:rFonts w:ascii="Times New Roman" w:cs="Times New Roman" w:eastAsia="Times New Roman" w:hAnsi="Times New Roman"/>
                  <w:sz w:val="17"/>
                  <w:szCs w:val="17"/>
                  <w:u w:val="single" w:color="auto"/>
                  <w:color w:val="0000EE"/>
                  <w:w w:val="98"/>
                </w:rPr>
                <w:t>4</w:t>
              </w:r>
              <w:r>
                <w:rPr>
                  <w:rFonts w:ascii="Times New Roman" w:cs="Times New Roman" w:eastAsia="Times New Roman" w:hAnsi="Times New Roman"/>
                  <w:sz w:val="17"/>
                  <w:szCs w:val="17"/>
                  <w:color w:val="0000EE"/>
                  <w:w w:val="98"/>
                </w:rPr>
                <w:t xml:space="preserve"> to the Form 10 Q filed November 8, 2018)</w:t>
              </w:r>
            </w:hyperlink>
          </w:p>
        </w:tc>
        <w:tc>
          <w:tcPr>
            <w:tcW w:w="4660" w:type="dxa"/>
            <w:vAlign w:val="bottom"/>
            <w:tcBorders>
              <w:top w:val="single" w:sz="8" w:color="0000EE"/>
            </w:tcBorders>
            <w:gridSpan w:val="2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10.10.3†</w:t>
            </w:r>
          </w:p>
        </w:tc>
        <w:tc>
          <w:tcPr>
            <w:tcW w:w="7820" w:type="dxa"/>
            <w:vAlign w:val="bottom"/>
            <w:tcBorders>
              <w:bottom w:val="single" w:sz="8" w:color="0000EE"/>
            </w:tcBorders>
            <w:gridSpan w:val="33"/>
          </w:tcPr>
          <w:p>
            <w:pPr>
              <w:spacing w:after="0" w:line="184" w:lineRule="exact"/>
              <w:rPr>
                <w:rFonts w:ascii="Times New Roman" w:cs="Times New Roman" w:eastAsia="Times New Roman" w:hAnsi="Times New Roman"/>
                <w:sz w:val="17"/>
                <w:szCs w:val="17"/>
                <w:color w:val="0000EE"/>
                <w:w w:val="99"/>
              </w:rPr>
            </w:pPr>
            <w:hyperlink r:id="rId120">
              <w:r>
                <w:rPr>
                  <w:rFonts w:ascii="Times New Roman" w:cs="Times New Roman" w:eastAsia="Times New Roman" w:hAnsi="Times New Roman"/>
                  <w:sz w:val="17"/>
                  <w:szCs w:val="17"/>
                  <w:color w:val="0000EE"/>
                  <w:w w:val="99"/>
                </w:rPr>
                <w:t>2018 Omnibus Incentive Plan Form of Option Grant Agreement – 2020 Retention Grant (incorporated by reference</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to Exhibit 10.1 to the Form 8-K filed on October 7, 2020)</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1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10.10.4†</w:t>
            </w:r>
          </w:p>
        </w:tc>
        <w:tc>
          <w:tcPr>
            <w:tcW w:w="7540" w:type="dxa"/>
            <w:vAlign w:val="bottom"/>
            <w:tcBorders>
              <w:bottom w:val="single" w:sz="8" w:color="0000EE"/>
            </w:tcBorders>
            <w:gridSpan w:val="23"/>
          </w:tcPr>
          <w:p>
            <w:pPr>
              <w:spacing w:after="0" w:line="184" w:lineRule="exact"/>
              <w:rPr>
                <w:rFonts w:ascii="Times New Roman" w:cs="Times New Roman" w:eastAsia="Times New Roman" w:hAnsi="Times New Roman"/>
                <w:sz w:val="17"/>
                <w:szCs w:val="17"/>
                <w:color w:val="0000EE"/>
                <w:w w:val="99"/>
              </w:rPr>
            </w:pPr>
            <w:hyperlink r:id="rId121">
              <w:r>
                <w:rPr>
                  <w:rFonts w:ascii="Times New Roman" w:cs="Times New Roman" w:eastAsia="Times New Roman" w:hAnsi="Times New Roman"/>
                  <w:sz w:val="17"/>
                  <w:szCs w:val="17"/>
                  <w:color w:val="0000EE"/>
                  <w:w w:val="99"/>
                </w:rPr>
                <w:t>2018 Omnibus Incentive Plan Form of Stock Grant Notice and Award Agreement (incorporated by reference to</w:t>
              </w:r>
            </w:hyperlink>
          </w:p>
        </w:tc>
        <w:tc>
          <w:tcPr>
            <w:tcW w:w="3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Exhibit 10.1 to the Form 8-K filed on April 7, 2021)</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14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10.10.5†</w:t>
            </w:r>
          </w:p>
        </w:tc>
        <w:tc>
          <w:tcPr>
            <w:tcW w:w="7700" w:type="dxa"/>
            <w:vAlign w:val="bottom"/>
            <w:tcBorders>
              <w:bottom w:val="single" w:sz="8" w:color="0000EE"/>
            </w:tcBorders>
            <w:gridSpan w:val="29"/>
          </w:tcPr>
          <w:p>
            <w:pPr>
              <w:spacing w:after="0" w:line="184" w:lineRule="exact"/>
              <w:rPr>
                <w:rFonts w:ascii="Times New Roman" w:cs="Times New Roman" w:eastAsia="Times New Roman" w:hAnsi="Times New Roman"/>
                <w:sz w:val="17"/>
                <w:szCs w:val="17"/>
                <w:color w:val="0000EE"/>
                <w:w w:val="99"/>
              </w:rPr>
            </w:pPr>
            <w:hyperlink r:id="rId122">
              <w:r>
                <w:rPr>
                  <w:rFonts w:ascii="Times New Roman" w:cs="Times New Roman" w:eastAsia="Times New Roman" w:hAnsi="Times New Roman"/>
                  <w:sz w:val="17"/>
                  <w:szCs w:val="17"/>
                  <w:color w:val="0000EE"/>
                  <w:w w:val="99"/>
                </w:rPr>
                <w:t>Amendment to the Helius Medical Technologies, Inc. 2018 Omnibus Incentive Plan (incorporated by reference to</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Exhibit 10.1 to the Form 8-K filed on May 27, 2021)</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10.10.6†</w:t>
            </w: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2018 Omnibus Incentive Plan Form of Option Grant Agreement – Initial Grants to Dane C. Andreeff and Jeffrey 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0" w:type="dxa"/>
            <w:vAlign w:val="bottom"/>
            <w:tcBorders>
              <w:top w:val="single" w:sz="8" w:color="0000EE"/>
            </w:tcBorders>
            <w:gridSpan w:val="32"/>
          </w:tcPr>
          <w:p>
            <w:pPr>
              <w:spacing w:after="0" w:line="184"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Mathiesen (incorporated by reference to Exhibit 10.3 to the Form 8-K filed on June 15, 2021)</w:t>
              </w:r>
            </w:hyperlink>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940" w:type="dxa"/>
            <w:vAlign w:val="bottom"/>
            <w:gridSpan w:val="16"/>
            <w:shd w:val="clear" w:color="auto" w:fill="0000EE"/>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10.11†</w:t>
            </w:r>
          </w:p>
        </w:tc>
        <w:tc>
          <w:tcPr>
            <w:tcW w:w="7920" w:type="dxa"/>
            <w:vAlign w:val="bottom"/>
            <w:gridSpan w:val="37"/>
          </w:tcPr>
          <w:p>
            <w:pPr>
              <w:spacing w:after="0" w:line="184"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Form of Indemnification Agreement (incorporated by reference to Exhibit 10.24 to the Form 10-K filed March 10,</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4" w:lineRule="exact"/>
              <w:rPr>
                <w:rFonts w:ascii="Times New Roman" w:cs="Times New Roman" w:eastAsia="Times New Roman" w:hAnsi="Times New Roman"/>
                <w:sz w:val="17"/>
                <w:szCs w:val="17"/>
                <w:color w:val="0000EE"/>
                <w:w w:val="95"/>
              </w:rPr>
            </w:pPr>
            <w:hyperlink r:id="rId124">
              <w:r>
                <w:rPr>
                  <w:rFonts w:ascii="Times New Roman" w:cs="Times New Roman" w:eastAsia="Times New Roman" w:hAnsi="Times New Roman"/>
                  <w:sz w:val="17"/>
                  <w:szCs w:val="17"/>
                  <w:color w:val="0000EE"/>
                  <w:w w:val="95"/>
                </w:rPr>
                <w:t>2021)</w:t>
              </w:r>
            </w:hyperlink>
          </w:p>
        </w:tc>
        <w:tc>
          <w:tcPr>
            <w:tcW w:w="2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12"/>
          </w:tcPr>
          <w:p>
            <w:pPr>
              <w:ind w:left="3380"/>
              <w:spacing w:after="0"/>
              <w:rPr>
                <w:sz w:val="20"/>
                <w:szCs w:val="20"/>
                <w:color w:val="auto"/>
              </w:rPr>
            </w:pPr>
            <w:r>
              <w:rPr>
                <w:rFonts w:ascii="Times New Roman" w:cs="Times New Roman" w:eastAsia="Times New Roman" w:hAnsi="Times New Roman"/>
                <w:sz w:val="17"/>
                <w:szCs w:val="17"/>
                <w:color w:val="auto"/>
              </w:rPr>
              <w:t>74</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1"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20" w:type="dxa"/>
            <w:vAlign w:val="bottom"/>
            <w:gridSpan w:val="3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4"/>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20" w:type="dxa"/>
            <w:vAlign w:val="bottom"/>
            <w:gridSpan w:val="3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7"/>
                <w:szCs w:val="17"/>
                <w:color w:val="auto"/>
              </w:rPr>
              <w:t>10.12</w:t>
            </w:r>
          </w:p>
        </w:tc>
        <w:tc>
          <w:tcPr>
            <w:tcW w:w="220" w:type="dxa"/>
            <w:vAlign w:val="bottom"/>
          </w:tcPr>
          <w:p>
            <w:pPr>
              <w:spacing w:after="0"/>
              <w:rPr>
                <w:sz w:val="14"/>
                <w:szCs w:val="14"/>
                <w:color w:val="auto"/>
              </w:rPr>
            </w:pPr>
          </w:p>
        </w:tc>
        <w:tc>
          <w:tcPr>
            <w:tcW w:w="7920" w:type="dxa"/>
            <w:vAlign w:val="bottom"/>
            <w:tcBorders>
              <w:top w:val="single" w:sz="8" w:color="auto"/>
            </w:tcBorders>
            <w:gridSpan w:val="32"/>
          </w:tcPr>
          <w:p>
            <w:pPr>
              <w:spacing w:after="0" w:line="171" w:lineRule="exact"/>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Non-employee Director Compensation Policy (incorporated by reference to Exhibit 10.7 to the Form 10-Q filed 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4" w:lineRule="exact"/>
              <w:rPr>
                <w:rFonts w:ascii="Times New Roman" w:cs="Times New Roman" w:eastAsia="Times New Roman" w:hAnsi="Times New Roman"/>
                <w:sz w:val="17"/>
                <w:szCs w:val="17"/>
                <w:color w:val="0000EE"/>
                <w:w w:val="97"/>
              </w:rPr>
            </w:pPr>
            <w:hyperlink r:id="rId125">
              <w:r>
                <w:rPr>
                  <w:rFonts w:ascii="Times New Roman" w:cs="Times New Roman" w:eastAsia="Times New Roman" w:hAnsi="Times New Roman"/>
                  <w:sz w:val="17"/>
                  <w:szCs w:val="17"/>
                  <w:color w:val="0000EE"/>
                  <w:w w:val="97"/>
                </w:rPr>
                <w:t>May 17, 2021)</w:t>
              </w:r>
            </w:hyperlink>
          </w:p>
        </w:tc>
        <w:tc>
          <w:tcPr>
            <w:tcW w:w="6780" w:type="dxa"/>
            <w:vAlign w:val="bottom"/>
            <w:tcBorders>
              <w:top w:val="single" w:sz="8" w:color="0000EE"/>
            </w:tcBorders>
            <w:gridSpan w:val="27"/>
          </w:tcPr>
          <w:p>
            <w:pPr>
              <w:spacing w:after="0"/>
              <w:rPr>
                <w:sz w:val="15"/>
                <w:szCs w:val="15"/>
                <w:color w:val="auto"/>
              </w:rPr>
            </w:pPr>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10.13†</w:t>
            </w:r>
          </w:p>
        </w:tc>
        <w:tc>
          <w:tcPr>
            <w:tcW w:w="7620" w:type="dxa"/>
            <w:vAlign w:val="bottom"/>
            <w:tcBorders>
              <w:bottom w:val="single" w:sz="8" w:color="0000EE"/>
            </w:tcBorders>
            <w:gridSpan w:val="24"/>
          </w:tcPr>
          <w:p>
            <w:pPr>
              <w:spacing w:after="0" w:line="184" w:lineRule="exact"/>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Employment Agreement between Helius Medical Technologies, Inc. and Dane C. Andreeff, dated June 14, 2021</w:t>
              </w:r>
            </w:hyperlink>
          </w:p>
        </w:tc>
        <w:tc>
          <w:tcPr>
            <w:tcW w:w="3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0" w:type="dxa"/>
            <w:vAlign w:val="bottom"/>
            <w:tcBorders>
              <w:bottom w:val="single" w:sz="8" w:color="0000EE"/>
            </w:tcBorders>
            <w:gridSpan w:val="14"/>
          </w:tcPr>
          <w:p>
            <w:pPr>
              <w:spacing w:after="0" w:line="184" w:lineRule="exact"/>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(incorporated by reference to Exhibit 10.1 to the Form 8-K filed on June 15, 2021)</w:t>
              </w:r>
            </w:hyperlink>
          </w:p>
        </w:tc>
        <w:tc>
          <w:tcPr>
            <w:tcW w:w="23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10.14†</w:t>
            </w: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Employment Agreement between Helius Medical Technologies, Inc. and Jeffrey S. Mathiesen, dated June 14, 2021</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0" w:type="dxa"/>
            <w:vAlign w:val="bottom"/>
            <w:tcBorders>
              <w:top w:val="single" w:sz="8" w:color="0000EE"/>
              <w:bottom w:val="single" w:sz="8" w:color="0000EE"/>
            </w:tcBorders>
            <w:gridSpan w:val="14"/>
          </w:tcPr>
          <w:p>
            <w:pPr>
              <w:spacing w:after="0" w:line="184" w:lineRule="exact"/>
              <w:rPr>
                <w:rFonts w:ascii="Times New Roman" w:cs="Times New Roman" w:eastAsia="Times New Roman" w:hAnsi="Times New Roman"/>
                <w:sz w:val="17"/>
                <w:szCs w:val="17"/>
                <w:color w:val="0000EE"/>
                <w:w w:val="99"/>
              </w:rPr>
            </w:pPr>
            <w:hyperlink r:id="rId127">
              <w:r>
                <w:rPr>
                  <w:rFonts w:ascii="Times New Roman" w:cs="Times New Roman" w:eastAsia="Times New Roman" w:hAnsi="Times New Roman"/>
                  <w:sz w:val="17"/>
                  <w:szCs w:val="17"/>
                  <w:color w:val="0000EE"/>
                  <w:w w:val="99"/>
                </w:rPr>
                <w:t>(incorporated by reference to Exhibit 10.2 to the Form 8-K filed on June 15, 2021)</w:t>
              </w:r>
            </w:hyperlink>
          </w:p>
        </w:tc>
        <w:tc>
          <w:tcPr>
            <w:tcW w:w="2200" w:type="dxa"/>
            <w:vAlign w:val="bottom"/>
            <w:tcBorders>
              <w:top w:val="single" w:sz="8" w:color="0000EE"/>
            </w:tcBorders>
            <w:gridSpan w:val="1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10.15†</w:t>
            </w: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Helius Medical Technologies, Inc. 2021 Inducement Plan (incorporated by reference to Exhibit 4.5 to the Form S-8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0000EE"/>
              <w:bottom w:val="single" w:sz="8" w:color="0000EE"/>
            </w:tcBorders>
            <w:gridSpan w:val="4"/>
          </w:tcPr>
          <w:p>
            <w:pPr>
              <w:spacing w:after="0" w:line="184" w:lineRule="exact"/>
              <w:rPr>
                <w:rFonts w:ascii="Times New Roman" w:cs="Times New Roman" w:eastAsia="Times New Roman" w:hAnsi="Times New Roman"/>
                <w:sz w:val="17"/>
                <w:szCs w:val="17"/>
                <w:color w:val="0000EE"/>
                <w:w w:val="97"/>
              </w:rPr>
            </w:pPr>
            <w:hyperlink r:id="rId128">
              <w:r>
                <w:rPr>
                  <w:rFonts w:ascii="Times New Roman" w:cs="Times New Roman" w:eastAsia="Times New Roman" w:hAnsi="Times New Roman"/>
                  <w:sz w:val="17"/>
                  <w:szCs w:val="17"/>
                  <w:color w:val="0000EE"/>
                  <w:w w:val="97"/>
                </w:rPr>
                <w:t>filed July 7, 2021)</w:t>
              </w:r>
            </w:hyperlink>
          </w:p>
        </w:tc>
        <w:tc>
          <w:tcPr>
            <w:tcW w:w="6560" w:type="dxa"/>
            <w:vAlign w:val="bottom"/>
            <w:tcBorders>
              <w:top w:val="single" w:sz="8" w:color="0000EE"/>
            </w:tcBorders>
            <w:gridSpan w:val="2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10.16.1</w:t>
            </w:r>
          </w:p>
        </w:tc>
        <w:tc>
          <w:tcPr>
            <w:tcW w:w="220" w:type="dxa"/>
            <w:vAlign w:val="bottom"/>
          </w:tcPr>
          <w:p>
            <w:pPr>
              <w:spacing w:after="0"/>
              <w:rPr>
                <w:sz w:val="15"/>
                <w:szCs w:val="15"/>
                <w:color w:val="auto"/>
              </w:rPr>
            </w:pP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Amendment to the Helius Medical Technologies, Inc. 2021 Inducement Plan (incorporated by reference to Exhibit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40" w:type="dxa"/>
            <w:vAlign w:val="bottom"/>
            <w:tcBorders>
              <w:top w:val="single" w:sz="8" w:color="0000EE"/>
            </w:tcBorders>
            <w:gridSpan w:val="27"/>
          </w:tcPr>
          <w:p>
            <w:pPr>
              <w:spacing w:after="0" w:line="184"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8</w:t>
              </w:r>
              <w:r>
                <w:rPr>
                  <w:rFonts w:ascii="Times New Roman" w:cs="Times New Roman" w:eastAsia="Times New Roman" w:hAnsi="Times New Roman"/>
                  <w:sz w:val="17"/>
                  <w:szCs w:val="17"/>
                  <w:color w:val="0000EE"/>
                </w:rPr>
                <w:t xml:space="preserve"> to the Form S-8 filed July 24, 2024)</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10.16.2†</w:t>
            </w: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Form of Stock Option Grant Notice, Option Agreement and Notice of Exercise under the Helius Medical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Technologies, Inc. 2021 Inducement Plan (incorporated by reference to Exhibit 4.6 to the Form S-8 filed July 7,</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4" w:lineRule="exact"/>
              <w:rPr>
                <w:rFonts w:ascii="Times New Roman" w:cs="Times New Roman" w:eastAsia="Times New Roman" w:hAnsi="Times New Roman"/>
                <w:sz w:val="17"/>
                <w:szCs w:val="17"/>
                <w:color w:val="0000EE"/>
                <w:w w:val="95"/>
              </w:rPr>
            </w:pPr>
            <w:hyperlink r:id="rId130">
              <w:r>
                <w:rPr>
                  <w:rFonts w:ascii="Times New Roman" w:cs="Times New Roman" w:eastAsia="Times New Roman" w:hAnsi="Times New Roman"/>
                  <w:sz w:val="17"/>
                  <w:szCs w:val="17"/>
                  <w:color w:val="0000EE"/>
                  <w:w w:val="95"/>
                </w:rPr>
                <w:t>2021)</w:t>
              </w:r>
            </w:hyperlink>
          </w:p>
        </w:tc>
        <w:tc>
          <w:tcPr>
            <w:tcW w:w="6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10.17†</w:t>
            </w:r>
          </w:p>
        </w:tc>
        <w:tc>
          <w:tcPr>
            <w:tcW w:w="7600" w:type="dxa"/>
            <w:vAlign w:val="bottom"/>
            <w:tcBorders>
              <w:bottom w:val="single" w:sz="8" w:color="0000EE"/>
            </w:tcBorders>
            <w:gridSpan w:val="23"/>
          </w:tcPr>
          <w:p>
            <w:pPr>
              <w:spacing w:after="0" w:line="184" w:lineRule="exact"/>
              <w:rPr>
                <w:rFonts w:ascii="Times New Roman" w:cs="Times New Roman" w:eastAsia="Times New Roman" w:hAnsi="Times New Roman"/>
                <w:sz w:val="17"/>
                <w:szCs w:val="17"/>
                <w:color w:val="0000EE"/>
                <w:w w:val="98"/>
              </w:rPr>
            </w:pPr>
            <w:hyperlink r:id="rId131">
              <w:r>
                <w:rPr>
                  <w:rFonts w:ascii="Times New Roman" w:cs="Times New Roman" w:eastAsia="Times New Roman" w:hAnsi="Times New Roman"/>
                  <w:sz w:val="17"/>
                  <w:szCs w:val="17"/>
                  <w:color w:val="0000EE"/>
                  <w:w w:val="98"/>
                </w:rPr>
                <w:t>Employment Agreement between Helius Medical Technologies, Inc. and Antonella Favit-Van Pelt, dated July 7,</w:t>
              </w:r>
            </w:hyperlink>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Borders>
              <w:bottom w:val="single" w:sz="8" w:color="0000EE"/>
            </w:tcBorders>
            <w:gridSpan w:val="15"/>
          </w:tcPr>
          <w:p>
            <w:pPr>
              <w:spacing w:after="0" w:line="184" w:lineRule="exact"/>
              <w:rPr>
                <w:rFonts w:ascii="Times New Roman" w:cs="Times New Roman" w:eastAsia="Times New Roman" w:hAnsi="Times New Roman"/>
                <w:sz w:val="17"/>
                <w:szCs w:val="17"/>
                <w:color w:val="0000EE"/>
                <w:w w:val="99"/>
              </w:rPr>
            </w:pPr>
            <w:hyperlink r:id="rId131">
              <w:r>
                <w:rPr>
                  <w:rFonts w:ascii="Times New Roman" w:cs="Times New Roman" w:eastAsia="Times New Roman" w:hAnsi="Times New Roman"/>
                  <w:sz w:val="17"/>
                  <w:szCs w:val="17"/>
                  <w:color w:val="0000EE"/>
                  <w:w w:val="99"/>
                </w:rPr>
                <w:t>2021 (incorporated by reference to Exhibit 10.31 to the Form S-1 filed on September 3, 2021)</w:t>
              </w:r>
            </w:hyperlink>
          </w:p>
        </w:tc>
        <w:tc>
          <w:tcPr>
            <w:tcW w:w="15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10.18†</w:t>
            </w: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Helius Medical Technologies, Inc. 2022 Equity Incentive Plan (incorporated by reference to Exhibit 10.1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7"/>
          </w:tcPr>
          <w:p>
            <w:pPr>
              <w:spacing w:after="0" w:line="184" w:lineRule="exact"/>
              <w:rPr>
                <w:rFonts w:ascii="Times New Roman" w:cs="Times New Roman" w:eastAsia="Times New Roman" w:hAnsi="Times New Roman"/>
                <w:sz w:val="17"/>
                <w:szCs w:val="17"/>
                <w:color w:val="0000EE"/>
                <w:w w:val="98"/>
              </w:rPr>
            </w:pPr>
            <w:hyperlink r:id="rId132">
              <w:r>
                <w:rPr>
                  <w:rFonts w:ascii="Times New Roman" w:cs="Times New Roman" w:eastAsia="Times New Roman" w:hAnsi="Times New Roman"/>
                  <w:sz w:val="17"/>
                  <w:szCs w:val="17"/>
                  <w:color w:val="0000EE"/>
                  <w:w w:val="98"/>
                </w:rPr>
                <w:t>Form 8-K filed on February 18, 2022)</w:t>
              </w:r>
            </w:hyperlink>
          </w:p>
        </w:tc>
        <w:tc>
          <w:tcPr>
            <w:tcW w:w="4940" w:type="dxa"/>
            <w:vAlign w:val="bottom"/>
            <w:tcBorders>
              <w:top w:val="single" w:sz="8" w:color="0000EE"/>
            </w:tcBorders>
            <w:gridSpan w:val="13"/>
          </w:tcPr>
          <w:p>
            <w:pPr>
              <w:spacing w:after="0"/>
              <w:rPr>
                <w:sz w:val="15"/>
                <w:szCs w:val="15"/>
                <w:color w:val="auto"/>
              </w:rPr>
            </w:pPr>
          </w:p>
        </w:tc>
        <w:tc>
          <w:tcPr>
            <w:tcW w:w="4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10.18.1</w:t>
            </w:r>
          </w:p>
        </w:tc>
        <w:tc>
          <w:tcPr>
            <w:tcW w:w="220" w:type="dxa"/>
            <w:vAlign w:val="bottom"/>
          </w:tcPr>
          <w:p>
            <w:pPr>
              <w:spacing w:after="0"/>
              <w:rPr>
                <w:sz w:val="15"/>
                <w:szCs w:val="15"/>
                <w:color w:val="auto"/>
              </w:rPr>
            </w:pP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Amendment to the Helius Medical Technologies, Inc. 2022 Equity Incentive Plan, effective as of June 27, 2024</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40" w:type="dxa"/>
            <w:vAlign w:val="bottom"/>
            <w:tcBorders>
              <w:top w:val="single" w:sz="8" w:color="0000EE"/>
            </w:tcBorders>
            <w:gridSpan w:val="21"/>
          </w:tcPr>
          <w:p>
            <w:pPr>
              <w:spacing w:after="0" w:line="184"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(incorporated by reference to Exhibit 10.1 to the Current Report on Form 8-K filed on June 28, 2024)</w:t>
              </w:r>
            </w:hyperlink>
          </w:p>
        </w:tc>
        <w:tc>
          <w:tcPr>
            <w:tcW w:w="3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10.18.2†</w:t>
            </w: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Helius Medical Technologies, Inc. 2022 Equity Incentive Plan Form of Stock Option Agreement (incorporated by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top w:val="single" w:sz="8" w:color="0000EE"/>
            </w:tcBorders>
            <w:gridSpan w:val="26"/>
          </w:tcPr>
          <w:p>
            <w:pPr>
              <w:spacing w:after="0" w:line="184"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reference to Exhibit 10.3 to the Form 8-K filed on February 18, 2022)</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10.18.3†</w:t>
            </w:r>
          </w:p>
        </w:tc>
        <w:tc>
          <w:tcPr>
            <w:tcW w:w="7760" w:type="dxa"/>
            <w:vAlign w:val="bottom"/>
            <w:tcBorders>
              <w:bottom w:val="single" w:sz="8" w:color="0000EE"/>
            </w:tcBorders>
            <w:gridSpan w:val="28"/>
          </w:tcPr>
          <w:p>
            <w:pPr>
              <w:spacing w:after="0" w:line="184" w:lineRule="exact"/>
              <w:rPr>
                <w:rFonts w:ascii="Times New Roman" w:cs="Times New Roman" w:eastAsia="Times New Roman" w:hAnsi="Times New Roman"/>
                <w:sz w:val="17"/>
                <w:szCs w:val="17"/>
                <w:color w:val="0000EE"/>
                <w:w w:val="99"/>
              </w:rPr>
            </w:pPr>
            <w:hyperlink r:id="rId135">
              <w:r>
                <w:rPr>
                  <w:rFonts w:ascii="Times New Roman" w:cs="Times New Roman" w:eastAsia="Times New Roman" w:hAnsi="Times New Roman"/>
                  <w:sz w:val="17"/>
                  <w:szCs w:val="17"/>
                  <w:color w:val="0000EE"/>
                  <w:w w:val="99"/>
                </w:rPr>
                <w:t>Sales Agreement between Helius Medical Technologies, Inc. and Roth Capital Partners, LLC, dated June 23, 2023</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(incorporated by reference to Exhibit 1.1 to the Form 8-K filed on June 23, 2023)</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10.19</w:t>
            </w:r>
          </w:p>
        </w:tc>
        <w:tc>
          <w:tcPr>
            <w:tcW w:w="220" w:type="dxa"/>
            <w:vAlign w:val="bottom"/>
          </w:tcPr>
          <w:p>
            <w:pPr>
              <w:spacing w:after="0"/>
              <w:rPr>
                <w:sz w:val="15"/>
                <w:szCs w:val="15"/>
                <w:color w:val="auto"/>
              </w:rPr>
            </w:pP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Placement Agency Agreement dated as of May 6, 2024 by and between Helius Medical Technologies, Inc.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20" w:type="dxa"/>
            <w:vAlign w:val="bottom"/>
            <w:gridSpan w:val="7"/>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2"/>
          </w:tcPr>
          <w:p>
            <w:pPr>
              <w:spacing w:after="0" w:line="184"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Craig-Hallum Capital Group LLC (incorporated by reference to Exhibit 10.1 to the Form 8-K filed May 9, 2024)</w:t>
              </w:r>
            </w:hyperlink>
          </w:p>
        </w:tc>
        <w:tc>
          <w:tcPr>
            <w:tcW w:w="0" w:type="dxa"/>
            <w:vAlign w:val="bottom"/>
          </w:tcPr>
          <w:p>
            <w:pPr>
              <w:spacing w:after="0"/>
              <w:rPr>
                <w:sz w:val="1"/>
                <w:szCs w:val="1"/>
                <w:color w:val="auto"/>
              </w:rPr>
            </w:pPr>
          </w:p>
        </w:tc>
      </w:tr>
      <w:tr>
        <w:trPr>
          <w:trHeight w:val="38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19.1*</w:t>
            </w:r>
          </w:p>
        </w:tc>
        <w:tc>
          <w:tcPr>
            <w:tcW w:w="220" w:type="dxa"/>
            <w:vAlign w:val="bottom"/>
          </w:tcPr>
          <w:p>
            <w:pPr>
              <w:spacing w:after="0"/>
              <w:rPr>
                <w:sz w:val="24"/>
                <w:szCs w:val="24"/>
                <w:color w:val="auto"/>
              </w:rPr>
            </w:pPr>
          </w:p>
        </w:tc>
        <w:tc>
          <w:tcPr>
            <w:tcW w:w="15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8"/>
              </w:rPr>
              <w:t>Insider Trading Policy</w:t>
            </w:r>
          </w:p>
        </w:tc>
        <w:tc>
          <w:tcPr>
            <w:tcW w:w="6120" w:type="dxa"/>
            <w:vAlign w:val="bottom"/>
            <w:tcBorders>
              <w:top w:val="single" w:sz="8" w:color="0000EE"/>
            </w:tcBorders>
            <w:gridSpan w:val="20"/>
          </w:tcPr>
          <w:p>
            <w:pPr>
              <w:spacing w:after="0"/>
              <w:rPr>
                <w:sz w:val="24"/>
                <w:szCs w:val="24"/>
                <w:color w:val="auto"/>
              </w:rPr>
            </w:pPr>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21.1*</w:t>
            </w:r>
          </w:p>
        </w:tc>
        <w:tc>
          <w:tcPr>
            <w:tcW w:w="220" w:type="dxa"/>
            <w:vAlign w:val="bottom"/>
          </w:tcPr>
          <w:p>
            <w:pPr>
              <w:spacing w:after="0"/>
              <w:rPr>
                <w:sz w:val="15"/>
                <w:szCs w:val="15"/>
                <w:color w:val="auto"/>
              </w:rPr>
            </w:pPr>
          </w:p>
        </w:tc>
        <w:tc>
          <w:tcPr>
            <w:tcW w:w="3380" w:type="dxa"/>
            <w:vAlign w:val="bottom"/>
            <w:tcBorders>
              <w:bottom w:val="single" w:sz="8" w:color="0000EE"/>
            </w:tcBorders>
            <w:gridSpan w:val="10"/>
          </w:tcPr>
          <w:p>
            <w:pPr>
              <w:spacing w:after="0" w:line="184" w:lineRule="exact"/>
              <w:rPr>
                <w:sz w:val="20"/>
                <w:szCs w:val="20"/>
                <w:color w:val="auto"/>
              </w:rPr>
            </w:pPr>
            <w:r>
              <w:rPr>
                <w:rFonts w:ascii="Times New Roman" w:cs="Times New Roman" w:eastAsia="Times New Roman" w:hAnsi="Times New Roman"/>
                <w:sz w:val="17"/>
                <w:szCs w:val="17"/>
                <w:color w:val="0000EE"/>
                <w:w w:val="98"/>
              </w:rPr>
              <w:t>Subsidiaries of Helius Medical Technologies, Inc.</w:t>
            </w:r>
          </w:p>
        </w:tc>
        <w:tc>
          <w:tcPr>
            <w:tcW w:w="454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23.1*</w:t>
            </w:r>
          </w:p>
        </w:tc>
        <w:tc>
          <w:tcPr>
            <w:tcW w:w="220" w:type="dxa"/>
            <w:vAlign w:val="bottom"/>
          </w:tcPr>
          <w:p>
            <w:pPr>
              <w:spacing w:after="0"/>
              <w:rPr>
                <w:sz w:val="15"/>
                <w:szCs w:val="15"/>
                <w:color w:val="auto"/>
              </w:rPr>
            </w:pPr>
          </w:p>
        </w:tc>
        <w:tc>
          <w:tcPr>
            <w:tcW w:w="2200" w:type="dxa"/>
            <w:vAlign w:val="bottom"/>
            <w:tcBorders>
              <w:bottom w:val="single" w:sz="8" w:color="0000EE"/>
            </w:tcBorders>
            <w:gridSpan w:val="6"/>
          </w:tcPr>
          <w:p>
            <w:pPr>
              <w:spacing w:after="0" w:line="184" w:lineRule="exact"/>
              <w:rPr>
                <w:sz w:val="20"/>
                <w:szCs w:val="20"/>
                <w:color w:val="auto"/>
              </w:rPr>
            </w:pPr>
            <w:r>
              <w:rPr>
                <w:rFonts w:ascii="Times New Roman" w:cs="Times New Roman" w:eastAsia="Times New Roman" w:hAnsi="Times New Roman"/>
                <w:sz w:val="17"/>
                <w:szCs w:val="17"/>
                <w:color w:val="0000EE"/>
                <w:w w:val="98"/>
              </w:rPr>
              <w:t>Consent of Baker Tilly US, LLP</w:t>
            </w:r>
          </w:p>
        </w:tc>
        <w:tc>
          <w:tcPr>
            <w:tcW w:w="572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31.1*</w:t>
            </w:r>
          </w:p>
        </w:tc>
        <w:tc>
          <w:tcPr>
            <w:tcW w:w="220" w:type="dxa"/>
            <w:vAlign w:val="bottom"/>
          </w:tcPr>
          <w:p>
            <w:pPr>
              <w:spacing w:after="0"/>
              <w:rPr>
                <w:sz w:val="15"/>
                <w:szCs w:val="15"/>
                <w:color w:val="auto"/>
              </w:rPr>
            </w:pPr>
          </w:p>
        </w:tc>
        <w:tc>
          <w:tcPr>
            <w:tcW w:w="792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Certification of Chief Executive Officer pursuant to Rule 13a-14(a) and Rule 15d-14(a) as adopted pursuant to</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00" w:type="dxa"/>
            <w:vAlign w:val="bottom"/>
            <w:tcBorders>
              <w:top w:val="single" w:sz="8" w:color="0000EE"/>
            </w:tcBorders>
            <w:gridSpan w:val="19"/>
          </w:tcPr>
          <w:p>
            <w:pPr>
              <w:spacing w:after="0" w:line="184" w:lineRule="exact"/>
              <w:rPr>
                <w:sz w:val="20"/>
                <w:szCs w:val="20"/>
                <w:color w:val="auto"/>
              </w:rPr>
            </w:pPr>
            <w:r>
              <w:rPr>
                <w:rFonts w:ascii="Times New Roman" w:cs="Times New Roman" w:eastAsia="Times New Roman" w:hAnsi="Times New Roman"/>
                <w:sz w:val="17"/>
                <w:szCs w:val="17"/>
                <w:color w:val="0000EE"/>
              </w:rPr>
              <w:t>Section 302 of the Sarbanes – Oxley Act of 2002</w:t>
            </w:r>
          </w:p>
        </w:tc>
        <w:tc>
          <w:tcPr>
            <w:tcW w:w="4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31.2*</w:t>
            </w:r>
          </w:p>
        </w:tc>
        <w:tc>
          <w:tcPr>
            <w:tcW w:w="220" w:type="dxa"/>
            <w:vAlign w:val="bottom"/>
          </w:tcPr>
          <w:p>
            <w:pPr>
              <w:spacing w:after="0"/>
              <w:rPr>
                <w:sz w:val="15"/>
                <w:szCs w:val="15"/>
                <w:color w:val="auto"/>
              </w:rPr>
            </w:pPr>
          </w:p>
        </w:tc>
        <w:tc>
          <w:tcPr>
            <w:tcW w:w="7440" w:type="dxa"/>
            <w:vAlign w:val="bottom"/>
            <w:tcBorders>
              <w:bottom w:val="single" w:sz="8" w:color="0000EE"/>
            </w:tcBorders>
            <w:gridSpan w:val="18"/>
          </w:tcPr>
          <w:p>
            <w:pPr>
              <w:spacing w:after="0" w:line="184" w:lineRule="exact"/>
              <w:rPr>
                <w:sz w:val="20"/>
                <w:szCs w:val="20"/>
                <w:color w:val="auto"/>
              </w:rPr>
            </w:pPr>
            <w:r>
              <w:rPr>
                <w:rFonts w:ascii="Times New Roman" w:cs="Times New Roman" w:eastAsia="Times New Roman" w:hAnsi="Times New Roman"/>
                <w:sz w:val="17"/>
                <w:szCs w:val="17"/>
                <w:color w:val="0000EE"/>
                <w:w w:val="99"/>
              </w:rPr>
              <w:t>Certification of Chief Financial Officer pursuant to Rule 13a-14(a) and Rule 15d-14(a) as adopted pursuant to</w:t>
            </w:r>
          </w:p>
        </w:tc>
        <w:tc>
          <w:tcPr>
            <w:tcW w:w="4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Section 302 of the Sarbanes – Oxley Act of 2002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740" w:type="dxa"/>
            <w:vAlign w:val="bottom"/>
            <w:gridSpan w:val="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32.1*</w:t>
            </w:r>
          </w:p>
        </w:tc>
        <w:tc>
          <w:tcPr>
            <w:tcW w:w="220" w:type="dxa"/>
            <w:vAlign w:val="bottom"/>
          </w:tcPr>
          <w:p>
            <w:pPr>
              <w:spacing w:after="0"/>
              <w:rPr>
                <w:sz w:val="15"/>
                <w:szCs w:val="15"/>
                <w:color w:val="auto"/>
              </w:rPr>
            </w:pPr>
          </w:p>
        </w:tc>
        <w:tc>
          <w:tcPr>
            <w:tcW w:w="7860" w:type="dxa"/>
            <w:vAlign w:val="bottom"/>
            <w:tcBorders>
              <w:bottom w:val="single" w:sz="8" w:color="0000EE"/>
            </w:tcBorders>
            <w:gridSpan w:val="31"/>
          </w:tcPr>
          <w:p>
            <w:pPr>
              <w:spacing w:after="0" w:line="184" w:lineRule="exact"/>
              <w:rPr>
                <w:sz w:val="20"/>
                <w:szCs w:val="20"/>
                <w:color w:val="auto"/>
              </w:rPr>
            </w:pPr>
            <w:r>
              <w:rPr>
                <w:rFonts w:ascii="Times New Roman" w:cs="Times New Roman" w:eastAsia="Times New Roman" w:hAnsi="Times New Roman"/>
                <w:sz w:val="17"/>
                <w:szCs w:val="17"/>
                <w:color w:val="0000EE"/>
                <w:w w:val="99"/>
              </w:rPr>
              <w:t>Certification of Chief Executive Officer and Chief Financial Officer pursuant to 18 U.S.C. Section 1350, as adopted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20" w:type="dxa"/>
            <w:vAlign w:val="bottom"/>
            <w:gridSpan w:val="32"/>
          </w:tcPr>
          <w:p>
            <w:pPr>
              <w:spacing w:after="0" w:line="184" w:lineRule="exact"/>
              <w:rPr>
                <w:sz w:val="20"/>
                <w:szCs w:val="20"/>
                <w:color w:val="auto"/>
              </w:rPr>
            </w:pPr>
            <w:r>
              <w:rPr>
                <w:rFonts w:ascii="Times New Roman" w:cs="Times New Roman" w:eastAsia="Times New Roman" w:hAnsi="Times New Roman"/>
                <w:sz w:val="17"/>
                <w:szCs w:val="17"/>
                <w:color w:val="0000EE"/>
              </w:rPr>
              <w:t>pursuant to Section 906 of the Sarbanes – Oxley Act of 2002</w:t>
            </w: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97.1</w:t>
            </w:r>
          </w:p>
        </w:tc>
        <w:tc>
          <w:tcPr>
            <w:tcW w:w="220" w:type="dxa"/>
            <w:vAlign w:val="bottom"/>
          </w:tcPr>
          <w:p>
            <w:pPr>
              <w:spacing w:after="0"/>
              <w:rPr>
                <w:sz w:val="15"/>
                <w:szCs w:val="15"/>
                <w:color w:val="auto"/>
              </w:rPr>
            </w:pPr>
          </w:p>
        </w:tc>
        <w:tc>
          <w:tcPr>
            <w:tcW w:w="4120" w:type="dxa"/>
            <w:vAlign w:val="bottom"/>
            <w:tcBorders>
              <w:top w:val="single" w:sz="8" w:color="0000EE"/>
            </w:tcBorders>
            <w:gridSpan w:val="11"/>
          </w:tcPr>
          <w:p>
            <w:pPr>
              <w:spacing w:after="0" w:line="184"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Clawback Policy</w:t>
              </w:r>
            </w:hyperlink>
          </w:p>
        </w:tc>
        <w:tc>
          <w:tcPr>
            <w:tcW w:w="380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678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79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03"/>
        </w:trPr>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79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03"/>
        </w:trPr>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79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79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79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03"/>
        </w:trPr>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79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19"/>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220" w:type="dxa"/>
            <w:vAlign w:val="bottom"/>
          </w:tcPr>
          <w:p>
            <w:pPr>
              <w:spacing w:after="0"/>
              <w:rPr>
                <w:sz w:val="19"/>
                <w:szCs w:val="19"/>
                <w:color w:val="auto"/>
              </w:rPr>
            </w:pPr>
          </w:p>
        </w:tc>
        <w:tc>
          <w:tcPr>
            <w:tcW w:w="79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194310</wp:posOffset>
            </wp:positionV>
            <wp:extent cx="141224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1412240" cy="15875"/>
                    </a:xfrm>
                    <a:prstGeom prst="rect">
                      <a:avLst/>
                    </a:prstGeom>
                    <a:noFill/>
                  </pic:spPr>
                </pic:pic>
              </a:graphicData>
            </a:graphic>
          </wp:anchor>
        </w:drawing>
      </w:r>
    </w:p>
    <w:p>
      <w:pPr>
        <w:spacing w:after="0" w:line="371" w:lineRule="exact"/>
        <w:rPr>
          <w:sz w:val="20"/>
          <w:szCs w:val="20"/>
          <w:color w:val="auto"/>
        </w:rPr>
      </w:pPr>
    </w:p>
    <w:p>
      <w:pPr>
        <w:ind w:left="360" w:hanging="315"/>
        <w:spacing w:after="0"/>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3" w:lineRule="exact"/>
        <w:rPr>
          <w:sz w:val="20"/>
          <w:szCs w:val="20"/>
          <w:color w:val="auto"/>
        </w:rPr>
      </w:pPr>
    </w:p>
    <w:p>
      <w:pPr>
        <w:ind w:left="360" w:hanging="315"/>
        <w:spacing w:after="0"/>
        <w:tabs>
          <w:tab w:leader="none" w:pos="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w:t>
      </w:r>
    </w:p>
    <w:p>
      <w:pPr>
        <w:spacing w:after="0" w:line="8" w:lineRule="exact"/>
        <w:rPr>
          <w:sz w:val="20"/>
          <w:szCs w:val="20"/>
          <w:color w:val="auto"/>
        </w:rPr>
      </w:pPr>
    </w:p>
    <w:p>
      <w:pPr>
        <w:ind w:left="360" w:right="299" w:hanging="315"/>
        <w:spacing w:after="0" w:line="259" w:lineRule="auto"/>
        <w:tabs>
          <w:tab w:leader="none" w:pos="3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information has been omitted and filed separately with the Securities and Exchange Commission. Confidential treatment has been granted with respect to this omitted information.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345440</wp:posOffset>
            </wp:positionV>
            <wp:extent cx="565594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840" w:type="dxa"/>
            <w:vAlign w:val="bottom"/>
            <w:gridSpan w:val="7"/>
          </w:tcPr>
          <w:p>
            <w:pPr>
              <w:ind w:left="224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760" w:type="dxa"/>
            <w:vAlign w:val="bottom"/>
          </w:tcPr>
          <w:p>
            <w:pPr>
              <w:spacing w:after="0"/>
              <w:rPr>
                <w:sz w:val="19"/>
                <w:szCs w:val="19"/>
                <w:color w:val="auto"/>
              </w:rPr>
            </w:pPr>
          </w:p>
        </w:tc>
      </w:tr>
      <w:tr>
        <w:trPr>
          <w:trHeight w:val="382"/>
        </w:trPr>
        <w:tc>
          <w:tcPr>
            <w:tcW w:w="784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(BAKER TILLY US, LLP;</w:t>
            </w:r>
          </w:p>
        </w:tc>
        <w:tc>
          <w:tcPr>
            <w:tcW w:w="760" w:type="dxa"/>
            <w:vAlign w:val="bottom"/>
          </w:tcPr>
          <w:p>
            <w:pPr>
              <w:spacing w:after="0"/>
              <w:rPr>
                <w:sz w:val="24"/>
                <w:szCs w:val="24"/>
                <w:color w:val="auto"/>
              </w:rPr>
            </w:pPr>
          </w:p>
        </w:tc>
      </w:tr>
      <w:tr>
        <w:trPr>
          <w:trHeight w:val="205"/>
        </w:trPr>
        <w:tc>
          <w:tcPr>
            <w:tcW w:w="5440" w:type="dxa"/>
            <w:vAlign w:val="bottom"/>
            <w:tcBorders>
              <w:top w:val="single" w:sz="8" w:color="0000EE"/>
            </w:tcBorders>
            <w:gridSpan w:val="5"/>
          </w:tcPr>
          <w:p>
            <w:pPr>
              <w:ind w:left="120"/>
              <w:spacing w:after="0"/>
              <w:rPr>
                <w:sz w:val="20"/>
                <w:szCs w:val="20"/>
                <w:color w:val="auto"/>
              </w:rPr>
            </w:pPr>
            <w:r>
              <w:rPr>
                <w:rFonts w:ascii="Times New Roman" w:cs="Times New Roman" w:eastAsia="Times New Roman" w:hAnsi="Times New Roman"/>
                <w:sz w:val="17"/>
                <w:szCs w:val="17"/>
                <w:color w:val="auto"/>
              </w:rPr>
              <w:t>MINNEAPOLIS, MN; PCAOB ID #23)</w:t>
            </w:r>
          </w:p>
        </w:tc>
        <w:tc>
          <w:tcPr>
            <w:tcW w:w="2400" w:type="dxa"/>
            <w:vAlign w:val="bottom"/>
            <w:gridSpan w:val="2"/>
          </w:tcPr>
          <w:p>
            <w:pPr>
              <w:spacing w:after="0"/>
              <w:rPr>
                <w:sz w:val="17"/>
                <w:szCs w:val="17"/>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92"/>
              </w:rPr>
              <w:t>F-1</w:t>
            </w:r>
          </w:p>
        </w:tc>
      </w:tr>
      <w:tr>
        <w:trPr>
          <w:trHeight w:val="182"/>
        </w:trPr>
        <w:tc>
          <w:tcPr>
            <w:tcW w:w="7840" w:type="dxa"/>
            <w:vAlign w:val="bottom"/>
            <w:gridSpan w:val="7"/>
          </w:tcPr>
          <w:p>
            <w:pPr>
              <w:spacing w:after="0" w:line="181" w:lineRule="exact"/>
              <w:rPr>
                <w:sz w:val="20"/>
                <w:szCs w:val="20"/>
                <w:color w:val="auto"/>
              </w:rPr>
            </w:pPr>
            <w:r>
              <w:rPr>
                <w:rFonts w:ascii="Times New Roman" w:cs="Times New Roman" w:eastAsia="Times New Roman" w:hAnsi="Times New Roman"/>
                <w:sz w:val="17"/>
                <w:szCs w:val="17"/>
                <w:color w:val="0000EE"/>
              </w:rPr>
              <w:t>CONSOLIDATED BALANCE SHEETS</w:t>
            </w:r>
          </w:p>
        </w:tc>
        <w:tc>
          <w:tcPr>
            <w:tcW w:w="760" w:type="dxa"/>
            <w:vAlign w:val="bottom"/>
          </w:tcPr>
          <w:p>
            <w:pPr>
              <w:ind w:left="520"/>
              <w:spacing w:after="0" w:line="181" w:lineRule="exact"/>
              <w:rPr>
                <w:sz w:val="20"/>
                <w:szCs w:val="20"/>
                <w:color w:val="auto"/>
              </w:rPr>
            </w:pPr>
            <w:r>
              <w:rPr>
                <w:rFonts w:ascii="Times New Roman" w:cs="Times New Roman" w:eastAsia="Times New Roman" w:hAnsi="Times New Roman"/>
                <w:sz w:val="17"/>
                <w:szCs w:val="17"/>
                <w:color w:val="auto"/>
                <w:w w:val="92"/>
              </w:rPr>
              <w:t>F-3</w:t>
            </w:r>
          </w:p>
        </w:tc>
      </w:tr>
      <w:tr>
        <w:trPr>
          <w:trHeight w:val="20"/>
        </w:trPr>
        <w:tc>
          <w:tcPr>
            <w:tcW w:w="2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6060" w:type="dxa"/>
            <w:vAlign w:val="bottom"/>
            <w:tcBorders>
              <w:bottom w:val="single" w:sz="8" w:color="0000EE"/>
            </w:tcBorders>
            <w:gridSpan w:val="6"/>
          </w:tcPr>
          <w:p>
            <w:pPr>
              <w:spacing w:after="0" w:line="184" w:lineRule="exact"/>
              <w:rPr>
                <w:sz w:val="20"/>
                <w:szCs w:val="20"/>
                <w:color w:val="auto"/>
              </w:rPr>
            </w:pPr>
            <w:r>
              <w:rPr>
                <w:rFonts w:ascii="Times New Roman" w:cs="Times New Roman" w:eastAsia="Times New Roman" w:hAnsi="Times New Roman"/>
                <w:sz w:val="17"/>
                <w:szCs w:val="17"/>
                <w:color w:val="0000EE"/>
                <w:w w:val="98"/>
              </w:rPr>
              <w:t>CONSOLIDATED STATEMENTS OF OPERATIONS AND COMPREHENSIVE LOSS</w:t>
            </w:r>
          </w:p>
        </w:tc>
        <w:tc>
          <w:tcPr>
            <w:tcW w:w="1780" w:type="dxa"/>
            <w:vAlign w:val="bottom"/>
          </w:tcPr>
          <w:p>
            <w:pPr>
              <w:spacing w:after="0"/>
              <w:rPr>
                <w:sz w:val="15"/>
                <w:szCs w:val="15"/>
                <w:color w:val="auto"/>
              </w:rPr>
            </w:pPr>
          </w:p>
        </w:tc>
        <w:tc>
          <w:tcPr>
            <w:tcW w:w="760" w:type="dxa"/>
            <w:vAlign w:val="bottom"/>
          </w:tcPr>
          <w:p>
            <w:pPr>
              <w:ind w:left="520"/>
              <w:spacing w:after="0" w:line="184" w:lineRule="exact"/>
              <w:rPr>
                <w:sz w:val="20"/>
                <w:szCs w:val="20"/>
                <w:color w:val="auto"/>
              </w:rPr>
            </w:pPr>
            <w:r>
              <w:rPr>
                <w:rFonts w:ascii="Times New Roman" w:cs="Times New Roman" w:eastAsia="Times New Roman" w:hAnsi="Times New Roman"/>
                <w:sz w:val="17"/>
                <w:szCs w:val="17"/>
                <w:color w:val="auto"/>
                <w:w w:val="92"/>
              </w:rPr>
              <w:t>F-4</w:t>
            </w:r>
          </w:p>
        </w:tc>
      </w:tr>
      <w:tr>
        <w:trPr>
          <w:trHeight w:val="183"/>
        </w:trPr>
        <w:tc>
          <w:tcPr>
            <w:tcW w:w="4760" w:type="dxa"/>
            <w:vAlign w:val="bottom"/>
            <w:tcBorders>
              <w:bottom w:val="single" w:sz="8" w:color="0000EE"/>
            </w:tcBorders>
            <w:gridSpan w:val="4"/>
          </w:tcPr>
          <w:p>
            <w:pPr>
              <w:spacing w:after="0" w:line="184" w:lineRule="exact"/>
              <w:rPr>
                <w:sz w:val="20"/>
                <w:szCs w:val="20"/>
                <w:color w:val="auto"/>
              </w:rPr>
            </w:pPr>
            <w:r>
              <w:rPr>
                <w:rFonts w:ascii="Times New Roman" w:cs="Times New Roman" w:eastAsia="Times New Roman" w:hAnsi="Times New Roman"/>
                <w:sz w:val="17"/>
                <w:szCs w:val="17"/>
                <w:color w:val="0000EE"/>
                <w:w w:val="98"/>
              </w:rPr>
              <w:t>CONSOLIDATED STATEMENTS OF STOCKHOLDERS’ EQUITY</w:t>
            </w:r>
          </w:p>
        </w:tc>
        <w:tc>
          <w:tcPr>
            <w:tcW w:w="3080" w:type="dxa"/>
            <w:vAlign w:val="bottom"/>
            <w:gridSpan w:val="3"/>
          </w:tcPr>
          <w:p>
            <w:pPr>
              <w:spacing w:after="0"/>
              <w:rPr>
                <w:sz w:val="15"/>
                <w:szCs w:val="15"/>
                <w:color w:val="auto"/>
              </w:rPr>
            </w:pPr>
          </w:p>
        </w:tc>
        <w:tc>
          <w:tcPr>
            <w:tcW w:w="760" w:type="dxa"/>
            <w:vAlign w:val="bottom"/>
          </w:tcPr>
          <w:p>
            <w:pPr>
              <w:ind w:left="520"/>
              <w:spacing w:after="0" w:line="184" w:lineRule="exact"/>
              <w:rPr>
                <w:sz w:val="20"/>
                <w:szCs w:val="20"/>
                <w:color w:val="auto"/>
              </w:rPr>
            </w:pPr>
            <w:r>
              <w:rPr>
                <w:rFonts w:ascii="Times New Roman" w:cs="Times New Roman" w:eastAsia="Times New Roman" w:hAnsi="Times New Roman"/>
                <w:sz w:val="17"/>
                <w:szCs w:val="17"/>
                <w:color w:val="auto"/>
                <w:w w:val="92"/>
              </w:rPr>
              <w:t>F-5</w:t>
            </w:r>
          </w:p>
        </w:tc>
      </w:tr>
      <w:tr>
        <w:trPr>
          <w:trHeight w:val="183"/>
        </w:trPr>
        <w:tc>
          <w:tcPr>
            <w:tcW w:w="3760" w:type="dxa"/>
            <w:vAlign w:val="bottom"/>
            <w:tcBorders>
              <w:bottom w:val="single" w:sz="8" w:color="0000EE"/>
            </w:tcBorders>
            <w:gridSpan w:val="2"/>
          </w:tcPr>
          <w:p>
            <w:pPr>
              <w:spacing w:after="0" w:line="184" w:lineRule="exact"/>
              <w:rPr>
                <w:sz w:val="20"/>
                <w:szCs w:val="20"/>
                <w:color w:val="auto"/>
              </w:rPr>
            </w:pPr>
            <w:r>
              <w:rPr>
                <w:rFonts w:ascii="Times New Roman" w:cs="Times New Roman" w:eastAsia="Times New Roman" w:hAnsi="Times New Roman"/>
                <w:sz w:val="17"/>
                <w:szCs w:val="17"/>
                <w:color w:val="0000EE"/>
                <w:w w:val="97"/>
              </w:rPr>
              <w:t>CONSOLIDATED STATEMENTS OF CASH FLOWS</w:t>
            </w:r>
          </w:p>
        </w:tc>
        <w:tc>
          <w:tcPr>
            <w:tcW w:w="4080" w:type="dxa"/>
            <w:vAlign w:val="bottom"/>
            <w:gridSpan w:val="5"/>
          </w:tcPr>
          <w:p>
            <w:pPr>
              <w:spacing w:after="0"/>
              <w:rPr>
                <w:sz w:val="15"/>
                <w:szCs w:val="15"/>
                <w:color w:val="auto"/>
              </w:rPr>
            </w:pPr>
          </w:p>
        </w:tc>
        <w:tc>
          <w:tcPr>
            <w:tcW w:w="760" w:type="dxa"/>
            <w:vAlign w:val="bottom"/>
          </w:tcPr>
          <w:p>
            <w:pPr>
              <w:ind w:left="520"/>
              <w:spacing w:after="0" w:line="184" w:lineRule="exact"/>
              <w:rPr>
                <w:sz w:val="20"/>
                <w:szCs w:val="20"/>
                <w:color w:val="auto"/>
              </w:rPr>
            </w:pPr>
            <w:r>
              <w:rPr>
                <w:rFonts w:ascii="Times New Roman" w:cs="Times New Roman" w:eastAsia="Times New Roman" w:hAnsi="Times New Roman"/>
                <w:sz w:val="17"/>
                <w:szCs w:val="17"/>
                <w:color w:val="auto"/>
                <w:w w:val="92"/>
              </w:rPr>
              <w:t>F-6</w:t>
            </w:r>
          </w:p>
        </w:tc>
      </w:tr>
      <w:tr>
        <w:trPr>
          <w:trHeight w:val="183"/>
        </w:trPr>
        <w:tc>
          <w:tcPr>
            <w:tcW w:w="7840" w:type="dxa"/>
            <w:vAlign w:val="bottom"/>
            <w:gridSpan w:val="7"/>
          </w:tcPr>
          <w:p>
            <w:pPr>
              <w:spacing w:after="0" w:line="184"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760" w:type="dxa"/>
            <w:vAlign w:val="bottom"/>
          </w:tcPr>
          <w:p>
            <w:pPr>
              <w:ind w:left="520"/>
              <w:spacing w:after="0" w:line="184" w:lineRule="exact"/>
              <w:rPr>
                <w:sz w:val="20"/>
                <w:szCs w:val="20"/>
                <w:color w:val="auto"/>
              </w:rPr>
            </w:pPr>
            <w:r>
              <w:rPr>
                <w:rFonts w:ascii="Times New Roman" w:cs="Times New Roman" w:eastAsia="Times New Roman" w:hAnsi="Times New Roman"/>
                <w:sz w:val="17"/>
                <w:szCs w:val="17"/>
                <w:color w:val="auto"/>
                <w:w w:val="92"/>
              </w:rPr>
              <w:t>F-7</w:t>
            </w:r>
          </w:p>
        </w:tc>
      </w:tr>
      <w:tr>
        <w:trPr>
          <w:trHeight w:val="20"/>
        </w:trPr>
        <w:tc>
          <w:tcPr>
            <w:tcW w:w="2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the shareholders and the board of directors of Helius Medical Technologies, Inc.:</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Helius Medical Technologies, Inc. (the "Company") as of December 31, 2024 and 2023, the related consolidated statements of operations and comprehensive loss, stockholders' equity, and cash flows for the years ended December 31, 2024 and 2023,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ended December 31, 2024 and 2023, in conformity with accounting principles generally accepted in the United States of America.</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Going Concern Uncertainty</w:t>
      </w:r>
    </w:p>
    <w:p>
      <w:pPr>
        <w:spacing w:after="0" w:line="215"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the Company will continue as a going concern. As discussed in Note 1 of the consolidated financial statements, the Company has recurring losses from operations, an accumulated deficit, expects to incur losses for the foreseeable future and requires additional working capital. These are the reasons that raise substantial doubt about their ability to continue as a going concern. Management’s plans in regard to these matters are also described in Note 1. The consolidated financial statements do not contain any adjustments that might result from the outcome of this uncertainty.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7" w:lineRule="exact"/>
        <w:rPr>
          <w:sz w:val="20"/>
          <w:szCs w:val="20"/>
          <w:color w:val="auto"/>
        </w:rPr>
      </w:pPr>
    </w:p>
    <w:p>
      <w:pPr>
        <w:ind w:left="40" w:right="319"/>
        <w:spacing w:after="0" w:line="256"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1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Critical audit matter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Audit Matter Description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Valuation of warrants</w:t>
      </w:r>
    </w:p>
    <w:p>
      <w:pPr>
        <w:spacing w:after="0" w:line="215" w:lineRule="exact"/>
        <w:rPr>
          <w:sz w:val="20"/>
          <w:szCs w:val="20"/>
          <w:color w:val="auto"/>
        </w:rPr>
      </w:pPr>
    </w:p>
    <w:p>
      <w:pPr>
        <w:jc w:val="both"/>
        <w:ind w:left="40" w:right="279"/>
        <w:spacing w:after="0" w:line="271" w:lineRule="auto"/>
        <w:rPr>
          <w:sz w:val="20"/>
          <w:szCs w:val="20"/>
          <w:color w:val="auto"/>
        </w:rPr>
      </w:pPr>
      <w:r>
        <w:rPr>
          <w:rFonts w:ascii="Times New Roman" w:cs="Times New Roman" w:eastAsia="Times New Roman" w:hAnsi="Times New Roman"/>
          <w:sz w:val="16"/>
          <w:szCs w:val="16"/>
          <w:color w:val="auto"/>
        </w:rPr>
        <w:t>As described in Note 8 to the consolidated financial statements, the Company completed an equity offering during the prior year which included the issuance of warrants. Management concluded the warrants met the criteria for the classification as liabilities. Given the liability treatment, the Company is required to determine the fair value of the warrants at each reporting period.</w:t>
      </w:r>
    </w:p>
    <w:p>
      <w:pPr>
        <w:spacing w:after="0" w:line="2" w:lineRule="exact"/>
        <w:rPr>
          <w:sz w:val="20"/>
          <w:szCs w:val="20"/>
          <w:color w:val="auto"/>
        </w:rPr>
      </w:pPr>
    </w:p>
    <w:p>
      <w:pPr>
        <w:jc w:val="both"/>
        <w:ind w:left="40" w:right="219"/>
        <w:spacing w:after="0" w:line="254" w:lineRule="auto"/>
        <w:rPr>
          <w:sz w:val="20"/>
          <w:szCs w:val="20"/>
          <w:color w:val="auto"/>
        </w:rPr>
      </w:pPr>
      <w:r>
        <w:rPr>
          <w:rFonts w:ascii="Times New Roman" w:cs="Times New Roman" w:eastAsia="Times New Roman" w:hAnsi="Times New Roman"/>
          <w:sz w:val="17"/>
          <w:szCs w:val="17"/>
          <w:color w:val="auto"/>
        </w:rPr>
        <w:t>Due to the complexities in determining the fair value, including use of complex valuation techniques and management judgment and estimation in determining assumptions and inputs into the valuation model, we identified the valuation of the warrants issued as a critical audit matter.</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How We Addressed the Matter in Our Audit</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231" w:lineRule="exact"/>
        <w:rPr>
          <w:sz w:val="20"/>
          <w:szCs w:val="20"/>
          <w:color w:val="auto"/>
        </w:rPr>
      </w:pPr>
    </w:p>
    <w:p>
      <w:pPr>
        <w:ind w:left="680" w:right="79"/>
        <w:spacing w:after="0" w:line="263" w:lineRule="auto"/>
        <w:rPr>
          <w:sz w:val="20"/>
          <w:szCs w:val="20"/>
          <w:color w:val="auto"/>
        </w:rPr>
      </w:pPr>
      <w:r>
        <w:rPr>
          <w:rFonts w:ascii="Times New Roman" w:cs="Times New Roman" w:eastAsia="Times New Roman" w:hAnsi="Times New Roman"/>
          <w:sz w:val="17"/>
          <w:szCs w:val="17"/>
          <w:color w:val="auto"/>
        </w:rPr>
        <w:t>Evaluated the methodologies, with the assistance of a firm valuation specialist, and key assumptions used by management to assess the Company’s fair value of the warrant liability, including assessing the reasonableness of the source information underlying the valuation assumptions.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Performed an independent calculation to test the reasonableness of the fair value of the warrant liability.</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Helius Medical Technologies, Inc.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626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60" w:type="dxa"/>
            <w:vAlign w:val="bottom"/>
            <w:tcBorders>
              <w:top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5,182</w:t>
            </w: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Inventory, net</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196"/>
        </w:trPr>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7,438</w:t>
            </w: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3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 net</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6"/>
        </w:trPr>
        <w:tc>
          <w:tcPr>
            <w:tcW w:w="6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3,542</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7,692</w:t>
            </w:r>
          </w:p>
        </w:tc>
      </w:tr>
      <w:tr>
        <w:trPr>
          <w:trHeight w:val="181"/>
        </w:trPr>
        <w:tc>
          <w:tcPr>
            <w:tcW w:w="6260" w:type="dxa"/>
            <w:vAlign w:val="bottom"/>
            <w:shd w:val="clear" w:color="auto" w:fill="CCEEFF"/>
          </w:tcPr>
          <w:p>
            <w:pPr>
              <w:ind w:left="1180"/>
              <w:spacing w:after="0" w:line="181"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3"/>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Current portion of deferred revenue</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196"/>
        </w:trPr>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3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03"/>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Derivative liability</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w:t>
            </w:r>
          </w:p>
        </w:tc>
      </w:tr>
      <w:tr>
        <w:trPr>
          <w:trHeight w:val="196"/>
        </w:trPr>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5,342</w:t>
            </w:r>
          </w:p>
        </w:tc>
      </w:tr>
      <w:tr>
        <w:trPr>
          <w:trHeight w:val="196"/>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7"/>
        </w:trPr>
        <w:tc>
          <w:tcPr>
            <w:tcW w:w="6260" w:type="dxa"/>
            <w:vAlign w:val="bottom"/>
          </w:tcPr>
          <w:p>
            <w:pPr>
              <w:ind w:left="100"/>
              <w:spacing w:after="0" w:line="187" w:lineRule="exact"/>
              <w:rPr>
                <w:sz w:val="20"/>
                <w:szCs w:val="20"/>
                <w:color w:val="auto"/>
              </w:rPr>
            </w:pPr>
            <w:r>
              <w:rPr>
                <w:rFonts w:ascii="Times New Roman" w:cs="Times New Roman" w:eastAsia="Times New Roman" w:hAnsi="Times New Roman"/>
                <w:sz w:val="17"/>
                <w:szCs w:val="17"/>
                <w:color w:val="auto"/>
              </w:rPr>
              <w:t>Class A common stock, $0.001 par value; 150,000,000 shares authorized; 3,728,172</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and 714,590 shares issued and outstanding as of December 31, 2024 and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9"/>
        </w:trPr>
        <w:tc>
          <w:tcPr>
            <w:tcW w:w="6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172,421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162,979</w:t>
            </w: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3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(171,699)</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(159,957)</w:t>
            </w: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196"/>
        </w:trPr>
        <w:tc>
          <w:tcPr>
            <w:tcW w:w="6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2,350</w:t>
            </w:r>
          </w:p>
        </w:tc>
      </w:tr>
      <w:tr>
        <w:trPr>
          <w:trHeight w:val="196"/>
        </w:trPr>
        <w:tc>
          <w:tcPr>
            <w:tcW w:w="6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3,542</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7,692</w:t>
            </w:r>
          </w:p>
        </w:tc>
      </w:tr>
      <w:tr>
        <w:trPr>
          <w:trHeight w:val="20"/>
        </w:trPr>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Helius Medical Technologies, Inc.</w:t>
      </w:r>
    </w:p>
    <w:p>
      <w:pPr>
        <w:spacing w:after="0" w:line="27" w:lineRule="exact"/>
        <w:rPr>
          <w:sz w:val="20"/>
          <w:szCs w:val="20"/>
          <w:color w:val="auto"/>
        </w:rPr>
      </w:pPr>
    </w:p>
    <w:p>
      <w:pPr>
        <w:ind w:left="40" w:right="429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Consolidated Statements of Operations and Comprehensive Loss </w:t>
      </w:r>
      <w:r>
        <w:rPr>
          <w:rFonts w:ascii="Times New Roman" w:cs="Times New Roman" w:eastAsia="Times New Roman" w:hAnsi="Times New Roman"/>
          <w:sz w:val="17"/>
          <w:szCs w:val="17"/>
          <w:color w:val="auto"/>
        </w:rPr>
        <w:t>(in thousands, except share and per share amounts)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5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32"/>
        </w:trPr>
        <w:tc>
          <w:tcPr>
            <w:tcW w:w="5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37"/>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36"/>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Product sales, net</w:t>
            </w:r>
          </w:p>
        </w:tc>
        <w:tc>
          <w:tcPr>
            <w:tcW w:w="122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28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revenue</w:t>
            </w:r>
          </w:p>
        </w:tc>
        <w:tc>
          <w:tcPr>
            <w:tcW w:w="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96"/>
        </w:trPr>
        <w:tc>
          <w:tcPr>
            <w:tcW w:w="5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Gross (loss) profit</w:t>
            </w:r>
          </w:p>
        </w:tc>
        <w:tc>
          <w:tcPr>
            <w:tcW w:w="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03"/>
        </w:trPr>
        <w:tc>
          <w:tcPr>
            <w:tcW w:w="5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expense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Fixed asset impairment</w:t>
            </w:r>
          </w:p>
        </w:tc>
        <w:tc>
          <w:tcPr>
            <w:tcW w:w="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13,841</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12,489</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Nonoperating income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03"/>
        </w:trPr>
        <w:tc>
          <w:tcPr>
            <w:tcW w:w="5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in fair value of derivative liability</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(1,006)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income, net</w:t>
            </w:r>
          </w:p>
        </w:tc>
        <w:tc>
          <w:tcPr>
            <w:tcW w:w="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Nonoperating income, net</w:t>
            </w:r>
          </w:p>
        </w:tc>
        <w:tc>
          <w:tcPr>
            <w:tcW w:w="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2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Comprehensive loss</w:t>
            </w: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(10,736)</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(9,135)</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Loss per share</w:t>
            </w: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1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(4.33)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9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jc w:val="right"/>
              <w:ind w:right="135"/>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(4.33)</w:t>
            </w:r>
          </w:p>
        </w:tc>
        <w:tc>
          <w:tcPr>
            <w:tcW w:w="2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r>
        <w:trPr>
          <w:trHeight w:val="181"/>
        </w:trPr>
        <w:tc>
          <w:tcPr>
            <w:tcW w:w="50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9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2,709,781</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607,890</w:t>
            </w:r>
          </w:p>
        </w:tc>
        <w:tc>
          <w:tcPr>
            <w:tcW w:w="0" w:type="dxa"/>
            <w:vAlign w:val="bottom"/>
          </w:tcPr>
          <w:p>
            <w:pPr>
              <w:spacing w:after="0"/>
              <w:rPr>
                <w:sz w:val="1"/>
                <w:szCs w:val="1"/>
                <w:color w:val="auto"/>
              </w:rPr>
            </w:pPr>
          </w:p>
        </w:tc>
      </w:tr>
      <w:tr>
        <w:trPr>
          <w:trHeight w:val="181"/>
        </w:trPr>
        <w:tc>
          <w:tcPr>
            <w:tcW w:w="5060" w:type="dxa"/>
            <w:vAlign w:val="bottom"/>
            <w:tcBorders>
              <w:bottom w:val="single" w:sz="8" w:color="CCEEFF"/>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Diluted</w:t>
            </w:r>
          </w:p>
        </w:tc>
        <w:tc>
          <w:tcPr>
            <w:tcW w:w="9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2,709,781</w:t>
            </w: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607,890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Helius Medical Technologies, Inc.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thousands, except share amounts)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10"/>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9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3"/>
          </w:tcPr>
          <w:p>
            <w:pPr>
              <w:jc w:val="right"/>
              <w:ind w:right="35"/>
              <w:spacing w:after="0" w:line="133"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gridSpan w:val="4"/>
          </w:tcPr>
          <w:p>
            <w:pPr>
              <w:jc w:val="right"/>
              <w:ind w:right="35"/>
              <w:spacing w:after="0" w:line="133"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60"/>
              <w:spacing w:after="0" w:line="133"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January 1, 2023</w:t>
            </w:r>
          </w:p>
        </w:tc>
        <w:tc>
          <w:tcPr>
            <w:tcW w:w="4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564,094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159,645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(151,107)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8,151</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Issuance of common stock in public offering</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53,010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issuance costs</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92,910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 of restricted stock units</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12"/>
              <w:spacing w:after="0"/>
              <w:rPr>
                <w:sz w:val="20"/>
                <w:szCs w:val="20"/>
                <w:color w:val="auto"/>
              </w:rPr>
            </w:pPr>
            <w:r>
              <w:rPr>
                <w:rFonts w:ascii="Times New Roman" w:cs="Times New Roman" w:eastAsia="Times New Roman" w:hAnsi="Times New Roman"/>
                <w:sz w:val="17"/>
                <w:szCs w:val="17"/>
                <w:color w:val="auto"/>
              </w:rPr>
              <w:t>(8,850)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714,590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162,979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(159,957)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right"/>
              <w:ind w:right="57"/>
              <w:spacing w:after="0" w:line="133"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80"/>
              <w:spacing w:after="0" w:line="133" w:lineRule="exact"/>
              <w:rPr>
                <w:sz w:val="20"/>
                <w:szCs w:val="20"/>
                <w:color w:val="auto"/>
              </w:rPr>
            </w:pPr>
            <w:r>
              <w:rPr>
                <w:rFonts w:ascii="Times New Roman" w:cs="Times New Roman" w:eastAsia="Times New Roman" w:hAnsi="Times New Roman"/>
                <w:sz w:val="14"/>
                <w:szCs w:val="14"/>
                <w:b w:val="1"/>
                <w:bCs w:val="1"/>
                <w:color w:val="auto"/>
                <w:w w:val="90"/>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7"/>
              <w:spacing w:after="0" w:line="13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January 1, 2024</w:t>
            </w: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714,590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162,979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(159,957)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w:t>
            </w:r>
          </w:p>
        </w:tc>
        <w:tc>
          <w:tcPr>
            <w:tcW w:w="0" w:type="dxa"/>
            <w:vAlign w:val="bottom"/>
          </w:tcPr>
          <w:p>
            <w:pPr>
              <w:spacing w:after="0"/>
              <w:rPr>
                <w:sz w:val="1"/>
                <w:szCs w:val="1"/>
                <w:color w:val="auto"/>
              </w:rPr>
            </w:pPr>
          </w:p>
        </w:tc>
      </w:tr>
      <w:tr>
        <w:trPr>
          <w:trHeight w:val="187"/>
        </w:trPr>
        <w:tc>
          <w:tcPr>
            <w:tcW w:w="30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Issuance of common stock in public</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offering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853,200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2,961</w:t>
            </w:r>
          </w:p>
        </w:tc>
        <w:tc>
          <w:tcPr>
            <w:tcW w:w="0" w:type="dxa"/>
            <w:vAlign w:val="bottom"/>
          </w:tcPr>
          <w:p>
            <w:pPr>
              <w:spacing w:after="0"/>
              <w:rPr>
                <w:sz w:val="1"/>
                <w:szCs w:val="1"/>
                <w:color w:val="auto"/>
              </w:rPr>
            </w:pPr>
          </w:p>
        </w:tc>
      </w:tr>
      <w:tr>
        <w:trPr>
          <w:trHeight w:val="20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warrants in public offering</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issuance costs</w:t>
            </w: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2,158,154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Settlement of restricted stock units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(11,742)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(11,742)</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3,728,172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172,421</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(171,699)</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Helius Medical Technologies, Inc.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thousands)</w:t>
      </w:r>
    </w:p>
    <w:p>
      <w:pPr>
        <w:spacing w:after="0" w:line="10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7400"/>
        <w:spacing w:after="0" w:line="217"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5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6"/>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6"/>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32"/>
        </w:trPr>
        <w:tc>
          <w:tcPr>
            <w:tcW w:w="5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(8,850)</w:t>
            </w: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in fair value of derivative liability</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w:t>
            </w: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Depreciation expense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expense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Fixed asset impairment</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Provision for (reversal of) inventory reserve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receivables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3"/>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196"/>
        </w:trPr>
        <w:tc>
          <w:tcPr>
            <w:tcW w:w="58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196"/>
        </w:trPr>
        <w:tc>
          <w:tcPr>
            <w:tcW w:w="5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8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19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warrants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issuance costs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196"/>
        </w:trPr>
        <w:tc>
          <w:tcPr>
            <w:tcW w:w="5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8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r>
      <w:tr>
        <w:trPr>
          <w:trHeight w:val="19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currency exchange rate changes on cash and cash equivalents</w:t>
            </w:r>
          </w:p>
        </w:tc>
        <w:tc>
          <w:tcPr>
            <w:tcW w:w="8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6"/>
        </w:trPr>
        <w:tc>
          <w:tcPr>
            <w:tcW w:w="5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(9,367)</w:t>
            </w: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8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14,549</w:t>
            </w:r>
          </w:p>
        </w:tc>
      </w:tr>
      <w:tr>
        <w:trPr>
          <w:trHeight w:val="23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8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5,182</w:t>
            </w:r>
          </w:p>
        </w:tc>
      </w:tr>
      <w:tr>
        <w:trPr>
          <w:trHeight w:val="181"/>
        </w:trPr>
        <w:tc>
          <w:tcPr>
            <w:tcW w:w="5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Non-cash investing and financing transactions: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Derivative warrant liability reclassified to equity on exercise of warrants</w:t>
            </w:r>
          </w:p>
        </w:tc>
        <w:tc>
          <w:tcPr>
            <w:tcW w:w="10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19"/>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offering costs reclassified to equity upon public offering</w:t>
            </w:r>
          </w:p>
        </w:tc>
        <w:tc>
          <w:tcPr>
            <w:tcW w:w="10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Helius Medical Technologies, Inc.</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11" w:lineRule="exact"/>
        <w:rPr>
          <w:sz w:val="20"/>
          <w:szCs w:val="20"/>
          <w:color w:val="auto"/>
        </w:rPr>
      </w:pPr>
    </w:p>
    <w:p>
      <w:pPr>
        <w:ind w:left="660" w:hanging="615"/>
        <w:spacing w:after="0"/>
        <w:tabs>
          <w:tab w:leader="none" w:pos="66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w:t>
      </w:r>
    </w:p>
    <w:p>
      <w:pPr>
        <w:spacing w:after="0" w:line="215"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Helius Medical Technologies, Inc. (together with its wholly owned subsidiaries the “Company”) conducts operations in the United States and Canada. The Company’s product, known as the Portable Neuromodulation Stimulator (“PoNS®”) has been commercially available in Canada since March 2019. The Company began accepting prescriptions for its PoNS product in the United States in the first quarter of 2022, and the first commercial sales began in April 2022. PoNS is authorized for sale as a Class IIa medical device in Australia. The Company is working to establish a distribution partner for Australia but has not yet had any commercial sales of PoNS in Australia.</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Going Concern Uncertainty</w:t>
      </w:r>
    </w:p>
    <w:p>
      <w:pPr>
        <w:spacing w:after="0" w:line="215"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7"/>
          <w:szCs w:val="17"/>
          <w:color w:val="auto"/>
        </w:rPr>
        <w:t>As of December 31, 2024, the Company had cash and cash equivalents of $1.1 million. For the year ended December 31, 2024, the Company had an operating loss of $13.9 million, and as of December 31, 2024, its accumulated deficit was $171.7 million. For the year ended December 31, 2024, the Company had $0.5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consolidated financial statements are filed. The Company’s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8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spacing w:after="0" w:line="173" w:lineRule="exact"/>
        <w:rPr>
          <w:sz w:val="20"/>
          <w:szCs w:val="20"/>
          <w:color w:val="auto"/>
        </w:rPr>
      </w:pPr>
    </w:p>
    <w:p>
      <w:pPr>
        <w:ind w:left="40" w:right="5159" w:firstLine="5"/>
        <w:spacing w:after="0" w:line="501" w:lineRule="auto"/>
        <w:tabs>
          <w:tab w:leader="none" w:pos="65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Principles of Consolidation</w:t>
      </w:r>
    </w:p>
    <w:p>
      <w:pPr>
        <w:spacing w:after="0" w:line="1" w:lineRule="exact"/>
        <w:rPr>
          <w:sz w:val="20"/>
          <w:szCs w:val="20"/>
          <w:color w:val="auto"/>
        </w:rPr>
      </w:pPr>
    </w:p>
    <w:p>
      <w:pPr>
        <w:ind w:left="40" w:right="359"/>
        <w:spacing w:after="0" w:line="278" w:lineRule="auto"/>
        <w:rPr>
          <w:sz w:val="20"/>
          <w:szCs w:val="20"/>
          <w:color w:val="auto"/>
        </w:rPr>
      </w:pPr>
      <w:r>
        <w:rPr>
          <w:rFonts w:ascii="Times New Roman" w:cs="Times New Roman" w:eastAsia="Times New Roman" w:hAnsi="Times New Roman"/>
          <w:sz w:val="17"/>
          <w:szCs w:val="17"/>
          <w:color w:val="auto"/>
        </w:rPr>
        <w:t>The accompanying consolidated financial statements reflect the operations of Helius Medical Technologies, Inc. and its wholly owned subsidiaries. All intercompany balances and transactions have been eliminated in consolidation.</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5" w:lineRule="exact"/>
        <w:rPr>
          <w:sz w:val="20"/>
          <w:szCs w:val="20"/>
          <w:color w:val="auto"/>
        </w:rPr>
      </w:pPr>
    </w:p>
    <w:p>
      <w:pPr>
        <w:ind w:left="40" w:right="259"/>
        <w:spacing w:after="0" w:line="256"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fair value-pricing model for stock-based compensation, liability classified warrants and deferred income tax asset valuation allowance. Financial statements include estimates, which, by their nature, are uncertain. Actual results could differ from those estimates.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215"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The local currency, or CAD$, is the functional currency of the Company’s foreign operating subsidiary, Helius Medical Technologies (Canada), Inc. All assets and liabilities are translated into United States dollars at the rate of exchange in effect at the balance sheet date. Income and expense items are translated at the weighted-average exchange rate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prevailing during the period. The effects of foreign currency translation adjustments are deferred and reported in stockholders' equity as a component of “Accumulated Other Comprehensive Loss.” The effects of foreign currency transactions denominated in a currency other than an entity's functional currency are included in “Foreign Exchange (Loss) Gain” in the Consolidated Statements of Operations and Comprehensive Loss.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5"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The Company generates nearly all revenue from product sales directly to patients, its e-commerce partner in the United States and to clinics in Canada. Revenue from product sales is recognized at a point in time as the performance obligation is satisfied and when the customer obtains control of the product at the established transaction price. Taxes that the Company collects concurrent with revenue-producing activities are excluded from revenue.</w:t>
      </w:r>
    </w:p>
    <w:p>
      <w:pPr>
        <w:spacing w:after="0" w:line="173"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The Company requires some customers in the United States to prepay the full product selling price, net of cash discount, prior to shipment. The Company records a contract liability for any customer prepayment received for which delivery had not yet occurred as of the end of the period.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15" w:lineRule="exact"/>
        <w:rPr>
          <w:sz w:val="20"/>
          <w:szCs w:val="20"/>
          <w:color w:val="auto"/>
        </w:rPr>
      </w:pPr>
    </w:p>
    <w:p>
      <w:pPr>
        <w:jc w:val="both"/>
        <w:ind w:left="40" w:right="119"/>
        <w:spacing w:after="0" w:line="263" w:lineRule="auto"/>
        <w:rPr>
          <w:sz w:val="20"/>
          <w:szCs w:val="20"/>
          <w:color w:val="auto"/>
        </w:rPr>
      </w:pPr>
      <w:r>
        <w:rPr>
          <w:rFonts w:ascii="Times New Roman" w:cs="Times New Roman" w:eastAsia="Times New Roman" w:hAnsi="Times New Roman"/>
          <w:sz w:val="17"/>
          <w:szCs w:val="17"/>
          <w:color w:val="auto"/>
        </w:rPr>
        <w:t>The Company deposits its cash and cash equivalents in demand commercial checking, unrestricted money market savings account, money market mutual funds, treasury bills or certificates of deposit at high-quality credit institutions. At times, such deposits may be in excess of federally insured limits. The Company has not experienced any losses.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215"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The Company considers highly liquid investments with original maturities of three months or less to be cash equivalents. Cash equivalents are valued at cost, which approximates fair value.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15"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Accounts receivable arise primarily from product sales in Canada and generally require payment within 30 days. The Company provides reserves against accounts receivable for estimated credit losses that may result from a customer’s inability to pay based on a combination of factors, such as the aging of accounts receivable past the due date, the customer’s financial strength and payment history. Amounts determined to be uncollectible are charged or written off against the reserve.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Employee Retention Credit</w:t>
      </w:r>
    </w:p>
    <w:p>
      <w:pPr>
        <w:spacing w:after="0" w:line="215"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employee retention credit (“ERC”), as originally enacted through the Coronavirus Aid, Relief, and Economic Security Act, is a refundable credit against certain employment taxes equal to 50% of the qualified wages an eligible employer pays to employees from March 17, 2020 to December 31, 2020. The Disaster Tax Relief Act extended the ERC for qualified wages paid from January 1, 2021 to June 30, 2021 and the credit was increased to 70% of qualified wages an eligible employer pays to employees during the extended period. The American Rescue Plan Act of 2021, enacted on March 11, 2021, further extended the ERC through December 31, 2021.</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Company qualified for the employee retention credit for the period from March 17, 2020 to September 30, 2021. The Company recognizes government credits for which there is a reasonable assurance of compliance with credit conditions and receipt of credits. The Company accounts for the ERC as government assistance and applies the grant accounting model by analogy to International Accounting Standard 20, Accounting for Government Grants and Disclosure of Government Assistance. Under this approach, the Company recognizes the credit when there is reasonable assurance that it will comply with the conditions of the grant and that the credit will be received.</w:t>
      </w:r>
    </w:p>
    <w:p>
      <w:pPr>
        <w:spacing w:after="0" w:line="177"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7"/>
          <w:szCs w:val="17"/>
          <w:color w:val="auto"/>
        </w:rPr>
        <w:t>The Company recorded a credit of $0.5 million against operating expenses on the Consolidated Statement of Operations and Comprehensive Loss during the year ended December 31, 2023 and as a current asset on the consolidated balance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sheets during the year ended December 31, 2024 and December 31, 2023 as an other receivable. The Company expects to receive the credit in the next twelve months.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215"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7"/>
          <w:szCs w:val="17"/>
          <w:color w:val="auto"/>
        </w:rPr>
        <w:t>Inventories are stated at the lower of cost (average cost method) or net realizable value. The Company establishes inventory reserves for obsolescence based upon specific identification of expired or unusable units with a corresponding provision included in cost of revenue.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Property and equipment are recorded at cost. Depreciation is calculated for financial reporting purposes on the straight-line method over the estimated useful lives of the related assets, which are seven years for furniture and fixtures, five to fifteen years for equipment and three to five years for computer software and hardware. Depreciation expense is recorded in selling, general and administrative expenses. Expenditures for repairs and maintenance, which do not improve or extend the expected useful life of the assets, are expensed as incurred.</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215"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color w:val="auto"/>
        </w:rPr>
        <w:t>Management reviews the carrying amounts of definite-lived intangible assets and long-lived assets, including right-of-use (“ROU”) assets, property and equipment whenever events or circumstances indicate that the carrying amounts of an asset may not be recoverable. For purposes of assessing recoverability, definite-lived intangible assets and long-lived tangible assets are each deemed to be one asset group. The carrying amount of the asset group is compared to the estimated undiscounted future cash flows associated with it. If the sum of the expected future net cash flows is less than the carrying value of the asset group being evaluated, an impairment loss is calculated as the amount by which the carrying value of the asset group exceeds its estimated fair value.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15"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The Company has an operating lease for its corporate office. The Company determines whether a contract is, or contains, a lease at inception. ROU assets represent the Company’s right to use an underlying asset during the lease term, and lease liabilities represent the Company’s obligation to make lease payments arising from the lease. ROU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 The Company's incremental borrowing rate is determined based on the estimated rate of interest for collateralized borrowing over a similar term as the associated lease. The Company’s lease arrangement does not have any lease and non-lease components.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5" w:lineRule="exact"/>
        <w:rPr>
          <w:sz w:val="20"/>
          <w:szCs w:val="20"/>
          <w:color w:val="auto"/>
        </w:rPr>
      </w:pPr>
    </w:p>
    <w:p>
      <w:pPr>
        <w:jc w:val="both"/>
        <w:ind w:left="40" w:right="239"/>
        <w:spacing w:after="0" w:line="276" w:lineRule="auto"/>
        <w:rPr>
          <w:sz w:val="20"/>
          <w:szCs w:val="20"/>
          <w:color w:val="auto"/>
        </w:rPr>
      </w:pPr>
      <w:r>
        <w:rPr>
          <w:rFonts w:ascii="Times New Roman" w:cs="Times New Roman" w:eastAsia="Times New Roman" w:hAnsi="Times New Roman"/>
          <w:sz w:val="16"/>
          <w:szCs w:val="16"/>
          <w:color w:val="auto"/>
        </w:rPr>
        <w:t>The Company measures and recognizes compensation expense for all stock-based awards based on estimated fair values. Stock-based awards consist of stock options and restricted stock units. Stock-based compensation expense is measured at the grant date based on the fair value of the award and is recognized as expense over the requisite service period (vesting period) on a straight-line basis. Forfeitures are not estimated, but instead stock-based compensation expense is adjusted upon an actual forfeiture of a stock option. Upon exercise of stock options or vesting of restricted stock units, the Company issues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5" w:lineRule="exact"/>
        <w:rPr>
          <w:sz w:val="20"/>
          <w:szCs w:val="20"/>
          <w:color w:val="auto"/>
        </w:rPr>
      </w:pPr>
    </w:p>
    <w:p>
      <w:pPr>
        <w:ind w:left="40" w:right="179"/>
        <w:spacing w:after="0" w:line="254" w:lineRule="auto"/>
        <w:rPr>
          <w:sz w:val="20"/>
          <w:szCs w:val="20"/>
          <w:color w:val="auto"/>
        </w:rPr>
      </w:pPr>
      <w:r>
        <w:rPr>
          <w:rFonts w:ascii="Times New Roman" w:cs="Times New Roman" w:eastAsia="Times New Roman" w:hAnsi="Times New Roman"/>
          <w:sz w:val="17"/>
          <w:szCs w:val="17"/>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for deferred income tax assets is recorded when it is more likely than not that some portion or all of the deferred income tax assets will not be realized.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15"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Selling, general and administrative expenses are charged to expense when incurred. Advertising expenses were $651 thousand and $670 thousand for the years ended December 31, 2024 and 2023, respectively.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Research and development costs are charged to expense when incurred.</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215"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The Company does not engage in hedging activities. The Company evaluates its financial instruments and other contracts to determine if those contracts or embedded components of those contracts qualify as derivatives to be separately accounted for. The result of this accounting treatment is that the fair value of the derivative is re-measured at each balance sheet date and recorded as a liability or asset and the change in fair value is recorded in the Consolidated Statements of Operations and Comprehensive Loss. Reclassifications or partial reclassifications to equity are recorded based on the fair value of the derivative on the transaction date. Refer to Note 8 for additional information about the derivative liability.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Basic and Diluted Loss per Share</w:t>
      </w:r>
    </w:p>
    <w:p>
      <w:pPr>
        <w:spacing w:after="0" w:line="215"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Basic loss per share is computed by dividing net loss by the weighted-average number of common shares outstanding during the period. Diluted loss per share is based on the weighted-average common shares outstanding during the period plus dilutive potential common shares calculated using the treasury stock method. Such potentially dilutive shares are excluded when the effect would be to reduce a net loss per share.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Accounting Standards Adopted</w:t>
      </w:r>
    </w:p>
    <w:p>
      <w:pPr>
        <w:spacing w:after="0" w:line="215"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2023-07, Segment Reporting (Topic 280): Improvements to Reportable Segment Disclosures. ASU 2023-07 modifies reportable segment disclosure requirements, primarily through enhanced disclosures about segment expenses categorized as significant or regularly provided to the CODM. In addition, the amendments enhance interim disclosure requirements, clarify circumstances in which an entity can disclose multiple segment measures of profit or loss, and contain other disclosure requirements. The purpose of the amendments is to enable investors to better understand an entity’s overall performance and assess potential future cash flows. This ASU is effective for annual periods beginning after December 15, 2023, and interim periods within annual periods beginning after December 15, 2024, with early adoption permitted. Refer to Note 14 for additional information regarding implementation of this new standard.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Accounting Standards Not Yet Adopted</w:t>
      </w:r>
    </w:p>
    <w:p>
      <w:pPr>
        <w:spacing w:after="0" w:line="215"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ASU 2024-03 requires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interim and annual tabular disclosure of disaggregated information for certain income statement expense captions. Specific expense categories required to be disclosed quantitatively include inventory purchases, employee compensation, depreciation, and intangible asset amortization, as well as other specified expense categories currently disclosed under existing disclosure requirements. Additionally, any remaining amounts that are not separately disaggregated are required to be described qualitatively. ASU 2024-03 also requires separate disclosure of total selling expenses incurred each reporting period, with annual disclosure of the entity's definition of selling expenses. The annual disclosures required by ASU 2024-03 are effective for the Company beginning in its fiscal year ending December 31, 2027, with interim disclosures effective beginning in its fiscal year ending December 31, 2028. The provisions of ASU 2024-03 are to be applied prospectively, although retrospective application is permitted. Early adoption is also permitted. The Company is currently evaluating the ASU to determine its impact on the Company’s disclosures.</w:t>
      </w:r>
    </w:p>
    <w:p>
      <w:pPr>
        <w:spacing w:after="0" w:line="18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 beginning in its fiscal year ending December 31, 2025. The Company is currently evaluating the ASU to determine its impact on the Company’s disclosures.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March 2024, the SEC adopted rules under SEC Release No. 33-11275, The Enhancement and Standardization of Climate-Related Disclosures for Investors, which requires the disclosure of material Scope 1 and Scope 2 greenhouse gas emissions and other climate-related topics in annual reports and registration statements. For non-accelerated filers and smaller reporting companies, disclosure requirements will begin phasing in for fiscal years beginning on or after January 1, 2027, subject to legal challenges and the SEC's voluntary stay of the disclosure requirements. The Company is currently evaluating the impact these rules will have on its consolidated financial statements and related disclosures.</w:t>
      </w:r>
    </w:p>
    <w:p>
      <w:pPr>
        <w:spacing w:after="0" w:line="173" w:lineRule="exact"/>
        <w:rPr>
          <w:sz w:val="20"/>
          <w:szCs w:val="20"/>
          <w:color w:val="auto"/>
        </w:rPr>
      </w:pPr>
    </w:p>
    <w:p>
      <w:pPr>
        <w:ind w:left="660" w:hanging="615"/>
        <w:spacing w:after="0"/>
        <w:tabs>
          <w:tab w:leader="none" w:pos="66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FIXED ASSETS IMPAIRMENT</w:t>
      </w:r>
    </w:p>
    <w:p>
      <w:pPr>
        <w:spacing w:after="0" w:line="215" w:lineRule="exact"/>
        <w:rPr>
          <w:sz w:val="20"/>
          <w:szCs w:val="20"/>
          <w:color w:val="auto"/>
        </w:rPr>
      </w:pPr>
    </w:p>
    <w:p>
      <w:pPr>
        <w:ind w:left="40" w:right="279"/>
        <w:spacing w:after="0" w:line="263" w:lineRule="auto"/>
        <w:rPr>
          <w:sz w:val="20"/>
          <w:szCs w:val="20"/>
          <w:color w:val="auto"/>
        </w:rPr>
      </w:pPr>
      <w:r>
        <w:rPr>
          <w:rFonts w:ascii="Times New Roman" w:cs="Times New Roman" w:eastAsia="Times New Roman" w:hAnsi="Times New Roman"/>
          <w:sz w:val="17"/>
          <w:szCs w:val="17"/>
          <w:color w:val="auto"/>
        </w:rPr>
        <w:t>In the fourth quarter of 2024, the Company made the decision to no longer utilize certain capitalized software associated with its enterprise resource planning system and as a result, impairment charges of $40 thousand were recorded in the fourth quarter of 2024 on its long-lived tangible assets.</w:t>
      </w:r>
    </w:p>
    <w:p>
      <w:pPr>
        <w:spacing w:after="0" w:line="17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In the third quarter of 2023, the Company identified an impairment indicator associated with its property and equipment and performed interim impairment tests on the long-lived tangible assets as a result of a planned change of the Company’s contract manufacturing partner to be completed in less than one year from September 30, 2023. The interim impairment tests were performed using estimated market prices. The Company had determined that the fair value of certain long-lived tangible assets was lower than the related book values. Additionally, for certain long-lived tangible assets, it is more likely than not that those long-lived assets will be disposed significantly before the end of their previously estimated useful lives. As a result, impairment charges of $159 thousand were recorded in the third quarter of 2023 on its long-lived tangible assets.</w:t>
      </w:r>
    </w:p>
    <w:p>
      <w:pPr>
        <w:spacing w:after="0" w:line="174" w:lineRule="exact"/>
        <w:rPr>
          <w:sz w:val="20"/>
          <w:szCs w:val="20"/>
          <w:color w:val="auto"/>
        </w:rPr>
      </w:pPr>
    </w:p>
    <w:p>
      <w:pPr>
        <w:ind w:left="660" w:hanging="615"/>
        <w:spacing w:after="0"/>
        <w:tabs>
          <w:tab w:leader="none" w:pos="66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SUPPLEMENTAL BALANCE SHEET DISCLOSURES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Components of selected captions in the Consolidated Balance Sheets are as follows: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Accounts receivable, net</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Accounts receivable is net of allowance for doubtful accounts of $0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Inventory, net (in thousands)</w:t>
      </w: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4"/>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2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19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9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Inventory, gross</w:t>
            </w: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1,123</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 reserve</w:t>
            </w:r>
          </w:p>
        </w:tc>
        <w:tc>
          <w:tcPr>
            <w:tcW w:w="19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196"/>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Inventory, net</w:t>
            </w:r>
          </w:p>
        </w:tc>
        <w:tc>
          <w:tcPr>
            <w:tcW w:w="1960" w:type="dxa"/>
            <w:vAlign w:val="bottom"/>
          </w:tcPr>
          <w:p>
            <w:pPr>
              <w:spacing w:after="0"/>
              <w:rPr>
                <w:sz w:val="17"/>
                <w:szCs w:val="17"/>
                <w:color w:val="auto"/>
              </w:rPr>
            </w:pPr>
          </w:p>
        </w:tc>
        <w:tc>
          <w:tcPr>
            <w:tcW w:w="1260" w:type="dxa"/>
            <w:vAlign w:val="bottom"/>
            <w:tcBorders>
              <w:bottom w:val="single" w:sz="8" w:color="auto"/>
            </w:tcBorders>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1,036</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0" w:right="379"/>
        <w:spacing w:after="0" w:line="278" w:lineRule="auto"/>
        <w:rPr>
          <w:sz w:val="20"/>
          <w:szCs w:val="20"/>
          <w:color w:val="auto"/>
        </w:rPr>
      </w:pPr>
      <w:r>
        <w:rPr>
          <w:rFonts w:ascii="Times New Roman" w:cs="Times New Roman" w:eastAsia="Times New Roman" w:hAnsi="Times New Roman"/>
          <w:sz w:val="17"/>
          <w:szCs w:val="17"/>
          <w:color w:val="auto"/>
        </w:rPr>
        <w:t>During the years ended December 31, 2024 and 2023, existing reserves of $2 thousand and $16 thousand were charged against inventory, respectively.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Prepaid expenses and other current assets (in thousands)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Inventory related</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offering costs</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665</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 net (in thousands)</w:t>
            </w: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10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 2024</w:t>
            </w:r>
          </w:p>
        </w:tc>
        <w:tc>
          <w:tcPr>
            <w:tcW w:w="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Equipment</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 and hardware</w:t>
            </w:r>
          </w:p>
        </w:tc>
        <w:tc>
          <w:tcPr>
            <w:tcW w:w="14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14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6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Accrued and other current liabilities (in thousands)</w:t>
            </w: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10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Insurance payable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1740" w:type="dxa"/>
            <w:vAlign w:val="bottom"/>
            <w:gridSpan w:val="2"/>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benefits</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tax</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1,239</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Deferred revenue</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Exclusive Distribution Agreement</w:t>
      </w:r>
    </w:p>
    <w:p>
      <w:pPr>
        <w:spacing w:after="0" w:line="215"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7"/>
          <w:szCs w:val="17"/>
          <w:color w:val="auto"/>
        </w:rPr>
        <w:t>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is to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fixed value of CAD$273 thousand, which is represented by the unamortized up-front payment under the former Co-Promotion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579"/>
        <w:spacing w:after="0" w:line="278" w:lineRule="auto"/>
        <w:rPr>
          <w:sz w:val="20"/>
          <w:szCs w:val="20"/>
          <w:color w:val="auto"/>
        </w:rPr>
      </w:pPr>
      <w:r>
        <w:rPr>
          <w:rFonts w:ascii="Times New Roman" w:cs="Times New Roman" w:eastAsia="Times New Roman" w:hAnsi="Times New Roman"/>
          <w:sz w:val="17"/>
          <w:szCs w:val="17"/>
          <w:color w:val="auto"/>
        </w:rPr>
        <w:t>Agreement. The initial term of the Exclusivity Agreement expires on December 31, 2027, and is renewable by HTC for one additional five-year term upon sixty days’ written notice to the Company.</w:t>
      </w:r>
    </w:p>
    <w:p>
      <w:pPr>
        <w:spacing w:after="0" w:line="15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Deferred revenue as of both December 31, 2024 and 2023 is comprised of the remaining unamortized amount under these agreements. Revenue recognized is included in other revenue in the Consolidated Statements of Operations and Comprehensive Loss. Revenue recognized for the years ended December 31, 2024 and 2023 were $41 thousand and $35 thousand, respectively.</w:t>
      </w:r>
    </w:p>
    <w:p>
      <w:pPr>
        <w:spacing w:after="0" w:line="167" w:lineRule="exact"/>
        <w:rPr>
          <w:sz w:val="20"/>
          <w:szCs w:val="20"/>
          <w:color w:val="auto"/>
        </w:rPr>
      </w:pPr>
    </w:p>
    <w:p>
      <w:pPr>
        <w:ind w:left="660" w:hanging="615"/>
        <w:spacing w:after="0"/>
        <w:tabs>
          <w:tab w:leader="none" w:pos="66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15" w:lineRule="exact"/>
        <w:rPr>
          <w:sz w:val="20"/>
          <w:szCs w:val="20"/>
          <w:color w:val="auto"/>
        </w:rPr>
      </w:pPr>
    </w:p>
    <w:p>
      <w:pPr>
        <w:ind w:left="40" w:right="239"/>
        <w:spacing w:after="0" w:line="263" w:lineRule="auto"/>
        <w:rPr>
          <w:sz w:val="20"/>
          <w:szCs w:val="20"/>
          <w:color w:val="auto"/>
        </w:rPr>
      </w:pPr>
      <w:r>
        <w:rPr>
          <w:rFonts w:ascii="Times New Roman" w:cs="Times New Roman" w:eastAsia="Times New Roman" w:hAnsi="Times New Roman"/>
          <w:sz w:val="17"/>
          <w:szCs w:val="17"/>
          <w:color w:val="auto"/>
        </w:rPr>
        <w:t>The Company has an operating lease for office space with lease terms that commenced in January 2022 and will expire in March 2025. The lease does not contain any options to extend. Operating lease costs for the years ended December 31, 2024 and 2023 were $41 thousand and $54 thousand, respectively.</w:t>
      </w:r>
    </w:p>
    <w:p>
      <w:pPr>
        <w:spacing w:after="0" w:line="171" w:lineRule="exact"/>
        <w:rPr>
          <w:sz w:val="20"/>
          <w:szCs w:val="20"/>
          <w:color w:val="auto"/>
        </w:rPr>
      </w:pPr>
    </w:p>
    <w:p>
      <w:pPr>
        <w:ind w:left="40" w:right="319"/>
        <w:spacing w:after="0" w:line="278" w:lineRule="auto"/>
        <w:rPr>
          <w:sz w:val="20"/>
          <w:szCs w:val="20"/>
          <w:color w:val="auto"/>
        </w:rPr>
      </w:pPr>
      <w:r>
        <w:rPr>
          <w:rFonts w:ascii="Times New Roman" w:cs="Times New Roman" w:eastAsia="Times New Roman" w:hAnsi="Times New Roman"/>
          <w:sz w:val="17"/>
          <w:szCs w:val="17"/>
          <w:color w:val="auto"/>
        </w:rPr>
        <w:t>On January 16, 2025, the Company entered into an agreement to extend the operating lease for the Newtown, PA office through March 31, 2026, at a rate of $4 thousand per month effective April 1, 2025.</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Maturities of operating lease liabilities as of December 31, 2024 were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180" w:type="dxa"/>
            <w:vAlign w:val="bottom"/>
            <w:shd w:val="clear" w:color="auto" w:fill="CCEEFF"/>
          </w:tcPr>
          <w:p>
            <w:pPr>
              <w:jc w:val="right"/>
              <w:ind w:right="5755"/>
              <w:spacing w:after="0"/>
              <w:rPr>
                <w:sz w:val="20"/>
                <w:szCs w:val="20"/>
                <w:color w:val="auto"/>
              </w:rPr>
            </w:pPr>
            <w:r>
              <w:rPr>
                <w:rFonts w:ascii="Times New Roman" w:cs="Times New Roman" w:eastAsia="Times New Roman" w:hAnsi="Times New Roman"/>
                <w:sz w:val="17"/>
                <w:szCs w:val="17"/>
                <w:color w:val="auto"/>
                <w:w w:val="93"/>
              </w:rPr>
              <w:t>2025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6"/>
        </w:trPr>
        <w:tc>
          <w:tcPr>
            <w:tcW w:w="6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lease payments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3"/>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Less: imputed interest</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lease liabilities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provides information on the lease term and discount rate for the operating lease as of December 31, 2024:</w:t>
      </w:r>
    </w:p>
    <w:p>
      <w:pPr>
        <w:spacing w:after="0" w:line="24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lease term (in years)</w:t>
            </w:r>
          </w:p>
        </w:tc>
        <w:tc>
          <w:tcPr>
            <w:tcW w:w="322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7"/>
                <w:szCs w:val="17"/>
                <w:color w:val="auto"/>
              </w:rPr>
              <w:t>0.25</w:t>
            </w: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322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4.55 %</w:t>
            </w:r>
          </w:p>
        </w:tc>
      </w:tr>
    </w:tbl>
    <w:p>
      <w:pPr>
        <w:spacing w:after="0" w:line="180" w:lineRule="exact"/>
        <w:rPr>
          <w:sz w:val="20"/>
          <w:szCs w:val="20"/>
          <w:color w:val="auto"/>
        </w:rPr>
      </w:pPr>
    </w:p>
    <w:p>
      <w:pPr>
        <w:ind w:left="660" w:hanging="615"/>
        <w:spacing w:after="0"/>
        <w:tabs>
          <w:tab w:leader="none" w:pos="66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Intangible assets consist of the following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9"/>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9"/>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center"/>
              <w:ind w:right="43"/>
              <w:spacing w:after="0" w:line="109" w:lineRule="exact"/>
              <w:rPr>
                <w:sz w:val="20"/>
                <w:szCs w:val="20"/>
                <w:color w:val="auto"/>
              </w:rPr>
            </w:pPr>
            <w:r>
              <w:rPr>
                <w:rFonts w:ascii="Times New Roman" w:cs="Times New Roman" w:eastAsia="Times New Roman" w:hAnsi="Times New Roman"/>
                <w:sz w:val="12"/>
                <w:szCs w:val="12"/>
                <w:b w:val="1"/>
                <w:bCs w:val="1"/>
                <w:color w:val="auto"/>
              </w:rPr>
              <w:t>Net</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ind w:right="163"/>
              <w:spacing w:after="0" w:line="109" w:lineRule="exact"/>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4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Reacquired rights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$ 447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$ 486</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Acquired proprietary software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intangible assets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$ 665</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$ 715</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hanging="615"/>
        <w:spacing w:after="0"/>
        <w:tabs>
          <w:tab w:leader="none" w:pos="66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15"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1 – Quoted market prices in active markets for identical assets or liabilities.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2 – Inputs, other than quoted prices in active markets, that are observable, either directly or indirectly.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3 – Unobservable inputs that are not corroborated by market data.</w:t>
      </w:r>
    </w:p>
    <w:p>
      <w:pPr>
        <w:spacing w:after="0" w:line="211"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7"/>
          <w:szCs w:val="17"/>
          <w:color w:val="auto"/>
        </w:rPr>
        <w:t>The Consolidated Financial Statements include financial instruments for which the fair market value of such instruments may differ from amounts reflected on a historical cost basis. Financial instruments of the Company as of December 31, 2024 and 2023 consist of cash equivalents, which were comprised of deposits of excess cash in an unrestricted money market savings account, money market mutual funds, treasury bills and a certificate of deposit. The carrying value of cash equivalents generally approximates fair value due to their short-term nature.</w:t>
      </w:r>
    </w:p>
    <w:p>
      <w:pPr>
        <w:spacing w:after="0" w:line="177"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The Company’s derivative liability as of December 31, 2024 and 2023 is comprised of warrants issued in connection with the registered public offering completed in August 2022 discussed in Note 8. The derivative liability is classified as Level 3 within the fair value hierarchy and is required to be recorded at fair value on a recurring basis. See Note 8 for further information on the fair value of the derivative liability.</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majority of the Company’s non-financial instruments, which include intangible assets, lease assets, inventories and property and equipment, are not required to be carried at fair value on a recurring basis. However, if certain triggering events occur (or at least annually for indefinite-lived intangible assets), a non-financial instrument is required to be evaluated for impairment. If the Company determines that the non-financial instrument is impaired, the Company would be required to write down the non-financial instrument to its fair value. See Note 3 – Fixed Asset Impairment for further detail.</w:t>
      </w:r>
    </w:p>
    <w:p>
      <w:pPr>
        <w:spacing w:after="0" w:line="173" w:lineRule="exact"/>
        <w:rPr>
          <w:sz w:val="20"/>
          <w:szCs w:val="20"/>
          <w:color w:val="auto"/>
        </w:rPr>
      </w:pPr>
    </w:p>
    <w:p>
      <w:pPr>
        <w:ind w:left="660" w:hanging="615"/>
        <w:spacing w:after="0"/>
        <w:tabs>
          <w:tab w:leader="none" w:pos="66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STOCK AND WARRANTS</w:t>
      </w:r>
    </w:p>
    <w:p>
      <w:pPr>
        <w:spacing w:after="0" w:line="21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may issue common stock in connection with underwritten public offerings, registered direct public offerings or other financing transactions. Such issuances of common stock may include the issuance or sale of warrants to purchase common stock. As of December 31, 2024, the Company reserves 146,271,828 shares of Class A Common Stock and 10,000,000 shares of unissued preferred stock for future issuances and future exercises of outstanding warrants and stock-based compensation awards.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Equity Transactions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Public Offering</w:t>
      </w:r>
    </w:p>
    <w:p>
      <w:pPr>
        <w:spacing w:after="0" w:line="215"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On May 9, 2024, the Company closed on a registered public offering consisting of 704,999 shares of Common Stock (the “2024 Public Offering”), pre-funded warrants to purchase 2,147,222 shares of Common Stock (the “Pre-funded Warrants”) and accompanying Series A Warrants to purchase up to 2,852,221 shares of its Common Stock (“Series A Warrants”) and Series B Warrants to purchase up to 2,852,221 shares of its Common Stock (“Series B Warrants”, and together with the Series A Warrants, the “2024 Public Warrants”). The 2024 Public Offering price per share of Common Stock and accompanying Series A Warrants and Series B Warrants was $2.25, the public offering price per Pre-funded Warrant and accompanying Series A and Series B warrant was $2.249.</w:t>
      </w:r>
    </w:p>
    <w:p>
      <w:pPr>
        <w:spacing w:after="0" w:line="17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Pre-funded Warrants have an exercise price of $0.001 per share and 1,076,445 were exercised on the closing date. Net proceeds from the 2024 Public Offering, after deducting placement agent fees and expenses and other offering costs, were approximately $5.5 million.</w:t>
      </w:r>
    </w:p>
    <w:p>
      <w:pPr>
        <w:spacing w:after="0" w:line="17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2024 Public Warrants have an exercise price of $2.25 per share and are exercisable upon issuance. The Series A Warrants will expire five years following the date of issuance and the Series B Warrants will expire twelve months following the date of issuance. The Pre-funded Warrants are exercisable upon issuance and may be exercised at any time until the Pre-funded Warrants are exercised in full.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215"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On June 23, 2023, the Company entered into a Sales Agreement (the “Sales Agreement”) with Roth Capital Partners, LLC (“Roth”) to create an at-the-market offering program (“ATM”) under which the Company may offer and sell shares having an aggregate offering price of up to $2.0 million. Roth is entitled to a commission at a fixed commission rate equal to up to 3% of the gross proceeds pursuant to the Sales Agreement. As of December 31, 2024, 201,211 share issuances of securities have occurred in connection with the ATM generating net proceeds of $1.3 million and $0.4 million inclusive of share issuance costs in 2024 and 2023, respectively. On January 17, 2025, 93,300 shares were issued with the ATM, generating net proceeds of $0.1 million inclusive of share issuance costs.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Series B Preferred Stock</w:t>
      </w:r>
    </w:p>
    <w:p>
      <w:pPr>
        <w:spacing w:after="0" w:line="21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On March 23, 2023, the Board of Directors declared a dividend of one one-thousandth of a share of Series B Preferred Stock (“Series B Preferred Stock”) for each outstanding share of Common Stock held of record on April 3, 2023. The value of the Series B Preferred Stock issued in connection with the stock dividend was immaterial.</w:t>
      </w:r>
    </w:p>
    <w:p>
      <w:pPr>
        <w:spacing w:after="0" w:line="17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outstanding shares of Series B Preferred Stock voted together with the outstanding shares of the Company’s Common Stock, as a single class, exclusively with respect to a proposal giving the Board of Directors the authority, as it determines appropriate, to implement a reverse stock split within twelve months following the approval of such proposal by the Company’s stockholders as well as any proposal to adjourn any meeting of stockholders called for the purpose of voting on the foregoing matters.</w:t>
      </w:r>
    </w:p>
    <w:p>
      <w:pPr>
        <w:spacing w:after="0" w:line="17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Each share of Series B Preferred Stock entitled the holder to 1,000,000 votes per share and each fraction of a share of Series B Preferred Stock had a ratable number of votes. The holder of Series B Preferred Stock, as such, are not entitled to receive dividends.</w:t>
      </w:r>
    </w:p>
    <w:p>
      <w:pPr>
        <w:spacing w:after="0" w:line="17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At the annual meeting of stockholders of the Company held on May 24, 2023, the Company’s stockholders approved an amendment to the Company’s Certificate of Incorporation to effect a reverse stock split of its outstanding Common Stock. All shares of Series B Preferred Stock that did not vote in person or by proxy were redeemed in whole by the Company. Shares of Series B Preferred Stock that did vote in person or by proxy will need to request redemption from the Company at a rate of $0.001 per share in cash. As of December 31, 2024, no shareholders of Series B Preferred Stock have requested such redemption.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21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At the annual meeting of stockholders on May 24, 2023, our stockholders voted to approve a reverse stock split of our outstanding Class A common stock at a ratio in the range of 1-for-10 to 1-for-80 to be determined at the discretion of the Board of Directors. On August 11, 2023, the Board approved a 1-for-50 reverse stock split of the Company’s issued and outstanding Common Stock (the “Reverse Stock Split”).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August 2022 Warrants</w:t>
      </w:r>
    </w:p>
    <w:p>
      <w:pPr>
        <w:spacing w:after="0" w:line="215"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7"/>
          <w:szCs w:val="17"/>
          <w:color w:val="auto"/>
        </w:rPr>
        <w:t>In connection with the Company’s registered public offering that closed on August 9, 2022, the Company issued warrants to purchase an aggregate of 720,000 shares of common stock (“2022 Public Warrants”). The Company performed an analysis of the provisions of the Public Warrants and concluded that the Public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w:t>
      </w:r>
    </w:p>
    <w:p>
      <w:pPr>
        <w:spacing w:after="0" w:line="177" w:lineRule="exact"/>
        <w:rPr>
          <w:sz w:val="20"/>
          <w:szCs w:val="20"/>
          <w:color w:val="auto"/>
        </w:rPr>
      </w:pPr>
    </w:p>
    <w:p>
      <w:pPr>
        <w:ind w:left="40" w:right="319"/>
        <w:spacing w:after="0" w:line="263" w:lineRule="auto"/>
        <w:rPr>
          <w:sz w:val="20"/>
          <w:szCs w:val="20"/>
          <w:color w:val="auto"/>
        </w:rPr>
      </w:pPr>
      <w:r>
        <w:rPr>
          <w:rFonts w:ascii="Times New Roman" w:cs="Times New Roman" w:eastAsia="Times New Roman" w:hAnsi="Times New Roman"/>
          <w:sz w:val="17"/>
          <w:szCs w:val="17"/>
          <w:color w:val="auto"/>
        </w:rPr>
        <w:t>The fair value of the derivative liability as of December 31, 2024 and 2023 was $0.2 million and $3.3 million, respectively. The change in the fair value of the derivative liability was recognized as a component of nonoperating income in the Company’s Consolidated Statements of Operations and Comprehensive Loss.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40" w:right="159"/>
        <w:spacing w:after="0" w:line="263" w:lineRule="auto"/>
        <w:rPr>
          <w:sz w:val="20"/>
          <w:szCs w:val="20"/>
          <w:color w:val="auto"/>
        </w:rPr>
      </w:pPr>
      <w:r>
        <w:rPr>
          <w:rFonts w:ascii="Times New Roman" w:cs="Times New Roman" w:eastAsia="Times New Roman" w:hAnsi="Times New Roman"/>
          <w:sz w:val="17"/>
          <w:szCs w:val="17"/>
          <w:color w:val="auto"/>
        </w:rPr>
        <w:t>The fair value of the 2022 Public Warrants was determined using both a Monte Carlo simulation model, which uses multiple input variables to determine the probability of the occurrence of a price reset or a fundamental transaction and the Black-Scholes option pricing model. The following table includes the stock price and the inputs used to estimate the fair value of the warrants: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4"/>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00" w:type="dxa"/>
            <w:vAlign w:val="bottom"/>
            <w:gridSpan w:val="2"/>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14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18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3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Warrant term (in years)</w:t>
            </w: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3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98.92 %</w:t>
            </w:r>
          </w:p>
        </w:tc>
        <w:tc>
          <w:tcPr>
            <w:tcW w:w="3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84.10 %</w:t>
            </w: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4.26 %</w:t>
            </w:r>
          </w:p>
        </w:tc>
        <w:tc>
          <w:tcPr>
            <w:tcW w:w="300" w:type="dxa"/>
            <w:vAlign w:val="bottom"/>
          </w:tcPr>
          <w:p>
            <w:pPr>
              <w:spacing w:after="0"/>
              <w:rPr>
                <w:sz w:val="17"/>
                <w:szCs w:val="17"/>
                <w:color w:val="auto"/>
              </w:rPr>
            </w:pP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3.96 %</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0.00 %</w:t>
            </w:r>
          </w:p>
        </w:tc>
        <w:tc>
          <w:tcPr>
            <w:tcW w:w="3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390"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The 603,690 of outstanding liability classified Public Warrants have an exercise price that was reset to $1.6163 per share as a result of the 2024 Public Offering are exercisable upon issuance and will expire five years following the date of issuance. 23,400 Public Warrants were exercised and the Company received gross proceeds of $0.2 million during the year ended December 31, 2024. No warrants were cancelled during the year ended December 31, 2024.</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Equity-classified Warrants</w:t>
      </w:r>
    </w:p>
    <w:p>
      <w:pPr>
        <w:spacing w:after="0" w:line="215"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The Company has outstanding equity-classified warrants to purchase 5,869,244 shares of common stock at a weighted average exercise price of $3.64, with expiration dates ranging from March 2025 to May 2029. The weighted average exercise price includes 12,222 Pre-funded Warrants with a nominal exercise price of $0.001 outstanding as of December 31, 2024. The weighted average exercise price excluding the outstanding Pre-funded Warrants is $3.65 as of December 31, 2024. During the year ended December 31, 2024, 2,135,000 Pre-funded Warrants were exercised for 2,134,754 common shares as the result of the cashless exercise provision and no warrants were cancelled due to expiration.</w:t>
      </w:r>
    </w:p>
    <w:p>
      <w:pPr>
        <w:spacing w:after="0" w:line="198" w:lineRule="exact"/>
        <w:rPr>
          <w:sz w:val="20"/>
          <w:szCs w:val="20"/>
          <w:color w:val="auto"/>
        </w:rPr>
      </w:pPr>
    </w:p>
    <w:p>
      <w:pPr>
        <w:ind w:left="660" w:hanging="615"/>
        <w:spacing w:after="0"/>
        <w:tabs>
          <w:tab w:leader="none" w:pos="66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215"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The Company may issue stock-based compensation awards under The Helius Medical Technologies, Inc. 2022 Equity Incentive Plan (“2022 Plan”) or the Helius Medical Technologies, Inc. 2021 Inducement Plan (as amended, the “Inducement Plan”). The 2022 Plan provides for the grant of incentive stock options (“ISOs”), nonstatutory stock options (“NSOs”), stock appreciation rights, restricted stock awards, restricted stock unit awards, performance awards and other forms of awards to employees, directors and consultants. Options to purchase shares of the Company’s common stock granted under the 2022 Plan are awarded at a price equal to the fair market value at the date of grant based upon the closing price on that date. Options granted under the 2022 Plan generally vest over periods of between one to three years and expire no later than ten years from the date of grant.</w:t>
      </w:r>
    </w:p>
    <w:p>
      <w:pPr>
        <w:spacing w:after="0" w:line="178" w:lineRule="exact"/>
        <w:rPr>
          <w:sz w:val="20"/>
          <w:szCs w:val="20"/>
          <w:color w:val="auto"/>
        </w:rPr>
      </w:pPr>
    </w:p>
    <w:p>
      <w:pPr>
        <w:ind w:left="40" w:right="219"/>
        <w:spacing w:after="0" w:line="254" w:lineRule="auto"/>
        <w:rPr>
          <w:sz w:val="20"/>
          <w:szCs w:val="20"/>
          <w:color w:val="auto"/>
        </w:rPr>
      </w:pPr>
      <w:r>
        <w:rPr>
          <w:rFonts w:ascii="Times New Roman" w:cs="Times New Roman" w:eastAsia="Times New Roman" w:hAnsi="Times New Roman"/>
          <w:sz w:val="17"/>
          <w:szCs w:val="17"/>
          <w:color w:val="auto"/>
        </w:rPr>
        <w:t>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Common Stock that may be issued under the 2022 Plan to 2,089,000 new shares with an automatic increase on January 1st of each year by an amount equal to 5% of the Fully Diluted Shares (as defined in the 2022 Plan) as of the last day of the preceding calendar year. As of January 1, 2025, the number of shares authorized for issuance increased from 2,089,000 to 2,703,678 and there were 637,237 shares of common stock available for issuance under the 2022 Plan.</w:t>
      </w:r>
    </w:p>
    <w:p>
      <w:pPr>
        <w:spacing w:after="0" w:line="178" w:lineRule="exact"/>
        <w:rPr>
          <w:sz w:val="20"/>
          <w:szCs w:val="20"/>
          <w:color w:val="auto"/>
        </w:rPr>
      </w:pPr>
    </w:p>
    <w:p>
      <w:pPr>
        <w:ind w:left="40" w:right="59"/>
        <w:spacing w:after="0" w:line="206" w:lineRule="exact"/>
        <w:rPr>
          <w:sz w:val="20"/>
          <w:szCs w:val="20"/>
          <w:color w:val="auto"/>
        </w:rPr>
      </w:pPr>
      <w:r>
        <w:rPr>
          <w:rFonts w:ascii="Times New Roman" w:cs="Times New Roman" w:eastAsia="Times New Roman" w:hAnsi="Times New Roman"/>
          <w:sz w:val="17"/>
          <w:szCs w:val="17"/>
          <w:color w:val="auto"/>
        </w:rPr>
        <w:t>The Inducement Plan permits the grant of non-statutory stock options, stock appreciation rights, restricted stock, restricted stock units, performance stock and cash awards and other share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awards The Inducement Plan is used exclusively for grants of awards to individuals who were not previously employees or directors of the Company. Options granted under the Inducement Plan generally vest over four years and expire after ten years. The exercise price of each option is equal to the fair market value of the common stock at the date of grant. On July 2, 2024, the Company approved an amendment to the Inducement Plan pursuant to which, the Inducement Plan was amended to increase the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659"/>
        <w:spacing w:after="0" w:line="278" w:lineRule="auto"/>
        <w:rPr>
          <w:sz w:val="20"/>
          <w:szCs w:val="20"/>
          <w:color w:val="auto"/>
        </w:rPr>
      </w:pPr>
      <w:r>
        <w:rPr>
          <w:rFonts w:ascii="Times New Roman" w:cs="Times New Roman" w:eastAsia="Times New Roman" w:hAnsi="Times New Roman"/>
          <w:sz w:val="17"/>
          <w:szCs w:val="17"/>
          <w:color w:val="auto"/>
        </w:rPr>
        <w:t>aggregate number of shares of Common Stock that may be issued under the Inducement Plan to 150,000 new shares. As of December 31, 2024, there were 123,980 shares of common stock available for issuance under the Inducement Plan.</w:t>
      </w:r>
    </w:p>
    <w:p>
      <w:pPr>
        <w:spacing w:after="0" w:line="157"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7"/>
          <w:szCs w:val="17"/>
          <w:color w:val="auto"/>
        </w:rPr>
        <w:t>The fair value of each stock option award is estimated on the date of grant using the Black-Scholes option valuation model that uses the assumptions noted in the following tables. The risk-free interest rate is estimated using the United States Treasury yield curve and is based on the expected term of the award. The expected term of stock option awards granted is estimated based on the “simplified” method described in the SEC Staff Accounting Bulletin, Topic 14: Share-Based Payment. Expected volatility is calculated using historical volatility over the expected term.</w:t>
      </w:r>
    </w:p>
    <w:p>
      <w:pPr>
        <w:spacing w:after="0" w:line="177" w:lineRule="exact"/>
        <w:rPr>
          <w:sz w:val="20"/>
          <w:szCs w:val="20"/>
          <w:color w:val="auto"/>
        </w:rPr>
      </w:pPr>
    </w:p>
    <w:p>
      <w:pPr>
        <w:ind w:left="40" w:right="79"/>
        <w:spacing w:after="0" w:line="278" w:lineRule="auto"/>
        <w:rPr>
          <w:sz w:val="20"/>
          <w:szCs w:val="20"/>
          <w:color w:val="auto"/>
        </w:rPr>
      </w:pPr>
      <w:r>
        <w:rPr>
          <w:rFonts w:ascii="Times New Roman" w:cs="Times New Roman" w:eastAsia="Times New Roman" w:hAnsi="Times New Roman"/>
          <w:sz w:val="17"/>
          <w:szCs w:val="17"/>
          <w:color w:val="auto"/>
        </w:rPr>
        <w:t>The Black-Scholes option pricing model was used with the following weighted-average assumptions for options granted during the years ended December 31, 2024 and 2023:</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4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Years Ended December 31, 2024</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380" w:type="dxa"/>
            <w:vAlign w:val="bottom"/>
            <w:tcBorders>
              <w:top w:val="single" w:sz="8" w:color="auto"/>
              <w:bottom w:val="single" w:sz="8" w:color="auto"/>
            </w:tcBorders>
          </w:tcPr>
          <w:p>
            <w:pPr>
              <w:jc w:val="right"/>
              <w:ind w:right="472"/>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8"/>
              <w:spacing w:after="0" w:line="145"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128.73 %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0.00 %</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per share</w:t>
            </w:r>
          </w:p>
        </w:tc>
        <w:tc>
          <w:tcPr>
            <w:tcW w:w="34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60" w:type="dxa"/>
            <w:vAlign w:val="bottom"/>
            <w:shd w:val="clear" w:color="auto" w:fill="CCEEFF"/>
          </w:tcPr>
          <w:p>
            <w:pPr>
              <w:spacing w:after="0"/>
              <w:rPr>
                <w:sz w:val="17"/>
                <w:szCs w:val="17"/>
                <w:color w:val="auto"/>
              </w:rPr>
            </w:pPr>
          </w:p>
        </w:tc>
      </w:tr>
    </w:tbl>
    <w:p>
      <w:pPr>
        <w:spacing w:after="0" w:line="187"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7"/>
          <w:szCs w:val="17"/>
          <w:color w:val="auto"/>
        </w:rPr>
        <w:t>During the year ended December 31, 2024 and 2023, 1,335,623 options with a total grant date fair value of $2.5 million and 86,580 options with a total grant date fair value of $1.6 million vested, respectively.</w:t>
      </w:r>
    </w:p>
    <w:p>
      <w:pPr>
        <w:spacing w:after="0" w:line="157" w:lineRule="exact"/>
        <w:rPr>
          <w:sz w:val="20"/>
          <w:szCs w:val="20"/>
          <w:color w:val="auto"/>
        </w:rPr>
      </w:pPr>
    </w:p>
    <w:p>
      <w:pPr>
        <w:ind w:left="40" w:right="119"/>
        <w:spacing w:after="0" w:line="278" w:lineRule="auto"/>
        <w:rPr>
          <w:sz w:val="20"/>
          <w:szCs w:val="20"/>
          <w:color w:val="auto"/>
        </w:rPr>
      </w:pPr>
      <w:r>
        <w:rPr>
          <w:rFonts w:ascii="Times New Roman" w:cs="Times New Roman" w:eastAsia="Times New Roman" w:hAnsi="Times New Roman"/>
          <w:sz w:val="17"/>
          <w:szCs w:val="17"/>
          <w:color w:val="auto"/>
        </w:rPr>
        <w:t>The fair value of restricted stock units granted during the years ended December 31, 2024 and 2023 was based on the closing price of the Company’s common stock on the Nasdaq Capital Market on the day of the grant.</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 option activity during the year ended December 31, 2024 was as follows: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0"/>
              <w:spacing w:after="0" w:line="140" w:lineRule="exact"/>
              <w:rPr>
                <w:sz w:val="20"/>
                <w:szCs w:val="20"/>
                <w:color w:val="auto"/>
              </w:rPr>
            </w:pPr>
            <w:r>
              <w:rPr>
                <w:rFonts w:ascii="Times New Roman" w:cs="Times New Roman" w:eastAsia="Times New Roman" w:hAnsi="Times New Roman"/>
                <w:sz w:val="14"/>
                <w:szCs w:val="14"/>
                <w:b w:val="1"/>
                <w:bCs w:val="1"/>
                <w:color w:val="auto"/>
                <w:w w:val="93"/>
              </w:rPr>
              <w:t>Intrinsic</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8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Term (in years)</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as of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245,830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0.96</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176.61</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Outstanding as of December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2,092,461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46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Exercisable as of December 31, 2024</w:t>
            </w: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1,428,221</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12.14</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9.31</w:t>
            </w:r>
          </w:p>
        </w:tc>
        <w:tc>
          <w:tcPr>
            <w:tcW w:w="240" w:type="dxa"/>
            <w:vAlign w:val="bottom"/>
            <w:tcBorders>
              <w:bottom w:val="single" w:sz="8" w:color="CCEEFF"/>
            </w:tcBorders>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nonvested restricted stock unit activity during the year ended December 31, 2024:</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2"/>
              <w:spacing w:after="0" w:line="140"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Nonvested as of December 31, 2023</w:t>
            </w:r>
          </w:p>
        </w:tc>
        <w:tc>
          <w:tcPr>
            <w:tcW w:w="29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9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Forfeited</w:t>
            </w:r>
          </w:p>
        </w:tc>
        <w:tc>
          <w:tcPr>
            <w:tcW w:w="29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Nonvested as of December 31, 2024</w:t>
            </w:r>
          </w:p>
        </w:tc>
        <w:tc>
          <w:tcPr>
            <w:tcW w:w="29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80" w:type="dxa"/>
            <w:vAlign w:val="bottom"/>
            <w:gridSpan w:val="2"/>
          </w:tcPr>
          <w:p>
            <w:pPr>
              <w:jc w:val="right"/>
              <w:ind w:right="2799"/>
              <w:spacing w:after="0"/>
              <w:rPr>
                <w:sz w:val="20"/>
                <w:szCs w:val="20"/>
                <w:color w:val="auto"/>
              </w:rPr>
            </w:pPr>
            <w:r>
              <w:rPr>
                <w:rFonts w:ascii="Times New Roman" w:cs="Times New Roman" w:eastAsia="Times New Roman" w:hAnsi="Times New Roman"/>
                <w:sz w:val="17"/>
                <w:szCs w:val="17"/>
                <w:color w:val="auto"/>
              </w:rPr>
              <w:t>F-17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2"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Total stock-based compensation expense was as follows (in thousands):</w:t>
      </w:r>
    </w:p>
    <w:p>
      <w:pPr>
        <w:spacing w:after="0" w:line="213"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4"/>
          <w:szCs w:val="14"/>
          <w:b w:val="1"/>
          <w:bCs w:val="1"/>
          <w:color w:val="auto"/>
        </w:rPr>
        <w:t>Years Ended</w:t>
      </w:r>
    </w:p>
    <w:p>
      <w:pPr>
        <w:jc w:val="right"/>
        <w:ind w:right="1979"/>
        <w:spacing w:after="0" w:line="217"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32"/>
        </w:trPr>
        <w:tc>
          <w:tcPr>
            <w:tcW w:w="432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19"/>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80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2,008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w:t>
            </w: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8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196"/>
        </w:trPr>
        <w:tc>
          <w:tcPr>
            <w:tcW w:w="4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8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2,522</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w:t>
            </w:r>
          </w:p>
        </w:tc>
      </w:tr>
      <w:tr>
        <w:trPr>
          <w:trHeight w:val="20"/>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color w:val="auto"/>
        </w:rPr>
        <w:t>As of December 31, 2024, the total remaining unrecognized compensation expense related to nonvested stock options was $1.5 million which will be amortized over weighted-average remaining requisite service period of 0.7 years.</w:t>
      </w:r>
    </w:p>
    <w:p>
      <w:pPr>
        <w:spacing w:after="0" w:line="153" w:lineRule="exact"/>
        <w:rPr>
          <w:sz w:val="20"/>
          <w:szCs w:val="20"/>
          <w:color w:val="auto"/>
        </w:rPr>
      </w:pPr>
    </w:p>
    <w:p>
      <w:pPr>
        <w:ind w:left="660" w:hanging="615"/>
        <w:spacing w:after="0"/>
        <w:tabs>
          <w:tab w:leader="none" w:pos="66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BASIC AND DILUTED LOSS PER SHARE</w:t>
      </w:r>
    </w:p>
    <w:p>
      <w:pPr>
        <w:spacing w:after="0" w:line="215" w:lineRule="exact"/>
        <w:rPr>
          <w:sz w:val="20"/>
          <w:szCs w:val="20"/>
          <w:color w:val="auto"/>
        </w:rPr>
      </w:pPr>
    </w:p>
    <w:p>
      <w:pPr>
        <w:ind w:left="40" w:right="979"/>
        <w:spacing w:after="0" w:line="278" w:lineRule="auto"/>
        <w:rPr>
          <w:sz w:val="20"/>
          <w:szCs w:val="20"/>
          <w:color w:val="auto"/>
        </w:rPr>
      </w:pPr>
      <w:r>
        <w:rPr>
          <w:rFonts w:ascii="Times New Roman" w:cs="Times New Roman" w:eastAsia="Times New Roman" w:hAnsi="Times New Roman"/>
          <w:sz w:val="17"/>
          <w:szCs w:val="17"/>
          <w:color w:val="auto"/>
        </w:rPr>
        <w:t>The table below presents the computation of basic and diluted loss per share (in thousands, except share and per share information):</w:t>
      </w:r>
    </w:p>
    <w:p>
      <w:pPr>
        <w:spacing w:after="0" w:line="15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7400"/>
        <w:spacing w:after="0" w:line="217"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53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Basic:</w:t>
            </w:r>
          </w:p>
        </w:tc>
        <w:tc>
          <w:tcPr>
            <w:tcW w:w="12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18"/>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8"/>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loss available to common stockholders — basic</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0" w:type="dxa"/>
            <w:vAlign w:val="bottom"/>
          </w:tcPr>
          <w:p>
            <w:pPr>
              <w:spacing w:after="0"/>
              <w:rPr>
                <w:sz w:val="1"/>
                <w:szCs w:val="1"/>
                <w:color w:val="auto"/>
              </w:rPr>
            </w:pPr>
          </w:p>
        </w:tc>
      </w:tr>
      <w:tr>
        <w:trPr>
          <w:trHeight w:val="203"/>
        </w:trPr>
        <w:tc>
          <w:tcPr>
            <w:tcW w:w="5360" w:type="dxa"/>
            <w:vAlign w:val="bottom"/>
          </w:tcPr>
          <w:p>
            <w:pPr>
              <w:ind w:left="100"/>
              <w:spacing w:after="0" w:line="204" w:lineRule="exact"/>
              <w:rPr>
                <w:sz w:val="20"/>
                <w:szCs w:val="20"/>
                <w:color w:val="auto"/>
              </w:rPr>
            </w:pPr>
            <w:r>
              <w:rPr>
                <w:rFonts w:ascii="Times New Roman" w:cs="Times New Roman" w:eastAsia="Times New Roman" w:hAnsi="Times New Roman"/>
                <w:sz w:val="17"/>
                <w:szCs w:val="17"/>
                <w:color w:val="auto"/>
              </w:rPr>
              <w:t xml:space="preserve">Weighted average common shares outstanding — basic </w:t>
            </w:r>
            <w:r>
              <w:rPr>
                <w:rFonts w:ascii="Times New Roman" w:cs="Times New Roman" w:eastAsia="Times New Roman" w:hAnsi="Times New Roman"/>
                <w:sz w:val="20"/>
                <w:szCs w:val="20"/>
                <w:color w:val="auto"/>
                <w:vertAlign w:val="superscript"/>
              </w:rPr>
              <w:t>(1)</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2,709,781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607,890</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per share - basic</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00"/>
              <w:spacing w:after="0" w:line="204" w:lineRule="exact"/>
              <w:rPr>
                <w:sz w:val="20"/>
                <w:szCs w:val="20"/>
                <w:color w:val="auto"/>
              </w:rPr>
            </w:pPr>
            <w:r>
              <w:rPr>
                <w:rFonts w:ascii="Times New Roman" w:cs="Times New Roman" w:eastAsia="Times New Roman" w:hAnsi="Times New Roman"/>
                <w:sz w:val="17"/>
                <w:szCs w:val="17"/>
                <w:color w:val="auto"/>
              </w:rPr>
              <w:t xml:space="preserve">Net loss available to common stockholders — diluted </w:t>
            </w:r>
            <w:r>
              <w:rPr>
                <w:rFonts w:ascii="Times New Roman" w:cs="Times New Roman" w:eastAsia="Times New Roman" w:hAnsi="Times New Roman"/>
                <w:sz w:val="20"/>
                <w:szCs w:val="20"/>
                <w:color w:val="auto"/>
                <w:vertAlign w:val="superscript"/>
              </w:rPr>
              <w:t>(2)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00"/>
              <w:spacing w:after="0" w:line="204" w:lineRule="exact"/>
              <w:rPr>
                <w:sz w:val="20"/>
                <w:szCs w:val="20"/>
                <w:color w:val="auto"/>
              </w:rPr>
            </w:pPr>
            <w:r>
              <w:rPr>
                <w:rFonts w:ascii="Times New Roman" w:cs="Times New Roman" w:eastAsia="Times New Roman" w:hAnsi="Times New Roman"/>
                <w:sz w:val="17"/>
                <w:szCs w:val="17"/>
                <w:color w:val="auto"/>
              </w:rPr>
              <w:t xml:space="preserve">Weighted average common shares outstanding — diluted </w:t>
            </w:r>
            <w:r>
              <w:rPr>
                <w:rFonts w:ascii="Times New Roman" w:cs="Times New Roman" w:eastAsia="Times New Roman" w:hAnsi="Times New Roman"/>
                <w:sz w:val="20"/>
                <w:szCs w:val="20"/>
                <w:color w:val="auto"/>
                <w:vertAlign w:val="superscript"/>
              </w:rPr>
              <w:t>(1)</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2,709,781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607,890</w:t>
            </w:r>
          </w:p>
        </w:tc>
        <w:tc>
          <w:tcPr>
            <w:tcW w:w="0" w:type="dxa"/>
            <w:vAlign w:val="bottom"/>
          </w:tcPr>
          <w:p>
            <w:pPr>
              <w:spacing w:after="0"/>
              <w:rPr>
                <w:sz w:val="1"/>
                <w:szCs w:val="1"/>
                <w:color w:val="auto"/>
              </w:rPr>
            </w:pPr>
          </w:p>
        </w:tc>
      </w:tr>
      <w:tr>
        <w:trPr>
          <w:trHeight w:val="219"/>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Loss per share — diluted</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60" w:right="79" w:hanging="315"/>
        <w:spacing w:after="0" w:line="239" w:lineRule="auto"/>
        <w:tabs>
          <w:tab w:leader="none" w:pos="3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May 2024, in connection with the 2024 Public Offering, the Company issued and sold Pre-funded Warrants exercisable for an aggregate of 2,147,222 shares of Common Stock. The total price of the Pre-funded Warrants is $2.25 per share, $2.249 of which was pre-funded and paid to the Company upon issuance of the Pre-funded Warrants. The exercise price of the Pre-funded Warrants is $0.001 per share. The Pre-funded Warrants are immediately exercisable and do not expire. As of December 31, 2024, 2,052,703 Pre-funded Warrants were exercised and 12,222 Pre-funded Warrants remained outstanding. As the remaining shares underlying the Pre-funded Warrants are exercisable for nominal consideration of $0.001 per share, 12,222 in common shares underlying the unexercised Pre-funded Warrants were considered outstanding for purposes of the calculation of loss per share for the year ended December 31, 2024. Refer to Note 8 for additional information about the Pre-funded Warrants.</w:t>
      </w:r>
    </w:p>
    <w:p>
      <w:pPr>
        <w:spacing w:after="0" w:line="120" w:lineRule="exact"/>
        <w:rPr>
          <w:rFonts w:ascii="Times New Roman" w:cs="Times New Roman" w:eastAsia="Times New Roman" w:hAnsi="Times New Roman"/>
          <w:sz w:val="25"/>
          <w:szCs w:val="25"/>
          <w:color w:val="auto"/>
          <w:vertAlign w:val="superscript"/>
        </w:rPr>
      </w:pPr>
    </w:p>
    <w:p>
      <w:pPr>
        <w:ind w:left="360" w:hanging="315"/>
        <w:spacing w:after="0"/>
        <w:tabs>
          <w:tab w:leader="none" w:pos="3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For the years ended December 31, 2024 and 2023, no adjustment was made to the numerator.</w:t>
      </w:r>
    </w:p>
    <w:p>
      <w:pPr>
        <w:spacing w:after="0" w:line="188"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The following outstanding securities, presented based on amounts outstanding as of the end of each period, were not included in the computation of diluted loss per share for the periods indicated, as they would have been anti-dilutive due to the net loss in each period.</w:t>
      </w:r>
    </w:p>
    <w:p>
      <w:pPr>
        <w:spacing w:after="0" w:line="17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7480"/>
        <w:spacing w:after="0" w:line="217"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860" w:type="dxa"/>
            <w:vAlign w:val="bottom"/>
            <w:tcBorders>
              <w:bottom w:val="single" w:sz="8" w:color="CCEEFF"/>
            </w:tcBorders>
          </w:tcPr>
          <w:p>
            <w:pPr>
              <w:spacing w:after="0"/>
              <w:rPr>
                <w:sz w:val="11"/>
                <w:szCs w:val="11"/>
                <w:color w:val="auto"/>
              </w:rPr>
            </w:pPr>
          </w:p>
        </w:tc>
        <w:tc>
          <w:tcPr>
            <w:tcW w:w="392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81"/>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39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2,092,461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245,830</w:t>
            </w: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units</w:t>
            </w:r>
          </w:p>
        </w:tc>
        <w:tc>
          <w:tcPr>
            <w:tcW w:w="39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w:t>
            </w: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7"/>
                <w:szCs w:val="17"/>
                <w:color w:val="auto"/>
              </w:rPr>
              <w:t xml:space="preserve">Warrants </w:t>
            </w:r>
            <w:r>
              <w:rPr>
                <w:rFonts w:ascii="Times New Roman" w:cs="Times New Roman" w:eastAsia="Times New Roman" w:hAnsi="Times New Roman"/>
                <w:sz w:val="20"/>
                <w:szCs w:val="20"/>
                <w:color w:val="auto"/>
                <w:vertAlign w:val="superscript"/>
              </w:rPr>
              <w:t>(1)</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6,460,712</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637,059</w:t>
            </w:r>
          </w:p>
        </w:tc>
      </w:tr>
      <w:tr>
        <w:trPr>
          <w:trHeight w:val="62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80" w:type="dxa"/>
            <w:vAlign w:val="bottom"/>
            <w:gridSpan w:val="3"/>
          </w:tcPr>
          <w:p>
            <w:pPr>
              <w:ind w:left="1420"/>
              <w:spacing w:after="0"/>
              <w:rPr>
                <w:sz w:val="20"/>
                <w:szCs w:val="20"/>
                <w:color w:val="auto"/>
              </w:rPr>
            </w:pPr>
            <w:r>
              <w:rPr>
                <w:rFonts w:ascii="Times New Roman" w:cs="Times New Roman" w:eastAsia="Times New Roman" w:hAnsi="Times New Roman"/>
                <w:sz w:val="17"/>
                <w:szCs w:val="17"/>
                <w:color w:val="auto"/>
              </w:rPr>
              <w:t>F-18</w:t>
            </w:r>
          </w:p>
        </w:tc>
        <w:tc>
          <w:tcPr>
            <w:tcW w:w="96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1"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hanging="615"/>
        <w:spacing w:after="0"/>
        <w:tabs>
          <w:tab w:leader="none" w:pos="66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Company's loss before provision for income taxes was generated from operations in the United States and outside of the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United States as follows (in thousands):</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64"/>
        </w:trPr>
        <w:tc>
          <w:tcPr>
            <w:tcW w:w="5400" w:type="dxa"/>
            <w:vAlign w:val="bottom"/>
          </w:tcPr>
          <w:p>
            <w:pPr>
              <w:spacing w:after="0"/>
              <w:rPr>
                <w:sz w:val="14"/>
                <w:szCs w:val="14"/>
                <w:color w:val="auto"/>
              </w:rPr>
            </w:pPr>
          </w:p>
        </w:tc>
        <w:tc>
          <w:tcPr>
            <w:tcW w:w="17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r>
      <w:tr>
        <w:trPr>
          <w:trHeight w:val="132"/>
        </w:trPr>
        <w:tc>
          <w:tcPr>
            <w:tcW w:w="5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(8,689)</w:t>
            </w: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Non-U.S.</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(439)</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196"/>
        </w:trPr>
        <w:tc>
          <w:tcPr>
            <w:tcW w:w="54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0" w:right="199"/>
        <w:spacing w:after="0" w:line="278" w:lineRule="auto"/>
        <w:rPr>
          <w:sz w:val="20"/>
          <w:szCs w:val="20"/>
          <w:color w:val="auto"/>
        </w:rPr>
      </w:pPr>
      <w:r>
        <w:rPr>
          <w:rFonts w:ascii="Times New Roman" w:cs="Times New Roman" w:eastAsia="Times New Roman" w:hAnsi="Times New Roman"/>
          <w:sz w:val="17"/>
          <w:szCs w:val="17"/>
          <w:color w:val="auto"/>
        </w:rPr>
        <w:t>A reconciliation of the United States federal statutory income tax rate to the Company's effective income tax rate is as follows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9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50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at United States federal statutory rate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Derivative liability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(791)</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Tax credits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income taxed at foreign rate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Other permanent difference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Increase in valuation allowance</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The components of deferred tax assets and liabilities are as follows (in thousands):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9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50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7"/>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32,635</w:t>
            </w: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30,642</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3,967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3,316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2,486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2,164</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 credit carryforwards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1,267</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Unrealized foreign currency losses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41,089</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37,613</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Property and equipment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Valuation allowance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(37,578)</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42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479"/>
        <w:spacing w:after="0" w:line="278" w:lineRule="auto"/>
        <w:rPr>
          <w:sz w:val="20"/>
          <w:szCs w:val="20"/>
          <w:color w:val="auto"/>
        </w:rPr>
      </w:pPr>
      <w:r>
        <w:rPr>
          <w:rFonts w:ascii="Times New Roman" w:cs="Times New Roman" w:eastAsia="Times New Roman" w:hAnsi="Times New Roman"/>
          <w:sz w:val="17"/>
          <w:szCs w:val="17"/>
          <w:color w:val="auto"/>
        </w:rPr>
        <w:t>Net operating loss carryforwards and the related carryforward expiration periods as of December 31, 2024 are summarized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Carryforward</w:t>
            </w:r>
          </w:p>
        </w:tc>
        <w:tc>
          <w:tcPr>
            <w:tcW w:w="11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Expiration</w:t>
            </w: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federal net operating losses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39,561</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2032-2037</w:t>
            </w: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 federal net operating losses</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83,378</w:t>
            </w: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Indefinite</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state net operating losses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74,624</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2033-2044</w:t>
            </w: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 state net operating losses</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12,053</w:t>
            </w: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Indefinite</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Canada federal net operating losses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6,384</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2034-2044</w:t>
            </w:r>
          </w:p>
        </w:tc>
      </w:tr>
    </w:tbl>
    <w:p>
      <w:pPr>
        <w:spacing w:after="0" w:line="187" w:lineRule="exact"/>
        <w:rPr>
          <w:sz w:val="20"/>
          <w:szCs w:val="20"/>
          <w:color w:val="auto"/>
        </w:rPr>
      </w:pPr>
    </w:p>
    <w:p>
      <w:pPr>
        <w:ind w:left="40" w:right="359"/>
        <w:spacing w:after="0" w:line="278" w:lineRule="auto"/>
        <w:rPr>
          <w:sz w:val="20"/>
          <w:szCs w:val="20"/>
          <w:color w:val="auto"/>
        </w:rPr>
      </w:pPr>
      <w:r>
        <w:rPr>
          <w:rFonts w:ascii="Times New Roman" w:cs="Times New Roman" w:eastAsia="Times New Roman" w:hAnsi="Times New Roman"/>
          <w:sz w:val="17"/>
          <w:szCs w:val="17"/>
          <w:color w:val="auto"/>
        </w:rPr>
        <w:t>The gross tax credit carryforwards and the related carryforward expiration periods as of December 31, 2024 are summarized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Carryforward</w:t>
            </w:r>
          </w:p>
        </w:tc>
        <w:tc>
          <w:tcPr>
            <w:tcW w:w="11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Expiration</w:t>
            </w: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federal research expenditure tax credits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2034-2044</w:t>
            </w:r>
          </w:p>
        </w:tc>
      </w:tr>
      <w:tr>
        <w:trPr>
          <w:trHeight w:val="219"/>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Canada federal research expenditure tax credits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2034-2037</w:t>
            </w:r>
          </w:p>
        </w:tc>
      </w:tr>
    </w:tbl>
    <w:p>
      <w:pPr>
        <w:spacing w:after="0" w:line="171" w:lineRule="exact"/>
        <w:rPr>
          <w:sz w:val="20"/>
          <w:szCs w:val="20"/>
          <w:color w:val="auto"/>
        </w:rPr>
      </w:pPr>
    </w:p>
    <w:p>
      <w:pPr>
        <w:ind w:left="40" w:right="219"/>
        <w:spacing w:after="0" w:line="252" w:lineRule="auto"/>
        <w:rPr>
          <w:sz w:val="20"/>
          <w:szCs w:val="20"/>
          <w:color w:val="auto"/>
        </w:rPr>
      </w:pPr>
      <w:r>
        <w:rPr>
          <w:rFonts w:ascii="Times New Roman" w:cs="Times New Roman" w:eastAsia="Times New Roman" w:hAnsi="Times New Roman"/>
          <w:sz w:val="17"/>
          <w:szCs w:val="17"/>
          <w:color w:val="auto"/>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 50 percent, as defined under Section 382 of the Code, as well as similar state provisions. This could substantially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Although a formal Section 382 analysis has not yet been completed, the Company believes it is possible ownership changes have occurred. The annual limitation may result in the expiration of United States net operating losses and credits before utilization; however, due to the valuation allowance against deferred tax assets as of December 31, 2024, the net effect of any limitation will have no impact on results of operations.</w:t>
      </w:r>
    </w:p>
    <w:p>
      <w:pPr>
        <w:spacing w:after="0" w:line="18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accounting guidance related to uncertain tax positions prescribes a recognition threshold and measurement attribute for recognition and measurement of a tax position taken or expected to be taken in a tax return. It also provides guidance on de-recognition, classification, interest and penalties, accounting in interim periods, disclosure and transition. As of both December 31, 2024 and 2023, the Company does not have an accrual relating to uncertain tax positions. It is not anticipated that unrecognized tax benefits would significantly increase or decrease within 12 months of the reporting date.</w:t>
      </w:r>
    </w:p>
    <w:p>
      <w:pPr>
        <w:spacing w:after="0" w:line="17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Canada. The Company’s tax returns are subject to tax examinations by United States federal and state tax authorities, or examinations by foreign tax authorities until the expiration of the respective statutes of limitation. The Company currently has no tax years under examination.</w:t>
      </w:r>
    </w:p>
    <w:p>
      <w:pPr>
        <w:spacing w:after="0" w:line="167" w:lineRule="exact"/>
        <w:rPr>
          <w:sz w:val="20"/>
          <w:szCs w:val="20"/>
          <w:color w:val="auto"/>
        </w:rPr>
      </w:pPr>
    </w:p>
    <w:p>
      <w:pPr>
        <w:ind w:left="660" w:hanging="615"/>
        <w:spacing w:after="0"/>
        <w:tabs>
          <w:tab w:leader="none" w:pos="66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DEFINED CONTRIBUTION PLAN</w:t>
      </w:r>
    </w:p>
    <w:p>
      <w:pPr>
        <w:spacing w:after="0" w:line="215"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7"/>
          <w:szCs w:val="17"/>
          <w:color w:val="auto"/>
        </w:rPr>
        <w:t>The Company’s employees in the United States are eligible to participate in the Helius Medical Inc. Savings Plan, as amended, a safe harbor 401(k) plan (“401(k) Plan”). The 401(k) Plan allows eligible employees to make contributions through payroll deductions up to IRS limits. The Company matches the first 3% of the participant's annual eligible compensation contributed to the plan on a dollar-for-dollar basis and matches the next 2% of the participant's annual eligible compensation to the plan on a 50% basis. Pursuant to the 401(k) safe harbor provisions, the Company’s matching contributions are 100% vested. For the years ended December 31, 2024 and 2023, the Company’s defined contribution plan expense was $137 thousand and $148 thousand, respectively.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615"/>
        <w:spacing w:after="0"/>
        <w:tabs>
          <w:tab w:leader="none" w:pos="66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5" w:lineRule="exact"/>
        <w:rPr>
          <w:sz w:val="20"/>
          <w:szCs w:val="20"/>
          <w:color w:val="auto"/>
        </w:rPr>
      </w:pPr>
    </w:p>
    <w:p>
      <w:pPr>
        <w:ind w:left="40" w:right="239"/>
        <w:spacing w:after="0" w:line="259" w:lineRule="auto"/>
        <w:rPr>
          <w:sz w:val="20"/>
          <w:szCs w:val="20"/>
          <w:color w:val="auto"/>
        </w:rPr>
      </w:pPr>
      <w:r>
        <w:rPr>
          <w:rFonts w:ascii="Times New Roman" w:cs="Times New Roman" w:eastAsia="Times New Roman" w:hAnsi="Times New Roman"/>
          <w:sz w:val="17"/>
          <w:szCs w:val="17"/>
          <w:color w:val="auto"/>
        </w:rPr>
        <w:t>The Company is obligated under a license agreement with Advanced NeuroRehabilitation, LLC (“ANR”) to pay a 4% royalty on net revenue collected from the sale of devices covered by ANR’s patent pending technology, claims and knowhow. For the years ended December 31, 2024 and 2023, the Company recorded royalty expense from the sale of devices of approximately $19 thousand and $24 thousand, respectively, in its Consolidated Statements of Operations and Comprehensive Loss.</w:t>
      </w:r>
    </w:p>
    <w:p>
      <w:pPr>
        <w:spacing w:after="0" w:line="169" w:lineRule="exact"/>
        <w:rPr>
          <w:sz w:val="20"/>
          <w:szCs w:val="20"/>
          <w:color w:val="auto"/>
        </w:rPr>
      </w:pPr>
    </w:p>
    <w:p>
      <w:pPr>
        <w:ind w:left="660" w:hanging="615"/>
        <w:spacing w:after="0"/>
        <w:tabs>
          <w:tab w:leader="none" w:pos="66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AND GEOGRAPHIC INFORMATION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Segment Information</w:t>
      </w:r>
    </w:p>
    <w:p>
      <w:pPr>
        <w:spacing w:after="0" w:line="215"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Operating segments are components of an enterprise for which separate financial information is available and are evaluated regularly by the Company’s chief operating decision maker (“CODM”) in deciding how to allocate resources and assessing performance. The Company’s CODM is its Chief Executive Officer. The Company’s Chief Executive Officer views the Company’s operations and manages its business in one operating segment, which is the business of development and commercialization of products related to PoNS® devices. The Company has a single reporting segment and the determination of the single segment is consistent with the information provided to the CODM. The CODM evaluates performance and allocates resources based on the Company’s consolidated financial results.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Geographic Information</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the Company’s revenue disaggregated by geographic area (in thousands):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340" w:type="dxa"/>
            <w:vAlign w:val="bottom"/>
            <w:tcBorders>
              <w:bottom w:val="single" w:sz="8" w:color="auto"/>
            </w:tcBorders>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334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164"/>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98"/>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sales, net:</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United States</w:t>
            </w:r>
          </w:p>
        </w:tc>
        <w:tc>
          <w:tcPr>
            <w:tcW w:w="2860" w:type="dxa"/>
            <w:vAlign w:val="bottom"/>
            <w:gridSpan w:val="2"/>
          </w:tcPr>
          <w:p>
            <w:pPr>
              <w:jc w:val="right"/>
              <w:ind w:right="110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360" w:type="dxa"/>
            <w:vAlign w:val="bottom"/>
          </w:tcPr>
          <w:p>
            <w:pPr>
              <w:spacing w:after="0"/>
              <w:rPr>
                <w:sz w:val="17"/>
                <w:szCs w:val="17"/>
                <w:color w:val="auto"/>
              </w:rPr>
            </w:pPr>
          </w:p>
        </w:tc>
        <w:tc>
          <w:tcPr>
            <w:tcW w:w="480" w:type="dxa"/>
            <w:vAlign w:val="bottom"/>
            <w:gridSpan w:val="2"/>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Canada</w:t>
            </w:r>
          </w:p>
        </w:tc>
        <w:tc>
          <w:tcPr>
            <w:tcW w:w="16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196"/>
        </w:trPr>
        <w:tc>
          <w:tcPr>
            <w:tcW w:w="20" w:type="dxa"/>
            <w:vAlign w:val="bottom"/>
          </w:tcPr>
          <w:p>
            <w:pPr>
              <w:spacing w:after="0"/>
              <w:rPr>
                <w:sz w:val="17"/>
                <w:szCs w:val="17"/>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product sales, net</w:t>
            </w: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16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196"/>
        </w:trPr>
        <w:tc>
          <w:tcPr>
            <w:tcW w:w="20" w:type="dxa"/>
            <w:vAlign w:val="bottom"/>
          </w:tcPr>
          <w:p>
            <w:pPr>
              <w:spacing w:after="0"/>
              <w:rPr>
                <w:sz w:val="17"/>
                <w:szCs w:val="17"/>
                <w:color w:val="auto"/>
              </w:rPr>
            </w:pPr>
          </w:p>
        </w:tc>
        <w:tc>
          <w:tcPr>
            <w:tcW w:w="3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revenue</w:t>
            </w:r>
          </w:p>
        </w:tc>
        <w:tc>
          <w:tcPr>
            <w:tcW w:w="1600" w:type="dxa"/>
            <w:vAlign w:val="bottom"/>
          </w:tcPr>
          <w:p>
            <w:pPr>
              <w:spacing w:after="0"/>
              <w:rPr>
                <w:sz w:val="17"/>
                <w:szCs w:val="17"/>
                <w:color w:val="auto"/>
              </w:rPr>
            </w:pPr>
          </w:p>
        </w:tc>
        <w:tc>
          <w:tcPr>
            <w:tcW w:w="1260" w:type="dxa"/>
            <w:vAlign w:val="bottom"/>
            <w:tcBorders>
              <w:bottom w:val="single" w:sz="8" w:color="auto"/>
            </w:tcBorders>
          </w:tcPr>
          <w:p>
            <w:pPr>
              <w:jc w:val="right"/>
              <w:ind w:right="110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7"/>
          <w:szCs w:val="17"/>
          <w:color w:val="auto"/>
        </w:rPr>
        <w:t>Two customers accounted for 72% and 65% of net product sales for the years ended December 31, 2024 and 2023, respectively. Two customers accounted for 100% of accounts receivable, net as of December 31, 2024 and a single customer accounted for 83% of accounts receivable, net as of December 31, 2023.</w:t>
      </w:r>
    </w:p>
    <w:p>
      <w:pPr>
        <w:spacing w:after="0" w:line="171" w:lineRule="exact"/>
        <w:rPr>
          <w:sz w:val="20"/>
          <w:szCs w:val="20"/>
          <w:color w:val="auto"/>
        </w:rPr>
      </w:pPr>
    </w:p>
    <w:p>
      <w:pPr>
        <w:ind w:left="40" w:right="119"/>
        <w:spacing w:after="0" w:line="278" w:lineRule="auto"/>
        <w:rPr>
          <w:sz w:val="20"/>
          <w:szCs w:val="20"/>
          <w:color w:val="auto"/>
        </w:rPr>
      </w:pPr>
      <w:r>
        <w:rPr>
          <w:rFonts w:ascii="Times New Roman" w:cs="Times New Roman" w:eastAsia="Times New Roman" w:hAnsi="Times New Roman"/>
          <w:sz w:val="17"/>
          <w:szCs w:val="17"/>
          <w:color w:val="auto"/>
        </w:rPr>
        <w:t>Long-lived assets are held in the United States and Canada with the majority of long-lived assets being held in the United States as of December 31, 2024 and 2023. As of December 31, 2024, the carrying value of long-lived assets held in Canada is $0.</w:t>
      </w:r>
    </w:p>
    <w:p>
      <w:pPr>
        <w:spacing w:after="0" w:line="153" w:lineRule="exact"/>
        <w:rPr>
          <w:sz w:val="20"/>
          <w:szCs w:val="20"/>
          <w:color w:val="auto"/>
        </w:rPr>
      </w:pPr>
    </w:p>
    <w:p>
      <w:pPr>
        <w:ind w:left="660" w:hanging="615"/>
        <w:spacing w:after="0"/>
        <w:tabs>
          <w:tab w:leader="none" w:pos="66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Warrant inducement</w:t>
      </w:r>
    </w:p>
    <w:p>
      <w:pPr>
        <w:spacing w:after="0" w:line="21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On January 21, 2025, the Company entered into warrant exercise inducement offer letters (the “Inducement Letters”) with certain holders (the “Holders”) of its existing 2024 Public Warrants to purchase shares of the Company’s Class A common stock (the “Existing Warrants”), pursuant to which the Holders agreed to exercise for cash their Existing Warrants to purchase an aggregate of 4,971,110 shares of the Company’s common stock, in the aggregate, at a reduced exercise price of $0.751 per share, in exchange for the Company’s agreement to issue new Series C Warrants and Series D Warrants (the “Inducement Warrants”) on substantially the same terms as the Existing Warrants described below, to purchase up to 6,213,888 shares of the Company’s common stock (the “Inducement Warrant Shares”). The Company received aggregate gross proceeds of approximately $3.7 million from the exercise of the Existing Warrants by the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7"/>
          <w:szCs w:val="17"/>
          <w:color w:val="auto"/>
        </w:rPr>
        <w:t>Holders. The Company engaged Roth to act as its financial advisor with the transactions summarized above and has paid Roth $0.2 million for its services, in addition to reimbursement for certain expenses along with other legal and regulatory expenses resulting in net proceeds of $3.4 million.</w:t>
      </w:r>
    </w:p>
    <w:p>
      <w:pPr>
        <w:spacing w:after="0" w:line="171"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7"/>
          <w:szCs w:val="17"/>
          <w:color w:val="auto"/>
        </w:rPr>
        <w:t>The Company has filed a registration statement on Form S-3 covering the resale of the Inducement Warrants Shares issued or issuable upon the exercise of the Inducement Warrants. In the Inducement Letters, the Company agreed not to issue any shares of common stock or common stock equivalents or to file any other registration statement with the SEC (in each case, subject to certain exceptions) for sixty (60) calendar days. The Company also has agreed not to effect or agree to effect any variable rate transaction (as defined in the Inducement Letters) for seventy-five (75) calendar days from the date of the Inducement Letters.</w:t>
      </w:r>
    </w:p>
    <w:p>
      <w:pPr>
        <w:spacing w:after="0" w:line="17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color w:val="auto"/>
        </w:rPr>
        <w:t>The Company has agreed to hold an annual or special meeting of stockholders on or prior to the date that is ninety (90) calendar days following the date of the Inducement Letters for the purpose of obtaining stockholder approval, with the recommendation of the Company’s board of directors that such proposals are approved. If the Company does not obtain stockholder approval at the first meeting, the Company has agreed to call a meeting to seek stockholder approval every ninety (90) calendar days until the date that the Inducement Warrants are no longer outstanding.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5" w:lineRule="exact"/>
        <w:rPr>
          <w:sz w:val="20"/>
          <w:szCs w:val="20"/>
          <w:color w:val="auto"/>
        </w:rPr>
      </w:pPr>
    </w:p>
    <w:p>
      <w:pPr>
        <w:ind w:left="40" w:right="419"/>
        <w:spacing w:after="0" w:line="27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020" w:type="dxa"/>
            <w:vAlign w:val="bottom"/>
          </w:tcPr>
          <w:p>
            <w:pPr>
              <w:spacing w:after="0"/>
              <w:rPr>
                <w:sz w:val="19"/>
                <w:szCs w:val="19"/>
                <w:color w:val="auto"/>
              </w:rPr>
            </w:pPr>
          </w:p>
        </w:tc>
        <w:tc>
          <w:tcPr>
            <w:tcW w:w="590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HELIUS MEDICAL TECHNOLOGIES, INC.</w:t>
            </w:r>
          </w:p>
        </w:tc>
      </w:tr>
      <w:tr>
        <w:trPr>
          <w:trHeight w:val="407"/>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Dated: March 25, 2025</w:t>
            </w:r>
          </w:p>
        </w:tc>
        <w:tc>
          <w:tcPr>
            <w:tcW w:w="590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By: /s/ Dane C. Andreeff</w:t>
            </w:r>
          </w:p>
        </w:tc>
      </w:tr>
      <w:tr>
        <w:trPr>
          <w:trHeight w:val="180"/>
        </w:trPr>
        <w:tc>
          <w:tcPr>
            <w:tcW w:w="3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12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Dane C. Andreeff</w:t>
            </w:r>
          </w:p>
        </w:tc>
      </w:tr>
      <w:tr>
        <w:trPr>
          <w:trHeight w:val="219"/>
        </w:trPr>
        <w:tc>
          <w:tcPr>
            <w:tcW w:w="3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188" w:lineRule="exact"/>
        <w:rPr>
          <w:sz w:val="20"/>
          <w:szCs w:val="20"/>
          <w:color w:val="auto"/>
        </w:rPr>
      </w:pPr>
    </w:p>
    <w:p>
      <w:pPr>
        <w:jc w:val="both"/>
        <w:ind w:left="40" w:right="59"/>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Dane C. Andreeff</w:t>
            </w:r>
          </w:p>
        </w:tc>
        <w:tc>
          <w:tcPr>
            <w:tcW w:w="178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7"/>
              </w:rPr>
              <w:t>Date: March 25, 2025</w:t>
            </w:r>
          </w:p>
        </w:tc>
      </w:tr>
      <w:tr>
        <w:trPr>
          <w:trHeight w:val="180"/>
        </w:trPr>
        <w:tc>
          <w:tcPr>
            <w:tcW w:w="240" w:type="dxa"/>
            <w:vAlign w:val="bottom"/>
          </w:tcPr>
          <w:p>
            <w:pPr>
              <w:spacing w:after="0"/>
              <w:rPr>
                <w:sz w:val="15"/>
                <w:szCs w:val="15"/>
                <w:color w:val="auto"/>
              </w:rPr>
            </w:pPr>
          </w:p>
        </w:tc>
        <w:tc>
          <w:tcPr>
            <w:tcW w:w="42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Dane C. Andreeff</w:t>
            </w:r>
          </w:p>
        </w:tc>
        <w:tc>
          <w:tcPr>
            <w:tcW w:w="1780" w:type="dxa"/>
            <w:vAlign w:val="bottom"/>
          </w:tcPr>
          <w:p>
            <w:pPr>
              <w:spacing w:after="0"/>
              <w:rPr>
                <w:sz w:val="15"/>
                <w:szCs w:val="15"/>
                <w:color w:val="auto"/>
              </w:rPr>
            </w:pPr>
          </w:p>
        </w:tc>
      </w:tr>
      <w:tr>
        <w:trPr>
          <w:trHeight w:val="203"/>
        </w:trPr>
        <w:tc>
          <w:tcPr>
            <w:tcW w:w="24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President, Chief Executive Officer (Principal Executive</w:t>
            </w:r>
          </w:p>
        </w:tc>
        <w:tc>
          <w:tcPr>
            <w:tcW w:w="1780" w:type="dxa"/>
            <w:vAlign w:val="bottom"/>
          </w:tcPr>
          <w:p>
            <w:pPr>
              <w:spacing w:after="0"/>
              <w:rPr>
                <w:sz w:val="17"/>
                <w:szCs w:val="17"/>
                <w:color w:val="auto"/>
              </w:rPr>
            </w:pPr>
          </w:p>
        </w:tc>
      </w:tr>
      <w:tr>
        <w:trPr>
          <w:trHeight w:val="219"/>
        </w:trPr>
        <w:tc>
          <w:tcPr>
            <w:tcW w:w="2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Officer) and Director</w:t>
            </w:r>
          </w:p>
        </w:tc>
        <w:tc>
          <w:tcPr>
            <w:tcW w:w="1780" w:type="dxa"/>
            <w:vAlign w:val="bottom"/>
          </w:tcPr>
          <w:p>
            <w:pPr>
              <w:spacing w:after="0"/>
              <w:rPr>
                <w:sz w:val="19"/>
                <w:szCs w:val="19"/>
                <w:color w:val="auto"/>
              </w:rPr>
            </w:pPr>
          </w:p>
        </w:tc>
      </w:tr>
      <w:tr>
        <w:trPr>
          <w:trHeight w:val="407"/>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Jeffrey S. Mathiesen</w:t>
            </w:r>
          </w:p>
        </w:tc>
        <w:tc>
          <w:tcPr>
            <w:tcW w:w="178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7"/>
              </w:rPr>
              <w:t>Date: March 25, 2025</w:t>
            </w:r>
          </w:p>
        </w:tc>
      </w:tr>
      <w:tr>
        <w:trPr>
          <w:trHeight w:val="180"/>
        </w:trPr>
        <w:tc>
          <w:tcPr>
            <w:tcW w:w="240" w:type="dxa"/>
            <w:vAlign w:val="bottom"/>
          </w:tcPr>
          <w:p>
            <w:pPr>
              <w:spacing w:after="0"/>
              <w:rPr>
                <w:sz w:val="15"/>
                <w:szCs w:val="15"/>
                <w:color w:val="auto"/>
              </w:rPr>
            </w:pPr>
          </w:p>
        </w:tc>
        <w:tc>
          <w:tcPr>
            <w:tcW w:w="42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Jeffrey S. Mathiesen</w:t>
            </w:r>
          </w:p>
        </w:tc>
        <w:tc>
          <w:tcPr>
            <w:tcW w:w="1780" w:type="dxa"/>
            <w:vAlign w:val="bottom"/>
          </w:tcPr>
          <w:p>
            <w:pPr>
              <w:spacing w:after="0"/>
              <w:rPr>
                <w:sz w:val="15"/>
                <w:szCs w:val="15"/>
                <w:color w:val="auto"/>
              </w:rPr>
            </w:pPr>
          </w:p>
        </w:tc>
      </w:tr>
      <w:tr>
        <w:trPr>
          <w:trHeight w:val="203"/>
        </w:trPr>
        <w:tc>
          <w:tcPr>
            <w:tcW w:w="24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 and</w:t>
            </w:r>
          </w:p>
        </w:tc>
        <w:tc>
          <w:tcPr>
            <w:tcW w:w="17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Principal Accounting Officer), Treasurer, Secretary and</w:t>
            </w:r>
          </w:p>
        </w:tc>
        <w:tc>
          <w:tcPr>
            <w:tcW w:w="1780" w:type="dxa"/>
            <w:vAlign w:val="bottom"/>
          </w:tcPr>
          <w:p>
            <w:pPr>
              <w:spacing w:after="0"/>
              <w:rPr>
                <w:sz w:val="17"/>
                <w:szCs w:val="17"/>
                <w:color w:val="auto"/>
              </w:rPr>
            </w:pPr>
          </w:p>
        </w:tc>
      </w:tr>
      <w:tr>
        <w:trPr>
          <w:trHeight w:val="219"/>
        </w:trPr>
        <w:tc>
          <w:tcPr>
            <w:tcW w:w="2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19"/>
                <w:szCs w:val="19"/>
                <w:color w:val="auto"/>
              </w:rPr>
            </w:pPr>
          </w:p>
        </w:tc>
      </w:tr>
      <w:tr>
        <w:trPr>
          <w:trHeight w:val="407"/>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Paul Buckman</w:t>
            </w:r>
          </w:p>
        </w:tc>
        <w:tc>
          <w:tcPr>
            <w:tcW w:w="178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7"/>
              </w:rPr>
              <w:t>Date: March 25, 2025</w:t>
            </w:r>
          </w:p>
        </w:tc>
      </w:tr>
      <w:tr>
        <w:trPr>
          <w:trHeight w:val="180"/>
        </w:trPr>
        <w:tc>
          <w:tcPr>
            <w:tcW w:w="240" w:type="dxa"/>
            <w:vAlign w:val="bottom"/>
          </w:tcPr>
          <w:p>
            <w:pPr>
              <w:spacing w:after="0"/>
              <w:rPr>
                <w:sz w:val="15"/>
                <w:szCs w:val="15"/>
                <w:color w:val="auto"/>
              </w:rPr>
            </w:pPr>
          </w:p>
        </w:tc>
        <w:tc>
          <w:tcPr>
            <w:tcW w:w="42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Paul Buckman</w:t>
            </w:r>
          </w:p>
        </w:tc>
        <w:tc>
          <w:tcPr>
            <w:tcW w:w="1780" w:type="dxa"/>
            <w:vAlign w:val="bottom"/>
          </w:tcPr>
          <w:p>
            <w:pPr>
              <w:spacing w:after="0"/>
              <w:rPr>
                <w:sz w:val="15"/>
                <w:szCs w:val="15"/>
                <w:color w:val="auto"/>
              </w:rPr>
            </w:pPr>
          </w:p>
        </w:tc>
      </w:tr>
      <w:tr>
        <w:trPr>
          <w:trHeight w:val="219"/>
        </w:trPr>
        <w:tc>
          <w:tcPr>
            <w:tcW w:w="2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19"/>
                <w:szCs w:val="19"/>
                <w:color w:val="auto"/>
              </w:rPr>
            </w:pPr>
          </w:p>
        </w:tc>
      </w:tr>
      <w:tr>
        <w:trPr>
          <w:trHeight w:val="407"/>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Blane Walter</w:t>
            </w:r>
          </w:p>
        </w:tc>
        <w:tc>
          <w:tcPr>
            <w:tcW w:w="178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7"/>
              </w:rPr>
              <w:t>Date: March 25, 2025</w:t>
            </w:r>
          </w:p>
        </w:tc>
      </w:tr>
      <w:tr>
        <w:trPr>
          <w:trHeight w:val="180"/>
        </w:trPr>
        <w:tc>
          <w:tcPr>
            <w:tcW w:w="240" w:type="dxa"/>
            <w:vAlign w:val="bottom"/>
          </w:tcPr>
          <w:p>
            <w:pPr>
              <w:spacing w:after="0"/>
              <w:rPr>
                <w:sz w:val="15"/>
                <w:szCs w:val="15"/>
                <w:color w:val="auto"/>
              </w:rPr>
            </w:pPr>
          </w:p>
        </w:tc>
        <w:tc>
          <w:tcPr>
            <w:tcW w:w="42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Blane Walter</w:t>
            </w:r>
          </w:p>
        </w:tc>
        <w:tc>
          <w:tcPr>
            <w:tcW w:w="1780" w:type="dxa"/>
            <w:vAlign w:val="bottom"/>
          </w:tcPr>
          <w:p>
            <w:pPr>
              <w:spacing w:after="0"/>
              <w:rPr>
                <w:sz w:val="15"/>
                <w:szCs w:val="15"/>
                <w:color w:val="auto"/>
              </w:rPr>
            </w:pPr>
          </w:p>
        </w:tc>
      </w:tr>
      <w:tr>
        <w:trPr>
          <w:trHeight w:val="219"/>
        </w:trPr>
        <w:tc>
          <w:tcPr>
            <w:tcW w:w="2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19"/>
                <w:szCs w:val="19"/>
                <w:color w:val="auto"/>
              </w:rPr>
            </w:pPr>
          </w:p>
        </w:tc>
      </w:tr>
      <w:tr>
        <w:trPr>
          <w:trHeight w:val="407"/>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Sherrie Perkins</w:t>
            </w:r>
          </w:p>
        </w:tc>
        <w:tc>
          <w:tcPr>
            <w:tcW w:w="178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7"/>
              </w:rPr>
              <w:t>Date: March 25, 2025</w:t>
            </w:r>
          </w:p>
        </w:tc>
      </w:tr>
      <w:tr>
        <w:trPr>
          <w:trHeight w:val="180"/>
        </w:trPr>
        <w:tc>
          <w:tcPr>
            <w:tcW w:w="240" w:type="dxa"/>
            <w:vAlign w:val="bottom"/>
          </w:tcPr>
          <w:p>
            <w:pPr>
              <w:spacing w:after="0"/>
              <w:rPr>
                <w:sz w:val="15"/>
                <w:szCs w:val="15"/>
                <w:color w:val="auto"/>
              </w:rPr>
            </w:pPr>
          </w:p>
        </w:tc>
        <w:tc>
          <w:tcPr>
            <w:tcW w:w="42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Sherrie Perkins</w:t>
            </w:r>
          </w:p>
        </w:tc>
        <w:tc>
          <w:tcPr>
            <w:tcW w:w="1780" w:type="dxa"/>
            <w:vAlign w:val="bottom"/>
          </w:tcPr>
          <w:p>
            <w:pPr>
              <w:spacing w:after="0"/>
              <w:rPr>
                <w:sz w:val="15"/>
                <w:szCs w:val="15"/>
                <w:color w:val="auto"/>
              </w:rPr>
            </w:pPr>
          </w:p>
        </w:tc>
      </w:tr>
      <w:tr>
        <w:trPr>
          <w:trHeight w:val="219"/>
        </w:trPr>
        <w:tc>
          <w:tcPr>
            <w:tcW w:w="2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19"/>
                <w:szCs w:val="19"/>
                <w:color w:val="auto"/>
              </w:rPr>
            </w:pPr>
          </w:p>
        </w:tc>
      </w:tr>
      <w:tr>
        <w:trPr>
          <w:trHeight w:val="407"/>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Edward M. Straw</w:t>
            </w:r>
          </w:p>
        </w:tc>
        <w:tc>
          <w:tcPr>
            <w:tcW w:w="178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7"/>
              </w:rPr>
              <w:t>Date: March 25, 2025</w:t>
            </w:r>
          </w:p>
        </w:tc>
      </w:tr>
      <w:tr>
        <w:trPr>
          <w:trHeight w:val="180"/>
        </w:trPr>
        <w:tc>
          <w:tcPr>
            <w:tcW w:w="240" w:type="dxa"/>
            <w:vAlign w:val="bottom"/>
          </w:tcPr>
          <w:p>
            <w:pPr>
              <w:spacing w:after="0"/>
              <w:rPr>
                <w:sz w:val="15"/>
                <w:szCs w:val="15"/>
                <w:color w:val="auto"/>
              </w:rPr>
            </w:pPr>
          </w:p>
        </w:tc>
        <w:tc>
          <w:tcPr>
            <w:tcW w:w="42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Edward M. Straw</w:t>
            </w:r>
          </w:p>
        </w:tc>
        <w:tc>
          <w:tcPr>
            <w:tcW w:w="1780" w:type="dxa"/>
            <w:vAlign w:val="bottom"/>
          </w:tcPr>
          <w:p>
            <w:pPr>
              <w:spacing w:after="0"/>
              <w:rPr>
                <w:sz w:val="15"/>
                <w:szCs w:val="15"/>
                <w:color w:val="auto"/>
              </w:rPr>
            </w:pPr>
          </w:p>
        </w:tc>
      </w:tr>
      <w:tr>
        <w:trPr>
          <w:trHeight w:val="219"/>
        </w:trPr>
        <w:tc>
          <w:tcPr>
            <w:tcW w:w="2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5655945"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1" w:name="page102"/>
    <w:bookmarkEnd w:id="101"/>
    <w:p>
      <w:pPr>
        <w:ind w:left="7760"/>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COMMERCIAL LEASE AGREEMENT ¾ SUMMARY OF BASIC TERMS</w:t>
      </w:r>
    </w:p>
    <w:p>
      <w:pPr>
        <w:spacing w:after="0" w:line="304" w:lineRule="exact"/>
        <w:rPr>
          <w:sz w:val="20"/>
          <w:szCs w:val="20"/>
          <w:color w:val="auto"/>
        </w:rPr>
      </w:pPr>
    </w:p>
    <w:p>
      <w:pPr>
        <w:jc w:val="both"/>
        <w:ind w:left="200" w:right="219" w:firstLine="61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THIS LEASE AGREEMENT, </w:t>
      </w:r>
      <w:r>
        <w:rPr>
          <w:rFonts w:ascii="Times New Roman" w:cs="Times New Roman" w:eastAsia="Times New Roman" w:hAnsi="Times New Roman"/>
          <w:sz w:val="20"/>
          <w:szCs w:val="20"/>
          <w:color w:val="auto"/>
        </w:rPr>
        <w:t>made this 29th day of</w:t>
      </w:r>
      <w:r>
        <w:rPr>
          <w:rFonts w:ascii="Times New Roman" w:cs="Times New Roman" w:eastAsia="Times New Roman" w:hAnsi="Times New Roman"/>
          <w:sz w:val="20"/>
          <w:szCs w:val="20"/>
          <w:b w:val="1"/>
          <w:bCs w:val="1"/>
          <w:color w:val="auto"/>
        </w:rPr>
        <w:t xml:space="preserve"> November, 2021, </w:t>
      </w:r>
      <w:r>
        <w:rPr>
          <w:rFonts w:ascii="Times New Roman" w:cs="Times New Roman" w:eastAsia="Times New Roman" w:hAnsi="Times New Roman"/>
          <w:sz w:val="20"/>
          <w:szCs w:val="20"/>
          <w:color w:val="auto"/>
        </w:rPr>
        <w:t>by and between</w:t>
      </w:r>
      <w:r>
        <w:rPr>
          <w:rFonts w:ascii="Times New Roman" w:cs="Times New Roman" w:eastAsia="Times New Roman" w:hAnsi="Times New Roman"/>
          <w:sz w:val="20"/>
          <w:szCs w:val="20"/>
          <w:b w:val="1"/>
          <w:bCs w:val="1"/>
          <w:color w:val="auto"/>
        </w:rPr>
        <w:t xml:space="preserve"> Helius Medical Technologies, Inc. </w:t>
      </w:r>
      <w:r>
        <w:rPr>
          <w:rFonts w:ascii="Times New Roman" w:cs="Times New Roman" w:eastAsia="Times New Roman" w:hAnsi="Times New Roman"/>
          <w:sz w:val="20"/>
          <w:szCs w:val="20"/>
          <w:color w:val="auto"/>
        </w:rPr>
        <w:t>(hereinafter referred to as Tenant) and</w:t>
      </w:r>
      <w:r>
        <w:rPr>
          <w:rFonts w:ascii="Times New Roman" w:cs="Times New Roman" w:eastAsia="Times New Roman" w:hAnsi="Times New Roman"/>
          <w:sz w:val="20"/>
          <w:szCs w:val="20"/>
          <w:b w:val="1"/>
          <w:bCs w:val="1"/>
          <w:color w:val="auto"/>
        </w:rPr>
        <w:t xml:space="preserve"> 660 Tudor Square, L.P. </w:t>
      </w:r>
      <w:r>
        <w:rPr>
          <w:rFonts w:ascii="Times New Roman" w:cs="Times New Roman" w:eastAsia="Times New Roman" w:hAnsi="Times New Roman"/>
          <w:sz w:val="20"/>
          <w:szCs w:val="20"/>
          <w:color w:val="auto"/>
        </w:rPr>
        <w:t>(hereinafter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referred to as Landlord).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06"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 xml:space="preserve">The Landlord, for and in consideration of the prompt payment of the rent as specified in this Agreement as well as the performance of all of the covenants, promises and agreements contained in this Agreement upon the part of the Tenant does hereby demise and lease to the Tenant and Tenant does hereby lease from the Landlord the premises situated at </w:t>
      </w:r>
      <w:r>
        <w:rPr>
          <w:rFonts w:ascii="Times New Roman" w:cs="Times New Roman" w:eastAsia="Times New Roman" w:hAnsi="Times New Roman"/>
          <w:sz w:val="20"/>
          <w:szCs w:val="20"/>
          <w:b w:val="1"/>
          <w:bCs w:val="1"/>
          <w:color w:val="auto"/>
        </w:rPr>
        <w:t>642 Newtown Yardley Road, Suite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Newtown, PA, 18940 </w:t>
      </w:r>
      <w:r>
        <w:rPr>
          <w:rFonts w:ascii="Times New Roman" w:cs="Times New Roman" w:eastAsia="Times New Roman" w:hAnsi="Times New Roman"/>
          <w:sz w:val="20"/>
          <w:szCs w:val="20"/>
          <w:color w:val="auto"/>
        </w:rPr>
        <w:t>(known as “Leased Premises”).</w:t>
      </w:r>
    </w:p>
    <w:p>
      <w:pPr>
        <w:spacing w:after="0" w:line="159" w:lineRule="exact"/>
        <w:rPr>
          <w:sz w:val="20"/>
          <w:szCs w:val="20"/>
          <w:color w:val="auto"/>
        </w:rPr>
      </w:pPr>
    </w:p>
    <w:p>
      <w:pPr>
        <w:ind w:left="820" w:hanging="616"/>
        <w:spacing w:after="0"/>
        <w:tabs>
          <w:tab w:leader="none" w:pos="8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w:t>
      </w:r>
    </w:p>
    <w:p>
      <w:pPr>
        <w:spacing w:after="0" w:line="202"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A.TERM</w:t>
      </w:r>
    </w:p>
    <w:p>
      <w:pPr>
        <w:spacing w:after="0" w:line="202" w:lineRule="exact"/>
        <w:rPr>
          <w:sz w:val="20"/>
          <w:szCs w:val="20"/>
          <w:color w:val="auto"/>
        </w:rPr>
      </w:pPr>
    </w:p>
    <w:p>
      <w:pPr>
        <w:jc w:val="both"/>
        <w:ind w:left="200" w:right="219" w:firstLine="610"/>
        <w:spacing w:after="0" w:line="248" w:lineRule="auto"/>
        <w:rPr>
          <w:sz w:val="20"/>
          <w:szCs w:val="20"/>
          <w:color w:val="auto"/>
        </w:rPr>
      </w:pPr>
      <w:r>
        <w:rPr>
          <w:rFonts w:ascii="Times New Roman" w:cs="Times New Roman" w:eastAsia="Times New Roman" w:hAnsi="Times New Roman"/>
          <w:sz w:val="20"/>
          <w:szCs w:val="20"/>
          <w:color w:val="auto"/>
        </w:rPr>
        <w:t xml:space="preserve">The term of this Lease will commence on </w:t>
      </w:r>
      <w:r>
        <w:rPr>
          <w:rFonts w:ascii="Times New Roman" w:cs="Times New Roman" w:eastAsia="Times New Roman" w:hAnsi="Times New Roman"/>
          <w:sz w:val="20"/>
          <w:szCs w:val="20"/>
          <w:b w:val="1"/>
          <w:bCs w:val="1"/>
          <w:color w:val="auto"/>
        </w:rPr>
        <w:t>January 1, 2022</w:t>
      </w:r>
      <w:r>
        <w:rPr>
          <w:rFonts w:ascii="Times New Roman" w:cs="Times New Roman" w:eastAsia="Times New Roman" w:hAnsi="Times New Roman"/>
          <w:sz w:val="20"/>
          <w:szCs w:val="20"/>
          <w:color w:val="auto"/>
        </w:rPr>
        <w:t xml:space="preserve"> (the Commencement Date) and terminates on </w:t>
      </w:r>
      <w:r>
        <w:rPr>
          <w:rFonts w:ascii="Times New Roman" w:cs="Times New Roman" w:eastAsia="Times New Roman" w:hAnsi="Times New Roman"/>
          <w:sz w:val="20"/>
          <w:szCs w:val="20"/>
          <w:b w:val="1"/>
          <w:bCs w:val="1"/>
          <w:color w:val="auto"/>
        </w:rPr>
        <w:t>March 31, 2025.</w:t>
      </w:r>
      <w:r>
        <w:rPr>
          <w:rFonts w:ascii="Times New Roman" w:cs="Times New Roman" w:eastAsia="Times New Roman" w:hAnsi="Times New Roman"/>
          <w:sz w:val="20"/>
          <w:szCs w:val="20"/>
          <w:color w:val="auto"/>
        </w:rPr>
        <w:t xml:space="preserve"> In the event that Landlord is unable to give possession of the demised premises, as herein provided, by reason of any cause beyond the control of Landlord, the Landlord shall not be liable in damages to the Tenant therefore and during the period that Landlord is unable to give possession, all rights and remedies of both parties hereunder shall be suspended.</w:t>
      </w:r>
    </w:p>
    <w:p>
      <w:pPr>
        <w:spacing w:after="0" w:line="159" w:lineRule="exact"/>
        <w:rPr>
          <w:sz w:val="20"/>
          <w:szCs w:val="20"/>
          <w:color w:val="auto"/>
        </w:rPr>
      </w:pPr>
    </w:p>
    <w:p>
      <w:pPr>
        <w:ind w:left="1420" w:hanging="606"/>
        <w:spacing w:after="0"/>
        <w:tabs>
          <w:tab w:leader="none" w:pos="14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06"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This Lease shall expire at the end of the term as defined in paragraph 1(A). In the event the Tenant shall for any reason fail to vacate the Leased Premises at the expiration of the term of this Lease, the Tenant shall be deemed to be a “hold-over” Tenant and liable for additional rents provided in Commercial Lease Agreement, Paragraph 1(B).</w:t>
      </w:r>
    </w:p>
    <w:p>
      <w:pPr>
        <w:spacing w:after="0" w:line="156" w:lineRule="exact"/>
        <w:rPr>
          <w:sz w:val="20"/>
          <w:szCs w:val="20"/>
          <w:color w:val="auto"/>
        </w:rPr>
      </w:pPr>
    </w:p>
    <w:p>
      <w:pPr>
        <w:ind w:left="820" w:hanging="616"/>
        <w:spacing w:after="0"/>
        <w:tabs>
          <w:tab w:leader="none" w:pos="82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RENT</w:t>
      </w:r>
    </w:p>
    <w:p>
      <w:pPr>
        <w:spacing w:after="0" w:line="202"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A.MINIMUM BASE RENT</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monthly rental payments for the term shall be as follows:</w:t>
      </w:r>
    </w:p>
    <w:p>
      <w:pPr>
        <w:spacing w:after="0" w:line="198" w:lineRule="exact"/>
        <w:rPr>
          <w:sz w:val="20"/>
          <w:szCs w:val="20"/>
          <w:color w:val="auto"/>
        </w:rPr>
      </w:pPr>
    </w:p>
    <w:p>
      <w:pPr>
        <w:ind w:left="880"/>
        <w:spacing w:after="0"/>
        <w:tabs>
          <w:tab w:leader="none" w:pos="2160" w:val="left"/>
          <w:tab w:leader="none" w:pos="4440" w:val="left"/>
          <w:tab w:leader="none" w:pos="568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20"/>
          <w:szCs w:val="20"/>
          <w:b w:val="1"/>
          <w:bCs w:val="1"/>
          <w:color w:val="auto"/>
        </w:rPr>
        <w:t>01/01/2022 - 03/31/2022</w:t>
        <w:tab/>
        <w:t>$ 0.00</w:t>
      </w:r>
      <w:r>
        <w:rPr>
          <w:sz w:val="20"/>
          <w:szCs w:val="20"/>
          <w:color w:val="auto"/>
        </w:rPr>
        <w:tab/>
      </w:r>
      <w:r>
        <w:rPr>
          <w:rFonts w:ascii="Times New Roman" w:cs="Times New Roman" w:eastAsia="Times New Roman" w:hAnsi="Times New Roman"/>
          <w:sz w:val="20"/>
          <w:szCs w:val="20"/>
          <w:b w:val="1"/>
          <w:bCs w:val="1"/>
          <w:color w:val="auto"/>
        </w:rPr>
        <w:t>+ $ 297.00 electric</w:t>
      </w:r>
    </w:p>
    <w:p>
      <w:pPr>
        <w:spacing w:after="0" w:line="138" w:lineRule="exact"/>
        <w:rPr>
          <w:sz w:val="20"/>
          <w:szCs w:val="20"/>
          <w:color w:val="auto"/>
        </w:rPr>
      </w:pPr>
    </w:p>
    <w:p>
      <w:pPr>
        <w:ind w:left="2180" w:hanging="1307"/>
        <w:spacing w:after="0"/>
        <w:tabs>
          <w:tab w:leader="none" w:pos="218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04/01/2022 - 03/31/2023   $ 3,412.00/mo + $ 297.00 electric</w:t>
      </w:r>
    </w:p>
    <w:p>
      <w:pPr>
        <w:spacing w:after="0" w:line="138" w:lineRule="exact"/>
        <w:rPr>
          <w:rFonts w:ascii="Times New Roman" w:cs="Times New Roman" w:eastAsia="Times New Roman" w:hAnsi="Times New Roman"/>
          <w:sz w:val="20"/>
          <w:szCs w:val="20"/>
          <w:b w:val="1"/>
          <w:bCs w:val="1"/>
          <w:color w:val="auto"/>
        </w:rPr>
      </w:pPr>
    </w:p>
    <w:p>
      <w:pPr>
        <w:ind w:left="2180" w:hanging="1307"/>
        <w:spacing w:after="0"/>
        <w:tabs>
          <w:tab w:leader="none" w:pos="218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04/01/2023 - 03/31/2024   $ 3,514.00/mo + $ 297.00 electric</w:t>
      </w:r>
    </w:p>
    <w:p>
      <w:pPr>
        <w:spacing w:after="0" w:line="138" w:lineRule="exact"/>
        <w:rPr>
          <w:rFonts w:ascii="Times New Roman" w:cs="Times New Roman" w:eastAsia="Times New Roman" w:hAnsi="Times New Roman"/>
          <w:sz w:val="20"/>
          <w:szCs w:val="20"/>
          <w:b w:val="1"/>
          <w:bCs w:val="1"/>
          <w:color w:val="auto"/>
        </w:rPr>
      </w:pPr>
    </w:p>
    <w:p>
      <w:pPr>
        <w:ind w:left="2180" w:hanging="1307"/>
        <w:spacing w:after="0"/>
        <w:tabs>
          <w:tab w:leader="none" w:pos="218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04/01/2024 - 03/31/2025   $ 3,619.00/mo + $ 297.00 electric</w:t>
      </w:r>
    </w:p>
    <w:p>
      <w:pPr>
        <w:spacing w:after="0" w:line="200" w:lineRule="exact"/>
        <w:rPr>
          <w:sz w:val="20"/>
          <w:szCs w:val="20"/>
          <w:color w:val="auto"/>
        </w:rPr>
      </w:pPr>
    </w:p>
    <w:p>
      <w:pPr>
        <w:spacing w:after="0" w:line="337"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0" w:right="1440" w:bottom="1440" w:gutter="0" w:footer="0" w:header="0"/>
        </w:sectPr>
      </w:pPr>
    </w:p>
    <w:bookmarkStart w:id="102" w:name="page103"/>
    <w:bookmarkEnd w:id="102"/>
    <w:p>
      <w:pPr>
        <w:ind w:left="1420" w:hanging="606"/>
        <w:spacing w:after="0"/>
        <w:tabs>
          <w:tab w:leader="none" w:pos="142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UTILITIES</w:t>
      </w:r>
    </w:p>
    <w:p>
      <w:pPr>
        <w:spacing w:after="0" w:line="207"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 xml:space="preserve">Tenant shall be responsible for payment of all electricity service to the unit. Tenant shall pay the sum listed in Minimum Base Rent to landlord as additional rent each month, without demand or offset, and starting on the Commencement Date. The amount per month shall be adjusted annually if the electric bills change over the base year of </w:t>
      </w:r>
      <w:r>
        <w:rPr>
          <w:rFonts w:ascii="Times New Roman" w:cs="Times New Roman" w:eastAsia="Times New Roman" w:hAnsi="Times New Roman"/>
          <w:sz w:val="20"/>
          <w:szCs w:val="20"/>
          <w:b w:val="1"/>
          <w:bCs w:val="1"/>
          <w:color w:val="auto"/>
        </w:rPr>
        <w:t>2022.</w:t>
      </w:r>
      <w:r>
        <w:rPr>
          <w:rFonts w:ascii="Times New Roman" w:cs="Times New Roman" w:eastAsia="Times New Roman" w:hAnsi="Times New Roman"/>
          <w:sz w:val="20"/>
          <w:szCs w:val="20"/>
          <w:color w:val="auto"/>
        </w:rPr>
        <w:t xml:space="preserve"> Tenant is responsible for janitorial service to the interior of their suite. Landlord is responsible for janitorial service for all common areas.</w:t>
      </w:r>
    </w:p>
    <w:p>
      <w:pPr>
        <w:spacing w:after="0" w:line="159" w:lineRule="exact"/>
        <w:rPr>
          <w:sz w:val="20"/>
          <w:szCs w:val="20"/>
          <w:color w:val="auto"/>
        </w:rPr>
      </w:pPr>
    </w:p>
    <w:p>
      <w:pPr>
        <w:ind w:left="1420" w:hanging="606"/>
        <w:spacing w:after="0"/>
        <w:tabs>
          <w:tab w:leader="none" w:pos="14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REAL ESTATE TAXES AND COMMON AREA MAINTENANCE</w:t>
      </w:r>
    </w:p>
    <w:p>
      <w:pPr>
        <w:spacing w:after="0" w:line="206"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 xml:space="preserve">Landlord shall be responsible for and pay all real estate taxes and common area maintenance, as shall be in effect as of the Commencement Date. Tenant will be responsible for its proportionate share of tax increases over the base year of </w:t>
      </w:r>
      <w:r>
        <w:rPr>
          <w:rFonts w:ascii="Times New Roman" w:cs="Times New Roman" w:eastAsia="Times New Roman" w:hAnsi="Times New Roman"/>
          <w:sz w:val="20"/>
          <w:szCs w:val="20"/>
          <w:b w:val="1"/>
          <w:bCs w:val="1"/>
          <w:color w:val="auto"/>
        </w:rPr>
        <w:t>2022</w:t>
      </w:r>
      <w:r>
        <w:rPr>
          <w:rFonts w:ascii="Times New Roman" w:cs="Times New Roman" w:eastAsia="Times New Roman" w:hAnsi="Times New Roman"/>
          <w:sz w:val="20"/>
          <w:szCs w:val="20"/>
          <w:color w:val="auto"/>
        </w:rPr>
        <w:t xml:space="preserve"> for County and Township taxes and </w:t>
      </w:r>
      <w:r>
        <w:rPr>
          <w:rFonts w:ascii="Times New Roman" w:cs="Times New Roman" w:eastAsia="Times New Roman" w:hAnsi="Times New Roman"/>
          <w:sz w:val="20"/>
          <w:szCs w:val="20"/>
          <w:b w:val="1"/>
          <w:bCs w:val="1"/>
          <w:color w:val="auto"/>
        </w:rPr>
        <w:t>2022/2023</w:t>
      </w:r>
      <w:r>
        <w:rPr>
          <w:rFonts w:ascii="Times New Roman" w:cs="Times New Roman" w:eastAsia="Times New Roman" w:hAnsi="Times New Roman"/>
          <w:sz w:val="20"/>
          <w:szCs w:val="20"/>
          <w:color w:val="auto"/>
        </w:rPr>
        <w:t xml:space="preserve"> for School taxes. Tenant’s proportionate share of the building is </w:t>
      </w:r>
      <w:r>
        <w:rPr>
          <w:rFonts w:ascii="Times New Roman" w:cs="Times New Roman" w:eastAsia="Times New Roman" w:hAnsi="Times New Roman"/>
          <w:sz w:val="20"/>
          <w:szCs w:val="20"/>
          <w:b w:val="1"/>
          <w:bCs w:val="1"/>
          <w:color w:val="auto"/>
        </w:rPr>
        <w:t>4.24%.</w:t>
      </w:r>
      <w:r>
        <w:rPr>
          <w:rFonts w:ascii="Times New Roman" w:cs="Times New Roman" w:eastAsia="Times New Roman" w:hAnsi="Times New Roman"/>
          <w:sz w:val="20"/>
          <w:szCs w:val="20"/>
          <w:color w:val="auto"/>
        </w:rPr>
        <w:t xml:space="preserve"> After being notified by the Landlord, Tenant will pay any such increases as additional rent with the next rental payment.</w:t>
      </w:r>
    </w:p>
    <w:p>
      <w:pPr>
        <w:spacing w:after="0" w:line="159" w:lineRule="exact"/>
        <w:rPr>
          <w:sz w:val="20"/>
          <w:szCs w:val="20"/>
          <w:color w:val="auto"/>
        </w:rPr>
      </w:pPr>
    </w:p>
    <w:p>
      <w:pPr>
        <w:ind w:left="1420" w:hanging="606"/>
        <w:spacing w:after="0"/>
        <w:tabs>
          <w:tab w:leader="none" w:pos="1420" w:val="left"/>
        </w:tabs>
        <w:numPr>
          <w:ilvl w:val="1"/>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RENTAL PAYMENTS</w:t>
      </w:r>
    </w:p>
    <w:p>
      <w:pPr>
        <w:spacing w:after="0" w:line="202" w:lineRule="exact"/>
        <w:rPr>
          <w:rFonts w:ascii="Times New Roman" w:cs="Times New Roman" w:eastAsia="Times New Roman" w:hAnsi="Times New Roman"/>
          <w:sz w:val="20"/>
          <w:szCs w:val="20"/>
          <w:b w:val="1"/>
          <w:bCs w:val="1"/>
          <w:color w:val="auto"/>
        </w:rPr>
      </w:pPr>
    </w:p>
    <w:p>
      <w:pPr>
        <w:ind w:left="14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Rental Payments are payable to</w:t>
      </w:r>
    </w:p>
    <w:p>
      <w:pPr>
        <w:spacing w:after="0" w:line="202" w:lineRule="exact"/>
        <w:rPr>
          <w:rFonts w:ascii="Times New Roman" w:cs="Times New Roman" w:eastAsia="Times New Roman" w:hAnsi="Times New Roman"/>
          <w:sz w:val="20"/>
          <w:szCs w:val="20"/>
          <w:b w:val="1"/>
          <w:bCs w:val="1"/>
          <w:color w:val="auto"/>
        </w:rPr>
      </w:pPr>
    </w:p>
    <w:p>
      <w:pPr>
        <w:ind w:left="14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“660 Tudor Square, L.P.” and are to be delivered to:</w:t>
      </w:r>
    </w:p>
    <w:p>
      <w:pPr>
        <w:spacing w:after="0" w:line="202" w:lineRule="exact"/>
        <w:rPr>
          <w:rFonts w:ascii="Times New Roman" w:cs="Times New Roman" w:eastAsia="Times New Roman" w:hAnsi="Times New Roman"/>
          <w:sz w:val="20"/>
          <w:szCs w:val="20"/>
          <w:b w:val="1"/>
          <w:bCs w:val="1"/>
          <w:color w:val="auto"/>
        </w:rPr>
      </w:pPr>
    </w:p>
    <w:p>
      <w:pPr>
        <w:ind w:left="1420" w:right="5359"/>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RE/MAX Properties, Ltd. c/o Daniel J. McCloskey</w:t>
      </w:r>
    </w:p>
    <w:p>
      <w:pPr>
        <w:ind w:left="1420" w:right="5139"/>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210 Penns Trail — Suite 100 Newtown, PA 18940</w:t>
      </w:r>
    </w:p>
    <w:p>
      <w:pPr>
        <w:spacing w:after="0" w:line="151" w:lineRule="exact"/>
        <w:rPr>
          <w:rFonts w:ascii="Times New Roman" w:cs="Times New Roman" w:eastAsia="Times New Roman" w:hAnsi="Times New Roman"/>
          <w:sz w:val="20"/>
          <w:szCs w:val="20"/>
          <w:b w:val="1"/>
          <w:bCs w:val="1"/>
          <w:color w:val="auto"/>
        </w:rPr>
      </w:pPr>
    </w:p>
    <w:p>
      <w:pPr>
        <w:ind w:left="820" w:hanging="616"/>
        <w:spacing w:after="0"/>
        <w:tabs>
          <w:tab w:leader="none" w:pos="8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OF PREMISES</w:t>
      </w:r>
    </w:p>
    <w:p>
      <w:pPr>
        <w:spacing w:after="0" w:line="202"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Tenant shall use the leased premises for a </w:t>
      </w:r>
      <w:r>
        <w:rPr>
          <w:rFonts w:ascii="Times New Roman" w:cs="Times New Roman" w:eastAsia="Times New Roman" w:hAnsi="Times New Roman"/>
          <w:sz w:val="20"/>
          <w:szCs w:val="20"/>
          <w:b w:val="1"/>
          <w:bCs w:val="1"/>
          <w:color w:val="auto"/>
        </w:rPr>
        <w:t>Business Office</w:t>
      </w:r>
      <w:r>
        <w:rPr>
          <w:rFonts w:ascii="Times New Roman" w:cs="Times New Roman" w:eastAsia="Times New Roman" w:hAnsi="Times New Roman"/>
          <w:sz w:val="20"/>
          <w:szCs w:val="20"/>
          <w:color w:val="auto"/>
        </w:rPr>
        <w:t xml:space="preserve"> and no other purpose. Tenant shall be</w:t>
      </w:r>
    </w:p>
    <w:p>
      <w:pPr>
        <w:spacing w:after="0" w:line="25"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0"/>
          <w:szCs w:val="20"/>
          <w:color w:val="auto"/>
        </w:rPr>
        <w:t>responsible for the acquisition of any and all permits for such use from any municipal or governmental authority or agency at its own cost and expense. If the permits cannot be secured, the lease would be subject to termination. Tenant shall use its best efforts to secure any and all permits and Landlord shall cooperate with Tenant if needed in securing any and all permits.</w:t>
      </w:r>
    </w:p>
    <w:p>
      <w:pPr>
        <w:spacing w:after="0" w:line="161" w:lineRule="exact"/>
        <w:rPr>
          <w:sz w:val="20"/>
          <w:szCs w:val="20"/>
          <w:color w:val="auto"/>
        </w:rPr>
      </w:pPr>
    </w:p>
    <w:p>
      <w:pPr>
        <w:ind w:left="820" w:hanging="616"/>
        <w:spacing w:after="0"/>
        <w:tabs>
          <w:tab w:leader="none" w:pos="8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06" w:lineRule="exact"/>
        <w:rPr>
          <w:sz w:val="20"/>
          <w:szCs w:val="20"/>
          <w:color w:val="auto"/>
        </w:rPr>
      </w:pPr>
    </w:p>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All notices that may be necessary under this Agreement shall conclusively be presumed to have been given when sent by overnight mail or by certified mail return receipt requested addressed respectively as follows:</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 LANDLORD:</w:t>
            </w:r>
          </w:p>
        </w:tc>
        <w:tc>
          <w:tcPr>
            <w:tcW w:w="6660" w:type="dxa"/>
            <w:vAlign w:val="bottom"/>
            <w:gridSpan w:val="3"/>
          </w:tcPr>
          <w:p>
            <w:pPr>
              <w:ind w:left="480"/>
              <w:spacing w:after="0"/>
              <w:rPr>
                <w:sz w:val="20"/>
                <w:szCs w:val="20"/>
                <w:color w:val="auto"/>
              </w:rPr>
            </w:pPr>
            <w:r>
              <w:rPr>
                <w:rFonts w:ascii="Times New Roman" w:cs="Times New Roman" w:eastAsia="Times New Roman" w:hAnsi="Times New Roman"/>
                <w:sz w:val="20"/>
                <w:szCs w:val="20"/>
                <w:b w:val="1"/>
                <w:bCs w:val="1"/>
                <w:color w:val="auto"/>
              </w:rPr>
              <w:t>660 Tudor Square</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60" w:type="dxa"/>
            <w:vAlign w:val="bottom"/>
            <w:gridSpan w:val="3"/>
          </w:tcPr>
          <w:p>
            <w:pPr>
              <w:ind w:left="480"/>
              <w:spacing w:after="0" w:line="229" w:lineRule="exact"/>
              <w:rPr>
                <w:sz w:val="20"/>
                <w:szCs w:val="20"/>
                <w:color w:val="auto"/>
              </w:rPr>
            </w:pPr>
            <w:r>
              <w:rPr>
                <w:rFonts w:ascii="Times New Roman" w:cs="Times New Roman" w:eastAsia="Times New Roman" w:hAnsi="Times New Roman"/>
                <w:sz w:val="20"/>
                <w:szCs w:val="20"/>
                <w:b w:val="1"/>
                <w:bCs w:val="1"/>
                <w:color w:val="auto"/>
              </w:rPr>
              <w:t>c/o Daniel J. McCloskey</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60" w:type="dxa"/>
            <w:vAlign w:val="bottom"/>
            <w:gridSpan w:val="3"/>
          </w:tcPr>
          <w:p>
            <w:pPr>
              <w:ind w:left="480"/>
              <w:spacing w:after="0" w:line="229" w:lineRule="exact"/>
              <w:rPr>
                <w:sz w:val="20"/>
                <w:szCs w:val="20"/>
                <w:color w:val="auto"/>
              </w:rPr>
            </w:pPr>
            <w:r>
              <w:rPr>
                <w:rFonts w:ascii="Times New Roman" w:cs="Times New Roman" w:eastAsia="Times New Roman" w:hAnsi="Times New Roman"/>
                <w:sz w:val="20"/>
                <w:szCs w:val="20"/>
                <w:b w:val="1"/>
                <w:bCs w:val="1"/>
                <w:color w:val="auto"/>
              </w:rPr>
              <w:t>RE/MAX Properties, Ltd.</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60" w:type="dxa"/>
            <w:vAlign w:val="bottom"/>
            <w:gridSpan w:val="3"/>
          </w:tcPr>
          <w:p>
            <w:pPr>
              <w:ind w:left="480"/>
              <w:spacing w:after="0" w:line="229" w:lineRule="exact"/>
              <w:rPr>
                <w:sz w:val="20"/>
                <w:szCs w:val="20"/>
                <w:color w:val="auto"/>
              </w:rPr>
            </w:pPr>
            <w:r>
              <w:rPr>
                <w:rFonts w:ascii="Times New Roman" w:cs="Times New Roman" w:eastAsia="Times New Roman" w:hAnsi="Times New Roman"/>
                <w:sz w:val="20"/>
                <w:szCs w:val="20"/>
                <w:b w:val="1"/>
                <w:bCs w:val="1"/>
                <w:color w:val="auto"/>
              </w:rPr>
              <w:t>210 Penns Trail — Suite 100</w:t>
            </w:r>
          </w:p>
        </w:tc>
        <w:tc>
          <w:tcPr>
            <w:tcW w:w="0" w:type="dxa"/>
            <w:vAlign w:val="bottom"/>
          </w:tcPr>
          <w:p>
            <w:pPr>
              <w:spacing w:after="0"/>
              <w:rPr>
                <w:sz w:val="1"/>
                <w:szCs w:val="1"/>
                <w:color w:val="auto"/>
              </w:rPr>
            </w:pPr>
          </w:p>
        </w:tc>
      </w:tr>
      <w:tr>
        <w:trPr>
          <w:trHeight w:val="269"/>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60" w:type="dxa"/>
            <w:vAlign w:val="bottom"/>
            <w:gridSpan w:val="3"/>
          </w:tcPr>
          <w:p>
            <w:pPr>
              <w:ind w:left="480"/>
              <w:spacing w:after="0"/>
              <w:rPr>
                <w:sz w:val="20"/>
                <w:szCs w:val="20"/>
                <w:color w:val="auto"/>
              </w:rPr>
            </w:pPr>
            <w:r>
              <w:rPr>
                <w:rFonts w:ascii="Times New Roman" w:cs="Times New Roman" w:eastAsia="Times New Roman" w:hAnsi="Times New Roman"/>
                <w:sz w:val="20"/>
                <w:szCs w:val="20"/>
                <w:b w:val="1"/>
                <w:bCs w:val="1"/>
                <w:color w:val="auto"/>
              </w:rPr>
              <w:t>Newtown, PA 18940</w:t>
            </w:r>
          </w:p>
        </w:tc>
        <w:tc>
          <w:tcPr>
            <w:tcW w:w="0" w:type="dxa"/>
            <w:vAlign w:val="bottom"/>
          </w:tcPr>
          <w:p>
            <w:pPr>
              <w:spacing w:after="0"/>
              <w:rPr>
                <w:sz w:val="1"/>
                <w:szCs w:val="1"/>
                <w:color w:val="auto"/>
              </w:rPr>
            </w:pPr>
          </w:p>
        </w:tc>
      </w:tr>
      <w:tr>
        <w:trPr>
          <w:trHeight w:val="548"/>
        </w:trPr>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DM 11/30/21</w:t>
            </w:r>
          </w:p>
        </w:tc>
        <w:tc>
          <w:tcPr>
            <w:tcW w:w="54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54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960" w:type="dxa"/>
            <w:vAlign w:val="bottom"/>
            <w:gridSpan w:val="2"/>
            <w:vMerge w:val="continue"/>
          </w:tcPr>
          <w:p>
            <w:pPr>
              <w:spacing w:after="0"/>
              <w:rPr>
                <w:sz w:val="5"/>
                <w:szCs w:val="5"/>
                <w:color w:val="auto"/>
              </w:rPr>
            </w:pPr>
          </w:p>
        </w:tc>
        <w:tc>
          <w:tcPr>
            <w:tcW w:w="5480" w:type="dxa"/>
            <w:vAlign w:val="bottom"/>
            <w:vMerge w:val="restart"/>
          </w:tcPr>
          <w:p>
            <w:pPr>
              <w:ind w:left="2300"/>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0" w:right="1440" w:bottom="1440" w:gutter="0" w:footer="0" w:header="0"/>
        </w:sectPr>
      </w:pPr>
    </w:p>
    <w:bookmarkStart w:id="103" w:name="page104"/>
    <w:bookmarkEnd w:id="103"/>
    <w:p>
      <w:pPr>
        <w:ind w:left="200"/>
        <w:spacing w:after="0"/>
        <w:tabs>
          <w:tab w:leader="none" w:pos="2600" w:val="left"/>
        </w:tabs>
        <w:rPr>
          <w:sz w:val="20"/>
          <w:szCs w:val="20"/>
          <w:color w:val="auto"/>
        </w:rPr>
      </w:pPr>
      <w:r>
        <w:rPr>
          <w:rFonts w:ascii="Times New Roman" w:cs="Times New Roman" w:eastAsia="Times New Roman" w:hAnsi="Times New Roman"/>
          <w:sz w:val="20"/>
          <w:szCs w:val="20"/>
          <w:color w:val="auto"/>
        </w:rPr>
        <w:t>TO TENANT:</w:t>
      </w:r>
      <w:r>
        <w:rPr>
          <w:sz w:val="20"/>
          <w:szCs w:val="20"/>
          <w:color w:val="auto"/>
        </w:rPr>
        <w:tab/>
      </w:r>
      <w:r>
        <w:rPr>
          <w:rFonts w:ascii="Times New Roman" w:cs="Times New Roman" w:eastAsia="Times New Roman" w:hAnsi="Times New Roman"/>
          <w:sz w:val="20"/>
          <w:szCs w:val="20"/>
          <w:b w:val="1"/>
          <w:bCs w:val="1"/>
          <w:color w:val="auto"/>
        </w:rPr>
        <w:t>Helius Medical Technologies, Inc.</w:t>
      </w:r>
    </w:p>
    <w:p>
      <w:pPr>
        <w:spacing w:after="0" w:line="2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642 Newtown Yardley Road, Suite 100</w:t>
      </w:r>
    </w:p>
    <w:p>
      <w:pPr>
        <w:ind w:left="2640"/>
        <w:spacing w:after="0"/>
        <w:rPr>
          <w:sz w:val="20"/>
          <w:szCs w:val="20"/>
          <w:color w:val="auto"/>
        </w:rPr>
      </w:pPr>
      <w:r>
        <w:rPr>
          <w:rFonts w:ascii="Times New Roman" w:cs="Times New Roman" w:eastAsia="Times New Roman" w:hAnsi="Times New Roman"/>
          <w:sz w:val="20"/>
          <w:szCs w:val="20"/>
          <w:b w:val="1"/>
          <w:bCs w:val="1"/>
          <w:color w:val="auto"/>
        </w:rPr>
        <w:t>Newtown, PA 18940</w:t>
      </w:r>
    </w:p>
    <w:p>
      <w:pPr>
        <w:spacing w:after="0" w:line="176" w:lineRule="exact"/>
        <w:rPr>
          <w:sz w:val="20"/>
          <w:szCs w:val="20"/>
          <w:color w:val="auto"/>
        </w:rPr>
      </w:pPr>
    </w:p>
    <w:p>
      <w:pPr>
        <w:ind w:left="820" w:hanging="616"/>
        <w:spacing w:after="0"/>
        <w:tabs>
          <w:tab w:leader="none" w:pos="82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 DEPOSIT</w:t>
      </w:r>
    </w:p>
    <w:p>
      <w:pPr>
        <w:spacing w:after="0" w:line="202" w:lineRule="exact"/>
        <w:rPr>
          <w:sz w:val="20"/>
          <w:szCs w:val="20"/>
          <w:color w:val="auto"/>
        </w:rPr>
      </w:pPr>
    </w:p>
    <w:p>
      <w:pPr>
        <w:jc w:val="both"/>
        <w:ind w:left="200" w:right="219" w:firstLine="610"/>
        <w:spacing w:after="0" w:line="245" w:lineRule="auto"/>
        <w:rPr>
          <w:sz w:val="20"/>
          <w:szCs w:val="20"/>
          <w:color w:val="auto"/>
        </w:rPr>
      </w:pPr>
      <w:r>
        <w:rPr>
          <w:rFonts w:ascii="Times New Roman" w:cs="Times New Roman" w:eastAsia="Times New Roman" w:hAnsi="Times New Roman"/>
          <w:sz w:val="20"/>
          <w:szCs w:val="20"/>
          <w:color w:val="auto"/>
        </w:rPr>
        <w:t xml:space="preserve">Upon execution of this Agreement, Tenant shall deposit with Landlord the sum </w:t>
      </w:r>
      <w:r>
        <w:rPr>
          <w:rFonts w:ascii="Times New Roman" w:cs="Times New Roman" w:eastAsia="Times New Roman" w:hAnsi="Times New Roman"/>
          <w:sz w:val="20"/>
          <w:szCs w:val="20"/>
          <w:b w:val="1"/>
          <w:bCs w:val="1"/>
          <w:color w:val="auto"/>
        </w:rPr>
        <w:t>Three Thousand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Four Hundred Twelve Dollars and 00/100 ($3,412.00) </w:t>
      </w:r>
      <w:r>
        <w:rPr>
          <w:rFonts w:ascii="Times New Roman" w:cs="Times New Roman" w:eastAsia="Times New Roman" w:hAnsi="Times New Roman"/>
          <w:sz w:val="20"/>
          <w:szCs w:val="20"/>
          <w:color w:val="auto"/>
        </w:rPr>
        <w:t>rent to be held as security for the full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faithful performance by Tenant of Tenant’s obligations under this Lease and for the payment of damages to the leased premises. The balance of the security deposit shall be returned to Tenant at the expiration of the term of this Lease less such sums as are required for the payment of damages to the leased premises. It is understood and agreed that no part of the security deposit is to be considered as the last rental due under the terms of this Lease.</w:t>
      </w:r>
    </w:p>
    <w:p>
      <w:pPr>
        <w:spacing w:after="0" w:line="161" w:lineRule="exact"/>
        <w:rPr>
          <w:sz w:val="20"/>
          <w:szCs w:val="20"/>
          <w:color w:val="auto"/>
        </w:rPr>
      </w:pPr>
    </w:p>
    <w:p>
      <w:pPr>
        <w:ind w:left="820" w:hanging="616"/>
        <w:spacing w:after="0"/>
        <w:tabs>
          <w:tab w:leader="none" w:pos="82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INTERIOR IMPROVEMENTS</w:t>
      </w:r>
    </w:p>
    <w:p>
      <w:pPr>
        <w:spacing w:after="0" w:line="202"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Landlord will pay for new carpeting/flooring and painting.</w:t>
      </w:r>
    </w:p>
    <w:p>
      <w:pPr>
        <w:spacing w:after="0" w:line="202" w:lineRule="exact"/>
        <w:rPr>
          <w:rFonts w:ascii="Times New Roman" w:cs="Times New Roman" w:eastAsia="Times New Roman" w:hAnsi="Times New Roman"/>
          <w:sz w:val="20"/>
          <w:szCs w:val="20"/>
          <w:b w:val="1"/>
          <w:bCs w:val="1"/>
          <w:color w:val="auto"/>
        </w:rPr>
      </w:pPr>
    </w:p>
    <w:p>
      <w:pPr>
        <w:ind w:left="820" w:hanging="616"/>
        <w:spacing w:after="0"/>
        <w:tabs>
          <w:tab w:leader="none" w:pos="82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OF SUITE 100 MAILING ADDRESS</w:t>
      </w:r>
    </w:p>
    <w:p>
      <w:pPr>
        <w:spacing w:after="0" w:line="206" w:lineRule="exact"/>
        <w:rPr>
          <w:sz w:val="20"/>
          <w:szCs w:val="20"/>
          <w:color w:val="auto"/>
        </w:rPr>
      </w:pPr>
    </w:p>
    <w:p>
      <w:pPr>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Tenant shall have the right to use 642 Newtown Yardley Road, Suite 100, Newtown, PA 18940 mailing address.</w:t>
      </w:r>
    </w:p>
    <w:p>
      <w:pPr>
        <w:spacing w:after="0" w:line="130" w:lineRule="exact"/>
        <w:rPr>
          <w:sz w:val="20"/>
          <w:szCs w:val="20"/>
          <w:color w:val="auto"/>
        </w:rPr>
      </w:pPr>
    </w:p>
    <w:p>
      <w:pPr>
        <w:ind w:left="820" w:hanging="616"/>
        <w:spacing w:after="0"/>
        <w:tabs>
          <w:tab w:leader="none" w:pos="82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MANAGEMENT</w:t>
      </w:r>
    </w:p>
    <w:p>
      <w:pPr>
        <w:spacing w:after="0" w:line="206"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It is understood and agreed that RE/MAX Properties, Ltd. shall collect all rents. The property is managed by a property management company, Maitland Property Management, which has been authorized by the landlord to handle issues as they involve the subject property. The tenant is instructed to contact the property management company at 215-983-2346 with any concerns.</w:t>
      </w:r>
    </w:p>
    <w:p>
      <w:pPr>
        <w:spacing w:after="0" w:line="154"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This LEASE AGREEMENT - SUMMARY OF BASIC TERMS is intended to be read as a part of the COMMERCIAL LEASE AGREEMENT that is attached hereto, which gives a more detailed description of the rights and obligations of the Landlord and Tenant.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3</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0"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COMMERCIAL LEASE AGREEMENT</w:t>
      </w:r>
    </w:p>
    <w:p>
      <w:pPr>
        <w:spacing w:after="0" w:line="203" w:lineRule="exact"/>
        <w:rPr>
          <w:sz w:val="20"/>
          <w:szCs w:val="20"/>
          <w:color w:val="auto"/>
        </w:rPr>
      </w:pPr>
    </w:p>
    <w:p>
      <w:pPr>
        <w:ind w:left="820" w:right="5219" w:hanging="616"/>
        <w:spacing w:after="0" w:line="476" w:lineRule="auto"/>
        <w:tabs>
          <w:tab w:leader="none" w:pos="820"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RENTAL PAYMENTS &amp; TERMS A. RENTAL PAYMENTS</w:t>
      </w:r>
    </w:p>
    <w:p>
      <w:pPr>
        <w:spacing w:after="0" w:line="1" w:lineRule="exact"/>
        <w:rPr>
          <w:sz w:val="20"/>
          <w:szCs w:val="20"/>
          <w:color w:val="auto"/>
        </w:rPr>
      </w:pPr>
    </w:p>
    <w:p>
      <w:pPr>
        <w:jc w:val="both"/>
        <w:ind w:left="200" w:right="219" w:firstLine="610"/>
        <w:spacing w:after="0" w:line="246" w:lineRule="auto"/>
        <w:rPr>
          <w:sz w:val="20"/>
          <w:szCs w:val="20"/>
          <w:color w:val="auto"/>
        </w:rPr>
      </w:pPr>
      <w:r>
        <w:rPr>
          <w:rFonts w:ascii="Times New Roman" w:cs="Times New Roman" w:eastAsia="Times New Roman" w:hAnsi="Times New Roman"/>
          <w:sz w:val="20"/>
          <w:szCs w:val="20"/>
          <w:color w:val="auto"/>
        </w:rPr>
        <w:t>All rental payments shall be due and payable on or before the first day of each calendar month during the term of this Lease. In the event that Tenant shall not pay any payment of rent within five (5) days after the due date, a late charge of five percent (5%) of the base rental payment and additional rental payment due shall be charged and payable with the next rental payment. In the event Landlord receives a check from Tenant written on insufficient funds, Landlord may charge Tenant a fifty ($50.00) dollar fee to reimburse Landlord for its costs and expenses.</w:t>
      </w:r>
    </w:p>
    <w:p>
      <w:pPr>
        <w:spacing w:after="0" w:line="161"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All rent shall be payable without notice, demand, set-off, deduction or counterclaim. The obligation to pay rent is an independent covenant on the part of Tenant. Under no circumstances may Tenant withhold payment of rent. Tenant may pursue, however, any independent remedies (if any) Tenant has under this Lease. The terms “rent, base rent, additional rent, minimum rent” and any similar variant are used interchangeably in this Lease.</w:t>
      </w:r>
    </w:p>
    <w:p>
      <w:pPr>
        <w:spacing w:after="0" w:line="159" w:lineRule="exact"/>
        <w:rPr>
          <w:sz w:val="20"/>
          <w:szCs w:val="20"/>
          <w:color w:val="auto"/>
        </w:rPr>
      </w:pPr>
    </w:p>
    <w:p>
      <w:pPr>
        <w:ind w:left="1420" w:hanging="606"/>
        <w:spacing w:after="0"/>
        <w:tabs>
          <w:tab w:leader="none" w:pos="14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RENT WHILE HOLDING OVER</w:t>
      </w:r>
    </w:p>
    <w:p>
      <w:pPr>
        <w:spacing w:after="0" w:line="206" w:lineRule="exact"/>
        <w:rPr>
          <w:sz w:val="20"/>
          <w:szCs w:val="20"/>
          <w:color w:val="auto"/>
        </w:rPr>
      </w:pPr>
    </w:p>
    <w:p>
      <w:pPr>
        <w:jc w:val="both"/>
        <w:ind w:left="200" w:right="219" w:firstLine="610"/>
        <w:spacing w:after="0" w:line="243" w:lineRule="auto"/>
        <w:rPr>
          <w:sz w:val="20"/>
          <w:szCs w:val="20"/>
          <w:color w:val="auto"/>
        </w:rPr>
      </w:pPr>
      <w:r>
        <w:rPr>
          <w:rFonts w:ascii="Times New Roman" w:cs="Times New Roman" w:eastAsia="Times New Roman" w:hAnsi="Times New Roman"/>
          <w:sz w:val="20"/>
          <w:szCs w:val="20"/>
          <w:color w:val="auto"/>
        </w:rPr>
        <w:t>In the event that Tenant is classified as a hold-over Tenant pursuant to Commercial Lease Agreement-Summary of Basic Terms, Section 1(B), then in that event, in addition to all rents provided for hereinabove, Tenant shall pay to the Landlord a monthly minimum base rent at a rate at 150% of the monthly rental in effect as of the last month prior to the date of expiration or termination. Tenant shall also indemnify, defend, protect and hold Landlord harmless from any loss, liability or cost including reasonable attorneys’ fees, resulting from delay by Tenant in surrendering the Premises, including, without limitation, any claims made by any succeeding tenant founded on such delay. The foregoing provisions of this Section are in addition to and do not affect Landlord’s right of reentry or any other rights of Landlord hereunder or as otherwise provided by law.</w:t>
      </w:r>
    </w:p>
    <w:p>
      <w:pPr>
        <w:spacing w:after="0" w:line="162" w:lineRule="exact"/>
        <w:rPr>
          <w:sz w:val="20"/>
          <w:szCs w:val="20"/>
          <w:color w:val="auto"/>
        </w:rPr>
      </w:pPr>
    </w:p>
    <w:p>
      <w:pPr>
        <w:ind w:left="820" w:hanging="616"/>
        <w:spacing w:after="0"/>
        <w:tabs>
          <w:tab w:leader="none" w:pos="82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AND OBLIGATIONS OF TENANT</w:t>
      </w:r>
    </w:p>
    <w:p>
      <w:pPr>
        <w:spacing w:after="0" w:line="202" w:lineRule="exact"/>
        <w:rPr>
          <w:sz w:val="20"/>
          <w:szCs w:val="20"/>
          <w:color w:val="auto"/>
        </w:rPr>
      </w:pPr>
    </w:p>
    <w:p>
      <w:pPr>
        <w:ind w:left="1420" w:hanging="606"/>
        <w:spacing w:after="0"/>
        <w:tabs>
          <w:tab w:leader="none" w:pos="142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FIXTURES AND EQUIPMENT</w:t>
      </w:r>
    </w:p>
    <w:p>
      <w:pPr>
        <w:spacing w:after="0" w:line="206"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All trade fixtures, equipment, appliances, decorations, etc., installed by Tenant in the Leased Premises shall remain the sole property of the Tenant, provided however, that Tenant shall repair any damages caused by the removal of such fixtures, equipment, appliances, decorations, etc., from the Leased Premises at the termination of this lease as provided herein.</w:t>
      </w:r>
    </w:p>
    <w:p>
      <w:pPr>
        <w:spacing w:after="0" w:line="156" w:lineRule="exact"/>
        <w:rPr>
          <w:sz w:val="20"/>
          <w:szCs w:val="20"/>
          <w:color w:val="auto"/>
        </w:rPr>
      </w:pPr>
    </w:p>
    <w:p>
      <w:pPr>
        <w:ind w:left="1420" w:hanging="606"/>
        <w:spacing w:after="0"/>
        <w:tabs>
          <w:tab w:leader="none" w:pos="142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WASTE AND NUISANCE</w:t>
      </w:r>
    </w:p>
    <w:p>
      <w:pPr>
        <w:spacing w:after="0" w:line="206" w:lineRule="exact"/>
        <w:rPr>
          <w:sz w:val="20"/>
          <w:szCs w:val="20"/>
          <w:color w:val="auto"/>
        </w:rPr>
      </w:pPr>
    </w:p>
    <w:p>
      <w:pPr>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Tenant shall not commit or suffer to be committed any waste or any nuisance or other act or thing which may disturb the Landlord or any other person to whom the Landlord has any duty.</w:t>
      </w:r>
    </w:p>
    <w:p>
      <w:pPr>
        <w:spacing w:after="0" w:line="130" w:lineRule="exact"/>
        <w:rPr>
          <w:sz w:val="20"/>
          <w:szCs w:val="20"/>
          <w:color w:val="auto"/>
        </w:rPr>
      </w:pPr>
    </w:p>
    <w:p>
      <w:pPr>
        <w:ind w:left="1420" w:hanging="606"/>
        <w:spacing w:after="0"/>
        <w:tabs>
          <w:tab w:leader="none" w:pos="14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HAZARDOUS SUBSTANCES</w:t>
      </w:r>
    </w:p>
    <w:p>
      <w:pPr>
        <w:spacing w:after="0" w:line="372"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0" w:right="1440" w:bottom="1440" w:gutter="0" w:footer="0" w:header="0"/>
        </w:sectPr>
      </w:pPr>
    </w:p>
    <w:bookmarkStart w:id="105" w:name="page106"/>
    <w:bookmarkEnd w:id="105"/>
    <w:p>
      <w:pPr>
        <w:jc w:val="both"/>
        <w:ind w:left="200" w:right="219" w:firstLine="610"/>
        <w:spacing w:after="0" w:line="243" w:lineRule="auto"/>
        <w:rPr>
          <w:sz w:val="20"/>
          <w:szCs w:val="20"/>
          <w:color w:val="auto"/>
        </w:rPr>
      </w:pPr>
      <w:r>
        <w:rPr>
          <w:rFonts w:ascii="Times New Roman" w:cs="Times New Roman" w:eastAsia="Times New Roman" w:hAnsi="Times New Roman"/>
          <w:sz w:val="20"/>
          <w:szCs w:val="20"/>
          <w:color w:val="auto"/>
        </w:rPr>
        <w:t>Tenant covenants and warrants that Tenant, Tenant’s Work and any alterations thereto and Tenant’s use of Leased Premises will at all time comply with and conform to all laws, statutes, ordinances, rules and regulations of any governmental, quasi-governmental or regulatory authorities (“Laws”) which relate to the transportation, storage, placement, handling, treatment, discharge, generation, production or disposal (collectively “Treatment”) of any waste, petroleum product, waste products, radioactive waste, poly-chlorinated biphenyls, asbestos, hazardous materials of any kind, and any substance which is regulated by any law, statute ordinance, rule or regulation (collectively “Waste”). Tenant further covenants and warrants that it will not engage in or permit any person or entity to engage in any Treatment of any Waste on or which affects the Leased Premises.</w:t>
      </w:r>
    </w:p>
    <w:p>
      <w:pPr>
        <w:spacing w:after="0" w:line="167" w:lineRule="exact"/>
        <w:rPr>
          <w:sz w:val="20"/>
          <w:szCs w:val="20"/>
          <w:color w:val="auto"/>
        </w:rPr>
      </w:pPr>
    </w:p>
    <w:p>
      <w:pPr>
        <w:jc w:val="both"/>
        <w:ind w:left="200" w:right="219" w:firstLine="610"/>
        <w:spacing w:after="0" w:line="248" w:lineRule="auto"/>
        <w:rPr>
          <w:sz w:val="20"/>
          <w:szCs w:val="20"/>
          <w:color w:val="auto"/>
        </w:rPr>
      </w:pPr>
      <w:r>
        <w:rPr>
          <w:rFonts w:ascii="Times New Roman" w:cs="Times New Roman" w:eastAsia="Times New Roman" w:hAnsi="Times New Roman"/>
          <w:sz w:val="20"/>
          <w:szCs w:val="20"/>
          <w:color w:val="auto"/>
        </w:rPr>
        <w:t>Immediately upon receipt of any Notice (as hereinafter defined) from any person or entity, Tenant shall deliver to Landlord a true, correct and complete copy of any written Notice. “Notice” shall mean any note, notice or report of any suit, proceeding, investigation, order, consent order, injunction, writ, award or action related to or affecting or indicating the Treatment of any Waste in or affecting the Leased Premises.</w:t>
      </w:r>
    </w:p>
    <w:p>
      <w:pPr>
        <w:spacing w:after="0" w:line="396" w:lineRule="exact"/>
        <w:rPr>
          <w:sz w:val="20"/>
          <w:szCs w:val="20"/>
          <w:color w:val="auto"/>
        </w:rPr>
      </w:pPr>
    </w:p>
    <w:p>
      <w:pPr>
        <w:jc w:val="both"/>
        <w:ind w:left="200" w:right="219" w:firstLine="610"/>
        <w:spacing w:after="0" w:line="243" w:lineRule="auto"/>
        <w:rPr>
          <w:sz w:val="20"/>
          <w:szCs w:val="20"/>
          <w:color w:val="auto"/>
        </w:rPr>
      </w:pPr>
      <w:r>
        <w:rPr>
          <w:rFonts w:ascii="Times New Roman" w:cs="Times New Roman" w:eastAsia="Times New Roman" w:hAnsi="Times New Roman"/>
          <w:sz w:val="20"/>
          <w:szCs w:val="20"/>
          <w:color w:val="auto"/>
        </w:rPr>
        <w:t>Tenant hereby agrees it will indemnify, defend, save and hold harmless RE/MAX Properties Ltd., Landlord and its officers, directors, shareholders, employees, agents, partners, and their respective heirs, successors and assigns (collectively “Indemnified Parties”) against and from, and to reimburse the Indemnified Parties with respect to, any and all damages, claims, liabilities, loss, costs and expense (including, without limitation, all attorneys’ fees and expenses, court costs, administrative costs and costs of appeals), incurred by or asserted against the Indemnified Parties by reason of or arising out of: (a) the breach of any representation or undertaking of Tenant under this Section 2(C) or (b) arising out of the Treatment of any Waste by Tenant or any licensee, concessionaire, manager or other party occupying or using the Leased Premises, in or affecting the Leased Premises.</w:t>
      </w:r>
    </w:p>
    <w:p>
      <w:pPr>
        <w:spacing w:after="0" w:line="166" w:lineRule="exact"/>
        <w:rPr>
          <w:sz w:val="20"/>
          <w:szCs w:val="20"/>
          <w:color w:val="auto"/>
        </w:rPr>
      </w:pPr>
    </w:p>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Landlord is given the right, but not the obligation, to inspect and monitor the Leased Premises and Tenant’s use of the Leased Premises in order to confirm Tenant’s compliance with the terms of this Section 2(C) and the representations set forth in this Section 2(C).</w:t>
      </w:r>
    </w:p>
    <w:p>
      <w:pPr>
        <w:spacing w:after="0" w:line="151" w:lineRule="exact"/>
        <w:rPr>
          <w:sz w:val="20"/>
          <w:szCs w:val="20"/>
          <w:color w:val="auto"/>
        </w:rPr>
      </w:pPr>
    </w:p>
    <w:p>
      <w:pPr>
        <w:jc w:val="both"/>
        <w:ind w:left="200" w:right="219" w:firstLine="610"/>
        <w:spacing w:after="0" w:line="246" w:lineRule="auto"/>
        <w:rPr>
          <w:sz w:val="20"/>
          <w:szCs w:val="20"/>
          <w:color w:val="auto"/>
        </w:rPr>
      </w:pPr>
      <w:r>
        <w:rPr>
          <w:rFonts w:ascii="Times New Roman" w:cs="Times New Roman" w:eastAsia="Times New Roman" w:hAnsi="Times New Roman"/>
          <w:sz w:val="20"/>
          <w:szCs w:val="20"/>
          <w:color w:val="auto"/>
        </w:rPr>
        <w:t>Tenant agrees to deliver upon request from Landlord estoppel certificates to Landlord expressly stipulating whether Tenant is engaged in or has engaged in the Treatment of any Waste in or affecting the Leased Premises, and whether Tenant has caused any spill, contamination, discharge, leakage, release or escape of any Waste in or affecting the Leased Premises, whether sudden or gradual, accidental or anticipated, or any other nature at or affecting the Leased Premises and whether, to the best of Tenant’s knowledge, such an occurrence has otherwise occurred at or affected the Leased Premises.</w:t>
      </w:r>
    </w:p>
    <w:p>
      <w:pPr>
        <w:spacing w:after="0" w:line="157" w:lineRule="exact"/>
        <w:rPr>
          <w:sz w:val="20"/>
          <w:szCs w:val="20"/>
          <w:color w:val="auto"/>
        </w:rPr>
      </w:pPr>
    </w:p>
    <w:p>
      <w:pPr>
        <w:ind w:left="1420" w:hanging="606"/>
        <w:spacing w:after="0"/>
        <w:tabs>
          <w:tab w:leader="none" w:pos="14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GOVERNMENTAL REGULATIONS</w:t>
      </w:r>
    </w:p>
    <w:p>
      <w:pPr>
        <w:spacing w:after="0" w:line="206"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Tenant shall at Tenant’s sole cost and expense, without notice or demand from Landlord, comply with and faithfully observe all requirements of all municipal, county, state, federal and other governmental authorities having jurisdiction, now in force or which may hereafter be enforced, pertaining to the Tenant’s use of the Leased Premises.</w:t>
      </w:r>
    </w:p>
    <w:p>
      <w:pPr>
        <w:spacing w:after="0" w:line="325"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06" w:name="page107"/>
    <w:bookmarkEnd w:id="106"/>
    <w:p>
      <w:pPr>
        <w:ind w:left="1420" w:hanging="606"/>
        <w:spacing w:after="0"/>
        <w:tabs>
          <w:tab w:leader="none" w:pos="142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IMPROVEMENTS</w:t>
      </w:r>
    </w:p>
    <w:p>
      <w:pPr>
        <w:spacing w:after="0" w:line="207" w:lineRule="exact"/>
        <w:rPr>
          <w:sz w:val="20"/>
          <w:szCs w:val="20"/>
          <w:color w:val="auto"/>
        </w:rPr>
      </w:pPr>
    </w:p>
    <w:p>
      <w:pPr>
        <w:jc w:val="both"/>
        <w:ind w:left="200" w:right="219" w:firstLine="610"/>
        <w:spacing w:after="0" w:line="241" w:lineRule="auto"/>
        <w:rPr>
          <w:sz w:val="20"/>
          <w:szCs w:val="20"/>
          <w:color w:val="auto"/>
        </w:rPr>
      </w:pPr>
      <w:r>
        <w:rPr>
          <w:rFonts w:ascii="Times New Roman" w:cs="Times New Roman" w:eastAsia="Times New Roman" w:hAnsi="Times New Roman"/>
          <w:sz w:val="20"/>
          <w:szCs w:val="20"/>
          <w:color w:val="auto"/>
        </w:rPr>
        <w:t>Tenant shall not make any alterations, additions or improvements to the Leased Premises without the prior written consent of Landlord. Consent for non-structural alterations, additions, or improvements shall not be unreasonably withheld by Landlord. Tenant shall comply with all governmental rules and regulations in connection with such work, and shall prevent any lien or obligation from being created against or imposed upon the Leased Premises and will discharge all liens and charges for services rendered or materials furnished immediately after such liens occur or said charges become due and payable. Subject to Section 2(A) above and the following sentence, such alterations, additions or improvements shall become part of the real property and remain the property of Landlord on termination of the Lease unless consented to in advance by Landlord. Anything contained in this paragraph to the contrary notwithstanding Tenant may remove such alterations, additions or improvements, including any trade fixtures, at the termination of the Lease provided that Tenant does so without damaging the Leased Premises and further provided that Tenant restores the Leased Premises in all material respects to the condition the Leased Premises was at the inception of the Lease.</w:t>
      </w:r>
    </w:p>
    <w:p>
      <w:pPr>
        <w:spacing w:after="0" w:line="174"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At all times when any change or alteration is in progress, there shall be maintained, at Tenant’s expense, Workmen’s Compensation Insurance in accordance with the law, covering all persons employed in connection with the change or alteration, and general liability insurance of the mutual benefit of Tenant and Landlord, expressly covering the additional hazards due to the change or alteration.</w:t>
      </w:r>
    </w:p>
    <w:p>
      <w:pPr>
        <w:spacing w:after="0" w:line="156" w:lineRule="exact"/>
        <w:rPr>
          <w:sz w:val="20"/>
          <w:szCs w:val="20"/>
          <w:color w:val="auto"/>
        </w:rPr>
      </w:pPr>
    </w:p>
    <w:p>
      <w:pPr>
        <w:ind w:left="1420" w:hanging="606"/>
        <w:spacing w:after="0"/>
        <w:tabs>
          <w:tab w:leader="none" w:pos="142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SIGNS</w:t>
      </w:r>
    </w:p>
    <w:p>
      <w:pPr>
        <w:spacing w:after="0" w:line="206"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Tenant may not install any signs or posters on the exterior of the building in which the Leased Premises are located or at any other location adjacent to the said building or install, display or use any signs except as shall be permitted by the Landlord whose permission shall not be unreasonably withheld. Tenant shall comply with all other written rules and regulations imposed by the Landlord or any municipal or other authority exercising jurisdiction over such matters.</w:t>
      </w:r>
    </w:p>
    <w:p>
      <w:pPr>
        <w:spacing w:after="0" w:line="159" w:lineRule="exact"/>
        <w:rPr>
          <w:sz w:val="20"/>
          <w:szCs w:val="20"/>
          <w:color w:val="auto"/>
        </w:rPr>
      </w:pPr>
    </w:p>
    <w:p>
      <w:pPr>
        <w:ind w:left="820" w:hanging="616"/>
        <w:spacing w:after="0"/>
        <w:tabs>
          <w:tab w:leader="none" w:pos="82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MAINTENANCE</w:t>
      </w:r>
    </w:p>
    <w:p>
      <w:pPr>
        <w:spacing w:after="0" w:line="206"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Landlord shall be responsible for and maintain (where applicable) in good operating condition (and repair or replace as needed) heating, electric, plumbing, utility systems, emergency lighting, exterior lighting, ventilation, and air-conditioning equipment servicing the Leased Premises. Landlord shall be responsible for maintenance of parking lot, snow removal, and landscaping. Tenant shall be responsible for the cost of all repairs that shall be determined to be caused by tenant or any of its clients or invitees.</w:t>
      </w:r>
    </w:p>
    <w:p>
      <w:pPr>
        <w:spacing w:after="0" w:line="163" w:lineRule="exact"/>
        <w:rPr>
          <w:sz w:val="20"/>
          <w:szCs w:val="20"/>
          <w:color w:val="auto"/>
        </w:rPr>
      </w:pPr>
    </w:p>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Except as set forth in the preceding sentences, Tenant shall have the sole liability and responsibility for any maintenance and repair of the interior of the Leased Premises and the repair and maintenance of Tenant’s fixtures or equipment contained herein.</w:t>
      </w:r>
    </w:p>
    <w:p>
      <w:pPr>
        <w:spacing w:after="0" w:line="151" w:lineRule="exact"/>
        <w:rPr>
          <w:sz w:val="20"/>
          <w:szCs w:val="20"/>
          <w:color w:val="auto"/>
        </w:rPr>
      </w:pPr>
    </w:p>
    <w:p>
      <w:pPr>
        <w:jc w:val="both"/>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Tenant shall provide complete janitorial services to the Leased Premises at least on a weekly basis and shall be responsible for the cost of such services.</w:t>
      </w:r>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3</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0" w:right="1440" w:bottom="1440" w:gutter="0" w:footer="0" w:header="0"/>
        </w:sectPr>
      </w:pPr>
    </w:p>
    <w:bookmarkStart w:id="107" w:name="page108"/>
    <w:bookmarkEnd w:id="107"/>
    <w:p>
      <w:pPr>
        <w:jc w:val="both"/>
        <w:ind w:left="200" w:right="219" w:firstLine="610"/>
        <w:spacing w:after="0" w:line="276" w:lineRule="auto"/>
        <w:rPr>
          <w:sz w:val="20"/>
          <w:szCs w:val="20"/>
          <w:color w:val="auto"/>
        </w:rPr>
      </w:pPr>
      <w:r>
        <w:rPr>
          <w:rFonts w:ascii="Times New Roman" w:cs="Times New Roman" w:eastAsia="Times New Roman" w:hAnsi="Times New Roman"/>
          <w:sz w:val="20"/>
          <w:szCs w:val="20"/>
          <w:color w:val="auto"/>
        </w:rPr>
        <w:t>Landlord reserves the right to visit the Leased Premises at reasonable times and with reasonable notice, using his best efforts not to interfere with Tenant’s use of Leased Premises.</w:t>
      </w:r>
    </w:p>
    <w:p>
      <w:pPr>
        <w:spacing w:after="0" w:line="132" w:lineRule="exact"/>
        <w:rPr>
          <w:sz w:val="20"/>
          <w:szCs w:val="20"/>
          <w:color w:val="auto"/>
        </w:rPr>
      </w:pPr>
    </w:p>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Tenant shall not be responsible for any damage by fire elements or unavoidable casualty or other catastrophe cause to Leased Premises which shall not be due to the negligence of the Tenant, Tenant’s employees, agents or servants.</w:t>
      </w:r>
    </w:p>
    <w:p>
      <w:pPr>
        <w:spacing w:after="0" w:line="147" w:lineRule="exact"/>
        <w:rPr>
          <w:sz w:val="20"/>
          <w:szCs w:val="20"/>
          <w:color w:val="auto"/>
        </w:rPr>
      </w:pPr>
    </w:p>
    <w:p>
      <w:pPr>
        <w:ind w:left="820" w:hanging="616"/>
        <w:spacing w:after="0"/>
        <w:tabs>
          <w:tab w:leader="none" w:pos="82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 AND INDEMNITY</w:t>
      </w:r>
    </w:p>
    <w:p>
      <w:pPr>
        <w:spacing w:after="0" w:line="202" w:lineRule="exact"/>
        <w:rPr>
          <w:sz w:val="20"/>
          <w:szCs w:val="20"/>
          <w:color w:val="auto"/>
        </w:rPr>
      </w:pPr>
    </w:p>
    <w:p>
      <w:pPr>
        <w:ind w:left="1420" w:hanging="606"/>
        <w:spacing w:after="0"/>
        <w:tabs>
          <w:tab w:leader="none" w:pos="142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INSURANCE REQUIRED OF THE TENANT</w:t>
      </w:r>
    </w:p>
    <w:p>
      <w:pPr>
        <w:spacing w:after="0" w:line="206" w:lineRule="exact"/>
        <w:rPr>
          <w:sz w:val="20"/>
          <w:szCs w:val="20"/>
          <w:color w:val="auto"/>
        </w:rPr>
      </w:pPr>
    </w:p>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Tenant shall take out and maintain the following insurance coverages throughout the term of this lease. Certificates of Insurance shall be provided to Landlord on or before the commencement of the initial term of this lease and at least 5 days prior to each anniversary thereafter.</w:t>
      </w:r>
    </w:p>
    <w:p>
      <w:pPr>
        <w:spacing w:after="0" w:line="151"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All insurance coverages shall be provided by an insurance company which is licensed to conduct business in the State of Pennsylvania. Each insurance policy shall be provided by an insurance company with a minimum AM Best Company Rating of A-VIII. Liability insurance coverages shall be provided to extend coverage to the landlord on a primary and noncontributing basis. Landlord shall be covered as an additional insured on all liability coverages maintained by Tenant including all operations at or from the leased premises. All insurance policies shall contain a waiver of subrogation with respect to the coverages provided to landlord there under. Landlord shall similarly request a waiver of subrogation from its property insurer to the extent of its recovery from its insurance company for any property loss that may occur at the leased premises. All policies of insurance will include language that the insurance company or agent for each coverage provided shall provide not less than 30 days advance written notice prior to cancellation or the imposition of any material change in the policy term or condition.</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following shall be included:</w:t>
      </w:r>
    </w:p>
    <w:p>
      <w:pPr>
        <w:spacing w:after="0" w:line="202" w:lineRule="exact"/>
        <w:rPr>
          <w:sz w:val="20"/>
          <w:szCs w:val="20"/>
          <w:color w:val="auto"/>
        </w:rPr>
      </w:pPr>
    </w:p>
    <w:p>
      <w:pPr>
        <w:jc w:val="both"/>
        <w:ind w:left="1420" w:right="219" w:hanging="606"/>
        <w:spacing w:after="0" w:line="247"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Commercial General Liability insurance on occurrence basis providing coverage of $1,000,000 per occurrence and $2,000,000 general aggregate per year. This policy will not be subject to a deductible of more than $5,000 per occurrence without the express written permission of landlord. Coverage also include premises medical payments of $5,000 per person fire legal liability coverage of not less than $100,000.</w:t>
      </w:r>
    </w:p>
    <w:p>
      <w:pPr>
        <w:spacing w:after="0" w:line="163" w:lineRule="exact"/>
        <w:rPr>
          <w:rFonts w:ascii="Times New Roman" w:cs="Times New Roman" w:eastAsia="Times New Roman" w:hAnsi="Times New Roman"/>
          <w:sz w:val="18"/>
          <w:szCs w:val="18"/>
          <w:color w:val="auto"/>
        </w:rPr>
      </w:pPr>
    </w:p>
    <w:p>
      <w:pPr>
        <w:ind w:left="1420" w:hanging="606"/>
        <w:spacing w:after="0"/>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Statutory workers’ compensation and employer’s liability coverage for $500,000.</w:t>
      </w:r>
    </w:p>
    <w:p>
      <w:pPr>
        <w:spacing w:after="0" w:line="202" w:lineRule="exact"/>
        <w:rPr>
          <w:rFonts w:ascii="Times New Roman" w:cs="Times New Roman" w:eastAsia="Times New Roman" w:hAnsi="Times New Roman"/>
          <w:sz w:val="18"/>
          <w:szCs w:val="18"/>
          <w:color w:val="auto"/>
        </w:rPr>
      </w:pPr>
    </w:p>
    <w:p>
      <w:pPr>
        <w:jc w:val="both"/>
        <w:ind w:left="1420" w:right="239" w:hanging="606"/>
        <w:spacing w:after="0" w:line="257"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Umbrella liability coverage providing additional limits of protection on an occurrence above the primary general liability and employer’s liability coverages for additional limit of not less than $4,000,000 per occurrence.</w:t>
      </w:r>
    </w:p>
    <w:p>
      <w:pPr>
        <w:spacing w:after="0" w:line="150" w:lineRule="exact"/>
        <w:rPr>
          <w:rFonts w:ascii="Times New Roman" w:cs="Times New Roman" w:eastAsia="Times New Roman" w:hAnsi="Times New Roman"/>
          <w:sz w:val="18"/>
          <w:szCs w:val="18"/>
          <w:color w:val="auto"/>
        </w:rPr>
      </w:pPr>
    </w:p>
    <w:p>
      <w:pPr>
        <w:jc w:val="both"/>
        <w:ind w:left="1420" w:right="239" w:hanging="606"/>
        <w:spacing w:after="0" w:line="250"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Property insurance on an “all risk” replacement cost basis covering all furniture, inventory, tools and equipment, and tenant improvements and betterments that may be installed by tenant. Tenant shall also purchase business income coverage that provides protection for at least 12 months of its rents as provided for under this</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4</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08" w:name="page109"/>
    <w:bookmarkEnd w:id="108"/>
    <w:p>
      <w:pPr>
        <w:ind w:left="1420"/>
        <w:spacing w:after="0"/>
        <w:rPr>
          <w:sz w:val="20"/>
          <w:szCs w:val="20"/>
          <w:color w:val="auto"/>
        </w:rPr>
      </w:pPr>
      <w:r>
        <w:rPr>
          <w:rFonts w:ascii="Times New Roman" w:cs="Times New Roman" w:eastAsia="Times New Roman" w:hAnsi="Times New Roman"/>
          <w:sz w:val="20"/>
          <w:szCs w:val="20"/>
          <w:color w:val="auto"/>
        </w:rPr>
        <w:t>lease. Landlord shall be an additional insured loss payee under this property coverage.</w:t>
      </w:r>
    </w:p>
    <w:p>
      <w:pPr>
        <w:spacing w:after="0" w:line="199" w:lineRule="exact"/>
        <w:rPr>
          <w:sz w:val="20"/>
          <w:szCs w:val="20"/>
          <w:color w:val="auto"/>
        </w:rPr>
      </w:pPr>
    </w:p>
    <w:p>
      <w:pPr>
        <w:ind w:left="1420" w:hanging="606"/>
        <w:spacing w:after="0"/>
        <w:tabs>
          <w:tab w:leader="none" w:pos="142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FIRE INSURANCE</w:t>
      </w:r>
    </w:p>
    <w:p>
      <w:pPr>
        <w:spacing w:after="0" w:line="206"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Landlord shall maintain and keep in force and effect or cause to be maintained and kept in force and effect a policy of fire insurance covering the exterior of the premises (including foundations, structure and roof) of which the Leased Premises is a part and Tenant shall be responsible for their personal property only and liability for fire insurance, or all risks coverage, covering the Leased Premises and contents of the leased premises.</w:t>
      </w:r>
    </w:p>
    <w:p>
      <w:pPr>
        <w:spacing w:after="0" w:line="159" w:lineRule="exact"/>
        <w:rPr>
          <w:sz w:val="20"/>
          <w:szCs w:val="20"/>
          <w:color w:val="auto"/>
        </w:rPr>
      </w:pPr>
    </w:p>
    <w:p>
      <w:pPr>
        <w:ind w:left="1420" w:hanging="606"/>
        <w:spacing w:after="0"/>
        <w:tabs>
          <w:tab w:leader="none" w:pos="14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OF LANDLORD</w:t>
      </w:r>
    </w:p>
    <w:p>
      <w:pPr>
        <w:spacing w:after="0" w:line="206" w:lineRule="exact"/>
        <w:rPr>
          <w:sz w:val="20"/>
          <w:szCs w:val="20"/>
          <w:color w:val="auto"/>
        </w:rPr>
      </w:pPr>
    </w:p>
    <w:p>
      <w:pPr>
        <w:jc w:val="both"/>
        <w:ind w:left="200" w:right="219" w:firstLine="610"/>
        <w:spacing w:after="0" w:line="242" w:lineRule="auto"/>
        <w:rPr>
          <w:sz w:val="20"/>
          <w:szCs w:val="20"/>
          <w:color w:val="auto"/>
        </w:rPr>
      </w:pPr>
      <w:r>
        <w:rPr>
          <w:rFonts w:ascii="Times New Roman" w:cs="Times New Roman" w:eastAsia="Times New Roman" w:hAnsi="Times New Roman"/>
          <w:sz w:val="20"/>
          <w:szCs w:val="20"/>
          <w:color w:val="auto"/>
        </w:rPr>
        <w:t>Except for claims arising out of acts caused by the negligence or willful acts of the Landlord or its representatives, Tenant will indemnify Landlord and save Landlord harmless from and against any and all claims, actions, damages, liability and expense in conjunction with the loss of life, an occurrence in, upon or at the Leased Premises or the occupancy or use by Tenant of the Leased Premises or any part thereof, or occasioned wholly or in part by any act or omission of Tenant, his agents, contractors, employees, or servants. In case Landlord shall have been made a party to any litigation commenced by or against Tenant, then Tenant shall protect and hold Landlord harmless and shall pay all costs, expenses and reasonable attorney’s fees incurred or paid by Landlord in connection with such litigation. This indemnification shall exclude claims made by Tenant against Landlord. Tenant shall also pay all costs, expenses and reasonable attorney’s fees that may be incurred or paid by the Landlord in successfully enforcing the covenants and agreements of this Lease.</w:t>
      </w:r>
    </w:p>
    <w:p>
      <w:pPr>
        <w:spacing w:after="0" w:line="164" w:lineRule="exact"/>
        <w:rPr>
          <w:sz w:val="20"/>
          <w:szCs w:val="20"/>
          <w:color w:val="auto"/>
        </w:rPr>
      </w:pPr>
    </w:p>
    <w:p>
      <w:pPr>
        <w:ind w:left="1420" w:hanging="606"/>
        <w:spacing w:after="0"/>
        <w:tabs>
          <w:tab w:leader="none" w:pos="142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OF SUBROGATION</w:t>
      </w:r>
    </w:p>
    <w:p>
      <w:pPr>
        <w:spacing w:after="0" w:line="206" w:lineRule="exact"/>
        <w:rPr>
          <w:sz w:val="20"/>
          <w:szCs w:val="20"/>
          <w:color w:val="auto"/>
        </w:rPr>
      </w:pPr>
    </w:p>
    <w:p>
      <w:pPr>
        <w:jc w:val="both"/>
        <w:ind w:left="200" w:right="219" w:firstLine="610"/>
        <w:spacing w:after="0" w:line="243" w:lineRule="auto"/>
        <w:rPr>
          <w:sz w:val="20"/>
          <w:szCs w:val="20"/>
          <w:color w:val="auto"/>
        </w:rPr>
      </w:pPr>
      <w:r>
        <w:rPr>
          <w:rFonts w:ascii="Times New Roman" w:cs="Times New Roman" w:eastAsia="Times New Roman" w:hAnsi="Times New Roman"/>
          <w:sz w:val="20"/>
          <w:szCs w:val="20"/>
          <w:color w:val="auto"/>
        </w:rPr>
        <w:t>Landlord and Tenant hereby release each other from any and all liability or responsibility to the other or any one claiming through or under them by way of subrogation or otherwise for any loss, damage or injury to property covered by any insurance then in force, even if such loss or damage shall have been caused by the fault or the negligence of the other party., or anyone for whom such party may be responsible. All policies of insurance referred to herein shall contain a clause(s) or endorsement(s) acknowledging such waiver of subrogation and also to the effect that this mutual release shall not adversely affect or impair said insurance or prejudice the right of any insured to recover there under. The foregoing releases shall not apply to property losses or damages in excess of policy limits or to losses or damages not covered by insurance due the nature of the action or to a deductible clause in the policy.</w:t>
      </w:r>
    </w:p>
    <w:p>
      <w:pPr>
        <w:spacing w:after="0" w:line="162" w:lineRule="exact"/>
        <w:rPr>
          <w:sz w:val="20"/>
          <w:szCs w:val="20"/>
          <w:color w:val="auto"/>
        </w:rPr>
      </w:pPr>
    </w:p>
    <w:p>
      <w:pPr>
        <w:ind w:left="820" w:hanging="616"/>
        <w:spacing w:after="0"/>
        <w:tabs>
          <w:tab w:leader="none" w:pos="82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DESTRUCTION OF LEASED PREMISES</w:t>
      </w:r>
    </w:p>
    <w:p>
      <w:pPr>
        <w:spacing w:after="0" w:line="202" w:lineRule="exact"/>
        <w:rPr>
          <w:sz w:val="20"/>
          <w:szCs w:val="20"/>
          <w:color w:val="auto"/>
        </w:rPr>
      </w:pPr>
    </w:p>
    <w:p>
      <w:pPr>
        <w:ind w:left="1420" w:hanging="606"/>
        <w:spacing w:after="0"/>
        <w:tabs>
          <w:tab w:leader="none" w:pos="142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MINOR DAMAGE</w:t>
      </w:r>
    </w:p>
    <w:p>
      <w:pPr>
        <w:spacing w:after="0" w:line="206" w:lineRule="exact"/>
        <w:rPr>
          <w:sz w:val="20"/>
          <w:szCs w:val="20"/>
          <w:color w:val="auto"/>
        </w:rPr>
      </w:pPr>
    </w:p>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If the Leased Premises shall be damaged by fire, the elements or unavoidable casualty, but are not rendered materially unusable in whole or in part, Landlord shall at its own expense and costs, promptly cause such damage to be repaired and the rent shall not be abated.</w:t>
      </w:r>
    </w:p>
    <w:p>
      <w:pPr>
        <w:spacing w:after="0" w:line="147" w:lineRule="exact"/>
        <w:rPr>
          <w:sz w:val="20"/>
          <w:szCs w:val="20"/>
          <w:color w:val="auto"/>
        </w:rPr>
      </w:pPr>
    </w:p>
    <w:p>
      <w:pPr>
        <w:ind w:left="1420" w:hanging="606"/>
        <w:spacing w:after="0"/>
        <w:tabs>
          <w:tab w:leader="none" w:pos="142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PARTIAL DESTRUCTION</w:t>
      </w:r>
    </w:p>
    <w:p>
      <w:pPr>
        <w:spacing w:after="0" w:line="372"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5</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09" w:name="page110"/>
    <w:bookmarkEnd w:id="109"/>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If by reason of such occurrence, the Leased Premises are rendered materially unusable in part, the Landlord shall, at its own expense, promptly cause the damage to be repaired and the rent shall meanwhile be abated on a prorated basis.</w:t>
      </w:r>
    </w:p>
    <w:p>
      <w:pPr>
        <w:spacing w:after="0" w:line="147" w:lineRule="exact"/>
        <w:rPr>
          <w:sz w:val="20"/>
          <w:szCs w:val="20"/>
          <w:color w:val="auto"/>
        </w:rPr>
      </w:pPr>
    </w:p>
    <w:p>
      <w:pPr>
        <w:ind w:left="1420" w:hanging="606"/>
        <w:spacing w:after="0"/>
        <w:tabs>
          <w:tab w:leader="none" w:pos="142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TOTAL DESTRUCTION</w:t>
      </w:r>
    </w:p>
    <w:p>
      <w:pPr>
        <w:spacing w:after="0" w:line="206" w:lineRule="exact"/>
        <w:rPr>
          <w:sz w:val="20"/>
          <w:szCs w:val="20"/>
          <w:color w:val="auto"/>
        </w:rPr>
      </w:pPr>
    </w:p>
    <w:p>
      <w:pPr>
        <w:jc w:val="both"/>
        <w:ind w:left="200" w:right="219" w:firstLine="610"/>
        <w:spacing w:after="0" w:line="257" w:lineRule="auto"/>
        <w:rPr>
          <w:sz w:val="20"/>
          <w:szCs w:val="20"/>
          <w:color w:val="auto"/>
        </w:rPr>
      </w:pPr>
      <w:r>
        <w:rPr>
          <w:rFonts w:ascii="Times New Roman" w:cs="Times New Roman" w:eastAsia="Times New Roman" w:hAnsi="Times New Roman"/>
          <w:sz w:val="20"/>
          <w:szCs w:val="20"/>
          <w:color w:val="auto"/>
        </w:rPr>
        <w:t>If the Leased Premises shall be rendered wholly unusable by reason of total destruction, this Lease shall terminate upon the option of either the Landlord or the Tenant and if so terminated, both parties shall be released from any further liability under it.</w:t>
      </w:r>
    </w:p>
    <w:p>
      <w:pPr>
        <w:spacing w:after="0" w:line="147" w:lineRule="exact"/>
        <w:rPr>
          <w:sz w:val="20"/>
          <w:szCs w:val="20"/>
          <w:color w:val="auto"/>
        </w:rPr>
      </w:pPr>
    </w:p>
    <w:p>
      <w:pPr>
        <w:ind w:left="820" w:hanging="616"/>
        <w:spacing w:after="0"/>
        <w:tabs>
          <w:tab w:leader="none" w:pos="82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EMINENT DOMAIN</w:t>
      </w:r>
    </w:p>
    <w:p>
      <w:pPr>
        <w:spacing w:after="0" w:line="202"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A.TOTAL CONDEMNATION OF LEASED PREMISES</w:t>
      </w:r>
    </w:p>
    <w:p>
      <w:pPr>
        <w:spacing w:after="0" w:line="206"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If the whole, or any part, of the Leased Premises shall be acquired or condemned by eminent domain for any public or quasi-public purpose, Tenant shall have the right to terminate this Lease at any time after the date of title vesting in such proceedings. All rental shall be prorated as of the date of such termination.</w:t>
      </w:r>
    </w:p>
    <w:p>
      <w:pPr>
        <w:spacing w:after="0" w:line="156" w:lineRule="exact"/>
        <w:rPr>
          <w:sz w:val="20"/>
          <w:szCs w:val="20"/>
          <w:color w:val="auto"/>
        </w:rPr>
      </w:pPr>
    </w:p>
    <w:p>
      <w:pPr>
        <w:ind w:left="1420" w:hanging="606"/>
        <w:spacing w:after="0"/>
        <w:tabs>
          <w:tab w:leader="none" w:pos="142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LANDLORD’S DAMAGES</w:t>
      </w:r>
    </w:p>
    <w:p>
      <w:pPr>
        <w:spacing w:after="0" w:line="206"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Subject to Section 6(C) below, In the event of any condemnation or taking as aforesaid, whether whole or partial, the Tenant shall not be entitled to any part of the award paid to the Landlord for such condemnation, and the Landlord is to receive the full amount of such award; Tenant hereby expressly waiving any rights or claim to any part thereof.</w:t>
      </w:r>
    </w:p>
    <w:p>
      <w:pPr>
        <w:spacing w:after="0" w:line="156" w:lineRule="exact"/>
        <w:rPr>
          <w:sz w:val="20"/>
          <w:szCs w:val="20"/>
          <w:color w:val="auto"/>
        </w:rPr>
      </w:pPr>
    </w:p>
    <w:p>
      <w:pPr>
        <w:ind w:left="1420" w:hanging="606"/>
        <w:spacing w:after="0"/>
        <w:tabs>
          <w:tab w:leader="none" w:pos="142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DAMAGES</w:t>
      </w:r>
    </w:p>
    <w:p>
      <w:pPr>
        <w:spacing w:after="0" w:line="206"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Tenant shall have the right to claim and recover from any condemning authority such compensation as may be separately awarded or recoverable by Tenant in Tenant’s own right on account of any and all damages to Tenant’s business by reason of the acquisition or condemnation, and for or on account of any loss, losses or expenses to which Tenant may be put in removing Tenant’s merchandise, furniture, fixtures, equipment and leasehold improvements.</w:t>
      </w:r>
    </w:p>
    <w:p>
      <w:pPr>
        <w:spacing w:after="0" w:line="159" w:lineRule="exact"/>
        <w:rPr>
          <w:sz w:val="20"/>
          <w:szCs w:val="20"/>
          <w:color w:val="auto"/>
        </w:rPr>
      </w:pPr>
    </w:p>
    <w:p>
      <w:pPr>
        <w:ind w:left="820" w:right="3619" w:hanging="616"/>
        <w:spacing w:after="0" w:line="452" w:lineRule="auto"/>
        <w:tabs>
          <w:tab w:leader="none" w:pos="82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LANDLORD’S WARRANTIES AND COVENANTS A. AUTHORITY AND TITLE</w:t>
      </w:r>
    </w:p>
    <w:p>
      <w:pPr>
        <w:spacing w:after="0" w:line="2" w:lineRule="exact"/>
        <w:rPr>
          <w:sz w:val="20"/>
          <w:szCs w:val="20"/>
          <w:color w:val="auto"/>
        </w:rPr>
      </w:pPr>
    </w:p>
    <w:p>
      <w:pPr>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Landlord represents and warrants that Landlord is the owner of the Leased Premises and has the right to make this lease.</w:t>
      </w:r>
    </w:p>
    <w:p>
      <w:pPr>
        <w:spacing w:after="0" w:line="130" w:lineRule="exact"/>
        <w:rPr>
          <w:sz w:val="20"/>
          <w:szCs w:val="20"/>
          <w:color w:val="auto"/>
        </w:rPr>
      </w:pPr>
    </w:p>
    <w:p>
      <w:pPr>
        <w:ind w:left="1420" w:hanging="606"/>
        <w:spacing w:after="0"/>
        <w:tabs>
          <w:tab w:leader="none" w:pos="142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QUIET ENJOYMENT</w:t>
      </w:r>
    </w:p>
    <w:p>
      <w:pPr>
        <w:spacing w:after="0" w:line="206" w:lineRule="exact"/>
        <w:rPr>
          <w:sz w:val="20"/>
          <w:szCs w:val="20"/>
          <w:color w:val="auto"/>
        </w:rPr>
      </w:pPr>
    </w:p>
    <w:p>
      <w:pPr>
        <w:jc w:val="both"/>
        <w:ind w:left="200" w:right="219" w:firstLine="610"/>
        <w:spacing w:after="0" w:line="250" w:lineRule="auto"/>
        <w:rPr>
          <w:sz w:val="20"/>
          <w:szCs w:val="20"/>
          <w:color w:val="auto"/>
        </w:rPr>
      </w:pPr>
      <w:r>
        <w:rPr>
          <w:rFonts w:ascii="Times New Roman" w:cs="Times New Roman" w:eastAsia="Times New Roman" w:hAnsi="Times New Roman"/>
          <w:sz w:val="20"/>
          <w:szCs w:val="20"/>
          <w:color w:val="auto"/>
        </w:rPr>
        <w:t>Landlord covenants that upon the payment by the Tenant of the rents herein provided and upon performance of all the covenants, terms and conditions on Tenant’s part to be observed and performed, Tenant shall peaceably and quietly hold and enjoy the Leased Premises or the tenancy created hereby without hindrance or interruption by the Landlord or any other person or persons</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6</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0" w:name="page111"/>
    <w:bookmarkEnd w:id="110"/>
    <w:p>
      <w:pPr>
        <w:ind w:left="200" w:right="219"/>
        <w:spacing w:after="0" w:line="276" w:lineRule="auto"/>
        <w:rPr>
          <w:sz w:val="20"/>
          <w:szCs w:val="20"/>
          <w:color w:val="auto"/>
        </w:rPr>
      </w:pPr>
      <w:r>
        <w:rPr>
          <w:rFonts w:ascii="Times New Roman" w:cs="Times New Roman" w:eastAsia="Times New Roman" w:hAnsi="Times New Roman"/>
          <w:sz w:val="20"/>
          <w:szCs w:val="20"/>
          <w:color w:val="auto"/>
        </w:rPr>
        <w:t>lawfully or equitably claiming by, through or under the Landlord, subject nevertheless to the terms and conditions of this Lease.</w:t>
      </w:r>
    </w:p>
    <w:p>
      <w:pPr>
        <w:spacing w:after="0" w:line="128" w:lineRule="exact"/>
        <w:rPr>
          <w:sz w:val="20"/>
          <w:szCs w:val="20"/>
          <w:color w:val="auto"/>
        </w:rPr>
      </w:pPr>
    </w:p>
    <w:p>
      <w:pPr>
        <w:ind w:left="820" w:hanging="616"/>
        <w:spacing w:after="0"/>
        <w:tabs>
          <w:tab w:leader="none" w:pos="82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SUBLEASE</w:t>
      </w:r>
    </w:p>
    <w:p>
      <w:pPr>
        <w:spacing w:after="0" w:line="202"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A.ASSIGNMENT AND SUBLETTING BY TENANT</w:t>
      </w:r>
    </w:p>
    <w:p>
      <w:pPr>
        <w:spacing w:after="0" w:line="206" w:lineRule="exact"/>
        <w:rPr>
          <w:sz w:val="20"/>
          <w:szCs w:val="20"/>
          <w:color w:val="auto"/>
        </w:rPr>
      </w:pPr>
    </w:p>
    <w:p>
      <w:pPr>
        <w:jc w:val="both"/>
        <w:ind w:left="200" w:right="219" w:firstLine="610"/>
        <w:spacing w:after="0" w:line="247" w:lineRule="auto"/>
        <w:rPr>
          <w:sz w:val="20"/>
          <w:szCs w:val="20"/>
          <w:color w:val="auto"/>
        </w:rPr>
      </w:pPr>
      <w:r>
        <w:rPr>
          <w:rFonts w:ascii="Times New Roman" w:cs="Times New Roman" w:eastAsia="Times New Roman" w:hAnsi="Times New Roman"/>
          <w:sz w:val="20"/>
          <w:szCs w:val="20"/>
          <w:color w:val="auto"/>
        </w:rPr>
        <w:t>Tenant shall not have the right, except with the prior written consent of Landlord, which may not be unreasonably withheld by Landlord, to assign this Lease or any interest therein. The assignee selected by Tenant shall be subject to the approval of Landlord and, if Landlord approves the assignment, the assignee shall assume in writing all of the Tenant’s obligations under this Lease and Tenant shall remain liable for each and every obligation hereunder unless agreed otherwise by Landlord in writing.</w:t>
      </w:r>
    </w:p>
    <w:p>
      <w:pPr>
        <w:spacing w:after="0" w:line="163" w:lineRule="exact"/>
        <w:rPr>
          <w:sz w:val="20"/>
          <w:szCs w:val="20"/>
          <w:color w:val="auto"/>
        </w:rPr>
      </w:pPr>
    </w:p>
    <w:p>
      <w:pPr>
        <w:jc w:val="both"/>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The approval of Landlord shall be based upon the proposed assignee’s financial condition, proposed use and stability, and any other consideration deemed relevant by landlord.</w:t>
      </w:r>
    </w:p>
    <w:p>
      <w:pPr>
        <w:spacing w:after="0" w:line="134" w:lineRule="exact"/>
        <w:rPr>
          <w:sz w:val="20"/>
          <w:szCs w:val="20"/>
          <w:color w:val="auto"/>
        </w:rPr>
      </w:pPr>
    </w:p>
    <w:p>
      <w:pPr>
        <w:jc w:val="both"/>
        <w:ind w:left="200" w:right="219" w:firstLine="610"/>
        <w:spacing w:after="0" w:line="246" w:lineRule="auto"/>
        <w:rPr>
          <w:sz w:val="20"/>
          <w:szCs w:val="20"/>
          <w:color w:val="auto"/>
        </w:rPr>
      </w:pPr>
      <w:r>
        <w:rPr>
          <w:rFonts w:ascii="Times New Roman" w:cs="Times New Roman" w:eastAsia="Times New Roman" w:hAnsi="Times New Roman"/>
          <w:sz w:val="20"/>
          <w:szCs w:val="20"/>
          <w:color w:val="auto"/>
        </w:rPr>
        <w:t>Tenant shall not have the right except with the prior written consent of Landlord, which may not be unreasonably withheld, to sublet the Leased Premises provided that the Landlord shall have the right to approve such subtenant and that the subtenant shall assume in writing all of the Tenant’s obligation under this Lease, and Tenant shall remain liable for each and every obligation under this Lease. The approval of such subtenant shall be based upon the same conditions as set forth in the previous paragraph.</w:t>
      </w:r>
    </w:p>
    <w:p>
      <w:pPr>
        <w:spacing w:after="0" w:line="393" w:lineRule="exact"/>
        <w:rPr>
          <w:sz w:val="20"/>
          <w:szCs w:val="20"/>
          <w:color w:val="auto"/>
        </w:rPr>
      </w:pPr>
    </w:p>
    <w:p>
      <w:pPr>
        <w:ind w:left="820" w:hanging="616"/>
        <w:spacing w:after="0"/>
        <w:tabs>
          <w:tab w:leader="none" w:pos="82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DEFAULT &amp; REMEDIES</w:t>
      </w:r>
    </w:p>
    <w:p>
      <w:pPr>
        <w:spacing w:after="0" w:line="202" w:lineRule="exact"/>
        <w:rPr>
          <w:sz w:val="20"/>
          <w:szCs w:val="20"/>
          <w:color w:val="auto"/>
        </w:rPr>
      </w:pPr>
    </w:p>
    <w:p>
      <w:pPr>
        <w:ind w:left="1420" w:hanging="606"/>
        <w:spacing w:after="0"/>
        <w:tabs>
          <w:tab w:leader="none" w:pos="142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DEFAULT</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shall constitute an “Event of Default” under this Lease:</w:t>
      </w:r>
    </w:p>
    <w:p>
      <w:pPr>
        <w:spacing w:after="0" w:line="202" w:lineRule="exact"/>
        <w:rPr>
          <w:sz w:val="20"/>
          <w:szCs w:val="20"/>
          <w:color w:val="auto"/>
        </w:rPr>
      </w:pPr>
    </w:p>
    <w:p>
      <w:pPr>
        <w:jc w:val="both"/>
        <w:ind w:left="2040" w:right="219" w:hanging="616"/>
        <w:spacing w:after="0" w:line="244" w:lineRule="auto"/>
        <w:tabs>
          <w:tab w:leader="none" w:pos="20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Tenant to pay in full, within five (5) days after receipt of written notice from the Landlord that the same is due and owing, any and all installments of Minimum Rent provided that written notice of the same shall not be required to be given more than twice in any calendar twelve (12) month period. Additional Rent and/or other charge or payment herein reserved, included, or agreed to be treated or collected as rent and/or any other charge, expense, or cost herein agreed to be paid by the Tenant; or</w:t>
      </w:r>
    </w:p>
    <w:p>
      <w:pPr>
        <w:spacing w:after="0" w:line="167" w:lineRule="exact"/>
        <w:rPr>
          <w:rFonts w:ascii="Times New Roman" w:cs="Times New Roman" w:eastAsia="Times New Roman" w:hAnsi="Times New Roman"/>
          <w:sz w:val="20"/>
          <w:szCs w:val="20"/>
          <w:color w:val="auto"/>
        </w:rPr>
      </w:pPr>
    </w:p>
    <w:p>
      <w:pPr>
        <w:jc w:val="both"/>
        <w:ind w:left="2040" w:right="219" w:hanging="616"/>
        <w:spacing w:after="0" w:line="243" w:lineRule="auto"/>
        <w:tabs>
          <w:tab w:leader="none" w:pos="20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violates or fails to perform or otherwise breaks any material non-monetary covenant or agreement of this Lease Agreement or the agreements incorporated herein by reference, and such failure or violation is not cured within fifteen (15) days (or such other period if specifically provided in this Lease) after written notice from Landlord to Tenant of such failure or violation, or in the case of a failure or violation which cannot be cured within the notice period, the Tenant has not commenced to cure such failure or violation within the notice period or has not diligently pursued the completion of such cure; or</w:t>
      </w:r>
    </w:p>
    <w:p>
      <w:pPr>
        <w:spacing w:after="0" w:line="336"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7</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1" w:name="page112"/>
    <w:bookmarkEnd w:id="111"/>
    <w:p>
      <w:pPr>
        <w:jc w:val="both"/>
        <w:ind w:left="2040" w:right="219" w:hanging="616"/>
        <w:spacing w:after="0" w:line="251" w:lineRule="auto"/>
        <w:tabs>
          <w:tab w:leader="none" w:pos="20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vacates the Leased Premises without first having paid and satisfied the Landlord in full for all Minimum Rent, Additional Rent and all other charges then due that may thereafter become due until the expiration of the then current term, above mentioned; or</w:t>
      </w:r>
    </w:p>
    <w:p>
      <w:pPr>
        <w:spacing w:after="0" w:line="156" w:lineRule="exact"/>
        <w:rPr>
          <w:rFonts w:ascii="Times New Roman" w:cs="Times New Roman" w:eastAsia="Times New Roman" w:hAnsi="Times New Roman"/>
          <w:sz w:val="20"/>
          <w:szCs w:val="20"/>
          <w:color w:val="auto"/>
        </w:rPr>
      </w:pPr>
    </w:p>
    <w:p>
      <w:pPr>
        <w:jc w:val="both"/>
        <w:ind w:left="2040" w:right="219" w:hanging="616"/>
        <w:spacing w:after="0" w:line="246" w:lineRule="auto"/>
        <w:tabs>
          <w:tab w:leader="none" w:pos="20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becomes insolvent, makes an assignment for the benefit of creditors, files or has filed against it a petition in bankruptcy and such petition remains undismissed sixty (60) days after said petition is filed, or a bill in equity or other proceeding for the appointment of a receiver for the Tenant is filed, if proceedings or reorganization or for composition with creditors under any State or Federal law be instituted by or against Tenant; or</w:t>
      </w:r>
    </w:p>
    <w:p>
      <w:pPr>
        <w:spacing w:after="0" w:line="161" w:lineRule="exact"/>
        <w:rPr>
          <w:rFonts w:ascii="Times New Roman" w:cs="Times New Roman" w:eastAsia="Times New Roman" w:hAnsi="Times New Roman"/>
          <w:sz w:val="20"/>
          <w:szCs w:val="20"/>
          <w:color w:val="auto"/>
        </w:rPr>
      </w:pPr>
    </w:p>
    <w:p>
      <w:pPr>
        <w:jc w:val="both"/>
        <w:ind w:left="2040" w:right="239" w:hanging="616"/>
        <w:spacing w:after="0" w:line="250" w:lineRule="auto"/>
        <w:tabs>
          <w:tab w:leader="none" w:pos="20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shall default in the timely payment of Minimum Rent, Additional Rent or other charges payable by Tenant hereunder or to timely discharge any other monetary obligation more than two (2) times in any twelve (12) month period notwithstanding the fact that any such default have been previously cured; or</w:t>
      </w:r>
    </w:p>
    <w:p>
      <w:pPr>
        <w:spacing w:after="0" w:line="159" w:lineRule="exact"/>
        <w:rPr>
          <w:rFonts w:ascii="Times New Roman" w:cs="Times New Roman" w:eastAsia="Times New Roman" w:hAnsi="Times New Roman"/>
          <w:sz w:val="20"/>
          <w:szCs w:val="20"/>
          <w:color w:val="auto"/>
        </w:rPr>
      </w:pPr>
    </w:p>
    <w:p>
      <w:pPr>
        <w:jc w:val="both"/>
        <w:ind w:left="2040" w:right="219" w:hanging="616"/>
        <w:spacing w:after="0" w:line="247" w:lineRule="auto"/>
        <w:tabs>
          <w:tab w:leader="none" w:pos="20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or any agent of Tenant falsifies any report or statement (including financial statements) to be furnished to Landlord pursuant to the terms of this Lease. The falsification of any such document shall be deemed an incurable material breach of this Lease and, at Landlord’s option, constitute an immediate termination of Tenant’s right to possession of the Leased Premises; or</w:t>
      </w:r>
    </w:p>
    <w:p>
      <w:pPr>
        <w:spacing w:after="0" w:line="163" w:lineRule="exact"/>
        <w:rPr>
          <w:rFonts w:ascii="Times New Roman" w:cs="Times New Roman" w:eastAsia="Times New Roman" w:hAnsi="Times New Roman"/>
          <w:sz w:val="20"/>
          <w:szCs w:val="20"/>
          <w:color w:val="auto"/>
        </w:rPr>
      </w:pPr>
    </w:p>
    <w:p>
      <w:pPr>
        <w:ind w:left="2040" w:right="219" w:hanging="616"/>
        <w:spacing w:after="0" w:line="275" w:lineRule="auto"/>
        <w:tabs>
          <w:tab w:leader="none" w:pos="20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fails to open for business within sixty (60) days after the Commencement Date; or</w:t>
      </w:r>
    </w:p>
    <w:p>
      <w:pPr>
        <w:spacing w:after="0" w:line="133" w:lineRule="exact"/>
        <w:rPr>
          <w:rFonts w:ascii="Times New Roman" w:cs="Times New Roman" w:eastAsia="Times New Roman" w:hAnsi="Times New Roman"/>
          <w:sz w:val="20"/>
          <w:szCs w:val="20"/>
          <w:color w:val="auto"/>
        </w:rPr>
      </w:pPr>
    </w:p>
    <w:p>
      <w:pPr>
        <w:jc w:val="both"/>
        <w:ind w:left="2040" w:right="219" w:hanging="616"/>
        <w:spacing w:after="0" w:line="257" w:lineRule="auto"/>
        <w:tabs>
          <w:tab w:leader="none" w:pos="20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fails to execute and return required estoppel certificates within the ten (10) days of Landlord’s request and subordination agreements within fifteen (15) days of Landlord’s request.</w:t>
      </w:r>
    </w:p>
    <w:p>
      <w:pPr>
        <w:spacing w:after="0" w:line="146" w:lineRule="exact"/>
        <w:rPr>
          <w:rFonts w:ascii="Times New Roman" w:cs="Times New Roman" w:eastAsia="Times New Roman" w:hAnsi="Times New Roman"/>
          <w:sz w:val="20"/>
          <w:szCs w:val="20"/>
          <w:color w:val="auto"/>
        </w:rPr>
      </w:pPr>
    </w:p>
    <w:p>
      <w:pPr>
        <w:ind w:left="1420" w:hanging="606"/>
        <w:spacing w:after="0"/>
        <w:tabs>
          <w:tab w:leader="none" w:pos="142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w:t>
      </w:r>
    </w:p>
    <w:p>
      <w:pPr>
        <w:spacing w:after="0" w:line="206" w:lineRule="exact"/>
        <w:rPr>
          <w:rFonts w:ascii="Times New Roman" w:cs="Times New Roman" w:eastAsia="Times New Roman" w:hAnsi="Times New Roman"/>
          <w:sz w:val="20"/>
          <w:szCs w:val="20"/>
          <w:b w:val="1"/>
          <w:bCs w:val="1"/>
          <w:color w:val="auto"/>
        </w:rPr>
      </w:pPr>
    </w:p>
    <w:p>
      <w:pPr>
        <w:ind w:left="14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 Event of Default occurs, Landlord shall have the right to:</w:t>
      </w:r>
    </w:p>
    <w:p>
      <w:pPr>
        <w:spacing w:after="0" w:line="202" w:lineRule="exact"/>
        <w:rPr>
          <w:rFonts w:ascii="Times New Roman" w:cs="Times New Roman" w:eastAsia="Times New Roman" w:hAnsi="Times New Roman"/>
          <w:sz w:val="20"/>
          <w:szCs w:val="20"/>
          <w:b w:val="1"/>
          <w:bCs w:val="1"/>
          <w:color w:val="auto"/>
        </w:rPr>
      </w:pPr>
    </w:p>
    <w:p>
      <w:pPr>
        <w:jc w:val="both"/>
        <w:ind w:left="2040" w:right="239" w:hanging="616"/>
        <w:spacing w:after="0" w:line="250" w:lineRule="auto"/>
        <w:tabs>
          <w:tab w:leader="none" w:pos="204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the Minimum Rent and Additional Rent for the entire unexpired balance of the term of this Lease, all other charges, payments, costs and expenses herein agreed to be paid by the Tenant or at the option of Landlord any part of the rent and other charges, payments, costs and expenses, all costs</w:t>
      </w:r>
    </w:p>
    <w:p>
      <w:pPr>
        <w:spacing w:after="0" w:line="159" w:lineRule="exact"/>
        <w:rPr>
          <w:rFonts w:ascii="Times New Roman" w:cs="Times New Roman" w:eastAsia="Times New Roman" w:hAnsi="Times New Roman"/>
          <w:sz w:val="20"/>
          <w:szCs w:val="20"/>
          <w:color w:val="auto"/>
        </w:rPr>
      </w:pPr>
    </w:p>
    <w:p>
      <w:pPr>
        <w:jc w:val="both"/>
        <w:ind w:left="2040" w:right="219" w:hanging="616"/>
        <w:spacing w:after="0" w:line="247" w:lineRule="auto"/>
        <w:tabs>
          <w:tab w:leader="none" w:pos="204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officers’ commission, watchman’s wages, the five percent (5%) chargeable by Act of Assembly, and reasonable attorney’s fees incurred or to be incurred by Landlord, and shall, in addition to any and all installments of rent, already due and payable and in arrears and/or other charge or payment herein reserved, included or agreed to be treated or collected as</w:t>
      </w: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3015"/>
              <w:spacing w:after="0"/>
              <w:rPr>
                <w:sz w:val="20"/>
                <w:szCs w:val="20"/>
                <w:color w:val="auto"/>
              </w:rPr>
            </w:pPr>
            <w:r>
              <w:rPr>
                <w:rFonts w:ascii="Times New Roman" w:cs="Times New Roman" w:eastAsia="Times New Roman" w:hAnsi="Times New Roman"/>
                <w:sz w:val="17"/>
                <w:szCs w:val="17"/>
                <w:color w:val="auto"/>
              </w:rPr>
              <w:t>8</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u w:val="single" w:color="auto"/>
          <w:color w:val="auto"/>
        </w:rPr>
        <w:t>/s/ DM 11/30/21</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Landlord Initials</w:t>
      </w:r>
    </w:p>
    <w:p>
      <w:pPr>
        <w:spacing w:after="0" w:line="20" w:lineRule="exact"/>
        <w:rPr>
          <w:sz w:val="20"/>
          <w:szCs w:val="20"/>
          <w:color w:val="auto"/>
        </w:rPr>
      </w:pPr>
      <w:r>
        <w:rPr>
          <w:sz w:val="20"/>
          <w:szCs w:val="20"/>
          <w:color w:val="auto"/>
        </w:rPr>
        <w:br w:type="column"/>
      </w:r>
    </w:p>
    <w:p>
      <w:pPr>
        <w:jc w:val="both"/>
        <w:ind w:right="239"/>
        <w:spacing w:after="0" w:line="247" w:lineRule="auto"/>
        <w:rPr>
          <w:sz w:val="20"/>
          <w:szCs w:val="20"/>
          <w:color w:val="auto"/>
        </w:rPr>
      </w:pPr>
      <w:r>
        <w:rPr>
          <w:rFonts w:ascii="Times New Roman" w:cs="Times New Roman" w:eastAsia="Times New Roman" w:hAnsi="Times New Roman"/>
          <w:sz w:val="20"/>
          <w:szCs w:val="20"/>
          <w:color w:val="auto"/>
        </w:rPr>
        <w:t>rent, and/or any other charges, expenses or costs herein agreed to be paid by the Tenant which may be due and payable and in arrears, be taken to be due and payable and in arrears as if by the terms and provisions of this Lease, the whole balance of unpaid Minimum Rent, Additional Rent and other charges, payments, taxes, costs, and expenses were on that date payable in advance.</w:t>
      </w:r>
    </w:p>
    <w:p>
      <w:pPr>
        <w:spacing w:after="0" w:line="164" w:lineRule="exact"/>
        <w:rPr>
          <w:sz w:val="20"/>
          <w:szCs w:val="20"/>
          <w:color w:val="auto"/>
        </w:rPr>
      </w:pPr>
    </w:p>
    <w:p>
      <w:pPr>
        <w:jc w:val="both"/>
        <w:ind w:right="219"/>
        <w:spacing w:after="0" w:line="244" w:lineRule="auto"/>
        <w:rPr>
          <w:sz w:val="20"/>
          <w:szCs w:val="20"/>
          <w:color w:val="auto"/>
        </w:rPr>
      </w:pPr>
      <w:r>
        <w:rPr>
          <w:rFonts w:ascii="Times New Roman" w:cs="Times New Roman" w:eastAsia="Times New Roman" w:hAnsi="Times New Roman"/>
          <w:sz w:val="20"/>
          <w:szCs w:val="20"/>
          <w:color w:val="auto"/>
        </w:rPr>
        <w:t>Collect and receive from any assignee or sublessee the Minimum Rents, Additional Rents, and all other charges reserved herein as rent due by such assignee or sublessee and apply the same to the rent due hereunder. Receipt of such sums by Landlord shall be credited against the amount due from Tenant but it shall in no way affect Tenant’s obligations to pay any unpaid balance of rent due hereunder. No payment by sublessee or assignee shall give such sublessee or assignee any rights greater than those existing between Landlord and Tenant.</w:t>
      </w:r>
    </w:p>
    <w:p>
      <w:pPr>
        <w:spacing w:after="0" w:line="168" w:lineRule="exact"/>
        <w:rPr>
          <w:sz w:val="20"/>
          <w:szCs w:val="20"/>
          <w:color w:val="auto"/>
        </w:rPr>
      </w:pPr>
    </w:p>
    <w:p>
      <w:pPr>
        <w:jc w:val="both"/>
        <w:ind w:right="219"/>
        <w:spacing w:after="0" w:line="243" w:lineRule="auto"/>
        <w:rPr>
          <w:sz w:val="20"/>
          <w:szCs w:val="20"/>
          <w:color w:val="auto"/>
        </w:rPr>
      </w:pPr>
      <w:r>
        <w:rPr>
          <w:rFonts w:ascii="Times New Roman" w:cs="Times New Roman" w:eastAsia="Times New Roman" w:hAnsi="Times New Roman"/>
          <w:sz w:val="20"/>
          <w:szCs w:val="20"/>
          <w:color w:val="auto"/>
        </w:rPr>
        <w:t>Terminate this Lease without any right on the part of the Tenant to save the forfeiture by payment of any sum due or by other performance of any condition, term, or covenant broken; whereupon, Landlord shall be entitled to recover damages for such breach in an amount of rent reserved for the balance of the term of this Lease or the residue of said term plus the amount of any prior rents then due and owing, less any amounts obtained by Landlord for subletting the leased premises. Landlord shall use its best efforts to relet the leased premises on reasonable commercial terms after an event of default.</w:t>
      </w:r>
    </w:p>
    <w:p>
      <w:pPr>
        <w:spacing w:after="0" w:line="170" w:lineRule="exact"/>
        <w:rPr>
          <w:sz w:val="20"/>
          <w:szCs w:val="20"/>
          <w:color w:val="auto"/>
        </w:rPr>
      </w:pPr>
    </w:p>
    <w:p>
      <w:pPr>
        <w:jc w:val="both"/>
        <w:ind w:right="219"/>
        <w:spacing w:after="0"/>
        <w:rPr>
          <w:sz w:val="20"/>
          <w:szCs w:val="20"/>
          <w:color w:val="auto"/>
        </w:rPr>
      </w:pPr>
      <w:r>
        <w:rPr>
          <w:rFonts w:ascii="Times New Roman" w:cs="Times New Roman" w:eastAsia="Times New Roman" w:hAnsi="Times New Roman"/>
          <w:sz w:val="20"/>
          <w:szCs w:val="20"/>
          <w:color w:val="auto"/>
        </w:rPr>
        <w:t>Terminate Tenant’s right of continued possession of the Leased Premises and, from time to time, without terminating this Lease and without prejudice to any right of Landlord under this Lease, to relet the Leased Premises or any part thereof for the account and in the name of Tenant, for any such term on terms and conditions as Landlord in its reasonable discretion may deem advisable with the right to make alterations and repairs to the Leased Premises deemed by Landlord to be necessary in conjunction with such reletting; and Tenant shall pay to Landlord, as soon as ascertained, the costs and expenses incurred by such alterations and repairs. Rentals received by Landlord from such reletting shall be applied: first, to the payment of any indebtedness, other than Minimum Rent and Additional Rent due hereunder from Tenant to Landlord; second, to the payment of the cost of any alterations and repairs to the Leased Premises necessary to return the Leased Premises to good condition, normal wear and tear excepted, for uses permitted by this Lease and the cost of storing any of Tenant’s property left on the Leased Premises at the time of reletting; third, to the payment of Minimum Rent, Additional Rent and all other charges or payments due and unpaid hereunder; the residue, if any shall be held by Landlord at interest of six percent (6%) per annum and applied in payment of future rent or damages in the event of termination as the same may become due and payable hereunder and the balance, if any, at the end of the Lease Term shall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u w:val="single" w:color="auto"/>
          <w:color w:val="auto"/>
        </w:rPr>
        <w:t>/s/ JSM 11/30/21</w:t>
      </w:r>
    </w:p>
    <w:p>
      <w:pPr>
        <w:spacing w:after="0" w:line="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Tenant Initials</w:t>
      </w:r>
    </w:p>
    <w:p>
      <w:pPr>
        <w:spacing w:after="0" w:line="9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337820</wp:posOffset>
            </wp:positionV>
            <wp:extent cx="5462270"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5462270" cy="24130"/>
                    </a:xfrm>
                    <a:prstGeom prst="rect">
                      <a:avLst/>
                    </a:prstGeom>
                    <a:noFill/>
                  </pic:spPr>
                </pic:pic>
              </a:graphicData>
            </a:graphic>
          </wp:anchor>
        </w:drawing>
      </w:r>
    </w:p>
    <w:p>
      <w:pPr>
        <w:sectPr>
          <w:pgSz w:w="11900" w:h="16838" w:orient="portrait"/>
          <w:cols w:equalWidth="0" w:num="2">
            <w:col w:w="1580" w:space="460"/>
            <w:col w:w="6979"/>
          </w:cols>
          <w:pgMar w:left="1440" w:top="114" w:right="1440" w:bottom="1440" w:gutter="0" w:footer="0" w:header="0"/>
        </w:sectPr>
      </w:pPr>
    </w:p>
    <w:bookmarkStart w:id="113" w:name="page114"/>
    <w:bookmarkEnd w:id="113"/>
    <w:p>
      <w:pPr>
        <w:jc w:val="both"/>
        <w:ind w:left="2040" w:right="219"/>
        <w:spacing w:after="0" w:line="242" w:lineRule="auto"/>
        <w:rPr>
          <w:sz w:val="20"/>
          <w:szCs w:val="20"/>
          <w:color w:val="auto"/>
        </w:rPr>
      </w:pPr>
      <w:r>
        <w:rPr>
          <w:rFonts w:ascii="Times New Roman" w:cs="Times New Roman" w:eastAsia="Times New Roman" w:hAnsi="Times New Roman"/>
          <w:sz w:val="20"/>
          <w:szCs w:val="20"/>
          <w:color w:val="auto"/>
        </w:rPr>
        <w:t>be paid to Tenant. Should such rentals received from time to time from such reletting during any month be less than that amount which this Lease requires to be paid during that month by Tenant hereunder, the Tenant shall pay such deficiency to Landlord. Nothing in this subparagraph shall prevent Landlord from accelerating the rent or other amounts due thereunder. Such deficiency shall be calculated and paid monthly. No such reletting of the Leased Premises by Landlord pursuant to this subparagraph, shall be construed as an election on its part to terminate this Lease unless a written notice of such intention be given by Landlord to Tenant or unless the termination thereof be decreed by a court of competent jurisdiction; and notwithstanding any such reletting without termination, Landlord may at any time hereafter elect to terminate this Lease for such previous breach provided it has not been cured.</w:t>
      </w:r>
    </w:p>
    <w:p>
      <w:pPr>
        <w:spacing w:after="0" w:line="166" w:lineRule="exact"/>
        <w:rPr>
          <w:sz w:val="20"/>
          <w:szCs w:val="20"/>
          <w:color w:val="auto"/>
        </w:rPr>
      </w:pPr>
    </w:p>
    <w:p>
      <w:pPr>
        <w:jc w:val="both"/>
        <w:ind w:left="2040" w:right="239" w:hanging="616"/>
        <w:spacing w:after="0" w:line="257" w:lineRule="auto"/>
        <w:tabs>
          <w:tab w:leader="none" w:pos="20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the Leased Premises or any part or parts thereof to any person or persons as Landlord in its sole discretion decides, and the Tenant shall be liable for any loss of rent for the balance of the then current term.</w:t>
      </w:r>
    </w:p>
    <w:p>
      <w:pPr>
        <w:spacing w:after="0" w:line="146" w:lineRule="exact"/>
        <w:rPr>
          <w:rFonts w:ascii="Times New Roman" w:cs="Times New Roman" w:eastAsia="Times New Roman" w:hAnsi="Times New Roman"/>
          <w:sz w:val="20"/>
          <w:szCs w:val="20"/>
          <w:color w:val="auto"/>
        </w:rPr>
      </w:pPr>
    </w:p>
    <w:p>
      <w:pPr>
        <w:ind w:left="1420" w:hanging="606"/>
        <w:spacing w:after="0"/>
        <w:tabs>
          <w:tab w:leader="none" w:pos="142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REMEDIES OF LANDLORD</w:t>
      </w:r>
    </w:p>
    <w:p>
      <w:pPr>
        <w:spacing w:after="0" w:line="206" w:lineRule="exact"/>
        <w:rPr>
          <w:rFonts w:ascii="Times New Roman" w:cs="Times New Roman" w:eastAsia="Times New Roman" w:hAnsi="Times New Roman"/>
          <w:sz w:val="20"/>
          <w:szCs w:val="20"/>
          <w:b w:val="1"/>
          <w:bCs w:val="1"/>
          <w:color w:val="auto"/>
        </w:rPr>
      </w:pPr>
    </w:p>
    <w:p>
      <w:pPr>
        <w:ind w:left="14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any monetary default that is not cured by Tenant in accordance with the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terms hereof, the Landlord, or anyone acting on Landlord’s behalf, at Landlord’s option:</w:t>
      </w:r>
    </w:p>
    <w:p>
      <w:pPr>
        <w:spacing w:after="0" w:line="180" w:lineRule="exact"/>
        <w:rPr>
          <w:sz w:val="20"/>
          <w:szCs w:val="20"/>
          <w:color w:val="auto"/>
        </w:rPr>
      </w:pPr>
    </w:p>
    <w:p>
      <w:pPr>
        <w:jc w:val="both"/>
        <w:ind w:left="200" w:right="219" w:firstLine="1224"/>
        <w:spacing w:after="0" w:line="242" w:lineRule="auto"/>
        <w:tabs>
          <w:tab w:leader="none" w:pos="203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without notice and demand enter the Leased Premises, breaking open locked doors if necessary to effect entrance, without liability to action for prosecution or damages for such entry or for the manner thereof, for the purpose of distraining or levying and for any other purpose and take possession of and sell all goods and chattels at auction, on reasonable notice served in person on the Tenant or left on the Leased Premises and paid to said Landlord out of the proceeds, and even if the rent be not due and unpaid, should the Tenant at any time remove or attempt to remove goods and chattels from the Leased Premises without leaving enough thereon to meet the next periodical payment, Tenant authorizes the Landlord to follow for a period of ninety (90) days after such removal, take possession of and sell at auction, upon like notice, sufficient of such goods to meet the proportion of rent accrued at the time of such removal; and the Tenant hereby releases and discharges the Landlord, and his agents, from all claims, actions, suites, damages, and penalties, for or by reason or on account of any entry, distraint, levy, appraisement or sale; and/or</w:t>
      </w:r>
    </w:p>
    <w:p>
      <w:pPr>
        <w:spacing w:after="0" w:line="165" w:lineRule="exact"/>
        <w:rPr>
          <w:rFonts w:ascii="Times New Roman" w:cs="Times New Roman" w:eastAsia="Times New Roman" w:hAnsi="Times New Roman"/>
          <w:sz w:val="20"/>
          <w:szCs w:val="20"/>
          <w:color w:val="auto"/>
        </w:rPr>
      </w:pPr>
    </w:p>
    <w:p>
      <w:pPr>
        <w:jc w:val="both"/>
        <w:ind w:left="200" w:right="219" w:firstLine="1224"/>
        <w:spacing w:after="0" w:line="242" w:lineRule="auto"/>
        <w:tabs>
          <w:tab w:leader="none" w:pos="203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enter the Leased Premises and without demand proceed by distress and sale of the goods there found to levy the rent and/or other charges herein payable as rent, and all costs and officers’ commissions, including watchmen’s wages and sums chargeable to Landlord, and further including a sum equal to five percent (5%) of the amount of the levy as commissions to the constable or other person making the levy, shall be paid by the Tenant and in such case all costs, officers’ commission and other charges shall immediately attach and become part of the claim of Landlord for rent, and any tender of rent without said costs, commission and charges made after the issue of a warrant of distress shall not be sufficient to satisfy the claim of the Landlord. Tenant hereby expressly waives in favor of Landlord the benefit of all laws now made or which may hereafter be made regarding any limitation as to the goods upon which, or the time</w:t>
      </w:r>
    </w:p>
    <w:p>
      <w:pPr>
        <w:spacing w:after="0" w:line="337"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10</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4" w:name="page115"/>
    <w:bookmarkEnd w:id="114"/>
    <w:p>
      <w:pPr>
        <w:jc w:val="both"/>
        <w:ind w:left="200" w:right="219"/>
        <w:spacing w:after="0" w:line="244" w:lineRule="auto"/>
        <w:rPr>
          <w:sz w:val="20"/>
          <w:szCs w:val="20"/>
          <w:color w:val="auto"/>
        </w:rPr>
      </w:pPr>
      <w:r>
        <w:rPr>
          <w:rFonts w:ascii="Times New Roman" w:cs="Times New Roman" w:eastAsia="Times New Roman" w:hAnsi="Times New Roman"/>
          <w:sz w:val="20"/>
          <w:szCs w:val="20"/>
          <w:color w:val="auto"/>
        </w:rPr>
        <w:t>within which, distress is to be made after removal of goods, and further relieves the Landlord of the obligations of proving or identifying such goods, it being the purpose and intent of this provision that all goods of Tenant, whether upon the Leased Premises or not, shall be liable to distress for rent, Tenant waives in favor of Landlord all rights under the Act of Assembly of April 6, 1951, P.L.69, and all supplements and amendments thereto that have been or may hereafter be passed, and authorizes the sale of any goods distrained for rent at any time after five (5) days from said distraint without any appraisement and/or condemnation thereof.</w:t>
      </w:r>
    </w:p>
    <w:p>
      <w:pPr>
        <w:spacing w:after="0" w:line="164" w:lineRule="exact"/>
        <w:rPr>
          <w:sz w:val="20"/>
          <w:szCs w:val="20"/>
          <w:color w:val="auto"/>
        </w:rPr>
      </w:pPr>
    </w:p>
    <w:p>
      <w:pPr>
        <w:jc w:val="both"/>
        <w:ind w:left="200" w:right="219" w:firstLine="1224"/>
        <w:spacing w:after="0"/>
        <w:tabs>
          <w:tab w:leader="none" w:pos="203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EJECTMENT</w:t>
      </w:r>
      <w:r>
        <w:rPr>
          <w:rFonts w:ascii="Times New Roman" w:cs="Times New Roman" w:eastAsia="Times New Roman" w:hAnsi="Times New Roman"/>
          <w:sz w:val="20"/>
          <w:szCs w:val="20"/>
          <w:b w:val="1"/>
          <w:bCs w:val="1"/>
          <w:color w:val="auto"/>
        </w:rPr>
        <w:t>: WHEN THIS LEASE SHALL BE TERMINATED BY CONDITION BROKEN, INCLUDING BUT NOT LIMITED TO THE FAILURE TO PAY MINIMUM RENT, ADDITIONAL RENT, PERCENTAGE RENT (IF ANY) AND/OR ANY CHARGES HEREBY RECEIVED AS RENT, DURING THE LEASE TERM INCLUDING ANY RENEWALS OF THE LEASE, AND ALSO WHEN AND AS SOON AS THE TERM HEREBY CREATED OR ANY RENEWAL(S) THEREOF SHALL HAVE EXPIRED, IT SHALL BE LAWFUL FOR ANY ATTORNEY AS ATTORNEY FOR TENANT TO FILE, WITHOUT NOTICE, AN AGREEMENT PERMITTING AND AUTHORIZING THE ENTRY IN ANY COURT OF COMPETENT JURISDICTION AN AMICABLE ACTION AND CONFESSION OF JUDGMENT IN EJECTMENT AGAINST TENANT AND ALL PERSONS CLAIMING UNDER TENANT FOR THE RECOVERY BY LANDLORD OF POSSESSION OF THE HEREIN LEASED PREMISES, FOR WHICH THIS LEASE SHALL BE HIS SUFFICIENT WARRANT, WHEREUPON, IF LANDLORD SO DESIRES, A WRIT OF EXECUTION OR OF POSSESSION MAY ISSUE FORTHWITH, WITHOUT ANY PRIOR NOTICE, WRIT OF PROCEEDINGS WHATSOEVER. IF SUCH AMICABLE ACTION SHALL THEREAFTER, FOR ANY REASON, BE TERMINATED AND THE POSSESSION OF THE LEASED PREMISES HEREBY DEMISED REMAIN IN OR BE RESTORED TO TENANT, LANDLORD SHALL HAVE THE RIGHT UPON ANY SUBSEQUENT DEFAULT OR DEFAULTS, OR UPON THE TERMINATION OF THIS LEASE AS HEREINBEFORE SET FORTH, TO BRING ONE OR MORE AMICABLE ACTIONS IN EJECTMENT OR CONFESSIONS OF JUDGMENT IN EJECTMENT FOR SAID LEASED PREMISES, AND THE TERMINATION FOR ANY REASON OF ANY SUCH PRIOR ACTIONS SHALL NOT PREVENT, HINDER OR PREJUDICE THE RIGHT AND POWER OF LANDLORD TO BRING SUBSEQUENT ACTIONS AS SET FORTH IN THIS PARAGRAPH.</w:t>
      </w:r>
    </w:p>
    <w:p>
      <w:pPr>
        <w:spacing w:after="0" w:line="200" w:lineRule="exact"/>
        <w:rPr>
          <w:sz w:val="20"/>
          <w:szCs w:val="20"/>
          <w:color w:val="auto"/>
        </w:rPr>
      </w:pPr>
    </w:p>
    <w:p>
      <w:pPr>
        <w:spacing w:after="0" w:line="203" w:lineRule="exact"/>
        <w:rPr>
          <w:sz w:val="20"/>
          <w:szCs w:val="20"/>
          <w:color w:val="auto"/>
        </w:rPr>
      </w:pPr>
    </w:p>
    <w:p>
      <w:pPr>
        <w:jc w:val="both"/>
        <w:ind w:left="200" w:right="219" w:firstLine="1220"/>
        <w:spacing w:after="0" w:line="248" w:lineRule="auto"/>
        <w:rPr>
          <w:sz w:val="20"/>
          <w:szCs w:val="20"/>
          <w:color w:val="auto"/>
        </w:rPr>
      </w:pPr>
      <w:r>
        <w:rPr>
          <w:rFonts w:ascii="Times New Roman" w:cs="Times New Roman" w:eastAsia="Times New Roman" w:hAnsi="Times New Roman"/>
          <w:sz w:val="20"/>
          <w:szCs w:val="20"/>
          <w:b w:val="1"/>
          <w:bCs w:val="1"/>
          <w:color w:val="auto"/>
        </w:rPr>
        <w:t>BY INITIALLING BELOW, TENANT ACKNOWLEDGES THAT IT HAS BEEN REPRESENTED BY COUNSEL IN CONNECTION WITH THE NEGOTIATION OF THIS LEASE, THAT IT HAS READ AND DISCUSSED WITH SUCH COUNSEL THE PROVISIONS HEREIN RELATING TO CONFESSION OF JUDGMENT, AND THAT IT UNDERSTANDS THE NATURE AND CONSEQUENCES OF SUCH PROVISIONS.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TENANT’S INITIAL: </w:t>
      </w:r>
      <w:r>
        <w:rPr>
          <w:rFonts w:ascii="Times New Roman" w:cs="Times New Roman" w:eastAsia="Times New Roman" w:hAnsi="Times New Roman"/>
          <w:sz w:val="20"/>
          <w:szCs w:val="20"/>
          <w:b w:val="1"/>
          <w:bCs w:val="1"/>
          <w:u w:val="single" w:color="auto"/>
          <w:color w:val="auto"/>
        </w:rPr>
        <w:t>/s/ JSM 11/30/21</w:t>
      </w:r>
    </w:p>
    <w:p>
      <w:pPr>
        <w:spacing w:after="0" w:line="206" w:lineRule="exact"/>
        <w:rPr>
          <w:sz w:val="20"/>
          <w:szCs w:val="20"/>
          <w:color w:val="auto"/>
        </w:rPr>
      </w:pPr>
    </w:p>
    <w:p>
      <w:pPr>
        <w:jc w:val="both"/>
        <w:ind w:left="200" w:right="219" w:firstLine="1224"/>
        <w:spacing w:after="0" w:line="247" w:lineRule="auto"/>
        <w:tabs>
          <w:tab w:leader="none" w:pos="203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Curing Tenant’s Default: If Tenant shall be in default in the performance of any of it obligations hereunder, including but not limited to the failure of Tenant to promptly perform any of the covenants of this Lease requiring Tenant to repair or maintain the Leased Premises, Landlord, without any obligation to do so, in addition to any other rights it may have in law or equity, following the expiration of any period for Tenant to cure such, may elect to cure</w:t>
      </w: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11</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5" w:name="page116"/>
    <w:bookmarkEnd w:id="115"/>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such default upon ten (10) days written notice (except in the case of emergency) to Tenant. Tenant shall reimburse Landlord within ten (10) days of demand for any sums paid or costs incurred by Landlord in curing such default, including interest at the rate of eight percent (8%) per annum thereon from the respective dates of Landlord’s making the payments and incurring such costs, which sums and costs together with interest thereon shall be deemed additional rent payable promptly upon being billed therefore.</w:t>
      </w:r>
    </w:p>
    <w:p>
      <w:pPr>
        <w:spacing w:after="0" w:line="162" w:lineRule="exact"/>
        <w:rPr>
          <w:sz w:val="20"/>
          <w:szCs w:val="20"/>
          <w:color w:val="auto"/>
        </w:rPr>
      </w:pPr>
    </w:p>
    <w:p>
      <w:pPr>
        <w:jc w:val="both"/>
        <w:ind w:left="200" w:right="219" w:firstLine="1224"/>
        <w:spacing w:after="0" w:line="243" w:lineRule="auto"/>
        <w:tabs>
          <w:tab w:leader="none" w:pos="203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Remedies Cumulative: All of the remedies hereinbefore given to Landlord and all rights and remedies given to it bylaw and equity shall be cumulative and concurrent. No determination of this Lease or the taking or recovering of the Leased Premises shall deprive Landlord of any of his remedies or actions against the Tenant for rent then due, or rent which under the terms hereof, would in the future become due as if there has been no termination, or for any and all sums due at the time of which, under the terms hereof, would in the future become due as if there had been no termination, nor shall the bringing of any action for rent or breach of covenant, or the resort to any other remedy herein provided for the recovery of rent be construed as a waiver of the right to obtain possession of the Leased Premises.</w:t>
      </w:r>
    </w:p>
    <w:p>
      <w:pPr>
        <w:spacing w:after="0" w:line="398" w:lineRule="exact"/>
        <w:rPr>
          <w:rFonts w:ascii="Times New Roman" w:cs="Times New Roman" w:eastAsia="Times New Roman" w:hAnsi="Times New Roman"/>
          <w:sz w:val="20"/>
          <w:szCs w:val="20"/>
          <w:color w:val="auto"/>
        </w:rPr>
      </w:pPr>
    </w:p>
    <w:p>
      <w:pPr>
        <w:jc w:val="both"/>
        <w:ind w:left="200" w:right="219" w:firstLine="1224"/>
        <w:spacing w:after="0" w:line="241" w:lineRule="auto"/>
        <w:tabs>
          <w:tab w:leader="none" w:pos="203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Self-Help: If Tenant shall default in the performance or observance of any agreement or condition in this Lease other than an obligation to pay money, and shall not cure such default, following the expiration of any period for Tenant to cure such, within twenty (20) days after notice from Landlord specifying the default, Landlord may, at its option, without waiving any claim for damages for breach of agreement, at any time thereafter cure such default for the account of Tenant, and any amount paid or incurred for the account of Tenant, and Tenant agrees to reimburse Landlord therefore and save Landlord harmless therefrom; provided that Landlord may cure any such default as aforesaid prior to the expiration of said waiting period but after notice to Tenant, if the curing of such default prior to the expiration of said waiting period but after notice to Tenant, is reasonably necessary to protect the real estate or Landlord’s interest therein, or to prevent injury or damage to persons or property. If Tenant shall fail within ten (10) days of demand to reimburse Landlord for any amount paid for the account of Tenant hereunder, said amount shall be treated as Additional Rent and added to and become due as a part of the next payment of rent due thereunder together with interest at the rate of eight percent (8%) per annum imposed from the date of Landlord’s payment until paid by Tenant.</w:t>
      </w:r>
    </w:p>
    <w:p>
      <w:pPr>
        <w:spacing w:after="0" w:line="168" w:lineRule="exact"/>
        <w:rPr>
          <w:rFonts w:ascii="Times New Roman" w:cs="Times New Roman" w:eastAsia="Times New Roman" w:hAnsi="Times New Roman"/>
          <w:sz w:val="20"/>
          <w:szCs w:val="20"/>
          <w:color w:val="auto"/>
        </w:rPr>
      </w:pPr>
    </w:p>
    <w:p>
      <w:pPr>
        <w:ind w:left="1420" w:hanging="606"/>
        <w:spacing w:after="0"/>
        <w:tabs>
          <w:tab w:leader="none" w:pos="142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PAY; INTEREST</w:t>
      </w:r>
    </w:p>
    <w:p>
      <w:pPr>
        <w:spacing w:after="0" w:line="206" w:lineRule="exact"/>
        <w:rPr>
          <w:sz w:val="20"/>
          <w:szCs w:val="20"/>
          <w:color w:val="auto"/>
        </w:rPr>
      </w:pPr>
    </w:p>
    <w:p>
      <w:pPr>
        <w:jc w:val="both"/>
        <w:ind w:left="2040" w:right="219" w:hanging="616"/>
        <w:spacing w:after="0" w:line="242" w:lineRule="auto"/>
        <w:tabs>
          <w:tab w:leader="none" w:pos="20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at any time shall fail to pay any taxes, assessments or liens, provide insurance or perform any act required by this Lease to be made or performed by it, or fail to pay any charge payable by Tenant or to timely discharge any other monetary obligation of Tenant required by this Lease, Landlord, without waiving or releasing Tenant from any obligation or default under this Lease, may (but shall be under no obligation to) at any time thereafter make such payment or perform such act for the account and at the expense of Tenant. All sums so paid by Landlord and all costs and expenses so incurred shall accrue interest at the rate of eight (8%) percent per annum from the date of payment or incurring thereof by Landlord and shall constitute Additional Rent payable by Tenant under this Lease and shall be paid by Tenant to Landlord within ten (10) days of demand.</w:t>
      </w: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12</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6" w:name="page117"/>
    <w:bookmarkEnd w:id="116"/>
    <w:p>
      <w:pPr>
        <w:jc w:val="both"/>
        <w:ind w:left="2040" w:right="219"/>
        <w:spacing w:after="0" w:line="251" w:lineRule="auto"/>
        <w:rPr>
          <w:sz w:val="20"/>
          <w:szCs w:val="20"/>
          <w:color w:val="auto"/>
        </w:rPr>
      </w:pPr>
      <w:r>
        <w:rPr>
          <w:rFonts w:ascii="Times New Roman" w:cs="Times New Roman" w:eastAsia="Times New Roman" w:hAnsi="Times New Roman"/>
          <w:sz w:val="20"/>
          <w:szCs w:val="20"/>
          <w:color w:val="auto"/>
        </w:rPr>
        <w:t>Notwithstanding anything to the contrary contained herein, if Tenant fails to contest any invoice or other written demand for payment of rent or any other sums due within the time frames specified in the Lease for payment, then Tenant shall have no rights to contest such invoice or bill thereafter.</w:t>
      </w:r>
    </w:p>
    <w:p>
      <w:pPr>
        <w:spacing w:after="0" w:line="153" w:lineRule="exact"/>
        <w:rPr>
          <w:sz w:val="20"/>
          <w:szCs w:val="20"/>
          <w:color w:val="auto"/>
        </w:rPr>
      </w:pPr>
    </w:p>
    <w:p>
      <w:pPr>
        <w:ind w:left="1420" w:hanging="606"/>
        <w:spacing w:after="0"/>
        <w:tabs>
          <w:tab w:leader="none" w:pos="142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06" w:lineRule="exact"/>
        <w:rPr>
          <w:sz w:val="20"/>
          <w:szCs w:val="20"/>
          <w:color w:val="auto"/>
        </w:rPr>
      </w:pPr>
    </w:p>
    <w:p>
      <w:pPr>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Failure of Landlord to exercise any right or remedy hereunder shall not be construed as a waiver of the right to exercise the same or any other right at any other time.</w:t>
      </w:r>
    </w:p>
    <w:p>
      <w:pPr>
        <w:spacing w:after="0" w:line="130" w:lineRule="exact"/>
        <w:rPr>
          <w:sz w:val="20"/>
          <w:szCs w:val="20"/>
          <w:color w:val="auto"/>
        </w:rPr>
      </w:pPr>
    </w:p>
    <w:p>
      <w:pPr>
        <w:ind w:left="820" w:hanging="616"/>
        <w:spacing w:after="0"/>
        <w:tabs>
          <w:tab w:leader="none" w:pos="82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SUBORDINATION</w:t>
      </w:r>
    </w:p>
    <w:p>
      <w:pPr>
        <w:spacing w:after="0" w:line="206" w:lineRule="exact"/>
        <w:rPr>
          <w:sz w:val="20"/>
          <w:szCs w:val="20"/>
          <w:color w:val="auto"/>
        </w:rPr>
      </w:pPr>
    </w:p>
    <w:p>
      <w:pPr>
        <w:jc w:val="both"/>
        <w:ind w:left="200" w:right="219" w:firstLine="610"/>
        <w:spacing w:after="0"/>
        <w:rPr>
          <w:sz w:val="20"/>
          <w:szCs w:val="20"/>
          <w:color w:val="auto"/>
        </w:rPr>
      </w:pPr>
      <w:r>
        <w:rPr>
          <w:rFonts w:ascii="Times New Roman" w:cs="Times New Roman" w:eastAsia="Times New Roman" w:hAnsi="Times New Roman"/>
          <w:sz w:val="20"/>
          <w:szCs w:val="20"/>
          <w:color w:val="auto"/>
        </w:rPr>
        <w:t>Landlord shall have the right to transfer, mortgage, assign, pledge, and convey in whole or in part the Leased Premises, this Lease and all rights of Landlord existing and to exist, and rents and amounts payable to it under the provisions hereof; and nothing herein contained shall limit or restrict any such right, and the rights of Tenant under this Lease shall be subject and subordinate to all instruments executed and to be executed in connection with the exercise of any such right of Landlord, including, but not limited to, the lien of any mortgage, deed of trust or security agreement now or hereafter placed upon the Leased Premises and to all renewals, modifications, consolidations, participations, replacements and extensions thereof. Said subordination shall not require the agreement or consent of Tenant, but Tenant covenants and agrees, if requested, to execute and deliver within fifteen (15) days of receipt from Landlord such further instruments subordinating this Lease to the lien of any such mortgage, deed of trust or security agreement as shall be requested by Landlord and/or any mortgagee, proposed mortgagee or holder of any security agreement, and Tenant hereby irrevocably appoints Landlord as its attorney-in-fact to execute and deliver any such instrument for and in the name of Tenant. Notwithstanding anything set out in this Lease to the contrary, in the event the holder of any mortgage or deed of trust elects to have this Lease superior to its mortgage or deed of trust, then, upon Tenant being notified to that effect by such encumbrance holder, this Lease shall be deemed prior to the lien of said mortgage or deed of trust, whether this Lease is adopted prior to or subsequent to the date of said mortgage or deed of trust.</w:t>
      </w:r>
    </w:p>
    <w:p>
      <w:pPr>
        <w:spacing w:after="0" w:line="178" w:lineRule="exact"/>
        <w:rPr>
          <w:sz w:val="20"/>
          <w:szCs w:val="20"/>
          <w:color w:val="auto"/>
        </w:rPr>
      </w:pPr>
    </w:p>
    <w:p>
      <w:pPr>
        <w:ind w:left="820" w:hanging="616"/>
        <w:spacing w:after="0"/>
        <w:tabs>
          <w:tab w:leader="none" w:pos="82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ESTOPPEL CERTIFICATE</w:t>
      </w:r>
    </w:p>
    <w:p>
      <w:pPr>
        <w:spacing w:after="0" w:line="206" w:lineRule="exact"/>
        <w:rPr>
          <w:sz w:val="20"/>
          <w:szCs w:val="20"/>
          <w:color w:val="auto"/>
        </w:rPr>
      </w:pPr>
    </w:p>
    <w:p>
      <w:pPr>
        <w:jc w:val="both"/>
        <w:ind w:left="200" w:right="219" w:firstLine="610"/>
        <w:spacing w:after="0" w:line="243" w:lineRule="auto"/>
        <w:rPr>
          <w:sz w:val="20"/>
          <w:szCs w:val="20"/>
          <w:color w:val="auto"/>
        </w:rPr>
      </w:pPr>
      <w:r>
        <w:rPr>
          <w:rFonts w:ascii="Times New Roman" w:cs="Times New Roman" w:eastAsia="Times New Roman" w:hAnsi="Times New Roman"/>
          <w:sz w:val="20"/>
          <w:szCs w:val="20"/>
          <w:color w:val="auto"/>
        </w:rPr>
        <w:t>Tenant shall from time to time, upon no less than ten (10) days written request by Landlord execute, acknowledge or deliver to Landlord a written statement certifying that this Lease Agreement is unmodified and in full force and effect (or that the same is in full force and effect as modified, listing the instruments or modification), the dates to which the rent and additional rent have been paid, and whether or not, to the best of tenant’s knowledge, Landlord is in default hereunder (and if so, specify the nature of the default), it being intended that any such statement delivered pursuant to this paragraph 11 may be relied upon by a prospective purchaser or purchaser or mortgagee of Landlord’s property, including, without limitation, the Premises.</w:t>
      </w:r>
    </w:p>
    <w:p>
      <w:pPr>
        <w:spacing w:after="0" w:line="166" w:lineRule="exact"/>
        <w:rPr>
          <w:sz w:val="20"/>
          <w:szCs w:val="20"/>
          <w:color w:val="auto"/>
        </w:rPr>
      </w:pPr>
    </w:p>
    <w:p>
      <w:pPr>
        <w:ind w:left="820" w:right="5359" w:hanging="616"/>
        <w:spacing w:after="0" w:line="450" w:lineRule="auto"/>
        <w:tabs>
          <w:tab w:leader="none" w:pos="82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SECURITY INTERESTS </w:t>
      </w:r>
      <w:r>
        <w:rPr>
          <w:rFonts w:ascii="Times New Roman" w:cs="Times New Roman" w:eastAsia="Times New Roman" w:hAnsi="Times New Roman"/>
          <w:sz w:val="20"/>
          <w:szCs w:val="20"/>
          <w:color w:val="auto"/>
        </w:rPr>
        <w:t>Paragraph 12 intentionally deleted.</w:t>
      </w:r>
    </w:p>
    <w:p>
      <w:pPr>
        <w:spacing w:after="0" w:line="1" w:lineRule="exact"/>
        <w:rPr>
          <w:rFonts w:ascii="Times New Roman" w:cs="Times New Roman" w:eastAsia="Times New Roman" w:hAnsi="Times New Roman"/>
          <w:sz w:val="20"/>
          <w:szCs w:val="20"/>
          <w:b w:val="1"/>
          <w:bCs w:val="1"/>
          <w:color w:val="auto"/>
        </w:rPr>
      </w:pPr>
    </w:p>
    <w:p>
      <w:pPr>
        <w:ind w:left="820" w:hanging="616"/>
        <w:spacing w:after="0"/>
        <w:tabs>
          <w:tab w:leader="none" w:pos="82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 DEPOSIT</w:t>
      </w:r>
    </w:p>
    <w:p>
      <w:pPr>
        <w:spacing w:after="0" w:line="372"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13</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7" w:name="page118"/>
    <w:bookmarkEnd w:id="117"/>
    <w:p>
      <w:pPr>
        <w:ind w:left="1420" w:hanging="606"/>
        <w:spacing w:after="0"/>
        <w:tabs>
          <w:tab w:leader="none" w:pos="142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AND RETURN OF SECURITY DEPOSIT</w:t>
      </w:r>
    </w:p>
    <w:p>
      <w:pPr>
        <w:spacing w:after="0" w:line="207" w:lineRule="exact"/>
        <w:rPr>
          <w:sz w:val="20"/>
          <w:szCs w:val="20"/>
          <w:color w:val="auto"/>
        </w:rPr>
      </w:pPr>
    </w:p>
    <w:p>
      <w:pPr>
        <w:jc w:val="both"/>
        <w:ind w:left="200" w:right="219" w:firstLine="610"/>
        <w:spacing w:after="0" w:line="242" w:lineRule="auto"/>
        <w:rPr>
          <w:sz w:val="20"/>
          <w:szCs w:val="20"/>
          <w:color w:val="auto"/>
        </w:rPr>
      </w:pPr>
      <w:r>
        <w:rPr>
          <w:rFonts w:ascii="Times New Roman" w:cs="Times New Roman" w:eastAsia="Times New Roman" w:hAnsi="Times New Roman"/>
          <w:sz w:val="20"/>
          <w:szCs w:val="20"/>
          <w:color w:val="auto"/>
        </w:rPr>
        <w:t>Should Tenant fail to keep and perform any of the terms, covenants and conditions of this Lease to be kept and performed by Tenant, as provided in Section 9(A), Landlord may appropriate and apply said entire deposit, or so much thereof as may be necessary, to compensate Landlord for loss or damage sustained by Landlord due to such breach, without prejudice to its further rights and remedies. Should the entire security deposit or any portion thereof be appropriated and applied by Landlord for the payment of overdue rent or other sums due from Tenant hereunder, then Tenant shall, within ten (10) days of the written demand of Landlord forthwith remit to Landlord a sufficient amount in cash to restore said deposit to the original sum deposited. Should Tenant comply with all the terms, covenants and conditions of this Lease, the said deposit shall be returned in full to Tenant at the end of the term of this Lease. Should Tenant terminate this Lease, without cause or upon an Event of Default, prior to the end of term, then Tenant shall forfeit its security deposit. It is understood and agreed that no part of the security deposit is to be considered as the last rental payment due under the terms of this Lease.</w:t>
      </w:r>
    </w:p>
    <w:p>
      <w:pPr>
        <w:spacing w:after="0" w:line="161" w:lineRule="exact"/>
        <w:rPr>
          <w:sz w:val="20"/>
          <w:szCs w:val="20"/>
          <w:color w:val="auto"/>
        </w:rPr>
      </w:pPr>
    </w:p>
    <w:p>
      <w:pPr>
        <w:ind w:left="1420" w:hanging="606"/>
        <w:spacing w:after="0"/>
        <w:tabs>
          <w:tab w:leader="none" w:pos="142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SURRENDER OF LEASED PREMISES</w:t>
      </w:r>
    </w:p>
    <w:p>
      <w:pPr>
        <w:spacing w:after="0" w:line="206" w:lineRule="exact"/>
        <w:rPr>
          <w:sz w:val="20"/>
          <w:szCs w:val="20"/>
          <w:color w:val="auto"/>
        </w:rPr>
      </w:pPr>
    </w:p>
    <w:p>
      <w:pPr>
        <w:jc w:val="both"/>
        <w:ind w:left="200" w:right="219" w:firstLine="610"/>
        <w:spacing w:after="0"/>
        <w:rPr>
          <w:sz w:val="20"/>
          <w:szCs w:val="20"/>
          <w:color w:val="auto"/>
        </w:rPr>
      </w:pPr>
      <w:r>
        <w:rPr>
          <w:rFonts w:ascii="Times New Roman" w:cs="Times New Roman" w:eastAsia="Times New Roman" w:hAnsi="Times New Roman"/>
          <w:sz w:val="20"/>
          <w:szCs w:val="20"/>
          <w:color w:val="auto"/>
        </w:rPr>
        <w:t>Subject to sections 2(A) and 2(F) above, at the expiration of the tenancy hereby created, Tenant shall peaceably surrender the Leased Premises, including all alterations, additions, improvements, and repairs made thereto and shall remove all items installed by Tenant including: all interior partition walls, trade fixtures, trade equipment, signs, any power wiring or power panels; lighting or lighting fixtures; wall coverings; drapes, blinds or other window coverings; carpets or other floor coverings; or other similar building operating equipment, decorations and trade personal property (unless Landlord requests in writing that any or all of such items remain). The Leased Premises shall be left broom clean and in good condition and repair. Tenant shall remove all its property not required to be surrendered to Landlord before surrendering the Leased Premises as aforesaid and shall repair any damage to the Leased Premises caused thereby. Any personal property remaining in the Leased Premises at the expiration of the lease period shall be deemed abandoned by Tenant, and Landlord may claim the same and shall in no circumstances have any liability to Tenant therefore. The cost of removing such items, which are abandoned by Tenant, shall be charged to Tenant. Upon termination, Tenant shall also surrender all keys for the Leased Premises to Landlord and, if applicable, inform Landlord of any combinations of locks or safes in the Leased Premises. If the Leased Premises are not surrendered at the end of the term as hereinabove set out, Tenant shall indemnify Landlord against loss or liability resulting from delay by Tenant in so surrendering the Leased Premises, including without limitation claims made by the succeeding Tenant founded on such delay. Tenant’s obligation to observe or perform this covenant shall survive the expiration or other termination of the Lease Term.</w:t>
      </w:r>
    </w:p>
    <w:p>
      <w:pPr>
        <w:spacing w:after="0" w:line="175" w:lineRule="exact"/>
        <w:rPr>
          <w:sz w:val="20"/>
          <w:szCs w:val="20"/>
          <w:color w:val="auto"/>
        </w:rPr>
      </w:pPr>
    </w:p>
    <w:p>
      <w:pPr>
        <w:ind w:left="1420" w:right="4879" w:hanging="606"/>
        <w:spacing w:after="0" w:line="452" w:lineRule="auto"/>
        <w:tabs>
          <w:tab w:leader="none" w:pos="142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RULES AND REGULATIONS </w:t>
      </w:r>
      <w:r>
        <w:rPr>
          <w:rFonts w:ascii="Times New Roman" w:cs="Times New Roman" w:eastAsia="Times New Roman" w:hAnsi="Times New Roman"/>
          <w:sz w:val="20"/>
          <w:szCs w:val="20"/>
          <w:color w:val="auto"/>
        </w:rPr>
        <w:t>Tenant agrees as follows:</w:t>
      </w:r>
    </w:p>
    <w:p>
      <w:pPr>
        <w:spacing w:after="0" w:line="1" w:lineRule="exact"/>
        <w:rPr>
          <w:rFonts w:ascii="Times New Roman" w:cs="Times New Roman" w:eastAsia="Times New Roman" w:hAnsi="Times New Roman"/>
          <w:sz w:val="20"/>
          <w:szCs w:val="20"/>
          <w:b w:val="1"/>
          <w:bCs w:val="1"/>
          <w:color w:val="auto"/>
        </w:rPr>
      </w:pPr>
    </w:p>
    <w:p>
      <w:pPr>
        <w:ind w:left="200" w:right="219" w:firstLine="1224"/>
        <w:spacing w:after="0" w:line="275" w:lineRule="auto"/>
        <w:tabs>
          <w:tab w:leader="none" w:pos="203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have full responsibility for protecting the Leased Premises and the property located therein from theft and robbery.</w:t>
      </w:r>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14</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0" w:right="1440" w:bottom="1440" w:gutter="0" w:footer="0" w:header="0"/>
        </w:sectPr>
      </w:pPr>
    </w:p>
    <w:bookmarkStart w:id="118" w:name="page119"/>
    <w:bookmarkEnd w:id="118"/>
    <w:p>
      <w:pPr>
        <w:ind w:left="2040" w:hanging="616"/>
        <w:spacing w:after="0"/>
        <w:tabs>
          <w:tab w:leader="none" w:pos="20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permit on the Leased Premises any act or practice which is</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unlawful or immoral.</w:t>
      </w:r>
    </w:p>
    <w:p>
      <w:pPr>
        <w:spacing w:after="0" w:line="180" w:lineRule="exact"/>
        <w:rPr>
          <w:rFonts w:ascii="Times New Roman" w:cs="Times New Roman" w:eastAsia="Times New Roman" w:hAnsi="Times New Roman"/>
          <w:sz w:val="20"/>
          <w:szCs w:val="20"/>
          <w:color w:val="auto"/>
        </w:rPr>
      </w:pPr>
    </w:p>
    <w:p>
      <w:pPr>
        <w:jc w:val="both"/>
        <w:ind w:left="200" w:right="219" w:firstLine="1224"/>
        <w:spacing w:after="0" w:line="257" w:lineRule="auto"/>
        <w:tabs>
          <w:tab w:leader="none" w:pos="203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keep the Leased Premises free and clear of rodents, bugs and vermin, and Tenant shall use, at its cost and at such intervals as Landlord shall reasonably require, a reputable pest extermination contractor to provide extermination services in the Leased Premises.</w:t>
      </w:r>
    </w:p>
    <w:p>
      <w:pPr>
        <w:spacing w:after="0" w:line="150" w:lineRule="exact"/>
        <w:rPr>
          <w:rFonts w:ascii="Times New Roman" w:cs="Times New Roman" w:eastAsia="Times New Roman" w:hAnsi="Times New Roman"/>
          <w:sz w:val="20"/>
          <w:szCs w:val="20"/>
          <w:color w:val="auto"/>
        </w:rPr>
      </w:pPr>
    </w:p>
    <w:p>
      <w:pPr>
        <w:jc w:val="both"/>
        <w:ind w:left="200" w:right="219" w:firstLine="1224"/>
        <w:spacing w:after="0" w:line="247" w:lineRule="auto"/>
        <w:tabs>
          <w:tab w:leader="none" w:pos="203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keep the Leased Premises orderly, neat, clean and free from rubbish and trash at all times and shall not permit any refuse to accumulate around the exterior of the Leased Premises. Tenant shall not burn any trash, rubbish or garbage in or about the Leased Premises. Trash shall be stored in a sanitary and inoffensive manner inside the Leased Premises or in a trash dumpster located outside of the building in a location agreed to by Landlord and Tenant.</w:t>
      </w:r>
    </w:p>
    <w:p>
      <w:pPr>
        <w:spacing w:after="0" w:line="163" w:lineRule="exact"/>
        <w:rPr>
          <w:sz w:val="20"/>
          <w:szCs w:val="20"/>
          <w:color w:val="auto"/>
        </w:rPr>
      </w:pPr>
    </w:p>
    <w:p>
      <w:pPr>
        <w:jc w:val="both"/>
        <w:ind w:left="200" w:right="219" w:firstLine="1220"/>
        <w:spacing w:after="0" w:line="250" w:lineRule="auto"/>
        <w:rPr>
          <w:sz w:val="20"/>
          <w:szCs w:val="20"/>
          <w:color w:val="auto"/>
        </w:rPr>
      </w:pPr>
      <w:r>
        <w:rPr>
          <w:rFonts w:ascii="Times New Roman" w:cs="Times New Roman" w:eastAsia="Times New Roman" w:hAnsi="Times New Roman"/>
          <w:sz w:val="20"/>
          <w:szCs w:val="20"/>
          <w:color w:val="auto"/>
        </w:rPr>
        <w:t>Landlord reserves the right from time to time to amend or supplement the foregoing rules and regulations and to adopt and promulgate reasonable additional rules and regulations applicable to the Leased Premises. Notice of such rules and regulations and amendments and supplements thereto, if any, shall be given to Tenant in writing. Tenant agrees to comply with all such rules and regulations, and</w:t>
      </w:r>
    </w:p>
    <w:p>
      <w:pPr>
        <w:spacing w:after="0" w:line="160"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0"/>
          <w:szCs w:val="20"/>
          <w:color w:val="auto"/>
        </w:rPr>
        <w:t>Tenant shall be responsible for the observance of these rules and regulations by Tenant’s employees, agents and invitees. The foregoing rules are solely for the benefit of Landlord, and Landlord shall have no obligation to enforce such rules for the benefit of Tenant. Landlord, at its option, may waive certain rules with respect to individual tenants. If Tenant violates any rule, Landlord may notify Tenant that Tenant is in default.</w:t>
      </w:r>
    </w:p>
    <w:p>
      <w:pPr>
        <w:spacing w:after="0" w:line="159" w:lineRule="exact"/>
        <w:rPr>
          <w:sz w:val="20"/>
          <w:szCs w:val="20"/>
          <w:color w:val="auto"/>
        </w:rPr>
      </w:pPr>
    </w:p>
    <w:p>
      <w:pPr>
        <w:ind w:left="820" w:right="6419" w:hanging="616"/>
        <w:spacing w:after="0" w:line="452" w:lineRule="auto"/>
        <w:tabs>
          <w:tab w:leader="none" w:pos="82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A. PARTIES</w:t>
      </w:r>
    </w:p>
    <w:p>
      <w:pPr>
        <w:spacing w:after="0" w:line="2" w:lineRule="exact"/>
        <w:rPr>
          <w:sz w:val="20"/>
          <w:szCs w:val="20"/>
          <w:color w:val="auto"/>
        </w:rPr>
      </w:pPr>
    </w:p>
    <w:p>
      <w:pPr>
        <w:ind w:left="200" w:right="219" w:firstLine="1220"/>
        <w:spacing w:after="0" w:line="275" w:lineRule="auto"/>
        <w:rPr>
          <w:sz w:val="20"/>
          <w:szCs w:val="20"/>
          <w:color w:val="auto"/>
        </w:rPr>
      </w:pPr>
      <w:r>
        <w:rPr>
          <w:rFonts w:ascii="Times New Roman" w:cs="Times New Roman" w:eastAsia="Times New Roman" w:hAnsi="Times New Roman"/>
          <w:sz w:val="20"/>
          <w:szCs w:val="20"/>
          <w:color w:val="auto"/>
        </w:rPr>
        <w:t>All rights and liabilities herein given to, or imposed upon the respective parties hereto, extend to and bind the respective heirs, executors, administrators, successors and assigns of said parties.</w:t>
      </w:r>
    </w:p>
    <w:p>
      <w:pPr>
        <w:spacing w:after="0" w:line="130" w:lineRule="exact"/>
        <w:rPr>
          <w:sz w:val="20"/>
          <w:szCs w:val="20"/>
          <w:color w:val="auto"/>
        </w:rPr>
      </w:pPr>
    </w:p>
    <w:p>
      <w:pPr>
        <w:ind w:left="1420" w:hanging="606"/>
        <w:spacing w:after="0"/>
        <w:tabs>
          <w:tab w:leader="none" w:pos="142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w:t>
      </w:r>
    </w:p>
    <w:p>
      <w:pPr>
        <w:spacing w:after="0" w:line="206" w:lineRule="exact"/>
        <w:rPr>
          <w:rFonts w:ascii="Times New Roman" w:cs="Times New Roman" w:eastAsia="Times New Roman" w:hAnsi="Times New Roman"/>
          <w:sz w:val="20"/>
          <w:szCs w:val="20"/>
          <w:b w:val="1"/>
          <w:bCs w:val="1"/>
          <w:color w:val="auto"/>
        </w:rPr>
      </w:pPr>
    </w:p>
    <w:p>
      <w:pPr>
        <w:ind w:left="14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Tenant shall be solely responsible for security for the Leased Premises.</w:t>
      </w:r>
    </w:p>
    <w:p>
      <w:pPr>
        <w:spacing w:after="0" w:line="198" w:lineRule="exact"/>
        <w:rPr>
          <w:rFonts w:ascii="Times New Roman" w:cs="Times New Roman" w:eastAsia="Times New Roman" w:hAnsi="Times New Roman"/>
          <w:sz w:val="20"/>
          <w:szCs w:val="20"/>
          <w:b w:val="1"/>
          <w:bCs w:val="1"/>
          <w:color w:val="auto"/>
        </w:rPr>
      </w:pPr>
    </w:p>
    <w:p>
      <w:pPr>
        <w:ind w:left="1420" w:hanging="606"/>
        <w:spacing w:after="0"/>
        <w:tabs>
          <w:tab w:leader="none" w:pos="142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06" w:lineRule="exact"/>
        <w:rPr>
          <w:sz w:val="20"/>
          <w:szCs w:val="20"/>
          <w:color w:val="auto"/>
        </w:rPr>
      </w:pPr>
    </w:p>
    <w:p>
      <w:pPr>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This Agreement shall be deemed to have been made in Pennsylvania and all the terms, conditions and covenants hereunder shall be governed by the laws of the Commonwealth of Pennsylvania.</w:t>
      </w:r>
    </w:p>
    <w:p>
      <w:pPr>
        <w:spacing w:after="0" w:line="130" w:lineRule="exact"/>
        <w:rPr>
          <w:sz w:val="20"/>
          <w:szCs w:val="20"/>
          <w:color w:val="auto"/>
        </w:rPr>
      </w:pPr>
    </w:p>
    <w:p>
      <w:pPr>
        <w:ind w:left="1420" w:hanging="606"/>
        <w:spacing w:after="0"/>
        <w:tabs>
          <w:tab w:leader="none" w:pos="142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06" w:lineRule="exact"/>
        <w:rPr>
          <w:sz w:val="20"/>
          <w:szCs w:val="20"/>
          <w:color w:val="auto"/>
        </w:rPr>
      </w:pPr>
    </w:p>
    <w:p>
      <w:pPr>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This Lease and any exhibits attached hereto and form a part hereof, set forth all of the covenants, promises, agreements, conditions for understandings, either written or oral, between</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15</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9" w:name="page120"/>
    <w:bookmarkEnd w:id="119"/>
    <w:p>
      <w:pPr>
        <w:ind w:left="200" w:right="219"/>
        <w:spacing w:after="0" w:line="276" w:lineRule="auto"/>
        <w:rPr>
          <w:sz w:val="20"/>
          <w:szCs w:val="20"/>
          <w:color w:val="auto"/>
        </w:rPr>
      </w:pPr>
      <w:r>
        <w:rPr>
          <w:rFonts w:ascii="Times New Roman" w:cs="Times New Roman" w:eastAsia="Times New Roman" w:hAnsi="Times New Roman"/>
          <w:sz w:val="20"/>
          <w:szCs w:val="20"/>
          <w:color w:val="auto"/>
        </w:rPr>
        <w:t>them other than as herein set forth. No subsequent alteration, amendment, change or addition to this Lease shall be binding on Landlord or Tenant unless reduced to writing and signed by them.</w:t>
      </w:r>
    </w:p>
    <w:p>
      <w:pPr>
        <w:spacing w:after="0" w:line="128" w:lineRule="exact"/>
        <w:rPr>
          <w:sz w:val="20"/>
          <w:szCs w:val="20"/>
          <w:color w:val="auto"/>
        </w:rPr>
      </w:pPr>
    </w:p>
    <w:p>
      <w:pPr>
        <w:ind w:left="1420" w:hanging="606"/>
        <w:spacing w:after="0"/>
        <w:tabs>
          <w:tab w:leader="none" w:pos="142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STORAGE OUTSIDE THE PREMISES</w:t>
      </w:r>
    </w:p>
    <w:p>
      <w:pPr>
        <w:spacing w:after="0" w:line="206" w:lineRule="exact"/>
        <w:rPr>
          <w:sz w:val="20"/>
          <w:szCs w:val="20"/>
          <w:color w:val="auto"/>
        </w:rPr>
      </w:pPr>
    </w:p>
    <w:p>
      <w:pPr>
        <w:ind w:left="200" w:right="219" w:firstLine="1220"/>
        <w:spacing w:after="0" w:line="275" w:lineRule="auto"/>
        <w:rPr>
          <w:sz w:val="20"/>
          <w:szCs w:val="20"/>
          <w:color w:val="auto"/>
        </w:rPr>
      </w:pPr>
      <w:r>
        <w:rPr>
          <w:rFonts w:ascii="Times New Roman" w:cs="Times New Roman" w:eastAsia="Times New Roman" w:hAnsi="Times New Roman"/>
          <w:sz w:val="20"/>
          <w:szCs w:val="20"/>
          <w:color w:val="auto"/>
        </w:rPr>
        <w:t>Tenant shall store nothing outside the Premises, including, without limitation, materials, supplies, inventory or equipment, trash dumpster excepted.</w:t>
      </w:r>
    </w:p>
    <w:p>
      <w:pPr>
        <w:spacing w:after="0" w:line="134" w:lineRule="exact"/>
        <w:rPr>
          <w:sz w:val="20"/>
          <w:szCs w:val="20"/>
          <w:color w:val="auto"/>
        </w:rPr>
      </w:pPr>
    </w:p>
    <w:p>
      <w:pPr>
        <w:ind w:left="1420" w:hanging="606"/>
        <w:spacing w:after="0"/>
        <w:tabs>
          <w:tab w:leader="none" w:pos="142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RIGHT OF ENTRY</w:t>
      </w:r>
    </w:p>
    <w:p>
      <w:pPr>
        <w:spacing w:after="0" w:line="202" w:lineRule="exact"/>
        <w:rPr>
          <w:sz w:val="20"/>
          <w:szCs w:val="20"/>
          <w:color w:val="auto"/>
        </w:rPr>
      </w:pPr>
    </w:p>
    <w:p>
      <w:pPr>
        <w:jc w:val="both"/>
        <w:ind w:left="200" w:right="219" w:firstLine="1220"/>
        <w:spacing w:after="0" w:line="243" w:lineRule="auto"/>
        <w:rPr>
          <w:sz w:val="20"/>
          <w:szCs w:val="20"/>
          <w:color w:val="auto"/>
        </w:rPr>
      </w:pPr>
      <w:r>
        <w:rPr>
          <w:rFonts w:ascii="Times New Roman" w:cs="Times New Roman" w:eastAsia="Times New Roman" w:hAnsi="Times New Roman"/>
          <w:sz w:val="20"/>
          <w:szCs w:val="20"/>
          <w:color w:val="auto"/>
        </w:rPr>
        <w:t xml:space="preserve">Landlord or Landlord’s agents shall have the right to enter the Leased Premises at all reasonable times and with reasonable notice to examine the same and to show it to purchasers and to make such repairs, alterations, improvements or additions as Landlord may deem necessary or desirable, and Landlord shall be allowed to take all material into and upon the Leased Premises that may be required therefore without the same constituting an eviction of Tenant in whole or in part. During the </w:t>
      </w:r>
      <w:r>
        <w:rPr>
          <w:rFonts w:ascii="Times New Roman" w:cs="Times New Roman" w:eastAsia="Times New Roman" w:hAnsi="Times New Roman"/>
          <w:sz w:val="20"/>
          <w:szCs w:val="20"/>
          <w:b w:val="1"/>
          <w:bCs w:val="1"/>
          <w:color w:val="auto"/>
        </w:rPr>
        <w:t>six</w:t>
      </w:r>
    </w:p>
    <w:p>
      <w:pPr>
        <w:spacing w:after="0" w:line="1" w:lineRule="exact"/>
        <w:rPr>
          <w:sz w:val="20"/>
          <w:szCs w:val="20"/>
          <w:color w:val="auto"/>
        </w:rPr>
      </w:pPr>
    </w:p>
    <w:p>
      <w:pPr>
        <w:jc w:val="both"/>
        <w:ind w:left="200" w:right="219" w:firstLine="4"/>
        <w:spacing w:after="0" w:line="242" w:lineRule="auto"/>
        <w:tabs>
          <w:tab w:leader="none" w:pos="52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months </w:t>
      </w:r>
      <w:r>
        <w:rPr>
          <w:rFonts w:ascii="Times New Roman" w:cs="Times New Roman" w:eastAsia="Times New Roman" w:hAnsi="Times New Roman"/>
          <w:sz w:val="20"/>
          <w:szCs w:val="20"/>
          <w:color w:val="auto"/>
        </w:rPr>
        <w:t>prior to the expiration of the term of this Lease or any renewals thereof, Landlord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exhibit the Leased Premises to prospective Tenants or purchasers and place upon the Leased Premises the usual signage for space rental. Nothing herein contained, however, shall be deemed or construed to impose upon Landlord any obligation, responsibility or liability whatsoever for the care, maintenance or repair of the building or any part thereof, except as otherwise herein specifically provided.</w:t>
      </w:r>
    </w:p>
    <w:p>
      <w:pPr>
        <w:spacing w:after="0" w:line="161" w:lineRule="exact"/>
        <w:rPr>
          <w:sz w:val="20"/>
          <w:szCs w:val="20"/>
          <w:color w:val="auto"/>
        </w:rPr>
      </w:pPr>
    </w:p>
    <w:p>
      <w:pPr>
        <w:ind w:left="200" w:right="219" w:firstLine="1220"/>
        <w:spacing w:after="0" w:line="279" w:lineRule="auto"/>
        <w:rPr>
          <w:sz w:val="20"/>
          <w:szCs w:val="20"/>
          <w:color w:val="auto"/>
        </w:rPr>
      </w:pPr>
      <w:r>
        <w:rPr>
          <w:rFonts w:ascii="Times New Roman" w:cs="Times New Roman" w:eastAsia="Times New Roman" w:hAnsi="Times New Roman"/>
          <w:sz w:val="20"/>
          <w:szCs w:val="20"/>
          <w:b w:val="1"/>
          <w:bCs w:val="1"/>
          <w:color w:val="auto"/>
        </w:rPr>
        <w:t>Landlord will have right to show the space during normal business hours to prospective new Tenants when, and if applicable.</w:t>
      </w:r>
    </w:p>
    <w:p>
      <w:pPr>
        <w:spacing w:after="0" w:line="126" w:lineRule="exact"/>
        <w:rPr>
          <w:sz w:val="20"/>
          <w:szCs w:val="20"/>
          <w:color w:val="auto"/>
        </w:rPr>
      </w:pPr>
    </w:p>
    <w:p>
      <w:pPr>
        <w:ind w:left="1420" w:hanging="606"/>
        <w:spacing w:after="0"/>
        <w:tabs>
          <w:tab w:leader="none" w:pos="142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CONSENTS AND APPROVALS</w:t>
      </w:r>
    </w:p>
    <w:p>
      <w:pPr>
        <w:spacing w:after="0" w:line="206" w:lineRule="exact"/>
        <w:rPr>
          <w:sz w:val="20"/>
          <w:szCs w:val="20"/>
          <w:color w:val="auto"/>
        </w:rPr>
      </w:pPr>
    </w:p>
    <w:p>
      <w:pPr>
        <w:jc w:val="both"/>
        <w:ind w:left="200" w:right="219" w:firstLine="1220"/>
        <w:spacing w:after="0" w:line="242" w:lineRule="auto"/>
        <w:rPr>
          <w:sz w:val="20"/>
          <w:szCs w:val="20"/>
          <w:color w:val="auto"/>
        </w:rPr>
      </w:pPr>
      <w:r>
        <w:rPr>
          <w:rFonts w:ascii="Times New Roman" w:cs="Times New Roman" w:eastAsia="Times New Roman" w:hAnsi="Times New Roman"/>
          <w:sz w:val="20"/>
          <w:szCs w:val="20"/>
          <w:color w:val="auto"/>
        </w:rPr>
        <w:t>Whenever Landlord’s consent or approval is required herein, such consent or approval shall not be deemed given until Landlord has provided such consent or approval in writing. Tenant shall pay Landlord’s reasonable attorneys’ fees incurred in connection with Tenant’s request for Landlord’s consent or approval. Where the consent or approval of Landlord shall be required, such consent or approval shall be granted in Landlord’s sole discretion unless otherwise expressly provided. With respect to any provision of this Lease which either expressly provides or is held to provide that Landlord shall not unreasonably withhold or unreasonably delay any consent or approval, Tenant shall not be entitled to make claim for, and Tenant expressly waives claim for, damages incurred by Tenant by reason of Landlord’s failure to comply, unless such failure to comply is an act of bad faith on the part of Landlord, it being understood and agreed that Tenant’s sole remedy shall be an action for specific performance.</w:t>
      </w:r>
    </w:p>
    <w:p>
      <w:pPr>
        <w:spacing w:after="0" w:line="167" w:lineRule="exact"/>
        <w:rPr>
          <w:sz w:val="20"/>
          <w:szCs w:val="20"/>
          <w:color w:val="auto"/>
        </w:rPr>
      </w:pPr>
    </w:p>
    <w:p>
      <w:pPr>
        <w:ind w:left="1420" w:hanging="606"/>
        <w:spacing w:after="0"/>
        <w:tabs>
          <w:tab w:leader="none" w:pos="142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AUTHORITY</w:t>
      </w:r>
    </w:p>
    <w:p>
      <w:pPr>
        <w:spacing w:after="0" w:line="206" w:lineRule="exact"/>
        <w:rPr>
          <w:sz w:val="20"/>
          <w:szCs w:val="20"/>
          <w:color w:val="auto"/>
        </w:rPr>
      </w:pPr>
    </w:p>
    <w:p>
      <w:pPr>
        <w:jc w:val="both"/>
        <w:ind w:left="200" w:right="219" w:firstLine="1220"/>
        <w:spacing w:after="0" w:line="244" w:lineRule="auto"/>
        <w:rPr>
          <w:sz w:val="20"/>
          <w:szCs w:val="20"/>
          <w:color w:val="auto"/>
        </w:rPr>
      </w:pPr>
      <w:r>
        <w:rPr>
          <w:rFonts w:ascii="Times New Roman" w:cs="Times New Roman" w:eastAsia="Times New Roman" w:hAnsi="Times New Roman"/>
          <w:sz w:val="20"/>
          <w:szCs w:val="20"/>
          <w:color w:val="auto"/>
        </w:rPr>
        <w:t>In the event Tenant hereunder shall be a corporation, the persons executing this Lease on behalf of Tenant hereby covenant and warrant that Tenant is a duly qualified corporation and all steps have been taken prior to the date hereof to qualify Tenant to do business in the State; all franchise and corporate taxes have been paid to date; all future forms, reports, fees and other documents necessary to comply with applicable laws will be filed when due; and those persons executing this Lease on behalf of Tenant are duly qualified and authorized to bind, and in fact do bind, the corporation. In the event Tenant hereunder shall be a partnership, either general or</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16</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20" w:name="page121"/>
    <w:bookmarkEnd w:id="120"/>
    <w:p>
      <w:pPr>
        <w:jc w:val="both"/>
        <w:ind w:left="200" w:right="219"/>
        <w:spacing w:after="0" w:line="244" w:lineRule="auto"/>
        <w:rPr>
          <w:sz w:val="20"/>
          <w:szCs w:val="20"/>
          <w:color w:val="auto"/>
        </w:rPr>
      </w:pPr>
      <w:r>
        <w:rPr>
          <w:rFonts w:ascii="Times New Roman" w:cs="Times New Roman" w:eastAsia="Times New Roman" w:hAnsi="Times New Roman"/>
          <w:sz w:val="20"/>
          <w:szCs w:val="20"/>
          <w:color w:val="auto"/>
        </w:rPr>
        <w:t>limited, the persons or entities executing this Lease on behalf of Tenant hereby covenant and warrant that Tenant is a duly qualified partnership and all steps have been taken prior to the date hereof to qualify Tenant to do business in the State, if required by law; all franchise and partnership taxes have been paid to date; all future forms, reports, fees and other documents necessary to comply with applicable laws will be filed when due; and those entities executing this Lease on behalf of partnership are duly qualified to bind, and in fact do bind, the partnership. This Lease shall be effective only when it is signed by both Landlord and Tenant’s submission of a signed lease for review by Landlord does not give Tenant any interest, right or option in the Leased Premises.</w:t>
      </w:r>
    </w:p>
    <w:p>
      <w:pPr>
        <w:spacing w:after="0" w:line="159" w:lineRule="exact"/>
        <w:rPr>
          <w:sz w:val="20"/>
          <w:szCs w:val="20"/>
          <w:color w:val="auto"/>
        </w:rPr>
      </w:pPr>
    </w:p>
    <w:p>
      <w:pPr>
        <w:ind w:left="1420" w:hanging="606"/>
        <w:spacing w:after="0"/>
        <w:tabs>
          <w:tab w:leader="none" w:pos="142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NEGATION OF PERSONAL LIABILITY.</w:t>
      </w:r>
    </w:p>
    <w:p>
      <w:pPr>
        <w:spacing w:after="0" w:line="206" w:lineRule="exact"/>
        <w:rPr>
          <w:sz w:val="20"/>
          <w:szCs w:val="20"/>
          <w:color w:val="auto"/>
        </w:rPr>
      </w:pPr>
    </w:p>
    <w:p>
      <w:pPr>
        <w:jc w:val="both"/>
        <w:ind w:left="200" w:right="219" w:firstLine="1220"/>
        <w:spacing w:after="0" w:line="242" w:lineRule="auto"/>
        <w:rPr>
          <w:sz w:val="20"/>
          <w:szCs w:val="20"/>
          <w:color w:val="auto"/>
        </w:rPr>
      </w:pPr>
      <w:r>
        <w:rPr>
          <w:rFonts w:ascii="Times New Roman" w:cs="Times New Roman" w:eastAsia="Times New Roman" w:hAnsi="Times New Roman"/>
          <w:sz w:val="20"/>
          <w:szCs w:val="20"/>
          <w:color w:val="auto"/>
        </w:rPr>
        <w:t>Notwithstanding anything contained in this Lease to the contrary, Tenant agrees that Landlord shall have no personal liability with respect to any of the provisions of this Lease and Tenant shall look solely to the estate and property of Landlord in the Leased Premises for the satisfactions of Tenant’s remedies, including without limitation, the collection of any judgment or the enforcement of any other judicial process requiring the payment or expenditure of money by Landlord in the event of any default or breach by Landlord with respect to any of the terms and provisions of this Lease to be observed and/or performed by Landlord; subject, however, to the prior rights of any holder of any mortgage covering all or part of the Demised Premises, and no other assets of Landlord or any principal of Landlord shall be subject to levy, execution or other judicial process for the satisfaction of Tenant’s. In the event Tenant obtains a judgment against Landlord, the judgment docket shall be so noted. This Section shall inure to the benefits of Landlord’s successors and assigns and their respective principals.</w:t>
      </w:r>
    </w:p>
    <w:p>
      <w:pPr>
        <w:spacing w:after="0" w:line="164" w:lineRule="exact"/>
        <w:rPr>
          <w:sz w:val="20"/>
          <w:szCs w:val="20"/>
          <w:color w:val="auto"/>
        </w:rPr>
      </w:pPr>
    </w:p>
    <w:p>
      <w:pPr>
        <w:ind w:left="1420" w:hanging="606"/>
        <w:spacing w:after="0"/>
        <w:tabs>
          <w:tab w:leader="none" w:pos="142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AGENCY</w:t>
      </w:r>
    </w:p>
    <w:p>
      <w:pPr>
        <w:spacing w:after="0" w:line="206" w:lineRule="exact"/>
        <w:rPr>
          <w:sz w:val="20"/>
          <w:szCs w:val="20"/>
          <w:color w:val="auto"/>
        </w:rPr>
      </w:pPr>
    </w:p>
    <w:p>
      <w:pPr>
        <w:jc w:val="both"/>
        <w:ind w:left="200" w:right="219" w:firstLine="1220"/>
        <w:spacing w:after="0" w:line="246" w:lineRule="auto"/>
        <w:rPr>
          <w:sz w:val="20"/>
          <w:szCs w:val="20"/>
          <w:color w:val="auto"/>
        </w:rPr>
      </w:pPr>
      <w:r>
        <w:rPr>
          <w:rFonts w:ascii="Times New Roman" w:cs="Times New Roman" w:eastAsia="Times New Roman" w:hAnsi="Times New Roman"/>
          <w:sz w:val="20"/>
          <w:szCs w:val="20"/>
          <w:color w:val="auto"/>
        </w:rPr>
        <w:t>It is hereby expressly agreed and understood that RE/MAX Properties, Ltd. is acting as “Agent” only and shall not in any event be held liable to the Landlord or Tenant for the fulfillment or non-fulfillment of any of the terms and conditions of this LEASE, or for any action or proceedings that may be taken by Landlord against Tenant or by Tenant against Landlord. It is understood and agreed that Douglas P. Terry and Daniel J. McCloskey are agents with RE/MAX Properties, Ltd. and are also members of the ownership group of 660 Tudor Square, L.P.</w:t>
      </w:r>
    </w:p>
    <w:p>
      <w:pPr>
        <w:spacing w:after="0" w:line="157" w:lineRule="exact"/>
        <w:rPr>
          <w:sz w:val="20"/>
          <w:szCs w:val="20"/>
          <w:color w:val="auto"/>
        </w:rPr>
      </w:pPr>
    </w:p>
    <w:p>
      <w:pPr>
        <w:ind w:left="820" w:hanging="616"/>
        <w:spacing w:after="0"/>
        <w:tabs>
          <w:tab w:leader="none" w:pos="82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 Representations and Warranties</w:t>
      </w:r>
    </w:p>
    <w:p>
      <w:pPr>
        <w:spacing w:after="0" w:line="206" w:lineRule="exact"/>
        <w:rPr>
          <w:sz w:val="20"/>
          <w:szCs w:val="20"/>
          <w:color w:val="auto"/>
        </w:rPr>
      </w:pPr>
    </w:p>
    <w:p>
      <w:pPr>
        <w:jc w:val="both"/>
        <w:ind w:left="200" w:right="219" w:firstLine="610"/>
        <w:spacing w:after="0" w:line="246" w:lineRule="auto"/>
        <w:rPr>
          <w:sz w:val="20"/>
          <w:szCs w:val="20"/>
          <w:color w:val="auto"/>
        </w:rPr>
      </w:pPr>
      <w:r>
        <w:rPr>
          <w:rFonts w:ascii="Times New Roman" w:cs="Times New Roman" w:eastAsia="Times New Roman" w:hAnsi="Times New Roman"/>
          <w:sz w:val="20"/>
          <w:szCs w:val="20"/>
          <w:color w:val="auto"/>
        </w:rPr>
        <w:t>The Landlord represents and warrants that as of the commencement date: (i) the premises and building are in good condition and repair; (ii) Landlord at all times will keep the premises, building and systems (HVAC, plumbing, electric, etc) in good condition, order and repair, clean and safe and sanitary condition; (iii) that the premises and building are free of any hazardous materials as of the commencement date (assuming reports do not disclose otherwise); (iv) that the premises, building and systems comply with all applicable laws, statutes, ordinances, permits and approvals.</w:t>
      </w:r>
    </w:p>
    <w:p>
      <w:pPr>
        <w:spacing w:after="0" w:line="161" w:lineRule="exact"/>
        <w:rPr>
          <w:sz w:val="20"/>
          <w:szCs w:val="20"/>
          <w:color w:val="auto"/>
        </w:rPr>
      </w:pPr>
    </w:p>
    <w:p>
      <w:pPr>
        <w:jc w:val="both"/>
        <w:ind w:left="200" w:right="219" w:firstLine="610"/>
        <w:spacing w:after="0" w:line="275" w:lineRule="auto"/>
        <w:rPr>
          <w:sz w:val="20"/>
          <w:szCs w:val="20"/>
          <w:color w:val="auto"/>
        </w:rPr>
      </w:pPr>
      <w:r>
        <w:rPr>
          <w:rFonts w:ascii="Times New Roman" w:cs="Times New Roman" w:eastAsia="Times New Roman" w:hAnsi="Times New Roman"/>
          <w:sz w:val="20"/>
          <w:szCs w:val="20"/>
          <w:color w:val="auto"/>
        </w:rPr>
        <w:t>IN WITNESS WHEREOF, and intending to be legally bound, the Landlord and Tenant have executed this Lease on the day and year first above written.</w:t>
      </w:r>
    </w:p>
    <w:p>
      <w:pPr>
        <w:spacing w:after="0" w:line="200" w:lineRule="exact"/>
        <w:rPr>
          <w:sz w:val="20"/>
          <w:szCs w:val="20"/>
          <w:color w:val="auto"/>
        </w:rPr>
      </w:pPr>
    </w:p>
    <w:p>
      <w:pPr>
        <w:spacing w:after="0" w:line="328"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7"/>
              </w:rPr>
              <w:t>/s/ DM 11/30/21</w:t>
            </w:r>
          </w:p>
        </w:tc>
        <w:tc>
          <w:tcPr>
            <w:tcW w:w="6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/s/ JSM 11/30/21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Tenant Initials</w:t>
            </w:r>
          </w:p>
        </w:tc>
        <w:tc>
          <w:tcPr>
            <w:tcW w:w="0" w:type="dxa"/>
            <w:vAlign w:val="bottom"/>
          </w:tcPr>
          <w:p>
            <w:pPr>
              <w:spacing w:after="0" w:line="20" w:lineRule="exact"/>
              <w:rPr>
                <w:sz w:val="1"/>
                <w:szCs w:val="1"/>
                <w:color w:val="auto"/>
              </w:rPr>
            </w:pPr>
          </w:p>
        </w:tc>
      </w:tr>
      <w:tr>
        <w:trPr>
          <w:trHeight w:val="158"/>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Landlord Initials</w:t>
            </w:r>
          </w:p>
        </w:tc>
        <w:tc>
          <w:tcPr>
            <w:tcW w:w="6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6320" w:type="dxa"/>
            <w:vAlign w:val="bottom"/>
            <w:vMerge w:val="restart"/>
          </w:tcPr>
          <w:p>
            <w:pPr>
              <w:jc w:val="right"/>
              <w:ind w:right="2975"/>
              <w:spacing w:after="0"/>
              <w:rPr>
                <w:sz w:val="20"/>
                <w:szCs w:val="20"/>
                <w:color w:val="auto"/>
              </w:rPr>
            </w:pPr>
            <w:r>
              <w:rPr>
                <w:rFonts w:ascii="Times New Roman" w:cs="Times New Roman" w:eastAsia="Times New Roman" w:hAnsi="Times New Roman"/>
                <w:sz w:val="17"/>
                <w:szCs w:val="17"/>
                <w:color w:val="auto"/>
              </w:rPr>
              <w:t>17</w:t>
            </w: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21" w:name="page122"/>
    <w:bookmarkEnd w:id="121"/>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11/30/21</w:t>
      </w:r>
      <w:r>
        <w:rPr>
          <w:rFonts w:ascii="Times New Roman" w:cs="Times New Roman" w:eastAsia="Times New Roman" w:hAnsi="Times New Roman"/>
          <w:sz w:val="20"/>
          <w:szCs w:val="20"/>
          <w:color w:val="auto"/>
        </w:rPr>
        <w:t>________________</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11/30/21________________</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u w:val="single" w:color="auto"/>
          <w:color w:val="auto"/>
        </w:rPr>
        <w:t>/s/ DM 11/30/21</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Landlord Initials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Jeffrey S. Mathiesen______________________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Jeff Mathiesen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Daniel J. McCloskey​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-7620</wp:posOffset>
            </wp:positionV>
            <wp:extent cx="1419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Daniel J. McCloskey, Partner</w:t>
      </w:r>
    </w:p>
    <w:p>
      <w:pPr>
        <w:spacing w:after="0"/>
        <w:rPr>
          <w:sz w:val="20"/>
          <w:szCs w:val="20"/>
          <w:color w:val="auto"/>
        </w:rPr>
      </w:pPr>
      <w:r>
        <w:rPr>
          <w:rFonts w:ascii="Times New Roman" w:cs="Times New Roman" w:eastAsia="Times New Roman" w:hAnsi="Times New Roman"/>
          <w:sz w:val="20"/>
          <w:szCs w:val="20"/>
          <w:color w:val="auto"/>
        </w:rPr>
        <w:t>660 Tudor Square, L.P.</w:t>
      </w:r>
    </w:p>
    <w:p>
      <w:pPr>
        <w:spacing w:after="0" w:line="17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7"/>
          <w:szCs w:val="17"/>
          <w:u w:val="single" w:color="auto"/>
          <w:color w:val="auto"/>
        </w:rPr>
        <w:t>/s/ JSM 11/30/21</w:t>
      </w:r>
    </w:p>
    <w:p>
      <w:pPr>
        <w:spacing w:after="0" w:line="2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Tenant Initials</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337820</wp:posOffset>
            </wp:positionV>
            <wp:extent cx="5462270"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5462270" cy="24130"/>
                    </a:xfrm>
                    <a:prstGeom prst="rect">
                      <a:avLst/>
                    </a:prstGeom>
                    <a:noFill/>
                  </pic:spPr>
                </pic:pic>
              </a:graphicData>
            </a:graphic>
          </wp:anchor>
        </w:drawing>
      </w:r>
    </w:p>
    <w:p>
      <w:pPr>
        <w:sectPr>
          <w:pgSz w:w="11900" w:h="16838" w:orient="portrait"/>
          <w:cols w:equalWidth="0" w:num="2">
            <w:col w:w="3140" w:space="720"/>
            <w:col w:w="5159"/>
          </w:cols>
          <w:pgMar w:left="1440" w:top="110" w:right="1440" w:bottom="1440" w:gutter="0" w:footer="0" w:header="0"/>
        </w:sectPr>
      </w:pPr>
    </w:p>
    <w:bookmarkStart w:id="122" w:name="page123"/>
    <w:bookmarkEnd w:id="122"/>
    <w:p>
      <w:pPr>
        <w:ind w:left="7600"/>
        <w:spacing w:after="0"/>
        <w:rPr>
          <w:sz w:val="20"/>
          <w:szCs w:val="20"/>
          <w:color w:val="auto"/>
        </w:rPr>
      </w:pPr>
      <w:r>
        <w:rPr>
          <w:rFonts w:ascii="Times New Roman" w:cs="Times New Roman" w:eastAsia="Times New Roman" w:hAnsi="Times New Roman"/>
          <w:sz w:val="20"/>
          <w:szCs w:val="20"/>
          <w:b w:val="1"/>
          <w:bCs w:val="1"/>
          <w:color w:val="auto"/>
        </w:rPr>
        <w:t>Exhibit 10.9.1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660 Tudor Square, L.P.</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Lease Addendum #1</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660 Tudor Square, L.P.</w:t>
      </w:r>
    </w:p>
    <w:p>
      <w:pPr>
        <w:spacing w:after="0" w:line="200" w:lineRule="exact"/>
        <w:rPr>
          <w:sz w:val="20"/>
          <w:szCs w:val="20"/>
          <w:color w:val="auto"/>
        </w:rPr>
      </w:pPr>
    </w:p>
    <w:p>
      <w:pPr>
        <w:sectPr>
          <w:pgSz w:w="11900" w:h="16838" w:orient="portrait"/>
          <w:cols w:equalWidth="0" w:num="2">
            <w:col w:w="3140" w:space="720"/>
            <w:col w:w="5159"/>
          </w:cols>
          <w:pgMar w:left="1440" w:top="123"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Helius Medical Technologies, Inc.</w:t>
      </w:r>
    </w:p>
    <w:p>
      <w:pPr>
        <w:spacing w:after="0" w:line="200" w:lineRule="exact"/>
        <w:rPr>
          <w:sz w:val="20"/>
          <w:szCs w:val="20"/>
          <w:color w:val="auto"/>
        </w:rPr>
      </w:pPr>
    </w:p>
    <w:p>
      <w:pPr>
        <w:sectPr>
          <w:pgSz w:w="11900" w:h="16838" w:orient="portrait"/>
          <w:cols w:equalWidth="0" w:num="2">
            <w:col w:w="3140" w:space="720"/>
            <w:col w:w="5159"/>
          </w:cols>
          <w:pgMar w:left="1440" w:top="123"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642 Newtown Yardley Rd, Suite 215</w:t>
      </w:r>
    </w:p>
    <w:p>
      <w:pPr>
        <w:spacing w:after="0" w:line="200" w:lineRule="exact"/>
        <w:rPr>
          <w:sz w:val="20"/>
          <w:szCs w:val="20"/>
          <w:color w:val="auto"/>
        </w:rPr>
      </w:pPr>
    </w:p>
    <w:p>
      <w:pPr>
        <w:sectPr>
          <w:pgSz w:w="11900" w:h="16838" w:orient="portrait"/>
          <w:cols w:equalWidth="0" w:num="2">
            <w:col w:w="3140" w:space="720"/>
            <w:col w:w="5159"/>
          </w:cols>
          <w:pgMar w:left="1440" w:top="123"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CURRENT LEASE TERM</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January 1, 2022 - March 31, 2025</w:t>
      </w:r>
    </w:p>
    <w:p>
      <w:pPr>
        <w:spacing w:after="0" w:line="200" w:lineRule="exact"/>
        <w:rPr>
          <w:sz w:val="20"/>
          <w:szCs w:val="20"/>
          <w:color w:val="auto"/>
        </w:rPr>
      </w:pPr>
    </w:p>
    <w:p>
      <w:pPr>
        <w:sectPr>
          <w:pgSz w:w="11900" w:h="16838" w:orient="portrait"/>
          <w:cols w:equalWidth="0" w:num="2">
            <w:col w:w="3140" w:space="720"/>
            <w:col w:w="5159"/>
          </w:cols>
          <w:pgMar w:left="1440" w:top="123" w:right="1440" w:bottom="1440" w:gutter="0" w:footer="0" w:header="0"/>
          <w:type w:val="continuous"/>
        </w:sectPr>
      </w:pPr>
    </w:p>
    <w:p>
      <w:pPr>
        <w:spacing w:after="0" w:line="15" w:lineRule="exact"/>
        <w:rPr>
          <w:sz w:val="20"/>
          <w:szCs w:val="20"/>
          <w:color w:val="auto"/>
        </w:rPr>
      </w:pPr>
    </w:p>
    <w:p>
      <w:pPr>
        <w:ind w:left="820" w:hanging="616"/>
        <w:spacing w:after="0"/>
        <w:tabs>
          <w:tab w:leader="none" w:pos="8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lease shall be extended for one (1) additional year, ending March 31, 2026.</w:t>
      </w:r>
    </w:p>
    <w:p>
      <w:pPr>
        <w:spacing w:after="0" w:line="33" w:lineRule="exact"/>
        <w:rPr>
          <w:rFonts w:ascii="Times New Roman" w:cs="Times New Roman" w:eastAsia="Times New Roman" w:hAnsi="Times New Roman"/>
          <w:sz w:val="20"/>
          <w:szCs w:val="20"/>
          <w:color w:val="auto"/>
        </w:rPr>
      </w:pPr>
    </w:p>
    <w:p>
      <w:pPr>
        <w:ind w:left="820" w:hanging="616"/>
        <w:spacing w:after="0"/>
        <w:tabs>
          <w:tab w:leader="none" w:pos="8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Base Rent Schedule shall be as follows:</w:t>
      </w:r>
    </w:p>
    <w:p>
      <w:pPr>
        <w:spacing w:after="0" w:line="193" w:lineRule="exact"/>
        <w:rPr>
          <w:sz w:val="20"/>
          <w:szCs w:val="20"/>
          <w:color w:val="auto"/>
        </w:rPr>
      </w:pPr>
    </w:p>
    <w:p>
      <w:pPr>
        <w:ind w:left="820"/>
        <w:spacing w:after="0"/>
        <w:tabs>
          <w:tab w:leader="none" w:pos="3840" w:val="left"/>
        </w:tabs>
        <w:rPr>
          <w:sz w:val="20"/>
          <w:szCs w:val="20"/>
          <w:color w:val="auto"/>
        </w:rPr>
      </w:pPr>
      <w:r>
        <w:rPr>
          <w:rFonts w:ascii="Times New Roman" w:cs="Times New Roman" w:eastAsia="Times New Roman" w:hAnsi="Times New Roman"/>
          <w:sz w:val="20"/>
          <w:szCs w:val="20"/>
          <w:color w:val="auto"/>
        </w:rPr>
        <w:t>04/01/2025 - 03/31/2026</w:t>
      </w:r>
      <w:r>
        <w:rPr>
          <w:sz w:val="20"/>
          <w:szCs w:val="20"/>
          <w:color w:val="auto"/>
        </w:rPr>
        <w:tab/>
      </w:r>
      <w:r>
        <w:rPr>
          <w:rFonts w:ascii="Times New Roman" w:cs="Times New Roman" w:eastAsia="Times New Roman" w:hAnsi="Times New Roman"/>
          <w:sz w:val="20"/>
          <w:szCs w:val="20"/>
          <w:color w:val="auto"/>
        </w:rPr>
        <w:t>$3,750.00/month + $297.00/mo. electric</w:t>
      </w:r>
    </w:p>
    <w:p>
      <w:pPr>
        <w:spacing w:after="0" w:line="211" w:lineRule="exact"/>
        <w:rPr>
          <w:sz w:val="20"/>
          <w:szCs w:val="20"/>
          <w:color w:val="auto"/>
        </w:rPr>
      </w:pPr>
    </w:p>
    <w:p>
      <w:pPr>
        <w:ind w:left="200" w:right="359"/>
        <w:spacing w:after="0" w:line="292" w:lineRule="auto"/>
        <w:rPr>
          <w:sz w:val="20"/>
          <w:szCs w:val="20"/>
          <w:color w:val="auto"/>
        </w:rPr>
      </w:pPr>
      <w:r>
        <w:rPr>
          <w:rFonts w:ascii="Times New Roman" w:cs="Times New Roman" w:eastAsia="Times New Roman" w:hAnsi="Times New Roman"/>
          <w:sz w:val="20"/>
          <w:szCs w:val="20"/>
          <w:b w:val="1"/>
          <w:bCs w:val="1"/>
          <w:color w:val="auto"/>
        </w:rPr>
        <w:t>ALL OTHER TERMS AND CONDITIONS OF THIS LEASE REMAIN UNCHANGED AND IN EFFECT</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01/16/25</w:t>
            </w:r>
          </w:p>
        </w:tc>
        <w:tc>
          <w:tcPr>
            <w:tcW w:w="122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Jeffrey S. Mathiesen</w:t>
            </w:r>
          </w:p>
        </w:tc>
        <w:tc>
          <w:tcPr>
            <w:tcW w:w="680" w:type="dxa"/>
            <w:vAlign w:val="bottom"/>
          </w:tcPr>
          <w:p>
            <w:pPr>
              <w:spacing w:after="0"/>
              <w:rPr>
                <w:sz w:val="19"/>
                <w:szCs w:val="19"/>
                <w:color w:val="auto"/>
              </w:rPr>
            </w:pPr>
          </w:p>
        </w:tc>
      </w:tr>
      <w:tr>
        <w:trPr>
          <w:trHeight w:val="247"/>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Tenant: Jeffrey S. Mathieson</w:t>
            </w:r>
          </w:p>
        </w:tc>
      </w:tr>
      <w:tr>
        <w:trPr>
          <w:trHeight w:val="265"/>
        </w:trPr>
        <w:tc>
          <w:tcPr>
            <w:tcW w:w="24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Helius Medical Technologies, Inc.</w:t>
            </w:r>
          </w:p>
        </w:tc>
      </w:tr>
      <w:tr>
        <w:trPr>
          <w:trHeight w:val="395"/>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01/16/25</w:t>
            </w:r>
          </w:p>
        </w:tc>
        <w:tc>
          <w:tcPr>
            <w:tcW w:w="122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Daniel J. McCloskey</w:t>
            </w:r>
          </w:p>
        </w:tc>
        <w:tc>
          <w:tcPr>
            <w:tcW w:w="680" w:type="dxa"/>
            <w:vAlign w:val="bottom"/>
          </w:tcPr>
          <w:p>
            <w:pPr>
              <w:spacing w:after="0"/>
              <w:rPr>
                <w:sz w:val="24"/>
                <w:szCs w:val="24"/>
                <w:color w:val="auto"/>
              </w:rPr>
            </w:pPr>
          </w:p>
        </w:tc>
      </w:tr>
      <w:tr>
        <w:trPr>
          <w:trHeight w:val="247"/>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Landlord: Daniel J. McCloskey, Partner</w:t>
            </w:r>
          </w:p>
        </w:tc>
      </w:tr>
      <w:tr>
        <w:trPr>
          <w:trHeight w:val="265"/>
        </w:trPr>
        <w:tc>
          <w:tcPr>
            <w:tcW w:w="24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660 Tudor Square, L.P.</w:t>
            </w:r>
          </w:p>
        </w:tc>
      </w:tr>
      <w:tr>
        <w:trPr>
          <w:trHeight w:val="515"/>
        </w:trPr>
        <w:tc>
          <w:tcPr>
            <w:tcW w:w="2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3" w:right="1440" w:bottom="1440" w:gutter="0" w:footer="0" w:header="0"/>
          <w:type w:val="continuous"/>
        </w:sectPr>
      </w:pPr>
    </w:p>
    <w:bookmarkStart w:id="123" w:name="page124"/>
    <w:bookmarkEnd w:id="123"/>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139065</wp:posOffset>
            </wp:positionV>
            <wp:extent cx="5631815" cy="807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5631815"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7"/>
          <w:szCs w:val="27"/>
          <w:b w:val="1"/>
          <w:bCs w:val="1"/>
          <w:color w:val="auto"/>
        </w:rPr>
        <w:t>H</w:t>
      </w:r>
      <w:r>
        <w:rPr>
          <w:rFonts w:ascii="Times New Roman" w:cs="Times New Roman" w:eastAsia="Times New Roman" w:hAnsi="Times New Roman"/>
          <w:sz w:val="19"/>
          <w:szCs w:val="19"/>
          <w:b w:val="1"/>
          <w:bCs w:val="1"/>
          <w:color w:val="auto"/>
        </w:rPr>
        <w:t>elius</w:t>
      </w:r>
      <w:r>
        <w:rPr>
          <w:rFonts w:ascii="Times New Roman" w:cs="Times New Roman" w:eastAsia="Times New Roman" w:hAnsi="Times New Roman"/>
          <w:sz w:val="27"/>
          <w:szCs w:val="27"/>
          <w:b w:val="1"/>
          <w:bCs w:val="1"/>
          <w:color w:val="auto"/>
        </w:rPr>
        <w:t xml:space="preserve"> M</w:t>
      </w:r>
      <w:r>
        <w:rPr>
          <w:rFonts w:ascii="Times New Roman" w:cs="Times New Roman" w:eastAsia="Times New Roman" w:hAnsi="Times New Roman"/>
          <w:sz w:val="19"/>
          <w:szCs w:val="19"/>
          <w:b w:val="1"/>
          <w:bCs w:val="1"/>
          <w:color w:val="auto"/>
        </w:rPr>
        <w:t>edical</w:t>
      </w:r>
      <w:r>
        <w:rPr>
          <w:rFonts w:ascii="Times New Roman" w:cs="Times New Roman" w:eastAsia="Times New Roman" w:hAnsi="Times New Roman"/>
          <w:sz w:val="27"/>
          <w:szCs w:val="27"/>
          <w:b w:val="1"/>
          <w:bCs w:val="1"/>
          <w:color w:val="auto"/>
        </w:rPr>
        <w:t xml:space="preserve"> T</w:t>
      </w:r>
      <w:r>
        <w:rPr>
          <w:rFonts w:ascii="Times New Roman" w:cs="Times New Roman" w:eastAsia="Times New Roman" w:hAnsi="Times New Roman"/>
          <w:sz w:val="19"/>
          <w:szCs w:val="19"/>
          <w:b w:val="1"/>
          <w:bCs w:val="1"/>
          <w:color w:val="auto"/>
        </w:rPr>
        <w:t>echnologies</w:t>
      </w:r>
      <w:r>
        <w:rPr>
          <w:rFonts w:ascii="Times New Roman" w:cs="Times New Roman" w:eastAsia="Times New Roman" w:hAnsi="Times New Roman"/>
          <w:sz w:val="27"/>
          <w:szCs w:val="27"/>
          <w:b w:val="1"/>
          <w:bCs w:val="1"/>
          <w:color w:val="auto"/>
        </w:rPr>
        <w:t>, I</w:t>
      </w:r>
      <w:r>
        <w:rPr>
          <w:rFonts w:ascii="Times New Roman" w:cs="Times New Roman" w:eastAsia="Times New Roman" w:hAnsi="Times New Roman"/>
          <w:sz w:val="19"/>
          <w:szCs w:val="19"/>
          <w:b w:val="1"/>
          <w:bCs w:val="1"/>
          <w:color w:val="auto"/>
        </w:rPr>
        <w:t>nc</w:t>
      </w:r>
      <w:r>
        <w:rPr>
          <w:rFonts w:ascii="Times New Roman" w:cs="Times New Roman" w:eastAsia="Times New Roman" w:hAnsi="Times New Roman"/>
          <w:sz w:val="27"/>
          <w:szCs w:val="27"/>
          <w:b w:val="1"/>
          <w:bCs w:val="1"/>
          <w:color w:val="auto"/>
        </w:rPr>
        <w:t>.</w:t>
      </w:r>
    </w:p>
    <w:p>
      <w:pPr>
        <w:spacing w:after="0" w:line="4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7"/>
          <w:szCs w:val="27"/>
          <w:b w:val="1"/>
          <w:bCs w:val="1"/>
          <w:color w:val="auto"/>
        </w:rPr>
        <w:t>I</w:t>
      </w:r>
      <w:r>
        <w:rPr>
          <w:rFonts w:ascii="Times New Roman" w:cs="Times New Roman" w:eastAsia="Times New Roman" w:hAnsi="Times New Roman"/>
          <w:sz w:val="19"/>
          <w:szCs w:val="19"/>
          <w:b w:val="1"/>
          <w:bCs w:val="1"/>
          <w:color w:val="auto"/>
        </w:rPr>
        <w:t>nsider</w:t>
      </w:r>
      <w:r>
        <w:rPr>
          <w:rFonts w:ascii="Times New Roman" w:cs="Times New Roman" w:eastAsia="Times New Roman" w:hAnsi="Times New Roman"/>
          <w:sz w:val="27"/>
          <w:szCs w:val="27"/>
          <w:b w:val="1"/>
          <w:bCs w:val="1"/>
          <w:color w:val="auto"/>
        </w:rPr>
        <w:t xml:space="preserve"> T</w:t>
      </w:r>
      <w:r>
        <w:rPr>
          <w:rFonts w:ascii="Times New Roman" w:cs="Times New Roman" w:eastAsia="Times New Roman" w:hAnsi="Times New Roman"/>
          <w:sz w:val="19"/>
          <w:szCs w:val="19"/>
          <w:b w:val="1"/>
          <w:bCs w:val="1"/>
          <w:color w:val="auto"/>
        </w:rPr>
        <w:t>rading</w:t>
      </w:r>
      <w:r>
        <w:rPr>
          <w:rFonts w:ascii="Times New Roman" w:cs="Times New Roman" w:eastAsia="Times New Roman" w:hAnsi="Times New Roman"/>
          <w:sz w:val="27"/>
          <w:szCs w:val="27"/>
          <w:b w:val="1"/>
          <w:bCs w:val="1"/>
          <w:color w:val="auto"/>
        </w:rPr>
        <w:t xml:space="preserve"> C</w:t>
      </w:r>
      <w:r>
        <w:rPr>
          <w:rFonts w:ascii="Times New Roman" w:cs="Times New Roman" w:eastAsia="Times New Roman" w:hAnsi="Times New Roman"/>
          <w:sz w:val="19"/>
          <w:szCs w:val="19"/>
          <w:b w:val="1"/>
          <w:bCs w:val="1"/>
          <w:color w:val="auto"/>
        </w:rPr>
        <w:t>ompliance</w:t>
      </w:r>
      <w:r>
        <w:rPr>
          <w:rFonts w:ascii="Times New Roman" w:cs="Times New Roman" w:eastAsia="Times New Roman" w:hAnsi="Times New Roman"/>
          <w:sz w:val="27"/>
          <w:szCs w:val="27"/>
          <w:b w:val="1"/>
          <w:bCs w:val="1"/>
          <w:color w:val="auto"/>
        </w:rPr>
        <w:t xml:space="preserve"> P</w:t>
      </w:r>
      <w:r>
        <w:rPr>
          <w:rFonts w:ascii="Times New Roman" w:cs="Times New Roman" w:eastAsia="Times New Roman" w:hAnsi="Times New Roman"/>
          <w:sz w:val="19"/>
          <w:szCs w:val="19"/>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5631815" cy="2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6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Effective November 21,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 xml:space="preserve">This Insider Trading Compliance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consists of four sections:</w:t>
      </w:r>
    </w:p>
    <w:p>
      <w:pPr>
        <w:spacing w:after="0" w:line="194" w:lineRule="exact"/>
        <w:rPr>
          <w:sz w:val="20"/>
          <w:szCs w:val="20"/>
          <w:color w:val="auto"/>
        </w:rPr>
      </w:pPr>
    </w:p>
    <w:p>
      <w:pPr>
        <w:jc w:val="both"/>
        <w:ind w:left="200" w:right="199" w:firstLine="609"/>
        <w:spacing w:after="0" w:line="270" w:lineRule="auto"/>
        <w:rPr>
          <w:sz w:val="20"/>
          <w:szCs w:val="20"/>
          <w:color w:val="auto"/>
        </w:rPr>
      </w:pPr>
      <w:r>
        <w:rPr>
          <w:rFonts w:ascii="Times New Roman" w:cs="Times New Roman" w:eastAsia="Times New Roman" w:hAnsi="Times New Roman"/>
          <w:sz w:val="18"/>
          <w:szCs w:val="18"/>
          <w:u w:val="single" w:color="auto"/>
          <w:color w:val="auto"/>
        </w:rPr>
        <w:t>Section I</w:t>
      </w:r>
      <w:r>
        <w:rPr>
          <w:rFonts w:ascii="Times New Roman" w:cs="Times New Roman" w:eastAsia="Times New Roman" w:hAnsi="Times New Roman"/>
          <w:sz w:val="18"/>
          <w:szCs w:val="18"/>
          <w:color w:val="auto"/>
        </w:rPr>
        <w:t xml:space="preserve"> provides an overview; </w:t>
      </w:r>
      <w:r>
        <w:rPr>
          <w:rFonts w:ascii="Times New Roman" w:cs="Times New Roman" w:eastAsia="Times New Roman" w:hAnsi="Times New Roman"/>
          <w:sz w:val="18"/>
          <w:szCs w:val="18"/>
          <w:u w:val="single" w:color="auto"/>
          <w:color w:val="auto"/>
        </w:rPr>
        <w:t>Section II</w:t>
      </w:r>
      <w:r>
        <w:rPr>
          <w:rFonts w:ascii="Times New Roman" w:cs="Times New Roman" w:eastAsia="Times New Roman" w:hAnsi="Times New Roman"/>
          <w:sz w:val="18"/>
          <w:szCs w:val="18"/>
          <w:color w:val="auto"/>
        </w:rPr>
        <w:t xml:space="preserve"> sets forth the policies of H</w:t>
      </w:r>
      <w:r>
        <w:rPr>
          <w:rFonts w:ascii="Times New Roman" w:cs="Times New Roman" w:eastAsia="Times New Roman" w:hAnsi="Times New Roman"/>
          <w:sz w:val="14"/>
          <w:szCs w:val="14"/>
          <w:color w:val="auto"/>
        </w:rPr>
        <w:t>ELIUS</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ECHNOLOGIES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xml:space="preserve">.,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prohibiting insider trading; </w:t>
      </w:r>
      <w:r>
        <w:rPr>
          <w:rFonts w:ascii="Times New Roman" w:cs="Times New Roman" w:eastAsia="Times New Roman" w:hAnsi="Times New Roman"/>
          <w:sz w:val="18"/>
          <w:szCs w:val="18"/>
          <w:u w:val="single" w:color="auto"/>
          <w:color w:val="auto"/>
        </w:rPr>
        <w:t>Section III</w:t>
      </w:r>
      <w:r>
        <w:rPr>
          <w:rFonts w:ascii="Times New Roman" w:cs="Times New Roman" w:eastAsia="Times New Roman" w:hAnsi="Times New Roman"/>
          <w:sz w:val="18"/>
          <w:szCs w:val="18"/>
          <w:color w:val="auto"/>
        </w:rPr>
        <w:t xml:space="preserve"> explains insider trading; and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xml:space="preserve"> consists of various procedures which have been put in place by the Company to prevent insider trading.</w:t>
      </w:r>
    </w:p>
    <w:p>
      <w:pPr>
        <w:spacing w:after="0" w:line="136" w:lineRule="exact"/>
        <w:rPr>
          <w:sz w:val="20"/>
          <w:szCs w:val="20"/>
          <w:color w:val="auto"/>
        </w:rPr>
      </w:pPr>
    </w:p>
    <w:p>
      <w:pPr>
        <w:ind w:left="380"/>
        <w:spacing w:after="0"/>
        <w:tabs>
          <w:tab w:leader="none" w:pos="660" w:val="left"/>
        </w:tabs>
        <w:rPr>
          <w:sz w:val="20"/>
          <w:szCs w:val="20"/>
          <w:color w:val="auto"/>
        </w:rPr>
      </w:pPr>
      <w:r>
        <w:rPr>
          <w:rFonts w:ascii="Times New Roman" w:cs="Times New Roman" w:eastAsia="Times New Roman" w:hAnsi="Times New Roman"/>
          <w:sz w:val="19"/>
          <w:szCs w:val="19"/>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SUMMARY.</w:t>
      </w:r>
    </w:p>
    <w:p>
      <w:pPr>
        <w:spacing w:after="0" w:line="179" w:lineRule="exact"/>
        <w:rPr>
          <w:sz w:val="20"/>
          <w:szCs w:val="20"/>
          <w:color w:val="auto"/>
        </w:rPr>
      </w:pPr>
    </w:p>
    <w:p>
      <w:pPr>
        <w:jc w:val="both"/>
        <w:ind w:left="200" w:right="199" w:firstLine="609"/>
        <w:spacing w:after="0"/>
        <w:rPr>
          <w:sz w:val="20"/>
          <w:szCs w:val="20"/>
          <w:color w:val="auto"/>
        </w:rPr>
      </w:pPr>
      <w:r>
        <w:rPr>
          <w:rFonts w:ascii="Times New Roman" w:cs="Times New Roman" w:eastAsia="Times New Roman" w:hAnsi="Times New Roman"/>
          <w:sz w:val="19"/>
          <w:szCs w:val="19"/>
          <w:color w:val="auto"/>
        </w:rPr>
        <w:t xml:space="preserve">Preventing insider trading is necessary to comply with securities laws and to preserve the reputation and integrity of the Company as well as that of all persons affiliated with it. “Insider trading” occurs when any person purchases or sells a security while in possession of inside information relating to the security. As explained in </w:t>
      </w:r>
      <w:r>
        <w:rPr>
          <w:rFonts w:ascii="Times New Roman" w:cs="Times New Roman" w:eastAsia="Times New Roman" w:hAnsi="Times New Roman"/>
          <w:sz w:val="19"/>
          <w:szCs w:val="19"/>
          <w:u w:val="single" w:color="auto"/>
          <w:color w:val="auto"/>
        </w:rPr>
        <w:t>Section III</w:t>
      </w:r>
      <w:r>
        <w:rPr>
          <w:rFonts w:ascii="Times New Roman" w:cs="Times New Roman" w:eastAsia="Times New Roman" w:hAnsi="Times New Roman"/>
          <w:sz w:val="19"/>
          <w:szCs w:val="19"/>
          <w:color w:val="auto"/>
        </w:rPr>
        <w:t xml:space="preserve"> below, “inside information” is information which is considered to be both “material” and “non-public.” Insider trading is a crime and the penalties for violating the law include imprisonment, disgorgement of profits, civil fines of up to three (3) times the profit gained or loss avoided, and criminal fines of up to $5,000,000 for individuals and $25,000,000 for entities. Insider trading is also prohibited by this Policy and could result in serious sanctions, including dismissal.</w:t>
      </w:r>
    </w:p>
    <w:p>
      <w:pPr>
        <w:spacing w:after="0" w:line="171" w:lineRule="exact"/>
        <w:rPr>
          <w:sz w:val="20"/>
          <w:szCs w:val="20"/>
          <w:color w:val="auto"/>
        </w:rPr>
      </w:pPr>
    </w:p>
    <w:p>
      <w:pPr>
        <w:jc w:val="both"/>
        <w:ind w:left="200" w:right="199" w:firstLine="609"/>
        <w:spacing w:after="0" w:line="239" w:lineRule="auto"/>
        <w:rPr>
          <w:sz w:val="20"/>
          <w:szCs w:val="20"/>
          <w:color w:val="auto"/>
        </w:rPr>
      </w:pPr>
      <w:r>
        <w:rPr>
          <w:rFonts w:ascii="Times New Roman" w:cs="Times New Roman" w:eastAsia="Times New Roman" w:hAnsi="Times New Roman"/>
          <w:sz w:val="19"/>
          <w:szCs w:val="19"/>
          <w:color w:val="auto"/>
        </w:rPr>
        <w:t xml:space="preserve">This Policy applies to all officers, directors and employees of the Company and extends to all activities within and outside an individual’s duties at the Company. This Policy also applies to any consultant or contractor to the Company that receives or has access to material, non-public information regarding the Company (each such consultant or contractor, including such consultant’s or contractor’s representatives and agents, a </w:t>
      </w:r>
      <w:r>
        <w:rPr>
          <w:rFonts w:ascii="Times New Roman" w:cs="Times New Roman" w:eastAsia="Times New Roman" w:hAnsi="Times New Roman"/>
          <w:sz w:val="19"/>
          <w:szCs w:val="19"/>
          <w:b w:val="1"/>
          <w:bCs w:val="1"/>
          <w:i w:val="1"/>
          <w:iCs w:val="1"/>
          <w:color w:val="auto"/>
        </w:rPr>
        <w:t>“Subject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Contractor”</w:t>
      </w:r>
      <w:r>
        <w:rPr>
          <w:rFonts w:ascii="Times New Roman" w:cs="Times New Roman" w:eastAsia="Times New Roman" w:hAnsi="Times New Roman"/>
          <w:sz w:val="19"/>
          <w:szCs w:val="19"/>
          <w:color w:val="auto"/>
        </w:rPr>
        <w:t>). Every officer, director, employee and Subject Contractor must review and adhere to this Policy.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Company has appointed the Chief Financial Officer as the Company’s Insider Trading Compliance Officer (the </w:t>
      </w:r>
      <w:r>
        <w:rPr>
          <w:rFonts w:ascii="Times New Roman" w:cs="Times New Roman" w:eastAsia="Times New Roman" w:hAnsi="Times New Roman"/>
          <w:sz w:val="19"/>
          <w:szCs w:val="19"/>
          <w:b w:val="1"/>
          <w:bCs w:val="1"/>
          <w:i w:val="1"/>
          <w:iCs w:val="1"/>
          <w:color w:val="auto"/>
        </w:rPr>
        <w:t>“Compliance Officer”</w:t>
      </w:r>
      <w:r>
        <w:rPr>
          <w:rFonts w:ascii="Times New Roman" w:cs="Times New Roman" w:eastAsia="Times New Roman" w:hAnsi="Times New Roman"/>
          <w:sz w:val="19"/>
          <w:szCs w:val="19"/>
          <w:color w:val="auto"/>
        </w:rPr>
        <w:t>). The Audit Committee (the</w:t>
      </w:r>
      <w:r>
        <w:rPr>
          <w:rFonts w:ascii="Times New Roman" w:cs="Times New Roman" w:eastAsia="Times New Roman" w:hAnsi="Times New Roman"/>
          <w:sz w:val="19"/>
          <w:szCs w:val="19"/>
          <w:b w:val="1"/>
          <w:bCs w:val="1"/>
          <w:i w:val="1"/>
          <w:iCs w:val="1"/>
          <w:color w:val="auto"/>
        </w:rPr>
        <w:t xml:space="preserve"> “Audit Committee”</w:t>
      </w:r>
      <w:r>
        <w:rPr>
          <w:rFonts w:ascii="Times New Roman" w:cs="Times New Roman" w:eastAsia="Times New Roman" w:hAnsi="Times New Roman"/>
          <w:sz w:val="19"/>
          <w:szCs w:val="19"/>
          <w:color w:val="auto"/>
        </w:rPr>
        <w:t>) of the Board of Directors of the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is responsible for oversight of this Policy. The Compliance Officer is responsible for monitoring and updating this Policy, presenting any material updates to the Policy to the Audit Committee for approval, and providing a report, at least once annually, to the Audit Committee regarding his or her monitoring of this Policy. Questions regarding the Policy should be directed to the Compliance Officer.</w:t>
      </w:r>
    </w:p>
    <w:p>
      <w:pPr>
        <w:spacing w:after="0" w:line="169" w:lineRule="exact"/>
        <w:rPr>
          <w:sz w:val="20"/>
          <w:szCs w:val="20"/>
          <w:color w:val="auto"/>
        </w:rPr>
      </w:pPr>
    </w:p>
    <w:p>
      <w:pPr>
        <w:ind w:left="680" w:hanging="299"/>
        <w:spacing w:after="0"/>
        <w:tabs>
          <w:tab w:leader="none" w:pos="680"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STATEMENT OF POLICIES PROHIBITING INSIDER TRADING.</w:t>
      </w:r>
    </w:p>
    <w:p>
      <w:pPr>
        <w:spacing w:after="0" w:line="175" w:lineRule="exact"/>
        <w:rPr>
          <w:rFonts w:ascii="Times New Roman" w:cs="Times New Roman" w:eastAsia="Times New Roman" w:hAnsi="Times New Roman"/>
          <w:sz w:val="19"/>
          <w:szCs w:val="19"/>
          <w:b w:val="1"/>
          <w:bCs w:val="1"/>
          <w:color w:val="auto"/>
        </w:rPr>
      </w:pPr>
    </w:p>
    <w:p>
      <w:pPr>
        <w:jc w:val="both"/>
        <w:ind w:left="200" w:right="199" w:firstLine="609"/>
        <w:spacing w:after="0" w:line="27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 </w:t>
      </w:r>
      <w:r>
        <w:rPr>
          <w:rFonts w:ascii="Times New Roman" w:cs="Times New Roman" w:eastAsia="Times New Roman" w:hAnsi="Times New Roman"/>
          <w:sz w:val="16"/>
          <w:szCs w:val="16"/>
          <w:color w:val="auto"/>
        </w:rPr>
        <w:t>No officer, director, employee or Subject Contractor shall purchase or sell any type of security while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6"/>
          <w:szCs w:val="16"/>
          <w:color w:val="auto"/>
        </w:rPr>
        <w:t>possession of material, non-public information relating to the security, whether the issuer of such security is the Company or any other company.</w:t>
      </w:r>
    </w:p>
    <w:p>
      <w:pPr>
        <w:sectPr>
          <w:pgSz w:w="11900" w:h="16838" w:orient="portrait"/>
          <w:cols w:equalWidth="0" w:num="1">
            <w:col w:w="9019"/>
          </w:cols>
          <w:pgMar w:left="1440" w:top="335"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2">
            <w:col w:w="6900" w:space="720"/>
            <w:col w:w="1399"/>
          </w:cols>
          <w:pgMar w:left="1440" w:top="335" w:right="1440" w:bottom="1440" w:gutter="0" w:footer="0" w:header="0"/>
          <w:type w:val="continuous"/>
        </w:sectPr>
      </w:pPr>
    </w:p>
    <w:bookmarkStart w:id="124" w:name="page125"/>
    <w:bookmarkEnd w:id="124"/>
    <w:p>
      <w:pPr>
        <w:jc w:val="both"/>
        <w:ind w:left="200" w:right="199" w:firstLine="603"/>
        <w:spacing w:after="0" w:line="244" w:lineRule="auto"/>
        <w:tabs>
          <w:tab w:leader="none" w:pos="1418"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 xml:space="preserve">Additionally, except as set forth in </w:t>
      </w:r>
      <w:r>
        <w:rPr>
          <w:rFonts w:ascii="Times New Roman" w:cs="Times New Roman" w:eastAsia="Times New Roman" w:hAnsi="Times New Roman"/>
          <w:sz w:val="17"/>
          <w:szCs w:val="17"/>
          <w:u w:val="single" w:color="auto"/>
          <w:color w:val="auto"/>
        </w:rPr>
        <w:t>Section II.D.</w:t>
      </w:r>
      <w:r>
        <w:rPr>
          <w:rFonts w:ascii="Times New Roman" w:cs="Times New Roman" w:eastAsia="Times New Roman" w:hAnsi="Times New Roman"/>
          <w:sz w:val="17"/>
          <w:szCs w:val="17"/>
          <w:color w:val="auto"/>
        </w:rPr>
        <w:t xml:space="preserve"> below and except for transactions effected under an approved Rule 10b5-1 Trading Plan as described in </w:t>
      </w:r>
      <w:r>
        <w:rPr>
          <w:rFonts w:ascii="Times New Roman" w:cs="Times New Roman" w:eastAsia="Times New Roman" w:hAnsi="Times New Roman"/>
          <w:sz w:val="17"/>
          <w:szCs w:val="17"/>
          <w:u w:val="single" w:color="auto"/>
          <w:color w:val="auto"/>
        </w:rPr>
        <w:t>Section V</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b w:val="1"/>
          <w:bCs w:val="1"/>
          <w:color w:val="auto"/>
        </w:rPr>
        <w:t>no officer, director, employee or Subject</w:t>
      </w:r>
    </w:p>
    <w:p>
      <w:pPr>
        <w:spacing w:after="0" w:line="1" w:lineRule="exact"/>
        <w:rPr>
          <w:rFonts w:ascii="Times New Roman" w:cs="Times New Roman" w:eastAsia="Times New Roman" w:hAnsi="Times New Roman"/>
          <w:sz w:val="19"/>
          <w:szCs w:val="19"/>
          <w:b w:val="1"/>
          <w:bCs w:val="1"/>
          <w:color w:val="auto"/>
        </w:rPr>
      </w:pPr>
    </w:p>
    <w:p>
      <w:pPr>
        <w:jc w:val="both"/>
        <w:ind w:left="200" w:right="199"/>
        <w:spacing w:after="0" w:line="25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b w:val="1"/>
          <w:bCs w:val="1"/>
          <w:color w:val="auto"/>
        </w:rPr>
        <w:t xml:space="preserve">Contractor shall purchase or sell any security of the Company during the period beginning on the last “trading day” of the fiscal quarter and ending two (2) full “trading days” after the public release of the Company’s quarterly/annual report whether or not the Company or any of its officers, directors, employees or Subject Contractors is in possession of material, non-public information (the </w:t>
      </w:r>
      <w:r>
        <w:rPr>
          <w:rFonts w:ascii="Times New Roman" w:cs="Times New Roman" w:eastAsia="Times New Roman" w:hAnsi="Times New Roman"/>
          <w:sz w:val="17"/>
          <w:szCs w:val="17"/>
          <w:b w:val="1"/>
          <w:bCs w:val="1"/>
          <w:i w:val="1"/>
          <w:iCs w:val="1"/>
          <w:color w:val="auto"/>
        </w:rPr>
        <w:t>“Black-Out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purposes of this Policy, a “trading day” shall mean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 on which national stock exchanges are open for trading. The Company also encourages officers, directors, employees and Subject Contractors to consider conducting transactions in the Company’s securities only during the first 20 calendar days following the end of the Black-Out Period.</w:t>
      </w:r>
    </w:p>
    <w:p>
      <w:pPr>
        <w:spacing w:after="0" w:line="192" w:lineRule="exact"/>
        <w:rPr>
          <w:rFonts w:ascii="Times New Roman" w:cs="Times New Roman" w:eastAsia="Times New Roman" w:hAnsi="Times New Roman"/>
          <w:sz w:val="19"/>
          <w:szCs w:val="19"/>
          <w:b w:val="1"/>
          <w:bCs w:val="1"/>
          <w:color w:val="auto"/>
        </w:rPr>
      </w:pPr>
    </w:p>
    <w:p>
      <w:pPr>
        <w:jc w:val="both"/>
        <w:ind w:left="200" w:right="199" w:firstLine="603"/>
        <w:spacing w:after="0" w:line="249" w:lineRule="auto"/>
        <w:tabs>
          <w:tab w:leader="none" w:pos="1417"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No officer, director, employee or Subject Contractor shall directly or indirectly tip material, non-public information to anyone while in possession of such information. In addition, material, non-public information should not be communicated to anyone outside the Company under any circumstances (absent prior approval by the Compliance Officer and execution of an appropriate confidentiality agreement), or to anyone within the Company other than on a need-to- know basis.</w:t>
      </w:r>
    </w:p>
    <w:p>
      <w:pPr>
        <w:spacing w:after="0" w:line="194" w:lineRule="exact"/>
        <w:rPr>
          <w:rFonts w:ascii="Times New Roman" w:cs="Times New Roman" w:eastAsia="Times New Roman" w:hAnsi="Times New Roman"/>
          <w:sz w:val="19"/>
          <w:szCs w:val="19"/>
          <w:b w:val="1"/>
          <w:bCs w:val="1"/>
          <w:color w:val="auto"/>
        </w:rPr>
      </w:pPr>
    </w:p>
    <w:p>
      <w:pPr>
        <w:ind w:left="200" w:right="219" w:firstLine="603"/>
        <w:spacing w:after="0" w:line="250" w:lineRule="auto"/>
        <w:tabs>
          <w:tab w:leader="none" w:pos="1417"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 xml:space="preserve">This Policy does not apply in the case of the following transactions under Company plans, except as set forth under </w:t>
      </w:r>
      <w:r>
        <w:rPr>
          <w:rFonts w:ascii="Times New Roman" w:cs="Times New Roman" w:eastAsia="Times New Roman" w:hAnsi="Times New Roman"/>
          <w:sz w:val="17"/>
          <w:szCs w:val="17"/>
          <w:u w:val="single" w:color="auto"/>
          <w:color w:val="auto"/>
        </w:rPr>
        <w:t>Section IV.D. (Pre-Clearance)</w:t>
      </w:r>
      <w:r>
        <w:rPr>
          <w:rFonts w:ascii="Times New Roman" w:cs="Times New Roman" w:eastAsia="Times New Roman" w:hAnsi="Times New Roman"/>
          <w:sz w:val="17"/>
          <w:szCs w:val="17"/>
          <w:color w:val="auto"/>
        </w:rPr>
        <w:t xml:space="preserve"> and except as otherwise specifically noted:</w:t>
      </w:r>
    </w:p>
    <w:p>
      <w:pPr>
        <w:spacing w:after="0" w:line="178" w:lineRule="exact"/>
        <w:rPr>
          <w:rFonts w:ascii="Times New Roman" w:cs="Times New Roman" w:eastAsia="Times New Roman" w:hAnsi="Times New Roman"/>
          <w:sz w:val="19"/>
          <w:szCs w:val="19"/>
          <w:b w:val="1"/>
          <w:bCs w:val="1"/>
          <w:color w:val="auto"/>
        </w:rPr>
      </w:pPr>
    </w:p>
    <w:p>
      <w:pPr>
        <w:jc w:val="both"/>
        <w:ind w:left="2020" w:right="199" w:hanging="610"/>
        <w:spacing w:after="0" w:line="255" w:lineRule="auto"/>
        <w:tabs>
          <w:tab w:leader="none" w:pos="2020" w:val="left"/>
        </w:tabs>
        <w:numPr>
          <w:ilvl w:val="1"/>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Policy does not apply to the exercise of stock options or the vesting of restricted stock units or restricted stock, in each case granted under Company’s equity compensation plans. This Policy does apply, however, to any sale of Company Stock (as defined below) as part of a broker-assisted cashless option exercise, or any other market sale of the Company Stock received upon exercise or vesting of any equity award, whether or not for the purpose of generating the cash needed to pay the exercise price of a stock option or to pay taxes.</w:t>
      </w:r>
    </w:p>
    <w:p>
      <w:pPr>
        <w:spacing w:after="0" w:line="176" w:lineRule="exact"/>
        <w:rPr>
          <w:rFonts w:ascii="Times New Roman" w:cs="Times New Roman" w:eastAsia="Times New Roman" w:hAnsi="Times New Roman"/>
          <w:sz w:val="17"/>
          <w:szCs w:val="17"/>
          <w:b w:val="1"/>
          <w:bCs w:val="1"/>
          <w:color w:val="auto"/>
        </w:rPr>
      </w:pPr>
    </w:p>
    <w:p>
      <w:pPr>
        <w:jc w:val="both"/>
        <w:ind w:left="2020" w:right="199" w:hanging="610"/>
        <w:spacing w:after="0" w:line="255" w:lineRule="auto"/>
        <w:tabs>
          <w:tab w:leader="none" w:pos="2020" w:val="left"/>
        </w:tabs>
        <w:numPr>
          <w:ilvl w:val="1"/>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Policy does not apply to the surrender of shares directly to the Company to satisfy tax withholding obligations as a result of the issuance of shares upon vesting or exercise of restricted stock units, stock options or other equity awards granted under the Company’s equity compensation plans. Of course, any market sale of the Company Stock received upon exercise or vesting of any such equity awards remains subject to all provisions of this Policy, whether or not for the purpose of generating the cash needed to pay the exercise price or pay taxes.</w:t>
      </w:r>
    </w:p>
    <w:p>
      <w:pPr>
        <w:spacing w:after="0" w:line="168" w:lineRule="exact"/>
        <w:rPr>
          <w:rFonts w:ascii="Times New Roman" w:cs="Times New Roman" w:eastAsia="Times New Roman" w:hAnsi="Times New Roman"/>
          <w:sz w:val="17"/>
          <w:szCs w:val="17"/>
          <w:b w:val="1"/>
          <w:bCs w:val="1"/>
          <w:color w:val="auto"/>
        </w:rPr>
      </w:pPr>
    </w:p>
    <w:p>
      <w:pPr>
        <w:ind w:left="2020" w:hanging="610"/>
        <w:spacing w:after="0"/>
        <w:tabs>
          <w:tab w:leader="none" w:pos="2020" w:val="left"/>
        </w:tabs>
        <w:numPr>
          <w:ilvl w:val="1"/>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does not apply to purchases of Company Stock under any employee</w:t>
      </w:r>
    </w:p>
    <w:p>
      <w:pPr>
        <w:spacing w:after="0" w:line="21" w:lineRule="exact"/>
        <w:rPr>
          <w:sz w:val="20"/>
          <w:szCs w:val="20"/>
          <w:color w:val="auto"/>
        </w:rPr>
      </w:pPr>
    </w:p>
    <w:p>
      <w:pPr>
        <w:jc w:val="both"/>
        <w:ind w:left="2020" w:right="199"/>
        <w:spacing w:after="0" w:line="245" w:lineRule="auto"/>
        <w:rPr>
          <w:sz w:val="20"/>
          <w:szCs w:val="20"/>
          <w:color w:val="auto"/>
        </w:rPr>
      </w:pPr>
      <w:r>
        <w:rPr>
          <w:rFonts w:ascii="Times New Roman" w:cs="Times New Roman" w:eastAsia="Times New Roman" w:hAnsi="Times New Roman"/>
          <w:sz w:val="20"/>
          <w:szCs w:val="20"/>
          <w:color w:val="auto"/>
        </w:rPr>
        <w:t>stock purchase plan adopted by the Company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on periodic designated dates in accordance with the ESPP. This Policy does apply, however, to an employee’s sale of Company Stock purchased pursuant to the ESPP.</w:t>
      </w:r>
    </w:p>
    <w:p>
      <w:pPr>
        <w:spacing w:after="0" w:line="172" w:lineRule="exact"/>
        <w:rPr>
          <w:sz w:val="20"/>
          <w:szCs w:val="20"/>
          <w:color w:val="auto"/>
        </w:rPr>
      </w:pPr>
    </w:p>
    <w:p>
      <w:pPr>
        <w:jc w:val="both"/>
        <w:ind w:left="2020" w:right="199" w:hanging="610"/>
        <w:spacing w:after="0" w:line="249" w:lineRule="auto"/>
        <w:tabs>
          <w:tab w:leader="none" w:pos="2020" w:val="left"/>
        </w:tabs>
        <w:numPr>
          <w:ilvl w:val="0"/>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 xml:space="preserve">This Policy does not apply to acquisition of Company Stock on periodic designated dates in accordance with the Company’s Non-Employee Directors’ Compensation Policy (the </w:t>
      </w:r>
      <w:r>
        <w:rPr>
          <w:rFonts w:ascii="Times New Roman" w:cs="Times New Roman" w:eastAsia="Times New Roman" w:hAnsi="Times New Roman"/>
          <w:sz w:val="17"/>
          <w:szCs w:val="17"/>
          <w:b w:val="1"/>
          <w:bCs w:val="1"/>
          <w:i w:val="1"/>
          <w:iCs w:val="1"/>
          <w:color w:val="auto"/>
        </w:rPr>
        <w:t>“Directors’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Compensation Policy”</w:t>
      </w:r>
      <w:r>
        <w:rPr>
          <w:rFonts w:ascii="Times New Roman" w:cs="Times New Roman" w:eastAsia="Times New Roman" w:hAnsi="Times New Roman"/>
          <w:sz w:val="17"/>
          <w:szCs w:val="17"/>
          <w:color w:val="auto"/>
        </w:rPr>
        <w:t>). This Policy does apply, however, to a director’s election to receive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Stock in lieu of cash compensation under the Directors’ Compensation Policy. Accordingly, such elections may not be effected during a Black-Out Period or when a director is otherwise in possession of material, non- public information relating to the Company or any of its securities.</w:t>
      </w:r>
    </w:p>
    <w:p>
      <w:pPr>
        <w:sectPr>
          <w:pgSz w:w="11900" w:h="16838" w:orient="portrait"/>
          <w:cols w:equalWidth="0" w:num="1">
            <w:col w:w="9019"/>
          </w:cols>
          <w:pgMar w:left="1440" w:top="555" w:right="1440" w:bottom="1440" w:gutter="0" w:footer="0" w:header="0"/>
        </w:sectPr>
      </w:pP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56318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2">
            <w:col w:w="6900" w:space="720"/>
            <w:col w:w="1399"/>
          </w:cols>
          <w:pgMar w:left="1440" w:top="555" w:right="1440" w:bottom="1440" w:gutter="0" w:footer="0" w:header="0"/>
          <w:type w:val="continuous"/>
        </w:sectPr>
      </w:pPr>
    </w:p>
    <w:bookmarkStart w:id="125" w:name="page126"/>
    <w:bookmarkEnd w:id="125"/>
    <w:p>
      <w:pPr>
        <w:ind w:left="380"/>
        <w:spacing w:after="0"/>
        <w:rPr>
          <w:sz w:val="20"/>
          <w:szCs w:val="20"/>
          <w:color w:val="auto"/>
        </w:rPr>
      </w:pPr>
      <w:r>
        <w:rPr>
          <w:rFonts w:ascii="Times New Roman" w:cs="Times New Roman" w:eastAsia="Times New Roman" w:hAnsi="Times New Roman"/>
          <w:sz w:val="19"/>
          <w:szCs w:val="19"/>
          <w:b w:val="1"/>
          <w:bCs w:val="1"/>
          <w:color w:val="auto"/>
        </w:rPr>
        <w:t>III. EXPLANATION OF INSIDER TRADING.</w:t>
      </w:r>
    </w:p>
    <w:p>
      <w:pPr>
        <w:spacing w:after="0" w:line="205" w:lineRule="exact"/>
        <w:rPr>
          <w:sz w:val="20"/>
          <w:szCs w:val="20"/>
          <w:color w:val="auto"/>
        </w:rPr>
      </w:pPr>
    </w:p>
    <w:p>
      <w:pPr>
        <w:jc w:val="both"/>
        <w:ind w:left="200" w:right="199" w:firstLine="609"/>
        <w:spacing w:after="0"/>
        <w:rPr>
          <w:sz w:val="20"/>
          <w:szCs w:val="20"/>
          <w:color w:val="auto"/>
        </w:rPr>
      </w:pPr>
      <w:r>
        <w:rPr>
          <w:rFonts w:ascii="Times New Roman" w:cs="Times New Roman" w:eastAsia="Times New Roman" w:hAnsi="Times New Roman"/>
          <w:sz w:val="19"/>
          <w:szCs w:val="19"/>
          <w:color w:val="auto"/>
        </w:rPr>
        <w:t>As noted above, “insider trading” refers to the purchase or sale of a security while in possession of “material,” “non-public” information relating to the security. “Securities” include not only stocks, bonds, notes and debentures, but also stock options, warrants and similar instruments. “Purchase” and “sale” are defined broadly under the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grant and exercise of stock options and acquisitions and exercises of warrants or puts, calls or other options related to a security. It is generally understood that insider trading includes the following:</w:t>
      </w:r>
    </w:p>
    <w:p>
      <w:pPr>
        <w:spacing w:after="0" w:line="185" w:lineRule="exact"/>
        <w:rPr>
          <w:sz w:val="20"/>
          <w:szCs w:val="20"/>
          <w:color w:val="auto"/>
        </w:rPr>
      </w:pPr>
    </w:p>
    <w:p>
      <w:pPr>
        <w:ind w:left="1420" w:hanging="620"/>
        <w:spacing w:after="0"/>
        <w:tabs>
          <w:tab w:leader="none" w:pos="142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Trading by insiders while in possession of material, non-public information;</w:t>
      </w:r>
    </w:p>
    <w:p>
      <w:pPr>
        <w:spacing w:after="0" w:line="200" w:lineRule="exact"/>
        <w:rPr>
          <w:rFonts w:ascii="Times New Roman" w:cs="Times New Roman" w:eastAsia="Times New Roman" w:hAnsi="Times New Roman"/>
          <w:sz w:val="19"/>
          <w:szCs w:val="19"/>
          <w:color w:val="auto"/>
        </w:rPr>
      </w:pPr>
    </w:p>
    <w:p>
      <w:pPr>
        <w:jc w:val="both"/>
        <w:ind w:left="1420" w:right="199" w:hanging="620"/>
        <w:spacing w:after="0" w:line="249" w:lineRule="auto"/>
        <w:tabs>
          <w:tab w:leader="none" w:pos="142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180" w:lineRule="exact"/>
        <w:rPr>
          <w:rFonts w:ascii="Times New Roman" w:cs="Times New Roman" w:eastAsia="Times New Roman" w:hAnsi="Times New Roman"/>
          <w:sz w:val="19"/>
          <w:szCs w:val="19"/>
          <w:color w:val="auto"/>
        </w:rPr>
      </w:pPr>
    </w:p>
    <w:p>
      <w:pPr>
        <w:ind w:left="1420" w:right="219" w:hanging="620"/>
        <w:spacing w:after="0" w:line="250" w:lineRule="auto"/>
        <w:tabs>
          <w:tab w:leader="none" w:pos="142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Communicating or tipping material, non-public information to others, including recommending the purchase or sale of a security while in possession of such information.</w:t>
      </w:r>
    </w:p>
    <w:p>
      <w:pPr>
        <w:spacing w:after="0" w:line="170" w:lineRule="exact"/>
        <w:rPr>
          <w:rFonts w:ascii="Times New Roman" w:cs="Times New Roman" w:eastAsia="Times New Roman" w:hAnsi="Times New Roman"/>
          <w:sz w:val="19"/>
          <w:szCs w:val="19"/>
          <w:color w:val="auto"/>
        </w:rPr>
      </w:pPr>
    </w:p>
    <w:p>
      <w:pPr>
        <w:ind w:left="1420" w:hanging="315"/>
        <w:spacing w:after="0"/>
        <w:tabs>
          <w:tab w:leader="none" w:pos="1420" w:val="left"/>
        </w:tabs>
        <w:numPr>
          <w:ilvl w:val="1"/>
          <w:numId w:val="1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2"/>
          <w:szCs w:val="12"/>
          <w:b w:val="1"/>
          <w:bCs w:val="1"/>
          <w:color w:val="auto"/>
        </w:rPr>
        <w:t>hat</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2"/>
          <w:szCs w:val="12"/>
          <w:b w:val="1"/>
          <w:bCs w:val="1"/>
          <w:color w:val="auto"/>
        </w:rPr>
        <w:t>acts are</w:t>
      </w:r>
      <w:r>
        <w:rPr>
          <w:rFonts w:ascii="Times New Roman" w:cs="Times New Roman" w:eastAsia="Times New Roman" w:hAnsi="Times New Roman"/>
          <w:sz w:val="19"/>
          <w:szCs w:val="19"/>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43" w:lineRule="auto"/>
        <w:rPr>
          <w:sz w:val="20"/>
          <w:szCs w:val="20"/>
          <w:color w:val="auto"/>
        </w:rPr>
      </w:pPr>
      <w:r>
        <w:rPr>
          <w:rFonts w:ascii="Times New Roman" w:cs="Times New Roman" w:eastAsia="Times New Roman" w:hAnsi="Times New Roman"/>
          <w:sz w:val="19"/>
          <w:szCs w:val="19"/>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177" w:lineRule="exact"/>
        <w:rPr>
          <w:sz w:val="20"/>
          <w:szCs w:val="20"/>
          <w:color w:val="auto"/>
        </w:rPr>
      </w:pPr>
    </w:p>
    <w:p>
      <w:pPr>
        <w:jc w:val="both"/>
        <w:ind w:left="200" w:right="199" w:firstLine="609"/>
        <w:spacing w:after="0" w:line="242" w:lineRule="auto"/>
        <w:rPr>
          <w:sz w:val="20"/>
          <w:szCs w:val="20"/>
          <w:color w:val="auto"/>
        </w:rPr>
      </w:pPr>
      <w:r>
        <w:rPr>
          <w:rFonts w:ascii="Times New Roman" w:cs="Times New Roman" w:eastAsia="Times New Roman" w:hAnsi="Times New Roman"/>
          <w:sz w:val="19"/>
          <w:szCs w:val="19"/>
          <w:color w:val="auto"/>
        </w:rPr>
        <w:t>Examples of material information include (but are not limited to) facts concerning: dividends; corporate earnings or earnings forecasts; possible mergers or acquisitions; significant developments in borrowings or financings; information concerning product developments or clinical results; important business developments and major litigation developments. Moreover, material information does not have to be related to a company’s business. For example, the contents of a forthcoming newspaper column that is expected to affect the market price of a security can be material.</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 xml:space="preserve">A good general rule of thumb: </w:t>
      </w:r>
      <w:r>
        <w:rPr>
          <w:rFonts w:ascii="Times New Roman" w:cs="Times New Roman" w:eastAsia="Times New Roman" w:hAnsi="Times New Roman"/>
          <w:sz w:val="17"/>
          <w:szCs w:val="17"/>
          <w:b w:val="1"/>
          <w:bCs w:val="1"/>
          <w:color w:val="auto"/>
        </w:rPr>
        <w:t>when in doubt, do not trade.</w:t>
      </w:r>
    </w:p>
    <w:p>
      <w:pPr>
        <w:spacing w:after="0" w:line="207" w:lineRule="exact"/>
        <w:rPr>
          <w:sz w:val="20"/>
          <w:szCs w:val="20"/>
          <w:color w:val="auto"/>
        </w:rPr>
      </w:pPr>
    </w:p>
    <w:p>
      <w:pPr>
        <w:ind w:left="1420" w:hanging="315"/>
        <w:spacing w:after="0"/>
        <w:tabs>
          <w:tab w:leader="none" w:pos="1420" w:val="left"/>
        </w:tabs>
        <w:numPr>
          <w:ilvl w:val="0"/>
          <w:numId w:val="1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2"/>
          <w:szCs w:val="12"/>
          <w:b w:val="1"/>
          <w:bCs w:val="1"/>
          <w:color w:val="auto"/>
        </w:rPr>
        <w:t>hat is</w:t>
      </w:r>
      <w:r>
        <w:rPr>
          <w:rFonts w:ascii="Times New Roman" w:cs="Times New Roman" w:eastAsia="Times New Roman" w:hAnsi="Times New Roman"/>
          <w:sz w:val="19"/>
          <w:szCs w:val="19"/>
          <w:b w:val="1"/>
          <w:bCs w:val="1"/>
          <w:color w:val="auto"/>
        </w:rPr>
        <w:t xml:space="preserve">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42" w:lineRule="auto"/>
        <w:rPr>
          <w:sz w:val="20"/>
          <w:szCs w:val="20"/>
          <w:color w:val="auto"/>
        </w:rPr>
      </w:pPr>
      <w:r>
        <w:rPr>
          <w:rFonts w:ascii="Times New Roman" w:cs="Times New Roman" w:eastAsia="Times New Roman" w:hAnsi="Times New Roman"/>
          <w:sz w:val="19"/>
          <w:szCs w:val="19"/>
          <w:color w:val="auto"/>
        </w:rPr>
        <w:t xml:space="preserve">Information is “non-public” if it is not available to the general public. In order for information to be considered public, it must be widely disseminated in a manner making it generally available to investors through such media as Dow Jones, Reuters, The Wall Street Journal, Business Wire, Globe Newswire, Associated Press, PR Newswire or United Press International or filed with the United States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The circulation of rumors, even if accurate and reported in the media, does not constitute effective public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dissemination.</w:t>
      </w:r>
    </w:p>
    <w:p>
      <w:pPr>
        <w:spacing w:after="0" w:line="178" w:lineRule="exact"/>
        <w:rPr>
          <w:sz w:val="20"/>
          <w:szCs w:val="20"/>
          <w:color w:val="auto"/>
        </w:rPr>
      </w:pPr>
    </w:p>
    <w:p>
      <w:pPr>
        <w:jc w:val="both"/>
        <w:ind w:left="200" w:right="199" w:firstLine="609"/>
        <w:spacing w:after="0" w:line="263" w:lineRule="auto"/>
        <w:rPr>
          <w:sz w:val="20"/>
          <w:szCs w:val="20"/>
          <w:color w:val="auto"/>
        </w:rPr>
      </w:pPr>
      <w:r>
        <w:rPr>
          <w:rFonts w:ascii="Times New Roman" w:cs="Times New Roman" w:eastAsia="Times New Roman" w:hAnsi="Times New Roman"/>
          <w:sz w:val="19"/>
          <w:szCs w:val="19"/>
          <w:color w:val="auto"/>
        </w:rPr>
        <w:t>In addition, even after a public announcement, a reasonable period of time must lapse in order for the market to react to the information. Generally, one should allow approximately twenty-four (24) hours</w:t>
      </w:r>
    </w:p>
    <w:p>
      <w:pPr>
        <w:sectPr>
          <w:pgSz w:w="11900" w:h="16838" w:orient="portrait"/>
          <w:cols w:equalWidth="0" w:num="1">
            <w:col w:w="9019"/>
          </w:cols>
          <w:pgMar w:left="1440" w:top="394" w:right="1440" w:bottom="1440" w:gutter="0" w:footer="0" w:header="0"/>
        </w:sectPr>
      </w:pP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2">
            <w:col w:w="6900" w:space="720"/>
            <w:col w:w="1399"/>
          </w:cols>
          <w:pgMar w:left="1440" w:top="394" w:right="1440" w:bottom="1440" w:gutter="0" w:footer="0" w:header="0"/>
          <w:type w:val="continuous"/>
        </w:sectPr>
      </w:pPr>
    </w:p>
    <w:bookmarkStart w:id="126" w:name="page127"/>
    <w:bookmarkEnd w:id="126"/>
    <w:p>
      <w:pPr>
        <w:ind w:left="200"/>
        <w:spacing w:after="0"/>
        <w:rPr>
          <w:sz w:val="20"/>
          <w:szCs w:val="20"/>
          <w:color w:val="auto"/>
        </w:rPr>
      </w:pPr>
      <w:r>
        <w:rPr>
          <w:rFonts w:ascii="Times New Roman" w:cs="Times New Roman" w:eastAsia="Times New Roman" w:hAnsi="Times New Roman"/>
          <w:sz w:val="18"/>
          <w:szCs w:val="18"/>
          <w:color w:val="auto"/>
        </w:rPr>
        <w:t>following publication as a reasonable waiting period before such information is deemed to be public.</w:t>
      </w:r>
    </w:p>
    <w:p>
      <w:pPr>
        <w:sectPr>
          <w:pgSz w:w="11900" w:h="16838" w:orient="portrait"/>
          <w:cols w:equalWidth="0" w:num="1">
            <w:col w:w="9019"/>
          </w:cols>
          <w:pgMar w:left="1440" w:top="335" w:right="1440" w:bottom="1440" w:gutter="0" w:footer="0" w:header="0"/>
        </w:sectPr>
      </w:pPr>
    </w:p>
    <w:p>
      <w:pPr>
        <w:spacing w:after="0" w:line="2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2">
            <w:col w:w="6900" w:space="720"/>
            <w:col w:w="1399"/>
          </w:cols>
          <w:pgMar w:left="1440" w:top="335" w:right="1440" w:bottom="1440" w:gutter="0" w:footer="0" w:header="0"/>
          <w:type w:val="continuous"/>
        </w:sectPr>
      </w:pPr>
    </w:p>
    <w:bookmarkStart w:id="127" w:name="page128"/>
    <w:bookmarkEnd w:id="127"/>
    <w:p>
      <w:pPr>
        <w:ind w:left="1420" w:hanging="315"/>
        <w:spacing w:after="0"/>
        <w:tabs>
          <w:tab w:leader="none" w:pos="1420" w:val="left"/>
        </w:tabs>
        <w:numPr>
          <w:ilvl w:val="0"/>
          <w:numId w:val="1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2"/>
          <w:szCs w:val="12"/>
          <w:b w:val="1"/>
          <w:bCs w:val="1"/>
          <w:color w:val="auto"/>
        </w:rPr>
        <w:t>ho is an</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rPr>
          <w:sz w:val="20"/>
          <w:szCs w:val="20"/>
          <w:color w:val="auto"/>
        </w:rPr>
      </w:pPr>
      <w:r>
        <w:rPr>
          <w:rFonts w:ascii="Times New Roman" w:cs="Times New Roman" w:eastAsia="Times New Roman" w:hAnsi="Times New Roman"/>
          <w:sz w:val="19"/>
          <w:szCs w:val="19"/>
          <w:color w:val="auto"/>
        </w:rPr>
        <w:t>“Insiders” include officers, directors and employees of a company and anyone else who has material inside information about a company, including Subject Contractors. Insiders have independent fiduciary duties to their company and its stockholders not to trade on material, non- public information relating to the company’s securities. All officers, directors, employees and Subject Contractors of the Company should consider themselves insiders with respect to material, non-public information about the Company’s business, activities and securities. Officers, directors, employees and Subject Contractors may not trade the Company’s securities while in possession of material, non-public information relating to the Company nor tip (or communicate except on a need-to-know basis) such information to others.</w:t>
      </w:r>
    </w:p>
    <w:p>
      <w:pPr>
        <w:spacing w:after="0" w:line="183" w:lineRule="exact"/>
        <w:rPr>
          <w:sz w:val="20"/>
          <w:szCs w:val="20"/>
          <w:color w:val="auto"/>
        </w:rPr>
      </w:pPr>
    </w:p>
    <w:p>
      <w:pPr>
        <w:jc w:val="both"/>
        <w:ind w:left="200" w:right="219" w:firstLine="609"/>
        <w:spacing w:after="0" w:line="263" w:lineRule="auto"/>
        <w:rPr>
          <w:sz w:val="20"/>
          <w:szCs w:val="20"/>
          <w:color w:val="auto"/>
        </w:rPr>
      </w:pPr>
      <w:r>
        <w:rPr>
          <w:rFonts w:ascii="Times New Roman" w:cs="Times New Roman" w:eastAsia="Times New Roman" w:hAnsi="Times New Roman"/>
          <w:sz w:val="19"/>
          <w:szCs w:val="19"/>
          <w:color w:val="auto"/>
        </w:rPr>
        <w:t>It should be noted that trading by members of an insider’s household can be the responsibility of such insider under certain circumstances and could give rise to legal and Company-imposed sanctions.</w:t>
      </w:r>
    </w:p>
    <w:p>
      <w:pPr>
        <w:spacing w:after="0" w:line="152" w:lineRule="exact"/>
        <w:rPr>
          <w:sz w:val="20"/>
          <w:szCs w:val="20"/>
          <w:color w:val="auto"/>
        </w:rPr>
      </w:pPr>
    </w:p>
    <w:p>
      <w:pPr>
        <w:ind w:left="1420" w:hanging="315"/>
        <w:spacing w:after="0"/>
        <w:tabs>
          <w:tab w:leader="none" w:pos="1420" w:val="left"/>
        </w:tabs>
        <w:numPr>
          <w:ilvl w:val="0"/>
          <w:numId w:val="1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2"/>
          <w:szCs w:val="12"/>
          <w:b w:val="1"/>
          <w:bCs w:val="1"/>
          <w:color w:val="auto"/>
        </w:rPr>
        <w:t>rading by</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2"/>
          <w:szCs w:val="12"/>
          <w:b w:val="1"/>
          <w:bCs w:val="1"/>
          <w:color w:val="auto"/>
        </w:rPr>
        <w:t>ther than</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2"/>
          <w:szCs w:val="12"/>
          <w:b w:val="1"/>
          <w:bCs w:val="1"/>
          <w:color w:val="auto"/>
        </w:rPr>
        <w:t>nsiders</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 xml:space="preserve">Insiders may be liable for communicating or tipping material, non-public information to a third party (a </w:t>
      </w:r>
      <w:r>
        <w:rPr>
          <w:rFonts w:ascii="Times New Roman" w:cs="Times New Roman" w:eastAsia="Times New Roman" w:hAnsi="Times New Roman"/>
          <w:sz w:val="19"/>
          <w:szCs w:val="19"/>
          <w:b w:val="1"/>
          <w:bCs w:val="1"/>
          <w:i w:val="1"/>
          <w:iCs w:val="1"/>
          <w:color w:val="auto"/>
        </w:rPr>
        <w:t>“tippee”</w:t>
      </w:r>
      <w:r>
        <w:rPr>
          <w:rFonts w:ascii="Times New Roman" w:cs="Times New Roman" w:eastAsia="Times New Roman" w:hAnsi="Times New Roman"/>
          <w:sz w:val="19"/>
          <w:szCs w:val="19"/>
          <w:color w:val="auto"/>
        </w:rPr>
        <w:t>), and insider trading violations are not limited to trading or tipping by insiders. Persons 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insiders also can be liable for insider trading, including tippees who trade on material, non- public information tipped to them or individuals who trade on material, non- public information which has been misappropriated.</w:t>
      </w:r>
    </w:p>
    <w:p>
      <w:pPr>
        <w:spacing w:after="0" w:line="175" w:lineRule="exact"/>
        <w:rPr>
          <w:sz w:val="20"/>
          <w:szCs w:val="20"/>
          <w:color w:val="auto"/>
        </w:rPr>
      </w:pPr>
    </w:p>
    <w:p>
      <w:pPr>
        <w:jc w:val="both"/>
        <w:ind w:left="200" w:right="199" w:firstLine="609"/>
        <w:spacing w:after="0" w:line="243" w:lineRule="auto"/>
        <w:rPr>
          <w:sz w:val="20"/>
          <w:szCs w:val="20"/>
          <w:color w:val="auto"/>
        </w:rPr>
      </w:pPr>
      <w:r>
        <w:rPr>
          <w:rFonts w:ascii="Times New Roman" w:cs="Times New Roman" w:eastAsia="Times New Roman" w:hAnsi="Times New Roman"/>
          <w:sz w:val="19"/>
          <w:szCs w:val="19"/>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6" w:lineRule="exact"/>
        <w:rPr>
          <w:sz w:val="20"/>
          <w:szCs w:val="20"/>
          <w:color w:val="auto"/>
        </w:rPr>
      </w:pPr>
    </w:p>
    <w:p>
      <w:pPr>
        <w:ind w:left="1420" w:hanging="315"/>
        <w:spacing w:after="0"/>
        <w:tabs>
          <w:tab w:leader="none" w:pos="1420" w:val="left"/>
        </w:tabs>
        <w:numPr>
          <w:ilvl w:val="0"/>
          <w:numId w:val="1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enalties for</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2"/>
          <w:szCs w:val="12"/>
          <w:b w:val="1"/>
          <w:bCs w:val="1"/>
          <w:color w:val="auto"/>
        </w:rPr>
        <w:t>ngaging in</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43" w:lineRule="auto"/>
        <w:rPr>
          <w:sz w:val="20"/>
          <w:szCs w:val="20"/>
          <w:color w:val="auto"/>
        </w:rPr>
      </w:pPr>
      <w:r>
        <w:rPr>
          <w:rFonts w:ascii="Times New Roman" w:cs="Times New Roman" w:eastAsia="Times New Roman" w:hAnsi="Times New Roman"/>
          <w:sz w:val="19"/>
          <w:szCs w:val="19"/>
          <w:color w:val="auto"/>
        </w:rPr>
        <w:t>Penalties for trading on or tipping material, non-public information can extend significantly beyond any profits made or losses avoided, both for individuals engaging in such unlawful conduct and their employers. The SEC and the Department of Justice have made the civil and criminal prosecution of insider trading violations a top priority. Enforcement remedies available to the government or private plaintiffs under the federal securities laws include:</w:t>
      </w:r>
    </w:p>
    <w:p>
      <w:pPr>
        <w:spacing w:after="0" w:line="182" w:lineRule="exact"/>
        <w:rPr>
          <w:sz w:val="20"/>
          <w:szCs w:val="20"/>
          <w:color w:val="auto"/>
        </w:rPr>
      </w:pPr>
    </w:p>
    <w:p>
      <w:pPr>
        <w:ind w:left="1420" w:hanging="620"/>
        <w:spacing w:after="0"/>
        <w:tabs>
          <w:tab w:leader="none" w:pos="142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SEC administrative sanctions;</w:t>
      </w:r>
    </w:p>
    <w:p>
      <w:pPr>
        <w:spacing w:after="0" w:line="20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Securities industry self-regulatory organization sanctions;</w:t>
      </w:r>
    </w:p>
    <w:p>
      <w:pPr>
        <w:spacing w:after="0" w:line="20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Civil injunctions;</w:t>
      </w:r>
    </w:p>
    <w:p>
      <w:pPr>
        <w:spacing w:after="0" w:line="20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Damage awards to private plaintiffs;</w:t>
      </w:r>
    </w:p>
    <w:p>
      <w:pPr>
        <w:spacing w:after="0" w:line="188"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Disgorgement of all profits;</w:t>
      </w:r>
    </w:p>
    <w:p>
      <w:pPr>
        <w:spacing w:after="0" w:line="20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Civil fines for the violator of up to three (3) times the amount of profit gained or loss avoided;</w:t>
      </w:r>
    </w:p>
    <w:p>
      <w:pPr>
        <w:sectPr>
          <w:pgSz w:w="11900" w:h="16838" w:orient="portrait"/>
          <w:cols w:equalWidth="0" w:num="1">
            <w:col w:w="9019"/>
          </w:cols>
          <w:pgMar w:left="1440" w:top="394" w:right="1440" w:bottom="1440" w:gutter="0" w:footer="0" w:header="0"/>
        </w:sectPr>
      </w:pP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2">
            <w:col w:w="6900" w:space="720"/>
            <w:col w:w="1399"/>
          </w:cols>
          <w:pgMar w:left="1440" w:top="394" w:right="1440" w:bottom="1440" w:gutter="0" w:footer="0" w:header="0"/>
          <w:type w:val="continuous"/>
        </w:sectPr>
      </w:pPr>
    </w:p>
    <w:bookmarkStart w:id="128" w:name="page129"/>
    <w:bookmarkEnd w:id="128"/>
    <w:p>
      <w:pPr>
        <w:jc w:val="both"/>
        <w:ind w:left="1420" w:right="199" w:hanging="620"/>
        <w:spacing w:after="0" w:line="249" w:lineRule="auto"/>
        <w:tabs>
          <w:tab w:leader="none" w:pos="142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Civil fines for the employer or other controlling person of a violator (i.e., where the violator is an employee or other controlled person) of up to the greater of $1,000,000 or three (3) times the amount of profit gained or loss avoided by the violator;</w:t>
      </w:r>
    </w:p>
    <w:p>
      <w:pPr>
        <w:spacing w:after="0" w:line="18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Criminal fines for individual violators of up to $5,000,000 ($25,000,000 for an entity); and</w:t>
      </w:r>
    </w:p>
    <w:p>
      <w:pPr>
        <w:spacing w:after="0" w:line="20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Jail sentences of up to twenty (20) years.</w:t>
      </w:r>
    </w:p>
    <w:p>
      <w:pPr>
        <w:spacing w:after="0" w:line="196"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also may be violated upon the occurrence of insider trading.</w:t>
      </w:r>
    </w:p>
    <w:p>
      <w:pPr>
        <w:spacing w:after="0" w:line="171" w:lineRule="exact"/>
        <w:rPr>
          <w:sz w:val="20"/>
          <w:szCs w:val="20"/>
          <w:color w:val="auto"/>
        </w:rPr>
      </w:pPr>
    </w:p>
    <w:p>
      <w:pPr>
        <w:ind w:left="1420" w:hanging="315"/>
        <w:spacing w:after="0"/>
        <w:tabs>
          <w:tab w:leader="none" w:pos="1420" w:val="left"/>
        </w:tabs>
        <w:numPr>
          <w:ilvl w:val="0"/>
          <w:numId w:val="1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2"/>
          <w:szCs w:val="12"/>
          <w:b w:val="1"/>
          <w:bCs w:val="1"/>
          <w:color w:val="auto"/>
        </w:rPr>
        <w:t>xamples of</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42" w:lineRule="auto"/>
        <w:rPr>
          <w:sz w:val="20"/>
          <w:szCs w:val="20"/>
          <w:color w:val="auto"/>
        </w:rPr>
      </w:pPr>
      <w:r>
        <w:rPr>
          <w:rFonts w:ascii="Times New Roman" w:cs="Times New Roman" w:eastAsia="Times New Roman" w:hAnsi="Times New Roman"/>
          <w:sz w:val="19"/>
          <w:szCs w:val="19"/>
          <w:color w:val="auto"/>
        </w:rPr>
        <w:t>Examples of insider trading cases include actions brought against: corporate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78"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The following are illustrations of insider trading violations. These illustrations are hypothetical and are not comprehensive, and, consequently, are not intended to reflect the actual activities or business of the Company or any other entity.</w:t>
      </w:r>
    </w:p>
    <w:p>
      <w:pPr>
        <w:spacing w:after="0" w:line="1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b w:val="1"/>
          <w:bCs w:val="1"/>
          <w:color w:val="auto"/>
        </w:rPr>
        <w:t>Trading by Insider</w:t>
      </w:r>
    </w:p>
    <w:p>
      <w:pPr>
        <w:spacing w:after="0" w:line="205" w:lineRule="exact"/>
        <w:rPr>
          <w:sz w:val="20"/>
          <w:szCs w:val="20"/>
          <w:color w:val="auto"/>
        </w:rPr>
      </w:pPr>
    </w:p>
    <w:p>
      <w:pPr>
        <w:jc w:val="both"/>
        <w:ind w:left="800" w:right="199"/>
        <w:spacing w:after="0" w:line="242" w:lineRule="auto"/>
        <w:rPr>
          <w:sz w:val="20"/>
          <w:szCs w:val="20"/>
          <w:color w:val="auto"/>
        </w:rPr>
      </w:pPr>
      <w:r>
        <w:rPr>
          <w:rFonts w:ascii="Times New Roman" w:cs="Times New Roman" w:eastAsia="Times New Roman" w:hAnsi="Times New Roman"/>
          <w:sz w:val="19"/>
          <w:szCs w:val="19"/>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(3) times the amount of all profits. The officer also is subject to, among other things, criminal prosecution, including up to $5,000,000 in additional fines and twenty (20) years in jail. Depending upon the circumstances, X Corporation and the individual to whom the officer reports also could be liable as controlling persons.</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b w:val="1"/>
          <w:bCs w:val="1"/>
          <w:color w:val="auto"/>
        </w:rPr>
        <w:t>Trading by Tippee</w:t>
      </w:r>
    </w:p>
    <w:p>
      <w:pPr>
        <w:spacing w:after="0" w:line="205" w:lineRule="exact"/>
        <w:rPr>
          <w:sz w:val="20"/>
          <w:szCs w:val="20"/>
          <w:color w:val="auto"/>
        </w:rPr>
      </w:pPr>
    </w:p>
    <w:p>
      <w:pPr>
        <w:jc w:val="both"/>
        <w:ind w:left="800" w:right="199"/>
        <w:spacing w:after="0" w:line="242" w:lineRule="auto"/>
        <w:rPr>
          <w:sz w:val="20"/>
          <w:szCs w:val="20"/>
          <w:color w:val="auto"/>
        </w:rPr>
      </w:pPr>
      <w:r>
        <w:rPr>
          <w:rFonts w:ascii="Times New Roman" w:cs="Times New Roman" w:eastAsia="Times New Roman" w:hAnsi="Times New Roman"/>
          <w:sz w:val="19"/>
          <w:szCs w:val="19"/>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penalties of up to three (3) times the amount of the friend’s profits. In addition, the officer and his friend are subject to, among other things, criminal prosecution, as described above.</w:t>
      </w:r>
    </w:p>
    <w:p>
      <w:pPr>
        <w:sectPr>
          <w:pgSz w:w="11900" w:h="16838" w:orient="portrait"/>
          <w:cols w:equalWidth="0" w:num="1">
            <w:col w:w="9019"/>
          </w:cols>
          <w:pgMar w:left="1440" w:top="403" w:right="1440" w:bottom="1440" w:gutter="0" w:footer="0" w:header="0"/>
        </w:sectPr>
      </w:pP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2">
            <w:col w:w="6900" w:space="720"/>
            <w:col w:w="1399"/>
          </w:cols>
          <w:pgMar w:left="1440" w:top="403" w:right="1440" w:bottom="1440" w:gutter="0" w:footer="0" w:header="0"/>
          <w:type w:val="continuous"/>
        </w:sectPr>
      </w:pPr>
    </w:p>
    <w:bookmarkStart w:id="129" w:name="page130"/>
    <w:bookmarkEnd w:id="129"/>
    <w:p>
      <w:pPr>
        <w:ind w:left="1420" w:hanging="315"/>
        <w:spacing w:after="0"/>
        <w:tabs>
          <w:tab w:leader="none" w:pos="1420" w:val="left"/>
        </w:tabs>
        <w:numPr>
          <w:ilvl w:val="0"/>
          <w:numId w:val="1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2"/>
          <w:szCs w:val="12"/>
          <w:b w:val="1"/>
          <w:bCs w:val="1"/>
          <w:color w:val="auto"/>
        </w:rPr>
        <w:t>eporting</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2"/>
          <w:szCs w:val="12"/>
          <w:b w:val="1"/>
          <w:bCs w:val="1"/>
          <w:color w:val="auto"/>
        </w:rPr>
        <w:t>equirements</w:t>
      </w:r>
      <w:r>
        <w:rPr>
          <w:rFonts w:ascii="Times New Roman" w:cs="Times New Roman" w:eastAsia="Times New Roman" w:hAnsi="Times New Roman"/>
          <w:sz w:val="19"/>
          <w:szCs w:val="19"/>
          <w:b w:val="1"/>
          <w:bCs w:val="1"/>
          <w:color w:val="auto"/>
        </w:rPr>
        <w:t>, 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2"/>
          <w:szCs w:val="12"/>
          <w:b w:val="1"/>
          <w:bCs w:val="1"/>
          <w:color w:val="auto"/>
        </w:rPr>
        <w:t>wing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rofits and</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ales</w:t>
      </w:r>
      <w:r>
        <w:rPr>
          <w:rFonts w:ascii="Times New Roman" w:cs="Times New Roman" w:eastAsia="Times New Roman" w:hAnsi="Times New Roman"/>
          <w:sz w:val="19"/>
          <w:szCs w:val="19"/>
          <w:b w:val="1"/>
          <w:bCs w:val="1"/>
          <w:color w:val="auto"/>
        </w:rPr>
        <w:t>.</w:t>
      </w:r>
    </w:p>
    <w:p>
      <w:pPr>
        <w:spacing w:after="0" w:line="213" w:lineRule="exact"/>
        <w:rPr>
          <w:rFonts w:ascii="Times New Roman" w:cs="Times New Roman" w:eastAsia="Times New Roman" w:hAnsi="Times New Roman"/>
          <w:sz w:val="19"/>
          <w:szCs w:val="19"/>
          <w:b w:val="1"/>
          <w:bCs w:val="1"/>
          <w:color w:val="auto"/>
        </w:rPr>
      </w:pPr>
    </w:p>
    <w:p>
      <w:pPr>
        <w:ind w:left="14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w:t>
      </w:r>
      <w:r>
        <w:rPr>
          <w:rFonts w:ascii="Times New Roman" w:cs="Times New Roman" w:eastAsia="Times New Roman" w:hAnsi="Times New Roman"/>
          <w:sz w:val="16"/>
          <w:szCs w:val="16"/>
          <w:b w:val="1"/>
          <w:bCs w:val="1"/>
          <w:color w:val="auto"/>
        </w:rPr>
        <w:t>Reporting Obligations Under Section 16(a)--SEC Forms 3, 4 and 5.</w:t>
      </w:r>
    </w:p>
    <w:p>
      <w:pPr>
        <w:spacing w:after="0" w:line="199" w:lineRule="exact"/>
        <w:rPr>
          <w:sz w:val="20"/>
          <w:szCs w:val="20"/>
          <w:color w:val="auto"/>
        </w:rPr>
      </w:pPr>
    </w:p>
    <w:p>
      <w:pPr>
        <w:jc w:val="both"/>
        <w:ind w:left="1420" w:right="199"/>
        <w:spacing w:after="0"/>
        <w:rPr>
          <w:sz w:val="20"/>
          <w:szCs w:val="20"/>
          <w:color w:val="auto"/>
        </w:rPr>
      </w:pPr>
      <w:r>
        <w:rPr>
          <w:rFonts w:ascii="Times New Roman" w:cs="Times New Roman" w:eastAsia="Times New Roman" w:hAnsi="Times New Roman"/>
          <w:sz w:val="19"/>
          <w:szCs w:val="19"/>
          <w:color w:val="auto"/>
        </w:rPr>
        <w:t xml:space="preserve">Section 16(a) of the Securities Exchange Act of 1934, as amended (the </w:t>
      </w:r>
      <w:r>
        <w:rPr>
          <w:rFonts w:ascii="Times New Roman" w:cs="Times New Roman" w:eastAsia="Times New Roman" w:hAnsi="Times New Roman"/>
          <w:sz w:val="19"/>
          <w:szCs w:val="19"/>
          <w:b w:val="1"/>
          <w:bCs w:val="1"/>
          <w:i w:val="1"/>
          <w:iCs w:val="1"/>
          <w:color w:val="auto"/>
        </w:rPr>
        <w:t>“1934 Act”</w:t>
      </w:r>
      <w:r>
        <w:rPr>
          <w:rFonts w:ascii="Times New Roman" w:cs="Times New Roman" w:eastAsia="Times New Roman" w:hAnsi="Times New Roman"/>
          <w:sz w:val="19"/>
          <w:szCs w:val="19"/>
          <w:color w:val="auto"/>
        </w:rPr>
        <w:t xml:space="preserve">), generally requires all officers, directors and 10% stockholders, within ten (10) days after the insider becomes an officer, director or 10% stockholder (such person a </w:t>
      </w:r>
      <w:r>
        <w:rPr>
          <w:rFonts w:ascii="Times New Roman" w:cs="Times New Roman" w:eastAsia="Times New Roman" w:hAnsi="Times New Roman"/>
          <w:sz w:val="19"/>
          <w:szCs w:val="19"/>
          <w:b w:val="1"/>
          <w:bCs w:val="1"/>
          <w:i w:val="1"/>
          <w:iCs w:val="1"/>
          <w:color w:val="auto"/>
        </w:rPr>
        <w:t>“Section 16 reporting person”</w:t>
      </w:r>
      <w:r>
        <w:rPr>
          <w:rFonts w:ascii="Times New Roman" w:cs="Times New Roman" w:eastAsia="Times New Roman" w:hAnsi="Times New Roman"/>
          <w:sz w:val="19"/>
          <w:szCs w:val="19"/>
          <w:color w:val="auto"/>
        </w:rPr>
        <w:t>), to file with the SEC an “Initial Statement of Beneficial Ownership of Securities” on SEC Form 3 (</w:t>
      </w:r>
      <w:r>
        <w:rPr>
          <w:rFonts w:ascii="Times New Roman" w:cs="Times New Roman" w:eastAsia="Times New Roman" w:hAnsi="Times New Roman"/>
          <w:sz w:val="19"/>
          <w:szCs w:val="19"/>
          <w:b w:val="1"/>
          <w:bCs w:val="1"/>
          <w:i w:val="1"/>
          <w:iCs w:val="1"/>
          <w:color w:val="auto"/>
        </w:rPr>
        <w:t>“Form 3”</w:t>
      </w:r>
      <w:r>
        <w:rPr>
          <w:rFonts w:ascii="Times New Roman" w:cs="Times New Roman" w:eastAsia="Times New Roman" w:hAnsi="Times New Roman"/>
          <w:sz w:val="19"/>
          <w:szCs w:val="19"/>
          <w:color w:val="auto"/>
        </w:rPr>
        <w:t xml:space="preserve">) listing the amount of the Company’s Common Stock (the </w:t>
      </w:r>
      <w:r>
        <w:rPr>
          <w:rFonts w:ascii="Times New Roman" w:cs="Times New Roman" w:eastAsia="Times New Roman" w:hAnsi="Times New Roman"/>
          <w:sz w:val="19"/>
          <w:szCs w:val="19"/>
          <w:b w:val="1"/>
          <w:bCs w:val="1"/>
          <w:i w:val="1"/>
          <w:iCs w:val="1"/>
          <w:color w:val="auto"/>
        </w:rPr>
        <w:t>“Stock”</w:t>
      </w:r>
      <w:r>
        <w:rPr>
          <w:rFonts w:ascii="Times New Roman" w:cs="Times New Roman" w:eastAsia="Times New Roman" w:hAnsi="Times New Roman"/>
          <w:sz w:val="19"/>
          <w:szCs w:val="19"/>
          <w:color w:val="auto"/>
        </w:rPr>
        <w:t>), stock options and warrants which the insider beneficially owns. Following the initial filing on Form 3, every change in the beneficial ownership of the Company’s Stock, stock options and warrants must be reported on SEC Form 4 (</w:t>
      </w:r>
      <w:r>
        <w:rPr>
          <w:rFonts w:ascii="Times New Roman" w:cs="Times New Roman" w:eastAsia="Times New Roman" w:hAnsi="Times New Roman"/>
          <w:sz w:val="19"/>
          <w:szCs w:val="19"/>
          <w:b w:val="1"/>
          <w:bCs w:val="1"/>
          <w:i w:val="1"/>
          <w:iCs w:val="1"/>
          <w:color w:val="auto"/>
        </w:rPr>
        <w:t>“Form 4”</w:t>
      </w:r>
      <w:r>
        <w:rPr>
          <w:rFonts w:ascii="Times New Roman" w:cs="Times New Roman" w:eastAsia="Times New Roman" w:hAnsi="Times New Roman"/>
          <w:sz w:val="19"/>
          <w:szCs w:val="19"/>
          <w:color w:val="auto"/>
        </w:rPr>
        <w:t>) within two (2) business days after the date on which such change occurs or in certain cases on SEC Form 5 (</w:t>
      </w:r>
      <w:r>
        <w:rPr>
          <w:rFonts w:ascii="Times New Roman" w:cs="Times New Roman" w:eastAsia="Times New Roman" w:hAnsi="Times New Roman"/>
          <w:sz w:val="19"/>
          <w:szCs w:val="19"/>
          <w:b w:val="1"/>
          <w:bCs w:val="1"/>
          <w:i w:val="1"/>
          <w:iCs w:val="1"/>
          <w:color w:val="auto"/>
        </w:rPr>
        <w:t>“Form 5”</w:t>
      </w:r>
      <w:r>
        <w:rPr>
          <w:rFonts w:ascii="Times New Roman" w:cs="Times New Roman" w:eastAsia="Times New Roman" w:hAnsi="Times New Roman"/>
          <w:sz w:val="19"/>
          <w:szCs w:val="19"/>
          <w:color w:val="auto"/>
        </w:rPr>
        <w:t>) within forty-five (45) days after fiscal year end. Form 4 must be filed even if, as a result of balancing transactions, there has been no net change in holdings. In deciding the filing deadline for purposes of filing Form 4, the trade date rather than the settlement date is ordinarily determinative.</w:t>
      </w:r>
    </w:p>
    <w:p>
      <w:pPr>
        <w:spacing w:after="0" w:line="180" w:lineRule="exact"/>
        <w:rPr>
          <w:sz w:val="20"/>
          <w:szCs w:val="20"/>
          <w:color w:val="auto"/>
        </w:rPr>
      </w:pPr>
    </w:p>
    <w:p>
      <w:pPr>
        <w:jc w:val="both"/>
        <w:ind w:left="1420" w:right="199"/>
        <w:spacing w:after="0" w:line="257" w:lineRule="auto"/>
        <w:rPr>
          <w:sz w:val="20"/>
          <w:szCs w:val="20"/>
          <w:color w:val="auto"/>
        </w:rPr>
      </w:pPr>
      <w:r>
        <w:rPr>
          <w:rFonts w:ascii="Times New Roman" w:cs="Times New Roman" w:eastAsia="Times New Roman" w:hAnsi="Times New Roman"/>
          <w:sz w:val="18"/>
          <w:szCs w:val="18"/>
          <w:color w:val="auto"/>
        </w:rPr>
        <w:t>Special rules apply in certain situations. If any officer or director purchases or sells any of the Company’s Stock within six (6) months after the event which required him or her to file Form 3, the Form 4 filed with respect to that purchase or sale must also report any other purchases or sales he or she made within the preceding six (6) months which were not previously reported. Similarly, if an officer or director purchases or sells any of the Company’s Stock within six (6) months after his or her termination from such position, the transaction must be reported on Form 4 if he or she made any purchase or sale within the preceding six (6) months and prior to termination.</w:t>
      </w:r>
    </w:p>
    <w:p>
      <w:pPr>
        <w:spacing w:after="0" w:line="160" w:lineRule="exact"/>
        <w:rPr>
          <w:sz w:val="20"/>
          <w:szCs w:val="20"/>
          <w:color w:val="auto"/>
        </w:rPr>
      </w:pPr>
    </w:p>
    <w:p>
      <w:pPr>
        <w:ind w:left="1600"/>
        <w:spacing w:after="0"/>
        <w:tabs>
          <w:tab w:leader="none" w:pos="1880" w:val="left"/>
        </w:tabs>
        <w:rPr>
          <w:sz w:val="20"/>
          <w:szCs w:val="20"/>
          <w:color w:val="auto"/>
        </w:rPr>
      </w:pPr>
      <w:r>
        <w:rPr>
          <w:rFonts w:ascii="Times New Roman" w:cs="Times New Roman" w:eastAsia="Times New Roman" w:hAnsi="Times New Roman"/>
          <w:sz w:val="19"/>
          <w:szCs w:val="19"/>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Recovery of Profits Under Section 16(b).</w:t>
      </w:r>
    </w:p>
    <w:p>
      <w:pPr>
        <w:spacing w:after="0" w:line="205" w:lineRule="exact"/>
        <w:rPr>
          <w:sz w:val="20"/>
          <w:szCs w:val="20"/>
          <w:color w:val="auto"/>
        </w:rPr>
      </w:pPr>
    </w:p>
    <w:p>
      <w:pPr>
        <w:jc w:val="both"/>
        <w:ind w:left="1420" w:right="199"/>
        <w:spacing w:after="0" w:line="242" w:lineRule="auto"/>
        <w:rPr>
          <w:sz w:val="20"/>
          <w:szCs w:val="20"/>
          <w:color w:val="auto"/>
        </w:rPr>
      </w:pPr>
      <w:r>
        <w:rPr>
          <w:rFonts w:ascii="Times New Roman" w:cs="Times New Roman" w:eastAsia="Times New Roman" w:hAnsi="Times New Roman"/>
          <w:sz w:val="19"/>
          <w:szCs w:val="19"/>
          <w:color w:val="auto"/>
        </w:rPr>
        <w:t>For the purpose of preventing the unfair use of information which may have been obtained by an insider, any profits realized by any Section 16 reporting person from any “purchase” and “sale” of the Company’s Stock during a six (6) month period, so called “short-swing profits,” may be recovered by the Company. When such a purchase and sale occurs, good faith is no defense. The Section 16 reporting person is liable even if compelled to sell for personal reasons, and even if the sale takes place after full disclosure and without the use of any inside information.</w:t>
      </w:r>
    </w:p>
    <w:p>
      <w:pPr>
        <w:spacing w:after="0" w:line="178" w:lineRule="exact"/>
        <w:rPr>
          <w:sz w:val="20"/>
          <w:szCs w:val="20"/>
          <w:color w:val="auto"/>
        </w:rPr>
      </w:pPr>
    </w:p>
    <w:p>
      <w:pPr>
        <w:jc w:val="both"/>
        <w:ind w:left="1420" w:right="199"/>
        <w:spacing w:after="0" w:line="253" w:lineRule="auto"/>
        <w:rPr>
          <w:sz w:val="20"/>
          <w:szCs w:val="20"/>
          <w:color w:val="auto"/>
        </w:rPr>
      </w:pPr>
      <w:r>
        <w:rPr>
          <w:rFonts w:ascii="Times New Roman" w:cs="Times New Roman" w:eastAsia="Times New Roman" w:hAnsi="Times New Roman"/>
          <w:sz w:val="18"/>
          <w:szCs w:val="18"/>
          <w:color w:val="auto"/>
        </w:rPr>
        <w:t>The liability of a Section 16 reporting person under Section 16(b) of the 1934 Act is only to the Company itself. The Company, however, cannot waive its right to short-swing profits, and any Company stockholder can bring suit in the name of the Company. In this connection it must be remembered that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w:t>
      </w:r>
    </w:p>
    <w:p>
      <w:pPr>
        <w:spacing w:after="0" w:line="2" w:lineRule="exact"/>
        <w:rPr>
          <w:sz w:val="20"/>
          <w:szCs w:val="20"/>
          <w:color w:val="auto"/>
        </w:rPr>
      </w:pPr>
    </w:p>
    <w:p>
      <w:pPr>
        <w:jc w:val="both"/>
        <w:ind w:left="1420" w:right="199" w:hanging="6"/>
        <w:spacing w:after="0" w:line="239" w:lineRule="auto"/>
        <w:tabs>
          <w:tab w:leader="none" w:pos="1687"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after the date the profit was realized. However, if the Section 16 reporting person fails to file a report of the transaction under Section 16(a), as required, the two (2) year limitation period does not begin to run until after the transactions giving rise to the profit</w:t>
      </w:r>
    </w:p>
    <w:p>
      <w:pPr>
        <w:sectPr>
          <w:pgSz w:w="11900" w:h="16838" w:orient="portrait"/>
          <w:cols w:equalWidth="0" w:num="1">
            <w:col w:w="9019"/>
          </w:cols>
          <w:pgMar w:left="1440" w:top="394" w:right="1440" w:bottom="1440" w:gutter="0" w:footer="0" w:header="0"/>
        </w:sectPr>
      </w:pP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2">
            <w:col w:w="6900" w:space="720"/>
            <w:col w:w="1399"/>
          </w:cols>
          <w:pgMar w:left="1440" w:top="394" w:right="1440" w:bottom="1440" w:gutter="0" w:footer="0" w:header="0"/>
          <w:type w:val="continuous"/>
        </w:sectPr>
      </w:pPr>
    </w:p>
    <w:bookmarkStart w:id="130" w:name="page131"/>
    <w:bookmarkEnd w:id="130"/>
    <w:p>
      <w:pPr>
        <w:ind w:left="1420" w:right="199"/>
        <w:spacing w:after="0" w:line="263" w:lineRule="auto"/>
        <w:rPr>
          <w:sz w:val="20"/>
          <w:szCs w:val="20"/>
          <w:color w:val="auto"/>
        </w:rPr>
      </w:pPr>
      <w:r>
        <w:rPr>
          <w:rFonts w:ascii="Times New Roman" w:cs="Times New Roman" w:eastAsia="Times New Roman" w:hAnsi="Times New Roman"/>
          <w:sz w:val="19"/>
          <w:szCs w:val="19"/>
          <w:color w:val="auto"/>
        </w:rPr>
        <w:t>have been disclosed. Failure to report transactions and late filing of reports require separate disclosure in the Company’s proxy statements.</w:t>
      </w:r>
    </w:p>
    <w:p>
      <w:pPr>
        <w:sectPr>
          <w:pgSz w:w="11900" w:h="16838" w:orient="portrait"/>
          <w:cols w:equalWidth="0" w:num="1">
            <w:col w:w="9019"/>
          </w:cols>
          <w:pgMar w:left="1440" w:top="335" w:right="1440" w:bottom="1440" w:gutter="0" w:footer="0" w:header="0"/>
        </w:sectPr>
      </w:pPr>
    </w:p>
    <w:p>
      <w:pPr>
        <w:spacing w:after="0" w:line="1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2">
            <w:col w:w="6900" w:space="720"/>
            <w:col w:w="1399"/>
          </w:cols>
          <w:pgMar w:left="1440" w:top="335" w:right="1440" w:bottom="1440" w:gutter="0" w:footer="0" w:header="0"/>
          <w:type w:val="continuous"/>
        </w:sectPr>
      </w:pPr>
    </w:p>
    <w:bookmarkStart w:id="131" w:name="page132"/>
    <w:bookmarkEnd w:id="131"/>
    <w:p>
      <w:pPr>
        <w:jc w:val="both"/>
        <w:ind w:left="1420" w:right="199"/>
        <w:spacing w:after="0" w:line="245" w:lineRule="auto"/>
        <w:rPr>
          <w:sz w:val="20"/>
          <w:szCs w:val="20"/>
          <w:color w:val="auto"/>
        </w:rPr>
      </w:pPr>
      <w:r>
        <w:rPr>
          <w:rFonts w:ascii="Times New Roman" w:cs="Times New Roman" w:eastAsia="Times New Roman" w:hAnsi="Times New Roman"/>
          <w:sz w:val="19"/>
          <w:szCs w:val="19"/>
          <w:color w:val="auto"/>
        </w:rPr>
        <w:t xml:space="preserve">Officers and directors should consult the attached “Short-Swing Profit Rule Section 16(b) Checklist” attached hereto as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5"/>
          <w:szCs w:val="15"/>
          <w:u w:val="single" w:color="auto"/>
          <w:color w:val="auto"/>
        </w:rPr>
        <w:t>TTACHMENT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xml:space="preserve"> in addition to consulting with the Compliance Officer prior to engaging in any transactions involving the Company’s securities (see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IV(A)</w:t>
      </w:r>
      <w:r>
        <w:rPr>
          <w:rFonts w:ascii="Times New Roman" w:cs="Times New Roman" w:eastAsia="Times New Roman" w:hAnsi="Times New Roman"/>
          <w:sz w:val="19"/>
          <w:szCs w:val="19"/>
          <w:color w:val="auto"/>
        </w:rPr>
        <w:t xml:space="preserve"> below), including without limitation, the Company’s Stock, stock options or warrants.</w:t>
      </w:r>
    </w:p>
    <w:p>
      <w:pPr>
        <w:spacing w:after="0" w:line="171" w:lineRule="exact"/>
        <w:rPr>
          <w:sz w:val="20"/>
          <w:szCs w:val="20"/>
          <w:color w:val="auto"/>
        </w:rPr>
      </w:pPr>
    </w:p>
    <w:p>
      <w:pPr>
        <w:ind w:left="2000" w:hanging="590"/>
        <w:spacing w:after="0"/>
        <w:tabs>
          <w:tab w:leader="none" w:pos="2000" w:val="left"/>
        </w:tabs>
        <w:numPr>
          <w:ilvl w:val="0"/>
          <w:numId w:val="1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Short Sales Prohibited Under Section 16(c).</w:t>
      </w:r>
    </w:p>
    <w:p>
      <w:pPr>
        <w:spacing w:after="0" w:line="205" w:lineRule="exact"/>
        <w:rPr>
          <w:sz w:val="20"/>
          <w:szCs w:val="20"/>
          <w:color w:val="auto"/>
        </w:rPr>
      </w:pPr>
    </w:p>
    <w:p>
      <w:pPr>
        <w:ind w:left="1420" w:right="199"/>
        <w:spacing w:after="0" w:line="242" w:lineRule="auto"/>
        <w:rPr>
          <w:sz w:val="20"/>
          <w:szCs w:val="20"/>
          <w:color w:val="auto"/>
        </w:rPr>
      </w:pPr>
      <w:r>
        <w:rPr>
          <w:rFonts w:ascii="Times New Roman" w:cs="Times New Roman" w:eastAsia="Times New Roman" w:hAnsi="Times New Roman"/>
          <w:sz w:val="19"/>
          <w:szCs w:val="19"/>
          <w:color w:val="auto"/>
        </w:rPr>
        <w:t>Section 16(c) of the 1934 Act absolutely prohibits insiders from making short sales of the Company’s Stock, i.e., sales of shares which the insider does not own at the time of sale or sales of the Company’s Stock against which the insider does not deliver the shares within twenty (20) days after the sale. Under certain circumstances, the purchase or sale of put or call options, or the writing of such options, can result in a violation of Section 16(c). Insiders violating Section 16(c) face criminal liability.</w:t>
      </w:r>
    </w:p>
    <w:p>
      <w:pPr>
        <w:spacing w:after="0" w:line="178" w:lineRule="exact"/>
        <w:rPr>
          <w:sz w:val="20"/>
          <w:szCs w:val="20"/>
          <w:color w:val="auto"/>
        </w:rPr>
      </w:pPr>
    </w:p>
    <w:p>
      <w:pPr>
        <w:jc w:val="both"/>
        <w:ind w:left="1420" w:right="219"/>
        <w:spacing w:after="0" w:line="263" w:lineRule="auto"/>
        <w:rPr>
          <w:sz w:val="20"/>
          <w:szCs w:val="20"/>
          <w:color w:val="auto"/>
        </w:rPr>
      </w:pPr>
      <w:r>
        <w:rPr>
          <w:rFonts w:ascii="Times New Roman" w:cs="Times New Roman" w:eastAsia="Times New Roman" w:hAnsi="Times New Roman"/>
          <w:sz w:val="19"/>
          <w:szCs w:val="19"/>
          <w:color w:val="auto"/>
        </w:rPr>
        <w:t>The Compliance Officer should be consulted if you have any questions regarding reporting obligations, short-swing profits or short sales under Section 16.</w:t>
      </w:r>
    </w:p>
    <w:p>
      <w:pPr>
        <w:spacing w:after="0" w:line="152" w:lineRule="exact"/>
        <w:rPr>
          <w:sz w:val="20"/>
          <w:szCs w:val="20"/>
          <w:color w:val="auto"/>
        </w:rPr>
      </w:pPr>
    </w:p>
    <w:p>
      <w:pPr>
        <w:ind w:left="1420" w:hanging="315"/>
        <w:spacing w:after="0"/>
        <w:tabs>
          <w:tab w:leader="none" w:pos="1420" w:val="left"/>
        </w:tabs>
        <w:numPr>
          <w:ilvl w:val="0"/>
          <w:numId w:val="1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rohibition of</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2"/>
          <w:szCs w:val="12"/>
          <w:b w:val="1"/>
          <w:bCs w:val="1"/>
          <w:color w:val="auto"/>
        </w:rPr>
        <w:t>ecords</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2"/>
          <w:szCs w:val="12"/>
          <w:b w:val="1"/>
          <w:bCs w:val="1"/>
          <w:color w:val="auto"/>
        </w:rPr>
        <w:t>alsifications and</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2"/>
          <w:szCs w:val="12"/>
          <w:b w:val="1"/>
          <w:bCs w:val="1"/>
          <w:color w:val="auto"/>
        </w:rPr>
        <w:t>alse</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tatements</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rPr>
          <w:sz w:val="20"/>
          <w:szCs w:val="20"/>
          <w:color w:val="auto"/>
        </w:rPr>
      </w:pPr>
      <w:r>
        <w:rPr>
          <w:rFonts w:ascii="Times New Roman" w:cs="Times New Roman" w:eastAsia="Times New Roman" w:hAnsi="Times New Roman"/>
          <w:sz w:val="19"/>
          <w:szCs w:val="19"/>
          <w:color w:val="auto"/>
        </w:rPr>
        <w:t>Section 13(b)(2) of the 1934 Act requires companies subject to the 1934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IV. STATEMENT OF PROCEDURES PREVENTING INSIDER TRADING.</w:t>
      </w:r>
    </w:p>
    <w:p>
      <w:pPr>
        <w:spacing w:after="0" w:line="205"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The following procedures have been established, and will be maintained and enforced, by the Company to prevent insider trading. Every officer, director, employee and Subject Contractor is required to follow these procedures.</w:t>
      </w:r>
    </w:p>
    <w:p>
      <w:pPr>
        <w:spacing w:after="0" w:line="165" w:lineRule="exact"/>
        <w:rPr>
          <w:sz w:val="20"/>
          <w:szCs w:val="20"/>
          <w:color w:val="auto"/>
        </w:rPr>
      </w:pPr>
    </w:p>
    <w:p>
      <w:pPr>
        <w:ind w:left="1420" w:hanging="315"/>
        <w:spacing w:after="0"/>
        <w:tabs>
          <w:tab w:leader="none" w:pos="1420" w:val="left"/>
        </w:tabs>
        <w:numPr>
          <w:ilvl w:val="0"/>
          <w:numId w:val="1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2"/>
          <w:szCs w:val="12"/>
          <w:b w:val="1"/>
          <w:bCs w:val="1"/>
          <w:color w:val="auto"/>
        </w:rPr>
        <w:t>dentifying</w:t>
      </w:r>
      <w:r>
        <w:rPr>
          <w:rFonts w:ascii="Times New Roman" w:cs="Times New Roman" w:eastAsia="Times New Roman" w:hAnsi="Times New Roman"/>
          <w:sz w:val="19"/>
          <w:szCs w:val="19"/>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9"/>
          <w:szCs w:val="19"/>
          <w:b w:val="1"/>
          <w:bCs w:val="1"/>
          <w:color w:val="auto"/>
        </w:rPr>
        <w:t>,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rPr>
          <w:sz w:val="20"/>
          <w:szCs w:val="20"/>
          <w:color w:val="auto"/>
        </w:rPr>
      </w:pPr>
      <w:r>
        <w:rPr>
          <w:rFonts w:ascii="Times New Roman" w:cs="Times New Roman" w:eastAsia="Times New Roman" w:hAnsi="Times New Roman"/>
          <w:sz w:val="19"/>
          <w:szCs w:val="19"/>
          <w:color w:val="auto"/>
        </w:rPr>
        <w:t xml:space="preserve">Prior to directly or indirectly trading any security of the Company, every officer, director, employee and Subject Contractor is required to contact the Compliance Officer (as part of the pre- clearance procedure discussed below in </w:t>
      </w:r>
      <w:r>
        <w:rPr>
          <w:rFonts w:ascii="Times New Roman" w:cs="Times New Roman" w:eastAsia="Times New Roman" w:hAnsi="Times New Roman"/>
          <w:sz w:val="19"/>
          <w:szCs w:val="19"/>
          <w:u w:val="single" w:color="auto"/>
          <w:color w:val="auto"/>
        </w:rPr>
        <w:t>Section IV.D</w:t>
      </w:r>
      <w:r>
        <w:rPr>
          <w:rFonts w:ascii="Times New Roman" w:cs="Times New Roman" w:eastAsia="Times New Roman" w:hAnsi="Times New Roman"/>
          <w:sz w:val="19"/>
          <w:szCs w:val="19"/>
          <w:color w:val="auto"/>
        </w:rPr>
        <w:t>) and make an initial determination whether the Company and/or such officer, director, employee and/or Subject Contractor is in possession of material, non-public information relating to such security. In making such assessment, the explanations of “material” and “non-public” information set forth above should be of assistance. If after consulting with the Compliance Officer it is determined that the Company and/or such officer, director, employee or Subject Contractor is in possession of material, non-public information, there can be no trading of such security.</w:t>
      </w:r>
    </w:p>
    <w:p>
      <w:pPr>
        <w:sectPr>
          <w:pgSz w:w="11900" w:h="16838" w:orient="portrait"/>
          <w:cols w:equalWidth="0" w:num="1">
            <w:col w:w="9019"/>
          </w:cols>
          <w:pgMar w:left="1440" w:top="398" w:right="1440" w:bottom="1440" w:gutter="0" w:footer="0" w:header="0"/>
        </w:sectPr>
      </w:pP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2">
            <w:col w:w="6900" w:space="720"/>
            <w:col w:w="1399"/>
          </w:cols>
          <w:pgMar w:left="1440" w:top="398" w:right="1440" w:bottom="1440" w:gutter="0" w:footer="0" w:header="0"/>
          <w:type w:val="continuous"/>
        </w:sectPr>
      </w:pPr>
    </w:p>
    <w:bookmarkStart w:id="132" w:name="page133"/>
    <w:bookmarkEnd w:id="132"/>
    <w:p>
      <w:pPr>
        <w:ind w:left="1420" w:hanging="315"/>
        <w:spacing w:after="0"/>
        <w:tabs>
          <w:tab w:leader="none" w:pos="1420" w:val="left"/>
        </w:tabs>
        <w:numPr>
          <w:ilvl w:val="0"/>
          <w:numId w:val="1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2"/>
          <w:szCs w:val="12"/>
          <w:b w:val="1"/>
          <w:bCs w:val="1"/>
          <w:color w:val="auto"/>
        </w:rPr>
        <w:t>elating to the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9"/>
          <w:szCs w:val="19"/>
          <w:b w:val="1"/>
          <w:bCs w:val="1"/>
          <w:color w:val="auto"/>
        </w:rPr>
        <w:t>.</w:t>
      </w:r>
    </w:p>
    <w:p>
      <w:pPr>
        <w:spacing w:after="0" w:line="213" w:lineRule="exact"/>
        <w:rPr>
          <w:rFonts w:ascii="Times New Roman" w:cs="Times New Roman" w:eastAsia="Times New Roman" w:hAnsi="Times New Roman"/>
          <w:sz w:val="19"/>
          <w:szCs w:val="19"/>
          <w:b w:val="1"/>
          <w:bCs w:val="1"/>
          <w:color w:val="auto"/>
        </w:rPr>
      </w:pPr>
    </w:p>
    <w:p>
      <w:pPr>
        <w:ind w:left="14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w:t>
      </w:r>
      <w:r>
        <w:rPr>
          <w:rFonts w:ascii="Times New Roman" w:cs="Times New Roman" w:eastAsia="Times New Roman" w:hAnsi="Times New Roman"/>
          <w:sz w:val="16"/>
          <w:szCs w:val="16"/>
          <w:b w:val="1"/>
          <w:bCs w:val="1"/>
          <w:color w:val="auto"/>
        </w:rPr>
        <w:t>Access to Information.</w:t>
      </w:r>
    </w:p>
    <w:p>
      <w:pPr>
        <w:spacing w:after="0" w:line="205" w:lineRule="exact"/>
        <w:rPr>
          <w:sz w:val="20"/>
          <w:szCs w:val="20"/>
          <w:color w:val="auto"/>
        </w:rPr>
      </w:pPr>
    </w:p>
    <w:p>
      <w:pPr>
        <w:jc w:val="both"/>
        <w:ind w:left="1420" w:right="199"/>
        <w:spacing w:after="0" w:line="241" w:lineRule="auto"/>
        <w:rPr>
          <w:sz w:val="20"/>
          <w:szCs w:val="20"/>
          <w:color w:val="auto"/>
        </w:rPr>
      </w:pPr>
      <w:r>
        <w:rPr>
          <w:rFonts w:ascii="Times New Roman" w:cs="Times New Roman" w:eastAsia="Times New Roman" w:hAnsi="Times New Roman"/>
          <w:sz w:val="19"/>
          <w:szCs w:val="19"/>
          <w:color w:val="auto"/>
        </w:rPr>
        <w:t>Access to material, non-public information about the Company, including the Company’s business, clinical data or analyses, interactions with regulatory authorities, pending publication of scientific/clinical data or results, earnings or prospects, should be limited to officers, directors, employees and Subject Contractors of the Company on a need-to- know basis. In addition, such information should not be communicated to anyone outside the Company under any circumstances (absent prior approval by the Compliance Officer and execution of an appropriate confidentiality agreement) or to anyone within the Company other than on a need-to-know basis.</w:t>
      </w:r>
    </w:p>
    <w:p>
      <w:pPr>
        <w:spacing w:after="0" w:line="180" w:lineRule="exact"/>
        <w:rPr>
          <w:sz w:val="20"/>
          <w:szCs w:val="20"/>
          <w:color w:val="auto"/>
        </w:rPr>
      </w:pPr>
    </w:p>
    <w:p>
      <w:pPr>
        <w:jc w:val="both"/>
        <w:ind w:left="1420" w:right="199"/>
        <w:spacing w:after="0" w:line="245" w:lineRule="auto"/>
        <w:rPr>
          <w:sz w:val="20"/>
          <w:szCs w:val="20"/>
          <w:color w:val="auto"/>
        </w:rPr>
      </w:pPr>
      <w:r>
        <w:rPr>
          <w:rFonts w:ascii="Times New Roman" w:cs="Times New Roman" w:eastAsia="Times New Roman" w:hAnsi="Times New Roman"/>
          <w:sz w:val="19"/>
          <w:szCs w:val="19"/>
          <w:color w:val="auto"/>
        </w:rPr>
        <w:t>In communicating material, non-public information to employees of the Company, all officers, directors, employees and Subject Contractors must take care to emphasize the need for confidential treatment of such information and adherence to the Company’s policies with regard to confidential information.</w:t>
      </w:r>
    </w:p>
    <w:p>
      <w:pPr>
        <w:spacing w:after="0" w:line="184" w:lineRule="exact"/>
        <w:rPr>
          <w:sz w:val="20"/>
          <w:szCs w:val="20"/>
          <w:color w:val="auto"/>
        </w:rPr>
      </w:pPr>
    </w:p>
    <w:p>
      <w:pPr>
        <w:ind w:left="1600"/>
        <w:spacing w:after="0"/>
        <w:tabs>
          <w:tab w:leader="none" w:pos="1880" w:val="left"/>
        </w:tabs>
        <w:rPr>
          <w:sz w:val="20"/>
          <w:szCs w:val="20"/>
          <w:color w:val="auto"/>
        </w:rPr>
      </w:pPr>
      <w:r>
        <w:rPr>
          <w:rFonts w:ascii="Times New Roman" w:cs="Times New Roman" w:eastAsia="Times New Roman" w:hAnsi="Times New Roman"/>
          <w:sz w:val="19"/>
          <w:szCs w:val="19"/>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Inquiries from Third Parties.</w:t>
      </w:r>
    </w:p>
    <w:p>
      <w:pPr>
        <w:spacing w:after="0" w:line="192" w:lineRule="exact"/>
        <w:rPr>
          <w:sz w:val="20"/>
          <w:szCs w:val="20"/>
          <w:color w:val="auto"/>
        </w:rPr>
      </w:pPr>
    </w:p>
    <w:p>
      <w:pPr>
        <w:jc w:val="both"/>
        <w:ind w:left="1420" w:right="219"/>
        <w:spacing w:after="0" w:line="263" w:lineRule="auto"/>
        <w:rPr>
          <w:sz w:val="20"/>
          <w:szCs w:val="20"/>
          <w:color w:val="auto"/>
        </w:rPr>
      </w:pPr>
      <w:r>
        <w:rPr>
          <w:rFonts w:ascii="Times New Roman" w:cs="Times New Roman" w:eastAsia="Times New Roman" w:hAnsi="Times New Roman"/>
          <w:sz w:val="19"/>
          <w:szCs w:val="19"/>
          <w:color w:val="auto"/>
        </w:rPr>
        <w:t>Inquiries from third parties, such as industry analysts or members of the media, about the Company should be directed to the Compliance Officer or his/her designee.</w:t>
      </w:r>
    </w:p>
    <w:p>
      <w:pPr>
        <w:spacing w:after="0" w:line="152" w:lineRule="exact"/>
        <w:rPr>
          <w:sz w:val="20"/>
          <w:szCs w:val="20"/>
          <w:color w:val="auto"/>
        </w:rPr>
      </w:pPr>
    </w:p>
    <w:p>
      <w:pPr>
        <w:ind w:left="1420" w:hanging="315"/>
        <w:spacing w:after="0"/>
        <w:tabs>
          <w:tab w:leader="none" w:pos="1420" w:val="left"/>
        </w:tabs>
        <w:numPr>
          <w:ilvl w:val="0"/>
          <w:numId w:val="1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2"/>
          <w:szCs w:val="12"/>
          <w:b w:val="1"/>
          <w:bCs w:val="1"/>
          <w:color w:val="auto"/>
        </w:rPr>
        <w:t>imitations on</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2"/>
          <w:szCs w:val="12"/>
          <w:b w:val="1"/>
          <w:bCs w:val="1"/>
          <w:color w:val="auto"/>
        </w:rPr>
        <w:t>ccess to the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ind w:left="200" w:right="979" w:firstLine="609"/>
        <w:spacing w:after="0" w:line="263" w:lineRule="auto"/>
        <w:rPr>
          <w:sz w:val="20"/>
          <w:szCs w:val="20"/>
          <w:color w:val="auto"/>
        </w:rPr>
      </w:pPr>
      <w:r>
        <w:rPr>
          <w:rFonts w:ascii="Times New Roman" w:cs="Times New Roman" w:eastAsia="Times New Roman" w:hAnsi="Times New Roman"/>
          <w:sz w:val="19"/>
          <w:szCs w:val="19"/>
          <w:color w:val="auto"/>
        </w:rPr>
        <w:t>The following procedures are designed to maintain confidentiality with respect to the Company’s information, business operations and activities.</w:t>
      </w:r>
    </w:p>
    <w:p>
      <w:pPr>
        <w:spacing w:after="0" w:line="161" w:lineRule="exact"/>
        <w:rPr>
          <w:sz w:val="20"/>
          <w:szCs w:val="20"/>
          <w:color w:val="auto"/>
        </w:rPr>
      </w:pPr>
    </w:p>
    <w:p>
      <w:pPr>
        <w:jc w:val="both"/>
        <w:ind w:left="2020" w:right="199" w:hanging="610"/>
        <w:spacing w:after="0" w:line="278" w:lineRule="auto"/>
        <w:tabs>
          <w:tab w:leader="none" w:pos="202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officers, directors, employees and Subject Contractors should take all steps and precautions necessary to restrict access to, and secure, material, non-public information by, among other things:</w:t>
      </w:r>
    </w:p>
    <w:p>
      <w:pPr>
        <w:spacing w:after="0" w:line="157" w:lineRule="exact"/>
        <w:rPr>
          <w:rFonts w:ascii="Times New Roman" w:cs="Times New Roman" w:eastAsia="Times New Roman" w:hAnsi="Times New Roman"/>
          <w:sz w:val="17"/>
          <w:szCs w:val="17"/>
          <w:b w:val="1"/>
          <w:bCs w:val="1"/>
          <w:color w:val="auto"/>
        </w:rPr>
      </w:pPr>
    </w:p>
    <w:p>
      <w:pPr>
        <w:ind w:left="2620" w:hanging="600"/>
        <w:spacing w:after="0"/>
        <w:tabs>
          <w:tab w:leader="none" w:pos="262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Maintaining the confidentiality of Company related information;</w:t>
      </w:r>
    </w:p>
    <w:p>
      <w:pPr>
        <w:spacing w:after="0" w:line="200" w:lineRule="exact"/>
        <w:rPr>
          <w:rFonts w:ascii="Times New Roman" w:cs="Times New Roman" w:eastAsia="Times New Roman" w:hAnsi="Times New Roman"/>
          <w:sz w:val="19"/>
          <w:szCs w:val="19"/>
          <w:color w:val="auto"/>
        </w:rPr>
      </w:pPr>
    </w:p>
    <w:p>
      <w:pPr>
        <w:jc w:val="both"/>
        <w:ind w:left="2620" w:right="199" w:hanging="600"/>
        <w:spacing w:after="0" w:line="249" w:lineRule="auto"/>
        <w:tabs>
          <w:tab w:leader="none" w:pos="262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80" w:lineRule="exact"/>
        <w:rPr>
          <w:rFonts w:ascii="Times New Roman" w:cs="Times New Roman" w:eastAsia="Times New Roman" w:hAnsi="Times New Roman"/>
          <w:sz w:val="19"/>
          <w:szCs w:val="19"/>
          <w:color w:val="auto"/>
        </w:rPr>
      </w:pPr>
    </w:p>
    <w:p>
      <w:pPr>
        <w:jc w:val="both"/>
        <w:ind w:left="2620" w:right="199" w:hanging="600"/>
        <w:spacing w:after="0" w:line="249" w:lineRule="auto"/>
        <w:tabs>
          <w:tab w:leader="none" w:pos="262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Restricting access to documents and files (including computer files) containing material, non-public information to individuals on a need-to- know basis (including maintaining control over the distribution of documents and drafts of documents);</w:t>
      </w:r>
    </w:p>
    <w:p>
      <w:pPr>
        <w:spacing w:after="0" w:line="180" w:lineRule="exact"/>
        <w:rPr>
          <w:rFonts w:ascii="Times New Roman" w:cs="Times New Roman" w:eastAsia="Times New Roman" w:hAnsi="Times New Roman"/>
          <w:sz w:val="19"/>
          <w:szCs w:val="19"/>
          <w:color w:val="auto"/>
        </w:rPr>
      </w:pPr>
    </w:p>
    <w:p>
      <w:pPr>
        <w:ind w:left="2620" w:right="199" w:hanging="600"/>
        <w:spacing w:after="0" w:line="250" w:lineRule="auto"/>
        <w:tabs>
          <w:tab w:leader="none" w:pos="262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Promptly removing and cleaning up all confidential documents and other materials from conference rooms following the conclusion of any meetings;</w:t>
      </w:r>
    </w:p>
    <w:p>
      <w:pPr>
        <w:spacing w:after="0" w:line="178" w:lineRule="exact"/>
        <w:rPr>
          <w:rFonts w:ascii="Times New Roman" w:cs="Times New Roman" w:eastAsia="Times New Roman" w:hAnsi="Times New Roman"/>
          <w:sz w:val="19"/>
          <w:szCs w:val="19"/>
          <w:color w:val="auto"/>
        </w:rPr>
      </w:pPr>
    </w:p>
    <w:p>
      <w:pPr>
        <w:ind w:left="2620" w:right="219" w:hanging="600"/>
        <w:spacing w:after="0" w:line="250" w:lineRule="auto"/>
        <w:tabs>
          <w:tab w:leader="none" w:pos="262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Disposing of all confidential documents and other papers, after there is no longer any business or other legally required need, through shredders when appropriate;</w:t>
      </w:r>
    </w:p>
    <w:p>
      <w:pPr>
        <w:sectPr>
          <w:pgSz w:w="11900" w:h="16838" w:orient="portrait"/>
          <w:cols w:equalWidth="0" w:num="1">
            <w:col w:w="9019"/>
          </w:cols>
          <w:pgMar w:left="1440" w:top="394" w:right="1440" w:bottom="1440" w:gutter="0" w:footer="0" w:header="0"/>
        </w:sect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2">
            <w:col w:w="6900" w:space="720"/>
            <w:col w:w="1399"/>
          </w:cols>
          <w:pgMar w:left="1440" w:top="394" w:right="1440" w:bottom="1440" w:gutter="0" w:footer="0" w:header="0"/>
          <w:type w:val="continuous"/>
        </w:sectPr>
      </w:pPr>
    </w:p>
    <w:bookmarkStart w:id="133" w:name="page134"/>
    <w:bookmarkEnd w:id="133"/>
    <w:p>
      <w:pPr>
        <w:ind w:left="2620" w:right="199" w:hanging="600"/>
        <w:spacing w:after="0" w:line="250" w:lineRule="auto"/>
        <w:tabs>
          <w:tab w:leader="none" w:pos="2620"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Restricting access to areas likely to contain confidential documents or material, nonpublic information; and</w:t>
      </w:r>
    </w:p>
    <w:p>
      <w:pPr>
        <w:spacing w:after="0" w:line="178" w:lineRule="exact"/>
        <w:rPr>
          <w:rFonts w:ascii="Times New Roman" w:cs="Times New Roman" w:eastAsia="Times New Roman" w:hAnsi="Times New Roman"/>
          <w:sz w:val="19"/>
          <w:szCs w:val="19"/>
          <w:color w:val="auto"/>
        </w:rPr>
      </w:pPr>
    </w:p>
    <w:p>
      <w:pPr>
        <w:jc w:val="both"/>
        <w:ind w:left="2620" w:right="199" w:hanging="600"/>
        <w:spacing w:after="0" w:line="249" w:lineRule="auto"/>
        <w:tabs>
          <w:tab w:leader="none" w:pos="2620"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Avoiding the discussion of material, non-public information in places where the information could be overheard by others, such as in elevators, restrooms, hallways, restaurants, airplanes or taxicabs.</w:t>
      </w:r>
    </w:p>
    <w:p>
      <w:pPr>
        <w:spacing w:after="0" w:line="180" w:lineRule="exact"/>
        <w:rPr>
          <w:rFonts w:ascii="Times New Roman" w:cs="Times New Roman" w:eastAsia="Times New Roman" w:hAnsi="Times New Roman"/>
          <w:sz w:val="19"/>
          <w:szCs w:val="19"/>
          <w:color w:val="auto"/>
        </w:rPr>
      </w:pPr>
    </w:p>
    <w:p>
      <w:pPr>
        <w:ind w:left="2020" w:right="219" w:hanging="610"/>
        <w:spacing w:after="0" w:line="278" w:lineRule="auto"/>
        <w:tabs>
          <w:tab w:leader="none" w:pos="202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Personnel involved with material, non-public information, to the extent feasible, should conduct their business and activities in areas separate from other Company activities.</w:t>
      </w:r>
    </w:p>
    <w:p>
      <w:pPr>
        <w:spacing w:after="0" w:line="148" w:lineRule="exact"/>
        <w:rPr>
          <w:rFonts w:ascii="Times New Roman" w:cs="Times New Roman" w:eastAsia="Times New Roman" w:hAnsi="Times New Roman"/>
          <w:sz w:val="17"/>
          <w:szCs w:val="17"/>
          <w:b w:val="1"/>
          <w:bCs w:val="1"/>
          <w:color w:val="auto"/>
        </w:rPr>
      </w:pPr>
    </w:p>
    <w:p>
      <w:pPr>
        <w:ind w:left="2520" w:hanging="616"/>
        <w:spacing w:after="0"/>
        <w:tabs>
          <w:tab w:leader="none" w:pos="2520" w:val="left"/>
        </w:tabs>
        <w:numPr>
          <w:ilvl w:val="1"/>
          <w:numId w:val="1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2"/>
          <w:szCs w:val="12"/>
          <w:b w:val="1"/>
          <w:bCs w:val="1"/>
          <w:color w:val="auto"/>
        </w:rPr>
        <w:t>learance of</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rades by</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2"/>
          <w:szCs w:val="12"/>
          <w:b w:val="1"/>
          <w:bCs w:val="1"/>
          <w:color w:val="auto"/>
        </w:rPr>
        <w:t>fficers</w:t>
      </w:r>
      <w:r>
        <w:rPr>
          <w:rFonts w:ascii="Times New Roman" w:cs="Times New Roman" w:eastAsia="Times New Roman" w:hAnsi="Times New Roman"/>
          <w:sz w:val="19"/>
          <w:szCs w:val="19"/>
          <w:b w:val="1"/>
          <w:bCs w:val="1"/>
          <w:color w:val="auto"/>
        </w:rPr>
        <w:t>,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9"/>
          <w:szCs w:val="19"/>
          <w:b w:val="1"/>
          <w:bCs w:val="1"/>
          <w:color w:val="auto"/>
        </w:rPr>
        <w:t>, E</w:t>
      </w:r>
      <w:r>
        <w:rPr>
          <w:rFonts w:ascii="Times New Roman" w:cs="Times New Roman" w:eastAsia="Times New Roman" w:hAnsi="Times New Roman"/>
          <w:sz w:val="12"/>
          <w:szCs w:val="12"/>
          <w:b w:val="1"/>
          <w:bCs w:val="1"/>
          <w:color w:val="auto"/>
        </w:rPr>
        <w:t>mployees and</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ubject</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2"/>
          <w:szCs w:val="12"/>
          <w:b w:val="1"/>
          <w:bCs w:val="1"/>
          <w:color w:val="auto"/>
        </w:rPr>
        <w:t>ontractors</w:t>
      </w:r>
      <w:r>
        <w:rPr>
          <w:rFonts w:ascii="Times New Roman" w:cs="Times New Roman" w:eastAsia="Times New Roman" w:hAnsi="Times New Roman"/>
          <w:sz w:val="19"/>
          <w:szCs w:val="19"/>
          <w:b w:val="1"/>
          <w:bCs w:val="1"/>
          <w:color w:val="auto"/>
        </w:rPr>
        <w:t>.</w:t>
      </w:r>
    </w:p>
    <w:p>
      <w:pPr>
        <w:spacing w:after="0" w:line="194" w:lineRule="exact"/>
        <w:rPr>
          <w:sz w:val="20"/>
          <w:szCs w:val="20"/>
          <w:color w:val="auto"/>
        </w:rPr>
      </w:pPr>
    </w:p>
    <w:p>
      <w:pPr>
        <w:jc w:val="both"/>
        <w:ind w:left="200" w:right="199" w:firstLine="609"/>
        <w:spacing w:after="0"/>
        <w:rPr>
          <w:sz w:val="20"/>
          <w:szCs w:val="20"/>
          <w:color w:val="auto"/>
        </w:rPr>
      </w:pPr>
      <w:r>
        <w:rPr>
          <w:rFonts w:ascii="Times New Roman" w:cs="Times New Roman" w:eastAsia="Times New Roman" w:hAnsi="Times New Roman"/>
          <w:sz w:val="19"/>
          <w:szCs w:val="19"/>
          <w:color w:val="auto"/>
        </w:rPr>
        <w:t xml:space="preserve">To provide assistance in preventing inadvertent violations of applicable securities laws and to avoid the appearance of impropriety in connection with the purchase and sale of the Company securities, except as set forth in the paragraph below, all transactions in Company securities (including without limitation, acquisitions and dispositions of the Company’s Stock, the exercise of stock options, the sale of the Company’s Stock issued upon the exercise of stock options or the vesting of restricted stock units or restricted stock and the sale of the Company’s Stock purchased under the ESPP) by officers, directors, employees and Subject Contractors must be pre-cleared by the Compliance Officer. </w:t>
      </w:r>
      <w:r>
        <w:rPr>
          <w:rFonts w:ascii="Times New Roman" w:cs="Times New Roman" w:eastAsia="Times New Roman" w:hAnsi="Times New Roman"/>
          <w:sz w:val="19"/>
          <w:szCs w:val="19"/>
          <w:b w:val="1"/>
          <w:bCs w:val="1"/>
          <w:u w:val="single" w:color="auto"/>
          <w:color w:val="auto"/>
        </w:rPr>
        <w:t>A request for pre- clearance should be submitted to the Compliance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Officer at least two (2) business days in advance of the proposed transaction.</w:t>
      </w:r>
    </w:p>
    <w:p>
      <w:pPr>
        <w:spacing w:after="0" w:line="183"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 xml:space="preserve">Additionally, except as set forth in </w:t>
      </w:r>
      <w:r>
        <w:rPr>
          <w:rFonts w:ascii="Times New Roman" w:cs="Times New Roman" w:eastAsia="Times New Roman" w:hAnsi="Times New Roman"/>
          <w:sz w:val="19"/>
          <w:szCs w:val="19"/>
          <w:u w:val="single" w:color="auto"/>
          <w:color w:val="auto"/>
        </w:rPr>
        <w:t>Section II.D</w:t>
      </w:r>
      <w:r>
        <w:rPr>
          <w:rFonts w:ascii="Times New Roman" w:cs="Times New Roman" w:eastAsia="Times New Roman" w:hAnsi="Times New Roman"/>
          <w:sz w:val="19"/>
          <w:szCs w:val="19"/>
          <w:color w:val="auto"/>
        </w:rPr>
        <w:t xml:space="preserve">. above, neither the Company nor any of its officers, directors, employees or Subject Contractors may trade in any securities of the Company during the Black-Out Period, unless authorized by the Compliance Officer. Also, please consult the “Insider Trading Reminders” attached hereto as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5"/>
          <w:szCs w:val="15"/>
          <w:u w:val="single" w:color="auto"/>
          <w:color w:val="auto"/>
        </w:rPr>
        <w:t>TTACHMENT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200" w:right="179" w:firstLine="609"/>
        <w:spacing w:after="0" w:line="263" w:lineRule="auto"/>
        <w:rPr>
          <w:sz w:val="20"/>
          <w:szCs w:val="20"/>
          <w:color w:val="auto"/>
        </w:rPr>
      </w:pPr>
      <w:r>
        <w:rPr>
          <w:rFonts w:ascii="Times New Roman" w:cs="Times New Roman" w:eastAsia="Times New Roman" w:hAnsi="Times New Roman"/>
          <w:sz w:val="19"/>
          <w:szCs w:val="19"/>
          <w:color w:val="auto"/>
        </w:rPr>
        <w:t>The requirement for pre-clearance as set forth in the above paragraph does not apply to the following transactions:</w:t>
      </w:r>
    </w:p>
    <w:p>
      <w:pPr>
        <w:spacing w:after="0" w:line="161" w:lineRule="exact"/>
        <w:rPr>
          <w:sz w:val="20"/>
          <w:szCs w:val="20"/>
          <w:color w:val="auto"/>
        </w:rPr>
      </w:pPr>
    </w:p>
    <w:p>
      <w:pPr>
        <w:ind w:left="1420" w:hanging="620"/>
        <w:spacing w:after="0"/>
        <w:tabs>
          <w:tab w:leader="none" w:pos="142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the vesting of restricted stock units or restricted stock;</w:t>
      </w:r>
    </w:p>
    <w:p>
      <w:pPr>
        <w:spacing w:after="0" w:line="200" w:lineRule="exact"/>
        <w:rPr>
          <w:rFonts w:ascii="Times New Roman" w:cs="Times New Roman" w:eastAsia="Times New Roman" w:hAnsi="Times New Roman"/>
          <w:sz w:val="19"/>
          <w:szCs w:val="19"/>
          <w:color w:val="auto"/>
        </w:rPr>
      </w:pPr>
    </w:p>
    <w:p>
      <w:pPr>
        <w:ind w:left="1420" w:right="219" w:hanging="620"/>
        <w:spacing w:after="0" w:line="250" w:lineRule="auto"/>
        <w:tabs>
          <w:tab w:leader="none" w:pos="142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purchases of the Company’s Stock under the ESPP on periodic designated dates in accordance with the ESPP;</w:t>
      </w:r>
    </w:p>
    <w:p>
      <w:pPr>
        <w:spacing w:after="0" w:line="178" w:lineRule="exact"/>
        <w:rPr>
          <w:rFonts w:ascii="Times New Roman" w:cs="Times New Roman" w:eastAsia="Times New Roman" w:hAnsi="Times New Roman"/>
          <w:sz w:val="19"/>
          <w:szCs w:val="19"/>
          <w:color w:val="auto"/>
        </w:rPr>
      </w:pPr>
    </w:p>
    <w:p>
      <w:pPr>
        <w:ind w:left="1420" w:right="939" w:hanging="620"/>
        <w:spacing w:after="0" w:line="250" w:lineRule="auto"/>
        <w:tabs>
          <w:tab w:leader="none" w:pos="142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purchases of Company Stock under on periodic designated dates in accordance with the Directors’ Compensation Policy; and</w:t>
      </w:r>
    </w:p>
    <w:p>
      <w:pPr>
        <w:spacing w:after="0" w:line="178"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 xml:space="preserve">transactions effected under an approved Rule 10b5-1 Trading Plan as set forth in </w:t>
      </w:r>
      <w:r>
        <w:rPr>
          <w:rFonts w:ascii="Times New Roman" w:cs="Times New Roman" w:eastAsia="Times New Roman" w:hAnsi="Times New Roman"/>
          <w:sz w:val="17"/>
          <w:szCs w:val="17"/>
          <w:u w:val="single" w:color="auto"/>
          <w:color w:val="auto"/>
        </w:rPr>
        <w:t>Section V</w:t>
      </w:r>
      <w:r>
        <w:rPr>
          <w:rFonts w:ascii="Times New Roman" w:cs="Times New Roman" w:eastAsia="Times New Roman" w:hAnsi="Times New Roman"/>
          <w:sz w:val="17"/>
          <w:szCs w:val="17"/>
          <w:color w:val="auto"/>
        </w:rPr>
        <w:t xml:space="preserve"> below.</w:t>
      </w:r>
    </w:p>
    <w:p>
      <w:pPr>
        <w:spacing w:after="0" w:line="196" w:lineRule="exact"/>
        <w:rPr>
          <w:sz w:val="20"/>
          <w:szCs w:val="20"/>
          <w:color w:val="auto"/>
        </w:rPr>
      </w:pPr>
    </w:p>
    <w:p>
      <w:pPr>
        <w:jc w:val="both"/>
        <w:ind w:left="200" w:right="199"/>
        <w:spacing w:after="0" w:line="243" w:lineRule="auto"/>
        <w:rPr>
          <w:sz w:val="20"/>
          <w:szCs w:val="20"/>
          <w:color w:val="auto"/>
        </w:rPr>
      </w:pPr>
      <w:r>
        <w:rPr>
          <w:rFonts w:ascii="Times New Roman" w:cs="Times New Roman" w:eastAsia="Times New Roman" w:hAnsi="Times New Roman"/>
          <w:sz w:val="19"/>
          <w:szCs w:val="19"/>
          <w:color w:val="auto"/>
        </w:rPr>
        <w:t xml:space="preserve">All other transactions in Company securities, including the exercise of stock options, are subject to pre- clearance as set forth in the above paragraph. A request for pre-clearance must be made in writing, preferably by submission of a completed Request for Pre-Clearance in the form of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5"/>
          <w:szCs w:val="15"/>
          <w:u w:val="single" w:color="auto"/>
          <w:color w:val="auto"/>
        </w:rPr>
        <w:t>TTACHMENT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to this Policy. Pre-cleared transactions should be effected promptly. Requestors are required to refresh the request for pre-clearance if a pre-cleared transaction is not effected within five business days after pre- clearance is received.</w:t>
      </w:r>
    </w:p>
    <w:p>
      <w:pPr>
        <w:sectPr>
          <w:pgSz w:w="11900" w:h="16838" w:orient="portrait"/>
          <w:cols w:equalWidth="0" w:num="1">
            <w:col w:w="9019"/>
          </w:cols>
          <w:pgMar w:left="1440" w:top="403" w:right="1440" w:bottom="1440" w:gutter="0" w:footer="0" w:header="0"/>
        </w:sectPr>
      </w:pP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56318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2">
            <w:col w:w="6900" w:space="720"/>
            <w:col w:w="1399"/>
          </w:cols>
          <w:pgMar w:left="1440" w:top="403" w:right="1440" w:bottom="1440" w:gutter="0" w:footer="0" w:header="0"/>
          <w:type w:val="continuous"/>
        </w:sectPr>
      </w:pPr>
    </w:p>
    <w:bookmarkStart w:id="134" w:name="page135"/>
    <w:bookmarkEnd w:id="134"/>
    <w:p>
      <w:pPr>
        <w:ind w:left="200" w:right="259" w:firstLine="609"/>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Furthermore, requestors must immediately notify the Chief Compliance Officer following the execution of any transaction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420" w:hanging="315"/>
        <w:spacing w:after="0"/>
        <w:tabs>
          <w:tab w:leader="none" w:pos="1420" w:val="left"/>
        </w:tabs>
        <w:numPr>
          <w:ilvl w:val="0"/>
          <w:numId w:val="1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2"/>
          <w:szCs w:val="12"/>
          <w:b w:val="1"/>
          <w:bCs w:val="1"/>
          <w:color w:val="auto"/>
        </w:rPr>
        <w:t>voidance of</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2"/>
          <w:szCs w:val="12"/>
          <w:b w:val="1"/>
          <w:bCs w:val="1"/>
          <w:color w:val="auto"/>
        </w:rPr>
        <w:t>ggressive or</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peculative</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42" w:lineRule="auto"/>
        <w:rPr>
          <w:sz w:val="20"/>
          <w:szCs w:val="20"/>
          <w:color w:val="auto"/>
        </w:rPr>
      </w:pPr>
      <w:r>
        <w:rPr>
          <w:rFonts w:ascii="Times New Roman" w:cs="Times New Roman" w:eastAsia="Times New Roman" w:hAnsi="Times New Roman"/>
          <w:sz w:val="19"/>
          <w:szCs w:val="19"/>
          <w:color w:val="auto"/>
        </w:rPr>
        <w:t>Officers, directors, employees and Subject Contractors, and their respective family members (including spouses, minor children or any other family members living in the same household), as applicable, may not directly or indirectly participate in transactions involving trading activities which by their aggressive or speculative nature cause or even give the appearance of an impropriety, such as, for example, those listed in Nos. 1 and 2 below. If you are uncertain whether your proposed transaction may implicate these prohibitions, please contact the Compliance Officer for pre-approval.</w:t>
      </w:r>
    </w:p>
    <w:p>
      <w:pPr>
        <w:spacing w:after="0" w:line="178" w:lineRule="exact"/>
        <w:rPr>
          <w:sz w:val="20"/>
          <w:szCs w:val="20"/>
          <w:color w:val="auto"/>
        </w:rPr>
      </w:pPr>
    </w:p>
    <w:p>
      <w:pPr>
        <w:ind w:left="2020" w:hanging="610"/>
        <w:spacing w:after="0"/>
        <w:tabs>
          <w:tab w:leader="none" w:pos="2020" w:val="left"/>
        </w:tabs>
        <w:numPr>
          <w:ilvl w:val="2"/>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PROHIBITION OF SPECULATIVE TRADING/HEDGING. </w:t>
      </w:r>
      <w:r>
        <w:rPr>
          <w:rFonts w:ascii="Times New Roman" w:cs="Times New Roman" w:eastAsia="Times New Roman" w:hAnsi="Times New Roman"/>
          <w:sz w:val="17"/>
          <w:szCs w:val="17"/>
          <w:color w:val="auto"/>
        </w:rPr>
        <w:t>All directors,</w:t>
      </w:r>
    </w:p>
    <w:p>
      <w:pPr>
        <w:spacing w:after="0" w:line="27" w:lineRule="exact"/>
        <w:rPr>
          <w:rFonts w:ascii="Times New Roman" w:cs="Times New Roman" w:eastAsia="Times New Roman" w:hAnsi="Times New Roman"/>
          <w:sz w:val="17"/>
          <w:szCs w:val="17"/>
          <w:b w:val="1"/>
          <w:bCs w:val="1"/>
          <w:color w:val="auto"/>
        </w:rPr>
      </w:pPr>
    </w:p>
    <w:p>
      <w:pPr>
        <w:jc w:val="both"/>
        <w:ind w:left="2020" w:right="199"/>
        <w:spacing w:after="0" w:line="24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color w:val="auto"/>
        </w:rPr>
        <w:t>officers, employees and Subject Contractors are prohibited from engaging in short sales; transactions in put or call options, hedging or monetization transactions; or other inherently speculative transactions with respect to the securities of the Company at any time.</w:t>
      </w:r>
    </w:p>
    <w:p>
      <w:pPr>
        <w:spacing w:after="0" w:line="175" w:lineRule="exact"/>
        <w:rPr>
          <w:rFonts w:ascii="Times New Roman" w:cs="Times New Roman" w:eastAsia="Times New Roman" w:hAnsi="Times New Roman"/>
          <w:sz w:val="17"/>
          <w:szCs w:val="17"/>
          <w:b w:val="1"/>
          <w:bCs w:val="1"/>
          <w:color w:val="auto"/>
        </w:rPr>
      </w:pPr>
    </w:p>
    <w:p>
      <w:pPr>
        <w:jc w:val="both"/>
        <w:ind w:left="2020" w:right="199" w:hanging="610"/>
        <w:spacing w:after="0" w:line="266" w:lineRule="auto"/>
        <w:tabs>
          <w:tab w:leader="none" w:pos="2020" w:val="left"/>
        </w:tabs>
        <w:numPr>
          <w:ilvl w:val="2"/>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PROHIBITION ON PLEDGING. </w:t>
      </w:r>
      <w:r>
        <w:rPr>
          <w:rFonts w:ascii="Times New Roman" w:cs="Times New Roman" w:eastAsia="Times New Roman" w:hAnsi="Times New Roman"/>
          <w:sz w:val="17"/>
          <w:szCs w:val="17"/>
          <w:color w:val="auto"/>
        </w:rPr>
        <w:t>All directors, officers, employees and Subject Contractors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prohibited from holding any securities of the Company in a margin account or otherwise pledging any securities of the Company as collateral for any loan.</w:t>
      </w:r>
    </w:p>
    <w:p>
      <w:pPr>
        <w:spacing w:after="0" w:line="158" w:lineRule="exact"/>
        <w:rPr>
          <w:rFonts w:ascii="Times New Roman" w:cs="Times New Roman" w:eastAsia="Times New Roman" w:hAnsi="Times New Roman"/>
          <w:sz w:val="17"/>
          <w:szCs w:val="17"/>
          <w:b w:val="1"/>
          <w:bCs w:val="1"/>
          <w:color w:val="auto"/>
        </w:rPr>
      </w:pPr>
    </w:p>
    <w:p>
      <w:pPr>
        <w:ind w:left="680" w:hanging="299"/>
        <w:spacing w:after="0"/>
        <w:tabs>
          <w:tab w:leader="none" w:pos="680" w:val="left"/>
        </w:tabs>
        <w:numPr>
          <w:ilvl w:val="0"/>
          <w:numId w:val="1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RULE 10B5-1 TRADING PLANS.</w:t>
      </w:r>
    </w:p>
    <w:p>
      <w:pPr>
        <w:spacing w:after="0" w:line="200" w:lineRule="exact"/>
        <w:rPr>
          <w:rFonts w:ascii="Times New Roman" w:cs="Times New Roman" w:eastAsia="Times New Roman" w:hAnsi="Times New Roman"/>
          <w:sz w:val="19"/>
          <w:szCs w:val="19"/>
          <w:b w:val="1"/>
          <w:bCs w:val="1"/>
          <w:color w:val="auto"/>
        </w:rPr>
      </w:pPr>
    </w:p>
    <w:p>
      <w:pPr>
        <w:ind w:left="11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 O</w:t>
      </w:r>
      <w:r>
        <w:rPr>
          <w:rFonts w:ascii="Times New Roman" w:cs="Times New Roman" w:eastAsia="Times New Roman" w:hAnsi="Times New Roman"/>
          <w:sz w:val="12"/>
          <w:szCs w:val="12"/>
          <w:b w:val="1"/>
          <w:bCs w:val="1"/>
          <w:color w:val="auto"/>
        </w:rPr>
        <w:t>verview</w:t>
      </w:r>
      <w:r>
        <w:rPr>
          <w:rFonts w:ascii="Times New Roman" w:cs="Times New Roman" w:eastAsia="Times New Roman" w:hAnsi="Times New Roman"/>
          <w:sz w:val="19"/>
          <w:szCs w:val="19"/>
          <w:b w:val="1"/>
          <w:bCs w:val="1"/>
          <w:color w:val="auto"/>
        </w:rPr>
        <w:t>.</w:t>
      </w:r>
    </w:p>
    <w:p>
      <w:pPr>
        <w:spacing w:after="0" w:line="212" w:lineRule="exact"/>
        <w:rPr>
          <w:sz w:val="20"/>
          <w:szCs w:val="20"/>
          <w:color w:val="auto"/>
        </w:rPr>
      </w:pPr>
    </w:p>
    <w:p>
      <w:pPr>
        <w:jc w:val="both"/>
        <w:ind w:left="200" w:right="199" w:firstLine="609"/>
        <w:spacing w:after="0" w:line="253" w:lineRule="auto"/>
        <w:rPr>
          <w:sz w:val="20"/>
          <w:szCs w:val="20"/>
          <w:color w:val="auto"/>
        </w:rPr>
      </w:pPr>
      <w:r>
        <w:rPr>
          <w:rFonts w:ascii="Times New Roman" w:cs="Times New Roman" w:eastAsia="Times New Roman" w:hAnsi="Times New Roman"/>
          <w:sz w:val="18"/>
          <w:szCs w:val="18"/>
          <w:color w:val="auto"/>
        </w:rPr>
        <w:t>SEC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xml:space="preserve">) protects directors, officers and employees from insider trading liability under Rule 10b5-1 for transactions under a previously established contract, plan or instruction to trade the Company’s Stock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xml:space="preserve">) entered into in good faith (and acted on in good faith for the duration of the Trading Plan) and in accordance with the terms of Rule 10b5-1 of the 1934 Act and all applicable state laws and shall be exempt from the trading restrictions set forth in the Policy. The initiation of, and any modification to, any such Trading Plan will be deemed to be a transaction in the Company’s securities and such initiation or modification is subject to all limitations and prohibitions of transactions involving the Company’s securities. Each such Trading Plan, and any modification thereof, shall be submitted to and pre-approved by the Compliance Officer, or such other person as the Company’s Board of Directors may designate from time to time (the </w:t>
      </w:r>
      <w:r>
        <w:rPr>
          <w:rFonts w:ascii="Times New Roman" w:cs="Times New Roman" w:eastAsia="Times New Roman" w:hAnsi="Times New Roman"/>
          <w:sz w:val="18"/>
          <w:szCs w:val="18"/>
          <w:b w:val="1"/>
          <w:bCs w:val="1"/>
          <w:i w:val="1"/>
          <w:iCs w:val="1"/>
          <w:color w:val="auto"/>
        </w:rPr>
        <w:t>“Authorizing Officer”</w:t>
      </w:r>
      <w:r>
        <w:rPr>
          <w:rFonts w:ascii="Times New Roman" w:cs="Times New Roman" w:eastAsia="Times New Roman" w:hAnsi="Times New Roman"/>
          <w:sz w:val="18"/>
          <w:szCs w:val="18"/>
          <w:color w:val="auto"/>
        </w:rPr>
        <w:t>), who may impose such conditions on the implementation and operation of the Trading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Authorizing Officer deems necessary or advisable. Without limiting the generality of the foregoing, the Authorizing Officer may prescribe certain forms of Trading Plans to which each Trading Plan must conform. The Authorizing Officer may also require that Trading Plans be arranged with a specified broker. However, compliance of the Trading Plan to the terms of Rule 10b5-1 and the execution of transactions pursuant to the Trading Plan are the sole responsibility of the person initiating the Trading Plan, not the Company or the Authorizing Officer.</w:t>
      </w:r>
    </w:p>
    <w:p>
      <w:pPr>
        <w:sectPr>
          <w:pgSz w:w="11900" w:h="16838" w:orient="portrait"/>
          <w:cols w:equalWidth="0" w:num="1">
            <w:col w:w="9019"/>
          </w:cols>
          <w:pgMar w:left="1440" w:top="411" w:right="1440" w:bottom="1440" w:gutter="0" w:footer="0" w:header="0"/>
        </w:sectPr>
      </w:pP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56318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2">
            <w:col w:w="6900" w:space="720"/>
            <w:col w:w="1399"/>
          </w:cols>
          <w:pgMar w:left="1440" w:top="411" w:right="1440" w:bottom="1440" w:gutter="0" w:footer="0" w:header="0"/>
          <w:type w:val="continuous"/>
        </w:sectPr>
      </w:pPr>
    </w:p>
    <w:bookmarkStart w:id="135" w:name="page136"/>
    <w:bookmarkEnd w:id="135"/>
    <w:p>
      <w:pPr>
        <w:jc w:val="both"/>
        <w:ind w:left="200" w:right="199" w:firstLine="609"/>
        <w:spacing w:after="0" w:line="260"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the Company’s Stock without the restrictions of windows and blackout periods even when there is undisclosed material information (subject to the cooling-off period described below). A Trading Plan might also help reduce negative publicity that may result when key executives sell the Company’s Stock. Rule 10b5-1 only provides an “affirmative defense” in the event there is an insider-trading lawsuit. It does not prevent someone from bringing a lawsuit.</w:t>
      </w:r>
    </w:p>
    <w:p>
      <w:pPr>
        <w:spacing w:after="0" w:line="162" w:lineRule="exact"/>
        <w:rPr>
          <w:sz w:val="20"/>
          <w:szCs w:val="20"/>
          <w:color w:val="auto"/>
        </w:rPr>
      </w:pPr>
    </w:p>
    <w:p>
      <w:pPr>
        <w:jc w:val="both"/>
        <w:ind w:left="200" w:right="199" w:firstLine="609"/>
        <w:spacing w:after="0" w:line="255" w:lineRule="auto"/>
        <w:rPr>
          <w:sz w:val="20"/>
          <w:szCs w:val="20"/>
          <w:color w:val="auto"/>
        </w:rPr>
      </w:pPr>
      <w:r>
        <w:rPr>
          <w:rFonts w:ascii="Times New Roman" w:cs="Times New Roman" w:eastAsia="Times New Roman" w:hAnsi="Times New Roman"/>
          <w:sz w:val="18"/>
          <w:szCs w:val="18"/>
          <w:color w:val="auto"/>
        </w:rPr>
        <w:t>A director, officer and employee may enter into a Trading Plan that outlines a pre-set plan for trading of the Company’s Stock, including the exercise of stock options only when he or she is not in possession of material, non-public information, and only during an open trading window period outside of the Black-Out Period and cooling-off period described below.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Section 16 filing coordinator to assist in the preparation and filing of a required Form 4. Form 4 and Form 5 filers must also indicate by checkbox if a reported transaction was made under a plan that is intended to satisfy the “affirmative defense” conditions of Rule 10b5-1(c) and the date of the adoption of such plan.</w:t>
      </w:r>
    </w:p>
    <w:p>
      <w:pPr>
        <w:spacing w:after="0" w:line="168" w:lineRule="exact"/>
        <w:rPr>
          <w:sz w:val="20"/>
          <w:szCs w:val="20"/>
          <w:color w:val="auto"/>
        </w:rPr>
      </w:pPr>
    </w:p>
    <w:p>
      <w:pPr>
        <w:jc w:val="both"/>
        <w:ind w:left="200" w:right="199" w:firstLine="609"/>
        <w:spacing w:after="0" w:line="270" w:lineRule="auto"/>
        <w:rPr>
          <w:sz w:val="20"/>
          <w:szCs w:val="20"/>
          <w:color w:val="auto"/>
        </w:rPr>
      </w:pPr>
      <w:r>
        <w:rPr>
          <w:rFonts w:ascii="Times New Roman" w:cs="Times New Roman" w:eastAsia="Times New Roman" w:hAnsi="Times New Roman"/>
          <w:sz w:val="18"/>
          <w:szCs w:val="18"/>
          <w:color w:val="auto"/>
        </w:rPr>
        <w:t xml:space="preserve">From time to time, for legal or other reasons, the Authorizing Officer may direct that purchases and sales pursuant to any Trading Plan be suspended or discontinued. Failure to discontinue purchases and sales as directed shall constitute a violation of the terms of this </w:t>
      </w:r>
      <w:r>
        <w:rPr>
          <w:rFonts w:ascii="Times New Roman" w:cs="Times New Roman" w:eastAsia="Times New Roman" w:hAnsi="Times New Roman"/>
          <w:sz w:val="18"/>
          <w:szCs w:val="18"/>
          <w:u w:val="single" w:color="auto"/>
          <w:color w:val="auto"/>
        </w:rPr>
        <w:t>Section V</w:t>
      </w:r>
      <w:r>
        <w:rPr>
          <w:rFonts w:ascii="Times New Roman" w:cs="Times New Roman" w:eastAsia="Times New Roman" w:hAnsi="Times New Roman"/>
          <w:sz w:val="18"/>
          <w:szCs w:val="18"/>
          <w:color w:val="auto"/>
        </w:rPr>
        <w:t xml:space="preserve"> and result in a loss of the exemption set forth herein.</w:t>
      </w:r>
    </w:p>
    <w:p>
      <w:pPr>
        <w:spacing w:after="0" w:line="1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Prohibition Against Multiple, Overlapping Plans</w:t>
      </w:r>
    </w:p>
    <w:p>
      <w:pPr>
        <w:spacing w:after="0" w:line="2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A director, officer or employee may only enter into one Trading Plan at a time.</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Director and Officer Representations</w:t>
      </w:r>
    </w:p>
    <w:p>
      <w:pPr>
        <w:spacing w:after="0" w:line="205"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Directors and officers must include a representation in their Trading Plan certifying, at the time of the adoption of a new or modified Trading Plan, that: (1) they are not aware of material nonpublic information about the Company or its securities; and (2) they are adopting the plan in good faith and not as part of a plan or scheme to evade the prohibitions of Rule 10b-5.</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Cooling-Off Period</w:t>
      </w:r>
    </w:p>
    <w:p>
      <w:pPr>
        <w:spacing w:after="0" w:line="205" w:lineRule="exact"/>
        <w:rPr>
          <w:sz w:val="20"/>
          <w:szCs w:val="20"/>
          <w:color w:val="auto"/>
        </w:rPr>
      </w:pPr>
    </w:p>
    <w:p>
      <w:pPr>
        <w:jc w:val="both"/>
        <w:ind w:left="200" w:right="199" w:firstLine="609"/>
        <w:spacing w:after="0" w:line="241" w:lineRule="auto"/>
        <w:rPr>
          <w:sz w:val="20"/>
          <w:szCs w:val="20"/>
          <w:color w:val="auto"/>
        </w:rPr>
      </w:pPr>
      <w:r>
        <w:rPr>
          <w:rFonts w:ascii="Times New Roman" w:cs="Times New Roman" w:eastAsia="Times New Roman" w:hAnsi="Times New Roman"/>
          <w:sz w:val="19"/>
          <w:szCs w:val="19"/>
          <w:color w:val="auto"/>
        </w:rPr>
        <w:t>Trades pursuant to a Trading Plan made by an executive officer or director may occur at any time, subject to the following waiting period, whichever is later, (i) a 90 day waiting period after the adoption or material modification of the Trading Plan during which time no transactions under the Trading Plan can be made; or (ii) two business days following the Company’s disclosure of financial results in in a Form 10-Q, Form 10-K, or Form 8-K for the fiscal quarter during which the plan was adopted or materially modified (in any event, subject to a maximum cooling-off period of 120 days following a plan adoption or modification) before any trading can commence under the adopted or modified Trading Plan.</w:t>
      </w:r>
    </w:p>
    <w:p>
      <w:pPr>
        <w:spacing w:after="0" w:line="180"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Trades pursuant to a Trading Plan made by employees that are non-executive officers may occur at any time, subject to a 30 day waiting period after the adoption or material modification of the Trading Plan, during which time no transactions under the Trading Plan can be made.</w:t>
      </w:r>
    </w:p>
    <w:p>
      <w:pPr>
        <w:spacing w:after="0" w:line="1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Trading Plan modifications that do not change the sales or purchase prices or price ranges, the</w:t>
      </w:r>
    </w:p>
    <w:p>
      <w:pPr>
        <w:sectPr>
          <w:pgSz w:w="11900" w:h="16838" w:orient="portrait"/>
          <w:cols w:equalWidth="0" w:num="1">
            <w:col w:w="9019"/>
          </w:cols>
          <w:pgMar w:left="1440" w:top="398" w:right="1440" w:bottom="1440" w:gutter="0" w:footer="0" w:header="0"/>
        </w:sectPr>
      </w:pPr>
    </w:p>
    <w:p>
      <w:pPr>
        <w:spacing w:after="0" w:line="2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56318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ectPr>
          <w:pgSz w:w="11900" w:h="16838" w:orient="portrait"/>
          <w:cols w:equalWidth="0" w:num="2">
            <w:col w:w="6900" w:space="720"/>
            <w:col w:w="1399"/>
          </w:cols>
          <w:pgMar w:left="1440" w:top="398" w:right="1440" w:bottom="1440" w:gutter="0" w:footer="0" w:header="0"/>
          <w:type w:val="continuous"/>
        </w:sectPr>
      </w:pPr>
    </w:p>
    <w:bookmarkStart w:id="136" w:name="page137"/>
    <w:bookmarkEnd w:id="136"/>
    <w:p>
      <w:pPr>
        <w:ind w:left="200"/>
        <w:spacing w:after="0"/>
        <w:rPr>
          <w:sz w:val="20"/>
          <w:szCs w:val="20"/>
          <w:color w:val="auto"/>
        </w:rPr>
      </w:pPr>
      <w:r>
        <w:rPr>
          <w:rFonts w:ascii="Times New Roman" w:cs="Times New Roman" w:eastAsia="Times New Roman" w:hAnsi="Times New Roman"/>
          <w:sz w:val="18"/>
          <w:szCs w:val="18"/>
          <w:color w:val="auto"/>
        </w:rPr>
        <w:t>amount of securities to be sold or purchased, or the timing of transactions under a Trading Plan (such as</w:t>
      </w:r>
    </w:p>
    <w:p>
      <w:pPr>
        <w:sectPr>
          <w:pgSz w:w="11900" w:h="16838" w:orient="portrait"/>
          <w:cols w:equalWidth="0" w:num="1">
            <w:col w:w="9019"/>
          </w:cols>
          <w:pgMar w:left="1440" w:top="335" w:right="1440" w:bottom="1440" w:gutter="0" w:footer="0" w:header="0"/>
        </w:sectPr>
      </w:pPr>
    </w:p>
    <w:p>
      <w:pPr>
        <w:spacing w:after="0" w:line="2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14</w:t>
      </w:r>
    </w:p>
    <w:p>
      <w:pPr>
        <w:sectPr>
          <w:pgSz w:w="11900" w:h="16838" w:orient="portrait"/>
          <w:cols w:equalWidth="0" w:num="2">
            <w:col w:w="6900" w:space="720"/>
            <w:col w:w="1399"/>
          </w:cols>
          <w:pgMar w:left="1440" w:top="335" w:right="1440" w:bottom="1440" w:gutter="0" w:footer="0" w:header="0"/>
          <w:type w:val="continuous"/>
        </w:sectPr>
      </w:pPr>
    </w:p>
    <w:bookmarkStart w:id="137" w:name="page138"/>
    <w:bookmarkEnd w:id="137"/>
    <w:p>
      <w:pPr>
        <w:ind w:left="200"/>
        <w:spacing w:after="0"/>
        <w:rPr>
          <w:sz w:val="20"/>
          <w:szCs w:val="20"/>
          <w:color w:val="auto"/>
        </w:rPr>
      </w:pPr>
      <w:r>
        <w:rPr>
          <w:rFonts w:ascii="Times New Roman" w:cs="Times New Roman" w:eastAsia="Times New Roman" w:hAnsi="Times New Roman"/>
          <w:sz w:val="19"/>
          <w:szCs w:val="19"/>
          <w:color w:val="auto"/>
        </w:rPr>
        <w:t>an adjustment for stock splits or a change in account information) will not trigger a new cooling-off period.</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Please review the following description of how a Trading Plan works.</w:t>
      </w:r>
    </w:p>
    <w:p>
      <w:pPr>
        <w:spacing w:after="0" w:line="205" w:lineRule="exact"/>
        <w:rPr>
          <w:sz w:val="20"/>
          <w:szCs w:val="20"/>
          <w:color w:val="auto"/>
        </w:rPr>
      </w:pPr>
    </w:p>
    <w:p>
      <w:pPr>
        <w:ind w:left="200" w:right="219" w:firstLine="609"/>
        <w:spacing w:after="0" w:line="263" w:lineRule="auto"/>
        <w:rPr>
          <w:sz w:val="20"/>
          <w:szCs w:val="20"/>
          <w:color w:val="auto"/>
        </w:rPr>
      </w:pPr>
      <w:r>
        <w:rPr>
          <w:rFonts w:ascii="Times New Roman" w:cs="Times New Roman" w:eastAsia="Times New Roman" w:hAnsi="Times New Roman"/>
          <w:sz w:val="19"/>
          <w:szCs w:val="19"/>
          <w:color w:val="auto"/>
        </w:rPr>
        <w:t>Pursuant to Rule 10b5-1, an individual’s purchase or sale of securities will not be “on the basis of” material non-public information if:</w:t>
      </w:r>
    </w:p>
    <w:p>
      <w:pPr>
        <w:spacing w:after="0" w:line="161" w:lineRule="exact"/>
        <w:rPr>
          <w:sz w:val="20"/>
          <w:szCs w:val="20"/>
          <w:color w:val="auto"/>
        </w:rPr>
      </w:pPr>
    </w:p>
    <w:p>
      <w:pPr>
        <w:jc w:val="both"/>
        <w:ind w:left="1420" w:right="199" w:hanging="620"/>
        <w:spacing w:after="0" w:line="249" w:lineRule="auto"/>
        <w:tabs>
          <w:tab w:leader="none" w:pos="14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First, before becoming aware of the information, the individual enters into a binding contract to purchase or sell the securities, provides instructions to another person to sell the securities or adopts a written plan for trading the securities in good faith (i.e., the Trading Plan).</w:t>
      </w:r>
    </w:p>
    <w:p>
      <w:pPr>
        <w:spacing w:after="0" w:line="18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Second, the Trading Plan must either:</w:t>
      </w:r>
    </w:p>
    <w:p>
      <w:pPr>
        <w:spacing w:after="0" w:line="200" w:lineRule="exact"/>
        <w:rPr>
          <w:rFonts w:ascii="Times New Roman" w:cs="Times New Roman" w:eastAsia="Times New Roman" w:hAnsi="Times New Roman"/>
          <w:sz w:val="19"/>
          <w:szCs w:val="19"/>
          <w:color w:val="auto"/>
        </w:rPr>
      </w:pPr>
    </w:p>
    <w:p>
      <w:pPr>
        <w:ind w:left="2020" w:right="199" w:hanging="610"/>
        <w:spacing w:after="0" w:line="250" w:lineRule="auto"/>
        <w:tabs>
          <w:tab w:leader="none" w:pos="2020" w:val="left"/>
        </w:tabs>
        <w:numPr>
          <w:ilvl w:val="2"/>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specify the amount of securities to be purchased or sold, the price at which the securities are to be purchased or sold and the date on which the securities are to be purchased or sold;</w:t>
      </w:r>
    </w:p>
    <w:p>
      <w:pPr>
        <w:spacing w:after="0" w:line="178" w:lineRule="exact"/>
        <w:rPr>
          <w:rFonts w:ascii="Times New Roman" w:cs="Times New Roman" w:eastAsia="Times New Roman" w:hAnsi="Times New Roman"/>
          <w:sz w:val="19"/>
          <w:szCs w:val="19"/>
          <w:color w:val="auto"/>
        </w:rPr>
      </w:pPr>
    </w:p>
    <w:p>
      <w:pPr>
        <w:ind w:left="2020" w:right="199" w:hanging="610"/>
        <w:spacing w:after="0" w:line="250" w:lineRule="auto"/>
        <w:tabs>
          <w:tab w:leader="none" w:pos="2020" w:val="left"/>
        </w:tabs>
        <w:numPr>
          <w:ilvl w:val="2"/>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include a written formula or computer program for determining the amount, price and date of the transactions; or</w:t>
      </w:r>
    </w:p>
    <w:p>
      <w:pPr>
        <w:spacing w:after="0" w:line="178" w:lineRule="exact"/>
        <w:rPr>
          <w:rFonts w:ascii="Times New Roman" w:cs="Times New Roman" w:eastAsia="Times New Roman" w:hAnsi="Times New Roman"/>
          <w:sz w:val="19"/>
          <w:szCs w:val="19"/>
          <w:color w:val="auto"/>
        </w:rPr>
      </w:pPr>
    </w:p>
    <w:p>
      <w:pPr>
        <w:ind w:left="2020" w:right="199" w:hanging="610"/>
        <w:spacing w:after="0" w:line="250" w:lineRule="auto"/>
        <w:tabs>
          <w:tab w:leader="none" w:pos="2020" w:val="left"/>
        </w:tabs>
        <w:numPr>
          <w:ilvl w:val="2"/>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prohibit the individual from exercising any subsequent influence over the purchase or sale of the Company’s Stock under the Trading Plan in question.</w:t>
      </w:r>
    </w:p>
    <w:p>
      <w:pPr>
        <w:spacing w:after="0" w:line="178" w:lineRule="exact"/>
        <w:rPr>
          <w:rFonts w:ascii="Times New Roman" w:cs="Times New Roman" w:eastAsia="Times New Roman" w:hAnsi="Times New Roman"/>
          <w:sz w:val="19"/>
          <w:szCs w:val="19"/>
          <w:color w:val="auto"/>
        </w:rPr>
      </w:pPr>
    </w:p>
    <w:p>
      <w:pPr>
        <w:ind w:left="1420" w:right="219" w:hanging="620"/>
        <w:spacing w:after="0" w:line="250" w:lineRule="auto"/>
        <w:tabs>
          <w:tab w:leader="none" w:pos="14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Third, the purchase or sale must occur pursuant to the Trading Plan and the individual must not enter into a corresponding hedging transaction or alter or deviate from the Trading Plan.</w:t>
      </w:r>
    </w:p>
    <w:p>
      <w:pPr>
        <w:spacing w:after="0" w:line="170" w:lineRule="exact"/>
        <w:rPr>
          <w:rFonts w:ascii="Times New Roman" w:cs="Times New Roman" w:eastAsia="Times New Roman" w:hAnsi="Times New Roman"/>
          <w:sz w:val="19"/>
          <w:szCs w:val="19"/>
          <w:color w:val="auto"/>
        </w:rPr>
      </w:pPr>
    </w:p>
    <w:p>
      <w:pPr>
        <w:ind w:left="1420" w:hanging="315"/>
        <w:spacing w:after="0"/>
        <w:tabs>
          <w:tab w:leader="none" w:pos="1420" w:val="left"/>
        </w:tabs>
        <w:numPr>
          <w:ilvl w:val="1"/>
          <w:numId w:val="1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2"/>
          <w:szCs w:val="12"/>
          <w:b w:val="1"/>
          <w:bCs w:val="1"/>
          <w:color w:val="auto"/>
        </w:rPr>
        <w:t>evocation</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2"/>
          <w:szCs w:val="12"/>
          <w:b w:val="1"/>
          <w:bCs w:val="1"/>
          <w:color w:val="auto"/>
        </w:rPr>
        <w:t>mendments to</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lans</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rPr>
          <w:sz w:val="20"/>
          <w:szCs w:val="20"/>
          <w:color w:val="auto"/>
        </w:rPr>
      </w:pPr>
      <w:r>
        <w:rPr>
          <w:rFonts w:ascii="Times New Roman" w:cs="Times New Roman" w:eastAsia="Times New Roman" w:hAnsi="Times New Roman"/>
          <w:sz w:val="19"/>
          <w:szCs w:val="19"/>
          <w:color w:val="auto"/>
        </w:rPr>
        <w:t>Revocation of Trading Plans (which includes terminations of Trading Plans) should occur only in unusual circumstances, and the effectiveness of any revocation of a Trading Plan will be subject to the prior review and approval of the Authorizing Officer. If an individual revokes a Trading Plan, then the individual may not enter into a new Trading Plan until thirty (30) days after termination of the Trading Plan or such longer period as the Authorizing Officer may determine in his or her discretion. Such new Trading Plan can be executed only when the individual is not in possession of material non-public information, and during a trading window period outside of a Black-Out Period. In addition, transactions pursuant to such new Trading Plan will be subject to the respective cooling-off period.</w:t>
      </w:r>
    </w:p>
    <w:p>
      <w:pPr>
        <w:spacing w:after="0" w:line="183" w:lineRule="exact"/>
        <w:rPr>
          <w:sz w:val="20"/>
          <w:szCs w:val="20"/>
          <w:color w:val="auto"/>
        </w:rPr>
      </w:pPr>
    </w:p>
    <w:p>
      <w:pPr>
        <w:jc w:val="both"/>
        <w:ind w:left="200" w:right="199" w:firstLine="609"/>
        <w:spacing w:after="0" w:line="243" w:lineRule="auto"/>
        <w:rPr>
          <w:sz w:val="20"/>
          <w:szCs w:val="20"/>
          <w:color w:val="auto"/>
        </w:rPr>
      </w:pPr>
      <w:r>
        <w:rPr>
          <w:rFonts w:ascii="Times New Roman" w:cs="Times New Roman" w:eastAsia="Times New Roman" w:hAnsi="Times New Roman"/>
          <w:sz w:val="19"/>
          <w:szCs w:val="19"/>
          <w:color w:val="auto"/>
        </w:rPr>
        <w:t>Each Trading Plan must contain provisions allowing the Company to revoke or suspend a Trading Plan. Circumstances under which Trading Plans may be revoked or suspended include the announcement of a merger or the occurrence of an event that would cause the transaction either to violate applicable law or to have an adverse effect on the Company. The Authorizing Officer or administrator of the Company’s stock plans is authorized to notify the applicable broker in such circumstances.</w:t>
      </w:r>
    </w:p>
    <w:p>
      <w:pPr>
        <w:spacing w:after="0" w:line="177" w:lineRule="exact"/>
        <w:rPr>
          <w:sz w:val="20"/>
          <w:szCs w:val="20"/>
          <w:color w:val="auto"/>
        </w:rPr>
      </w:pPr>
    </w:p>
    <w:p>
      <w:pPr>
        <w:jc w:val="both"/>
        <w:ind w:left="200" w:right="199" w:firstLine="609"/>
        <w:spacing w:after="0" w:line="243" w:lineRule="auto"/>
        <w:rPr>
          <w:sz w:val="20"/>
          <w:szCs w:val="20"/>
          <w:color w:val="auto"/>
        </w:rPr>
      </w:pPr>
      <w:r>
        <w:rPr>
          <w:rFonts w:ascii="Times New Roman" w:cs="Times New Roman" w:eastAsia="Times New Roman" w:hAnsi="Times New Roman"/>
          <w:sz w:val="19"/>
          <w:szCs w:val="19"/>
          <w:color w:val="auto"/>
        </w:rPr>
        <w:t>Amendments to Trading Plans, which for these purposes would include any modifications to or voluntary suspensions of Trading Plans, should be made in only very limited circumstances and should be avoided if possible. Any amendment to a Trading Plan will be subject to the prior review and approval of the Authorizing Officer. Any amendment to a Trading Plan can be effected only when the individual is not in possession of material non-public information, and during a trading window period outside of a</w:t>
      </w:r>
    </w:p>
    <w:p>
      <w:pPr>
        <w:sectPr>
          <w:pgSz w:w="11900" w:h="16838" w:orient="portrait"/>
          <w:cols w:equalWidth="0" w:num="1">
            <w:col w:w="9019"/>
          </w:cols>
          <w:pgMar w:left="1440" w:top="398" w:right="1440" w:bottom="1440" w:gutter="0" w:footer="0" w:header="0"/>
        </w:sectPr>
      </w:pP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56318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w:t>
      </w:r>
    </w:p>
    <w:p>
      <w:pPr>
        <w:sectPr>
          <w:pgSz w:w="11900" w:h="16838" w:orient="portrait"/>
          <w:cols w:equalWidth="0" w:num="2">
            <w:col w:w="6900" w:space="720"/>
            <w:col w:w="1399"/>
          </w:cols>
          <w:pgMar w:left="1440" w:top="398" w:right="1440" w:bottom="1440" w:gutter="0" w:footer="0" w:header="0"/>
          <w:type w:val="continuous"/>
        </w:sectPr>
      </w:pPr>
    </w:p>
    <w:bookmarkStart w:id="138" w:name="page139"/>
    <w:bookmarkEnd w:id="138"/>
    <w:p>
      <w:pPr>
        <w:jc w:val="both"/>
        <w:ind w:left="200" w:right="199"/>
        <w:spacing w:after="0" w:line="250" w:lineRule="auto"/>
        <w:rPr>
          <w:sz w:val="20"/>
          <w:szCs w:val="20"/>
          <w:color w:val="auto"/>
        </w:rPr>
      </w:pPr>
      <w:r>
        <w:rPr>
          <w:rFonts w:ascii="Times New Roman" w:cs="Times New Roman" w:eastAsia="Times New Roman" w:hAnsi="Times New Roman"/>
          <w:sz w:val="19"/>
          <w:szCs w:val="19"/>
          <w:color w:val="auto"/>
        </w:rPr>
        <w:t>Black-Out Period. In addition, transactions pursuant to such amended Trading Plan will be subject to the respective cooling-off period (or such longer period as the Authorizing Officer may determine in his or her discretion) during which time no transactions under the amended Trading Plan can be made.</w:t>
      </w:r>
    </w:p>
    <w:p>
      <w:pPr>
        <w:spacing w:after="0" w:line="165" w:lineRule="exact"/>
        <w:rPr>
          <w:sz w:val="20"/>
          <w:szCs w:val="20"/>
          <w:color w:val="auto"/>
        </w:rPr>
      </w:pPr>
    </w:p>
    <w:p>
      <w:pPr>
        <w:ind w:left="1420" w:hanging="315"/>
        <w:spacing w:after="0"/>
        <w:tabs>
          <w:tab w:leader="none" w:pos="1420" w:val="left"/>
        </w:tabs>
        <w:numPr>
          <w:ilvl w:val="0"/>
          <w:numId w:val="1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2"/>
          <w:szCs w:val="12"/>
          <w:b w:val="1"/>
          <w:bCs w:val="1"/>
          <w:color w:val="auto"/>
        </w:rPr>
        <w:t>iscretionary</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lans</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Discretionary Trading Plans, where the discretion or control over trading is transferred to a broker, are permitted if (i) pre-approved by the Authorizing Officer, (ii) the officer, director, or employee may not exercise influence over the broker’s trading decisions and (iii) the broker may not be in possession of any Company material non-public information.</w:t>
      </w:r>
    </w:p>
    <w:p>
      <w:pPr>
        <w:spacing w:after="0" w:line="175" w:lineRule="exact"/>
        <w:rPr>
          <w:sz w:val="20"/>
          <w:szCs w:val="20"/>
          <w:color w:val="auto"/>
        </w:rPr>
      </w:pPr>
    </w:p>
    <w:p>
      <w:pPr>
        <w:jc w:val="both"/>
        <w:ind w:left="200" w:right="199" w:firstLine="609"/>
        <w:spacing w:after="0" w:line="243" w:lineRule="auto"/>
        <w:rPr>
          <w:sz w:val="20"/>
          <w:szCs w:val="20"/>
          <w:color w:val="auto"/>
        </w:rPr>
      </w:pPr>
      <w:r>
        <w:rPr>
          <w:rFonts w:ascii="Times New Roman" w:cs="Times New Roman" w:eastAsia="Times New Roman" w:hAnsi="Times New Roman"/>
          <w:sz w:val="19"/>
          <w:szCs w:val="19"/>
          <w:color w:val="auto"/>
        </w:rPr>
        <w:t>The Authorizing Officer of the Company must pre-approve any Trading Plan, arrangement or trading instructions, etc., involving potential sales or purchases of the Company’s Stock or stock option exercises, including but not limited to, blind trusts, or limit orders. The actual transactions effected pursuant to a pre-approved Trading Plan will not be subject to further pre-clearance for transactions in the Company’s Stock once the Trading Plan or other arrangement has been pre-approved.</w:t>
      </w:r>
    </w:p>
    <w:p>
      <w:pPr>
        <w:spacing w:after="0" w:line="173" w:lineRule="exact"/>
        <w:rPr>
          <w:sz w:val="20"/>
          <w:szCs w:val="20"/>
          <w:color w:val="auto"/>
        </w:rPr>
      </w:pPr>
    </w:p>
    <w:p>
      <w:pPr>
        <w:ind w:left="1420" w:hanging="315"/>
        <w:spacing w:after="0"/>
        <w:tabs>
          <w:tab w:leader="none" w:pos="1420" w:val="left"/>
        </w:tabs>
        <w:numPr>
          <w:ilvl w:val="0"/>
          <w:numId w:val="1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2"/>
          <w:szCs w:val="12"/>
          <w:b w:val="1"/>
          <w:bCs w:val="1"/>
          <w:color w:val="auto"/>
        </w:rPr>
        <w:t>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2"/>
          <w:szCs w:val="12"/>
          <w:b w:val="1"/>
          <w:bCs w:val="1"/>
          <w:color w:val="auto"/>
        </w:rPr>
        <w:t>if required</w:t>
      </w:r>
      <w:r>
        <w:rPr>
          <w:rFonts w:ascii="Times New Roman" w:cs="Times New Roman" w:eastAsia="Times New Roman" w:hAnsi="Times New Roman"/>
          <w:sz w:val="19"/>
          <w:szCs w:val="19"/>
          <w:b w:val="1"/>
          <w:bCs w:val="1"/>
          <w:color w:val="auto"/>
        </w:rPr>
        <w:t>).</w:t>
      </w:r>
    </w:p>
    <w:p>
      <w:pPr>
        <w:spacing w:after="0" w:line="212" w:lineRule="exact"/>
        <w:rPr>
          <w:sz w:val="20"/>
          <w:szCs w:val="20"/>
          <w:color w:val="auto"/>
        </w:rPr>
      </w:pPr>
    </w:p>
    <w:p>
      <w:pPr>
        <w:jc w:val="both"/>
        <w:ind w:left="200" w:right="199" w:firstLine="609"/>
        <w:spacing w:after="0" w:line="251" w:lineRule="auto"/>
        <w:rPr>
          <w:sz w:val="20"/>
          <w:szCs w:val="20"/>
          <w:color w:val="auto"/>
        </w:rPr>
      </w:pPr>
      <w:r>
        <w:rPr>
          <w:rFonts w:ascii="Times New Roman" w:cs="Times New Roman" w:eastAsia="Times New Roman" w:hAnsi="Times New Roman"/>
          <w:sz w:val="19"/>
          <w:szCs w:val="19"/>
          <w:color w:val="auto"/>
        </w:rPr>
        <w:t>SEC Form 144 (</w:t>
      </w:r>
      <w:r>
        <w:rPr>
          <w:rFonts w:ascii="Times New Roman" w:cs="Times New Roman" w:eastAsia="Times New Roman" w:hAnsi="Times New Roman"/>
          <w:sz w:val="19"/>
          <w:szCs w:val="19"/>
          <w:b w:val="1"/>
          <w:bCs w:val="1"/>
          <w:i w:val="1"/>
          <w:iCs w:val="1"/>
          <w:color w:val="auto"/>
        </w:rPr>
        <w:t>“Form 144”</w:t>
      </w:r>
      <w:r>
        <w:rPr>
          <w:rFonts w:ascii="Times New Roman" w:cs="Times New Roman" w:eastAsia="Times New Roman" w:hAnsi="Times New Roman"/>
          <w:sz w:val="19"/>
          <w:szCs w:val="19"/>
          <w:color w:val="auto"/>
        </w:rPr>
        <w:t>) will be filled out and filed by the individual/brokerage firm in accordance with the existing rules regarding Form 144 filings. A footnote at the bottom of the Form 144 should indicate that</w:t>
      </w:r>
    </w:p>
    <w:p>
      <w:pPr>
        <w:spacing w:after="0" w:line="1" w:lineRule="exact"/>
        <w:rPr>
          <w:sz w:val="20"/>
          <w:szCs w:val="20"/>
          <w:color w:val="auto"/>
        </w:rPr>
      </w:pPr>
    </w:p>
    <w:p>
      <w:pPr>
        <w:jc w:val="both"/>
        <w:ind w:left="200" w:right="199"/>
        <w:spacing w:after="0" w:line="204" w:lineRule="auto"/>
        <w:rPr>
          <w:sz w:val="20"/>
          <w:szCs w:val="20"/>
          <w:color w:val="auto"/>
        </w:rPr>
      </w:pPr>
      <w:r>
        <w:rPr>
          <w:rFonts w:ascii="Times New Roman" w:cs="Times New Roman" w:eastAsia="Times New Roman" w:hAnsi="Times New Roman"/>
          <w:sz w:val="19"/>
          <w:szCs w:val="19"/>
          <w:color w:val="auto"/>
        </w:rPr>
        <w:t>the trades “are in accordance with a Trading Plan that complies with Rule 10b5-1 and expires ​ .” For Section 16 reporting persons, Form 4s should be filed before the end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9"/>
          <w:szCs w:val="19"/>
          <w:color w:val="auto"/>
        </w:rPr>
        <w:t>) business day following the date that the broker, dealer or plan administrator informs the individual that a transaction was executed, provided that the date of such notification is not later than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9"/>
          <w:szCs w:val="19"/>
          <w:color w:val="auto"/>
        </w:rPr>
        <w:t>) business day following the trade date. A similar footnote should be placed at the bottom of the Form 4 as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-574675</wp:posOffset>
            </wp:positionV>
            <wp:extent cx="3600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7" w:lineRule="exact"/>
        <w:rPr>
          <w:sz w:val="20"/>
          <w:szCs w:val="20"/>
          <w:color w:val="auto"/>
        </w:rPr>
      </w:pPr>
    </w:p>
    <w:p>
      <w:pPr>
        <w:ind w:left="1420" w:hanging="315"/>
        <w:spacing w:after="0"/>
        <w:tabs>
          <w:tab w:leader="none" w:pos="1420" w:val="left"/>
        </w:tabs>
        <w:numPr>
          <w:ilvl w:val="0"/>
          <w:numId w:val="1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2"/>
          <w:szCs w:val="12"/>
          <w:b w:val="1"/>
          <w:bCs w:val="1"/>
          <w:color w:val="auto"/>
        </w:rPr>
        <w:t>ptions</w:t>
      </w:r>
      <w:r>
        <w:rPr>
          <w:rFonts w:ascii="Times New Roman" w:cs="Times New Roman" w:eastAsia="Times New Roman" w:hAnsi="Times New Roman"/>
          <w:sz w:val="19"/>
          <w:szCs w:val="19"/>
          <w:b w:val="1"/>
          <w:bCs w:val="1"/>
          <w:color w:val="auto"/>
        </w:rPr>
        <w:t>.</w:t>
      </w:r>
    </w:p>
    <w:p>
      <w:pPr>
        <w:spacing w:after="0" w:line="205" w:lineRule="exact"/>
        <w:rPr>
          <w:sz w:val="20"/>
          <w:szCs w:val="20"/>
          <w:color w:val="auto"/>
        </w:rPr>
      </w:pPr>
    </w:p>
    <w:p>
      <w:pPr>
        <w:jc w:val="both"/>
        <w:ind w:left="200" w:right="199" w:firstLine="609"/>
        <w:spacing w:after="0" w:line="260" w:lineRule="auto"/>
        <w:rPr>
          <w:sz w:val="20"/>
          <w:szCs w:val="20"/>
          <w:color w:val="auto"/>
        </w:rPr>
      </w:pPr>
      <w:r>
        <w:rPr>
          <w:rFonts w:ascii="Times New Roman" w:cs="Times New Roman" w:eastAsia="Times New Roman" w:hAnsi="Times New Roman"/>
          <w:sz w:val="18"/>
          <w:szCs w:val="18"/>
          <w:color w:val="auto"/>
        </w:rPr>
        <w:t>Cash exercise of stock options currently can be executed at any time. Same day sales exercises of stock options are subject to trading windows. However, the Company will permit same day sales under Trading Plans. Once a broker determines that the time is right to exercise the stock option and dispose of the shares in accordance with the Trading Plan, the broker will notify the Company in writing and the administrator of the Company’s stock plans will process the transaction. The insider should not be involved with this type of same day sale exercise.</w:t>
      </w:r>
    </w:p>
    <w:p>
      <w:pPr>
        <w:spacing w:after="0" w:line="171" w:lineRule="exact"/>
        <w:rPr>
          <w:sz w:val="20"/>
          <w:szCs w:val="20"/>
          <w:color w:val="auto"/>
        </w:rPr>
      </w:pPr>
    </w:p>
    <w:p>
      <w:pPr>
        <w:ind w:left="1420" w:hanging="315"/>
        <w:spacing w:after="0"/>
        <w:tabs>
          <w:tab w:leader="none" w:pos="1420" w:val="left"/>
        </w:tabs>
        <w:numPr>
          <w:ilvl w:val="0"/>
          <w:numId w:val="1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2"/>
          <w:szCs w:val="12"/>
          <w:b w:val="1"/>
          <w:bCs w:val="1"/>
          <w:color w:val="auto"/>
        </w:rPr>
        <w:t>rades</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2"/>
          <w:szCs w:val="12"/>
          <w:b w:val="1"/>
          <w:bCs w:val="1"/>
          <w:color w:val="auto"/>
        </w:rPr>
        <w:t>utside of a</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ind w:left="200" w:right="199" w:firstLine="609"/>
        <w:spacing w:after="0" w:line="263" w:lineRule="auto"/>
        <w:rPr>
          <w:sz w:val="20"/>
          <w:szCs w:val="20"/>
          <w:color w:val="auto"/>
        </w:rPr>
      </w:pPr>
      <w:r>
        <w:rPr>
          <w:rFonts w:ascii="Times New Roman" w:cs="Times New Roman" w:eastAsia="Times New Roman" w:hAnsi="Times New Roman"/>
          <w:sz w:val="19"/>
          <w:szCs w:val="19"/>
          <w:color w:val="auto"/>
        </w:rPr>
        <w:t>During an open window, trades which differ from Trading Plan instructions that are already in place are allowed as long as the Trading Plan continues to be followed.</w:t>
      </w:r>
    </w:p>
    <w:p>
      <w:pPr>
        <w:spacing w:after="0" w:line="1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The Trading Plans do not exempt the Section 16 reporting person from the Section 16 six</w:t>
      </w:r>
    </w:p>
    <w:p>
      <w:pPr>
        <w:spacing w:after="0" w:line="27" w:lineRule="exact"/>
        <w:rPr>
          <w:sz w:val="20"/>
          <w:szCs w:val="20"/>
          <w:color w:val="auto"/>
        </w:rPr>
      </w:pPr>
    </w:p>
    <w:p>
      <w:pPr>
        <w:ind w:left="420" w:hanging="226"/>
        <w:spacing w:after="0"/>
        <w:tabs>
          <w:tab w:leader="none" w:pos="42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month short-swing profit rules or liability.</w:t>
      </w:r>
    </w:p>
    <w:p>
      <w:pPr>
        <w:spacing w:after="0" w:line="212" w:lineRule="exact"/>
        <w:rPr>
          <w:rFonts w:ascii="Times New Roman" w:cs="Times New Roman" w:eastAsia="Times New Roman" w:hAnsi="Times New Roman"/>
          <w:sz w:val="17"/>
          <w:szCs w:val="17"/>
          <w:b w:val="1"/>
          <w:bCs w:val="1"/>
          <w:color w:val="auto"/>
        </w:rPr>
      </w:pPr>
    </w:p>
    <w:p>
      <w:pPr>
        <w:ind w:left="8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isclosures</w:t>
      </w:r>
      <w:r>
        <w:rPr>
          <w:rFonts w:ascii="Times New Roman" w:cs="Times New Roman" w:eastAsia="Times New Roman" w:hAnsi="Times New Roman"/>
          <w:sz w:val="17"/>
          <w:szCs w:val="17"/>
          <w:b w:val="1"/>
          <w:bCs w:val="1"/>
          <w:color w:val="auto"/>
        </w:rPr>
        <w:t>.</w:t>
      </w:r>
    </w:p>
    <w:p>
      <w:pPr>
        <w:spacing w:after="0" w:line="218" w:lineRule="exact"/>
        <w:rPr>
          <w:sz w:val="20"/>
          <w:szCs w:val="20"/>
          <w:color w:val="auto"/>
        </w:rPr>
      </w:pPr>
    </w:p>
    <w:p>
      <w:pPr>
        <w:ind w:left="200" w:right="199" w:firstLine="609"/>
        <w:spacing w:after="0" w:line="263" w:lineRule="auto"/>
        <w:rPr>
          <w:sz w:val="20"/>
          <w:szCs w:val="20"/>
          <w:color w:val="auto"/>
        </w:rPr>
      </w:pPr>
      <w:r>
        <w:rPr>
          <w:rFonts w:ascii="Times New Roman" w:cs="Times New Roman" w:eastAsia="Times New Roman" w:hAnsi="Times New Roman"/>
          <w:sz w:val="19"/>
          <w:szCs w:val="19"/>
          <w:color w:val="auto"/>
        </w:rPr>
        <w:t>The Company will make quarterly disclosures regarding the adoption, material modification and termination of Trading Plans and certain other written trading arrangements by the Company’s directors</w:t>
      </w:r>
    </w:p>
    <w:p>
      <w:pPr>
        <w:sectPr>
          <w:pgSz w:w="11900" w:h="16838" w:orient="portrait"/>
          <w:cols w:equalWidth="0" w:num="1">
            <w:col w:w="9019"/>
          </w:cols>
          <w:pgMar w:left="1440" w:top="398" w:right="1440" w:bottom="1440" w:gutter="0" w:footer="0" w:header="0"/>
        </w:sectPr>
      </w:pPr>
    </w:p>
    <w:p>
      <w:pPr>
        <w:spacing w:after="0" w:line="1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56318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16</w:t>
      </w:r>
    </w:p>
    <w:p>
      <w:pPr>
        <w:sectPr>
          <w:pgSz w:w="11900" w:h="16838" w:orient="portrait"/>
          <w:cols w:equalWidth="0" w:num="2">
            <w:col w:w="6900" w:space="720"/>
            <w:col w:w="1399"/>
          </w:cols>
          <w:pgMar w:left="1440" w:top="398" w:right="1440" w:bottom="1440" w:gutter="0" w:footer="0" w:header="0"/>
          <w:type w:val="continuous"/>
        </w:sectPr>
      </w:pPr>
    </w:p>
    <w:bookmarkStart w:id="139" w:name="page140"/>
    <w:bookmarkEnd w:id="139"/>
    <w:p>
      <w:pPr>
        <w:ind w:left="200" w:right="199"/>
        <w:spacing w:after="0" w:line="263" w:lineRule="auto"/>
        <w:rPr>
          <w:sz w:val="20"/>
          <w:szCs w:val="20"/>
          <w:color w:val="auto"/>
        </w:rPr>
      </w:pPr>
      <w:r>
        <w:rPr>
          <w:rFonts w:ascii="Times New Roman" w:cs="Times New Roman" w:eastAsia="Times New Roman" w:hAnsi="Times New Roman"/>
          <w:sz w:val="19"/>
          <w:szCs w:val="19"/>
          <w:color w:val="auto"/>
        </w:rPr>
        <w:t>and officers for the trading of its securities, including the material terms (other than the pricing terms) of such arrangements. The Company will also make an annual disclosure in its annual reports or in the</w:t>
      </w:r>
    </w:p>
    <w:p>
      <w:pPr>
        <w:sectPr>
          <w:pgSz w:w="11900" w:h="16838" w:orient="portrait"/>
          <w:cols w:equalWidth="0" w:num="1">
            <w:col w:w="9019"/>
          </w:cols>
          <w:pgMar w:left="1440" w:top="335" w:right="1440" w:bottom="1440" w:gutter="0" w:footer="0" w:header="0"/>
        </w:sectPr>
      </w:pPr>
    </w:p>
    <w:p>
      <w:pPr>
        <w:spacing w:after="0" w:line="1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17</w:t>
      </w:r>
    </w:p>
    <w:p>
      <w:pPr>
        <w:sectPr>
          <w:pgSz w:w="11900" w:h="16838" w:orient="portrait"/>
          <w:cols w:equalWidth="0" w:num="2">
            <w:col w:w="6900" w:space="720"/>
            <w:col w:w="1399"/>
          </w:cols>
          <w:pgMar w:left="1440" w:top="335" w:right="1440" w:bottom="1440" w:gutter="0" w:footer="0" w:header="0"/>
          <w:type w:val="continuous"/>
        </w:sectPr>
      </w:pPr>
    </w:p>
    <w:bookmarkStart w:id="140" w:name="page141"/>
    <w:bookmarkEnd w:id="140"/>
    <w:p>
      <w:pPr>
        <w:jc w:val="both"/>
        <w:ind w:left="200" w:right="199"/>
        <w:spacing w:after="0" w:line="243" w:lineRule="auto"/>
        <w:rPr>
          <w:sz w:val="20"/>
          <w:szCs w:val="20"/>
          <w:color w:val="auto"/>
        </w:rPr>
      </w:pPr>
      <w:r>
        <w:rPr>
          <w:rFonts w:ascii="Times New Roman" w:cs="Times New Roman" w:eastAsia="Times New Roman" w:hAnsi="Times New Roman"/>
          <w:sz w:val="19"/>
          <w:szCs w:val="19"/>
          <w:color w:val="auto"/>
        </w:rPr>
        <w:t>annual meeting proxy statement whether it has adopted insider trading policies and procedures and include such policies in its Form 10-K. The Company will also provide certain tabular and narrative disclosures regarding awards of options close in time to the release of material nonpublic information and related policies and procedures. The Company may also make public announcements or respond to inquiries from the media as transactions are made under a Trading Plan.</w:t>
      </w:r>
    </w:p>
    <w:p>
      <w:pPr>
        <w:spacing w:after="0" w:line="173" w:lineRule="exact"/>
        <w:rPr>
          <w:sz w:val="20"/>
          <w:szCs w:val="20"/>
          <w:color w:val="auto"/>
        </w:rPr>
      </w:pPr>
    </w:p>
    <w:p>
      <w:pPr>
        <w:ind w:left="1420" w:hanging="315"/>
        <w:spacing w:after="0"/>
        <w:tabs>
          <w:tab w:leader="none" w:pos="1420" w:val="left"/>
        </w:tabs>
        <w:numPr>
          <w:ilvl w:val="0"/>
          <w:numId w:val="1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ledging the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tock to</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2"/>
          <w:szCs w:val="12"/>
          <w:b w:val="1"/>
          <w:bCs w:val="1"/>
          <w:color w:val="auto"/>
        </w:rPr>
        <w:t>ecure</w:t>
      </w:r>
      <w:r>
        <w:rPr>
          <w:rFonts w:ascii="Times New Roman" w:cs="Times New Roman" w:eastAsia="Times New Roman" w:hAnsi="Times New Roman"/>
          <w:sz w:val="19"/>
          <w:szCs w:val="19"/>
          <w:b w:val="1"/>
          <w:bCs w:val="1"/>
          <w:color w:val="auto"/>
        </w:rPr>
        <w:t xml:space="preserve"> M</w:t>
      </w:r>
      <w:r>
        <w:rPr>
          <w:rFonts w:ascii="Times New Roman" w:cs="Times New Roman" w:eastAsia="Times New Roman" w:hAnsi="Times New Roman"/>
          <w:sz w:val="12"/>
          <w:szCs w:val="12"/>
          <w:b w:val="1"/>
          <w:bCs w:val="1"/>
          <w:color w:val="auto"/>
        </w:rPr>
        <w:t>argin of</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9"/>
          <w:szCs w:val="19"/>
          <w:b w:val="1"/>
          <w:bCs w:val="1"/>
          <w:color w:val="auto"/>
        </w:rPr>
        <w:t xml:space="preserve"> L</w:t>
      </w:r>
      <w:r>
        <w:rPr>
          <w:rFonts w:ascii="Times New Roman" w:cs="Times New Roman" w:eastAsia="Times New Roman" w:hAnsi="Times New Roman"/>
          <w:sz w:val="12"/>
          <w:szCs w:val="12"/>
          <w:b w:val="1"/>
          <w:bCs w:val="1"/>
          <w:color w:val="auto"/>
        </w:rPr>
        <w:t>oans</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 xml:space="preserve">The Company does not permit officers or directors to pledge the Company’s Stock or securities as collateral to secure loans. Such pledges also cannot be carried out through a Trading Plan. The Trading Plan must be consistent with </w:t>
      </w:r>
      <w:r>
        <w:rPr>
          <w:rFonts w:ascii="Times New Roman" w:cs="Times New Roman" w:eastAsia="Times New Roman" w:hAnsi="Times New Roman"/>
          <w:sz w:val="19"/>
          <w:szCs w:val="19"/>
          <w:u w:val="single" w:color="auto"/>
          <w:color w:val="auto"/>
        </w:rPr>
        <w:t>Section IV E</w:t>
      </w:r>
      <w:r>
        <w:rPr>
          <w:rFonts w:ascii="Times New Roman" w:cs="Times New Roman" w:eastAsia="Times New Roman" w:hAnsi="Times New Roman"/>
          <w:sz w:val="19"/>
          <w:szCs w:val="19"/>
          <w:color w:val="auto"/>
        </w:rPr>
        <w:t xml:space="preserve"> above.</w:t>
      </w:r>
    </w:p>
    <w:p>
      <w:pPr>
        <w:spacing w:after="0" w:line="190" w:lineRule="exact"/>
        <w:rPr>
          <w:sz w:val="20"/>
          <w:szCs w:val="20"/>
          <w:color w:val="auto"/>
        </w:rPr>
      </w:pPr>
    </w:p>
    <w:p>
      <w:pPr>
        <w:ind w:left="1420" w:hanging="315"/>
        <w:spacing w:after="0"/>
        <w:tabs>
          <w:tab w:leader="none" w:pos="1420" w:val="left"/>
        </w:tabs>
        <w:numPr>
          <w:ilvl w:val="0"/>
          <w:numId w:val="1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ut and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2"/>
          <w:szCs w:val="12"/>
          <w:b w:val="1"/>
          <w:bCs w:val="1"/>
          <w:color w:val="auto"/>
        </w:rPr>
        <w:t>all</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2"/>
          <w:szCs w:val="12"/>
          <w:b w:val="1"/>
          <w:bCs w:val="1"/>
          <w:color w:val="auto"/>
        </w:rPr>
        <w:t>ptions and other</w:t>
      </w:r>
      <w:r>
        <w:rPr>
          <w:rFonts w:ascii="Times New Roman" w:cs="Times New Roman" w:eastAsia="Times New Roman" w:hAnsi="Times New Roman"/>
          <w:sz w:val="19"/>
          <w:szCs w:val="19"/>
          <w:b w:val="1"/>
          <w:bCs w:val="1"/>
          <w:color w:val="auto"/>
        </w:rPr>
        <w:t xml:space="preserve"> H</w:t>
      </w:r>
      <w:r>
        <w:rPr>
          <w:rFonts w:ascii="Times New Roman" w:cs="Times New Roman" w:eastAsia="Times New Roman" w:hAnsi="Times New Roman"/>
          <w:sz w:val="12"/>
          <w:szCs w:val="12"/>
          <w:b w:val="1"/>
          <w:bCs w:val="1"/>
          <w:color w:val="auto"/>
        </w:rPr>
        <w:t>edging</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 xml:space="preserve">Put and call options and other hedging transactions will not be permitted under a Trading Plan. In fact, such transactions outside of a Trading Plan may destroy the protection afforded by a Trading Plan. The Trading Plan must be consistent with </w:t>
      </w:r>
      <w:r>
        <w:rPr>
          <w:rFonts w:ascii="Times New Roman" w:cs="Times New Roman" w:eastAsia="Times New Roman" w:hAnsi="Times New Roman"/>
          <w:sz w:val="19"/>
          <w:szCs w:val="19"/>
          <w:u w:val="single" w:color="auto"/>
          <w:color w:val="auto"/>
        </w:rPr>
        <w:t>Section IV E</w:t>
      </w:r>
      <w:r>
        <w:rPr>
          <w:rFonts w:ascii="Times New Roman" w:cs="Times New Roman" w:eastAsia="Times New Roman" w:hAnsi="Times New Roman"/>
          <w:sz w:val="19"/>
          <w:szCs w:val="19"/>
          <w:color w:val="auto"/>
        </w:rPr>
        <w:t xml:space="preserve"> above.</w:t>
      </w:r>
    </w:p>
    <w:p>
      <w:pPr>
        <w:spacing w:after="0" w:line="177" w:lineRule="exact"/>
        <w:rPr>
          <w:sz w:val="20"/>
          <w:szCs w:val="20"/>
          <w:color w:val="auto"/>
        </w:rPr>
      </w:pPr>
    </w:p>
    <w:p>
      <w:pPr>
        <w:ind w:left="1420" w:hanging="315"/>
        <w:spacing w:after="0"/>
        <w:tabs>
          <w:tab w:leader="none" w:pos="1420" w:val="left"/>
        </w:tabs>
        <w:numPr>
          <w:ilvl w:val="0"/>
          <w:numId w:val="1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akes</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recedence</w:t>
      </w:r>
      <w:r>
        <w:rPr>
          <w:rFonts w:ascii="Times New Roman" w:cs="Times New Roman" w:eastAsia="Times New Roman" w:hAnsi="Times New Roman"/>
          <w:sz w:val="19"/>
          <w:szCs w:val="19"/>
          <w:b w:val="1"/>
          <w:bCs w:val="1"/>
          <w:color w:val="auto"/>
        </w:rPr>
        <w:t>.</w:t>
      </w:r>
    </w:p>
    <w:p>
      <w:pPr>
        <w:spacing w:after="0" w:line="218" w:lineRule="exact"/>
        <w:rPr>
          <w:sz w:val="20"/>
          <w:szCs w:val="20"/>
          <w:color w:val="auto"/>
        </w:rPr>
      </w:pPr>
    </w:p>
    <w:p>
      <w:pPr>
        <w:ind w:left="200" w:right="219" w:firstLine="609"/>
        <w:spacing w:after="0" w:line="263" w:lineRule="auto"/>
        <w:rPr>
          <w:sz w:val="20"/>
          <w:szCs w:val="20"/>
          <w:color w:val="auto"/>
        </w:rPr>
      </w:pPr>
      <w:r>
        <w:rPr>
          <w:rFonts w:ascii="Times New Roman" w:cs="Times New Roman" w:eastAsia="Times New Roman" w:hAnsi="Times New Roman"/>
          <w:sz w:val="19"/>
          <w:szCs w:val="19"/>
          <w:color w:val="auto"/>
        </w:rPr>
        <w:t>In the event of any conflict between this Policy and any Trading Plan, this Policy shall control, to the extent the Trading Plan would permit activities otherwise prohibited by this Policy.</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VI. EXECUTION AND RETURN OF CERTIFICATION OF COMPLIANCE.</w:t>
      </w:r>
    </w:p>
    <w:p>
      <w:pPr>
        <w:spacing w:after="0" w:line="205" w:lineRule="exact"/>
        <w:rPr>
          <w:sz w:val="20"/>
          <w:szCs w:val="20"/>
          <w:color w:val="auto"/>
        </w:rPr>
      </w:pPr>
    </w:p>
    <w:p>
      <w:pPr>
        <w:ind w:left="200" w:right="219" w:firstLine="609"/>
        <w:spacing w:after="0" w:line="248" w:lineRule="auto"/>
        <w:rPr>
          <w:sz w:val="20"/>
          <w:szCs w:val="20"/>
          <w:color w:val="auto"/>
        </w:rPr>
      </w:pPr>
      <w:r>
        <w:rPr>
          <w:rFonts w:ascii="Times New Roman" w:cs="Times New Roman" w:eastAsia="Times New Roman" w:hAnsi="Times New Roman"/>
          <w:sz w:val="19"/>
          <w:szCs w:val="19"/>
          <w:color w:val="auto"/>
        </w:rPr>
        <w:t>After reading this policy statement all officers, directors, employees and Subject Contractors should execute and return to a Compliance Officer the applicable Certification of Compliance form attached hereto as</w:t>
      </w:r>
    </w:p>
    <w:p>
      <w:pPr>
        <w:ind w:left="200"/>
        <w:spacing w:after="0"/>
        <w:rPr>
          <w:sz w:val="20"/>
          <w:szCs w:val="20"/>
          <w:color w:val="auto"/>
        </w:rPr>
      </w:pP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5"/>
          <w:szCs w:val="15"/>
          <w:u w:val="single" w:color="auto"/>
          <w:color w:val="auto"/>
        </w:rPr>
        <w:t>TTACHMENT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5"/>
          <w:szCs w:val="15"/>
          <w:u w:val="single" w:color="auto"/>
          <w:color w:val="auto"/>
        </w:rPr>
        <w:t>TTACHMENT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5"/>
          <w:szCs w:val="15"/>
          <w:u w:val="single" w:color="auto"/>
          <w:color w:val="auto"/>
        </w:rPr>
        <w:t>TTACHMENT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 xml:space="preserve">Adopted: </w:t>
      </w:r>
      <w:r>
        <w:rPr>
          <w:rFonts w:ascii="Times New Roman" w:cs="Times New Roman" w:eastAsia="Times New Roman" w:hAnsi="Times New Roman"/>
          <w:sz w:val="17"/>
          <w:szCs w:val="17"/>
          <w:color w:val="auto"/>
        </w:rPr>
        <w:t>November 21, 2023</w:t>
      </w:r>
    </w:p>
    <w:p>
      <w:pPr>
        <w:sectPr>
          <w:pgSz w:w="11900" w:h="16838" w:orient="portrait"/>
          <w:cols w:equalWidth="0" w:num="1">
            <w:col w:w="9019"/>
          </w:cols>
          <w:pgMar w:left="1440" w:top="398" w:right="1440" w:bottom="1440" w:gutter="0" w:footer="0" w:header="0"/>
        </w:sect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18</w:t>
      </w:r>
    </w:p>
    <w:p>
      <w:pPr>
        <w:sectPr>
          <w:pgSz w:w="11900" w:h="16838" w:orient="portrait"/>
          <w:cols w:equalWidth="0" w:num="2">
            <w:col w:w="6900" w:space="720"/>
            <w:col w:w="1399"/>
          </w:cols>
          <w:pgMar w:left="1440" w:top="398" w:right="1440" w:bottom="1440" w:gutter="0" w:footer="0" w:header="0"/>
          <w:type w:val="continuous"/>
        </w:sectPr>
      </w:pPr>
    </w:p>
    <w:bookmarkStart w:id="141" w:name="page142"/>
    <w:bookmarkEnd w:id="141"/>
    <w:p>
      <w:pPr>
        <w:ind w:left="7780"/>
        <w:spacing w:after="0"/>
        <w:rPr>
          <w:sz w:val="20"/>
          <w:szCs w:val="20"/>
          <w:color w:val="auto"/>
        </w:rPr>
      </w:pP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1"/>
          <w:szCs w:val="11"/>
          <w:b w:val="1"/>
          <w:bCs w:val="1"/>
          <w:u w:val="single" w:color="auto"/>
          <w:color w:val="auto"/>
        </w:rPr>
        <w:t>ttachment</w:t>
      </w:r>
      <w:r>
        <w:rPr>
          <w:rFonts w:ascii="Times New Roman" w:cs="Times New Roman" w:eastAsia="Times New Roman" w:hAnsi="Times New Roman"/>
          <w:sz w:val="17"/>
          <w:szCs w:val="17"/>
          <w:b w:val="1"/>
          <w:bCs w:val="1"/>
          <w:u w:val="single" w:color="auto"/>
          <w:color w:val="auto"/>
        </w:rPr>
        <w:t xml:space="preserve">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SHORT-SWING PROFIT RULE SECTION 16(b) CHECKLIST</w:t>
      </w:r>
    </w:p>
    <w:p>
      <w:pPr>
        <w:spacing w:after="0" w:line="198" w:lineRule="exact"/>
        <w:rPr>
          <w:sz w:val="20"/>
          <w:szCs w:val="20"/>
          <w:color w:val="auto"/>
        </w:rPr>
      </w:pPr>
    </w:p>
    <w:p>
      <w:pPr>
        <w:jc w:val="both"/>
        <w:ind w:left="200" w:right="199" w:firstLine="609"/>
        <w:spacing w:after="0" w:line="243" w:lineRule="auto"/>
        <w:rPr>
          <w:sz w:val="20"/>
          <w:szCs w:val="20"/>
          <w:color w:val="auto"/>
        </w:rPr>
      </w:pPr>
      <w:r>
        <w:rPr>
          <w:rFonts w:ascii="Times New Roman" w:cs="Times New Roman" w:eastAsia="Times New Roman" w:hAnsi="Times New Roman"/>
          <w:sz w:val="19"/>
          <w:szCs w:val="19"/>
          <w:color w:val="auto"/>
        </w:rPr>
        <w:t>Note: ANY combination of PURCHASE AND SALE or SALE AND PURCHASE within six (6) months of each other results in a violation of Section 16(b), and the “profit” must be recovered by the Company. It makes no difference how long the shares being sold have been held or that you are an insider for only one of the two matching transactions. The highest priced sale will be matched with the lowest priced purchase within the six (6) month period.</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SALES</w:t>
      </w:r>
    </w:p>
    <w:p>
      <w:pPr>
        <w:spacing w:after="0" w:line="192" w:lineRule="exact"/>
        <w:rPr>
          <w:sz w:val="20"/>
          <w:szCs w:val="20"/>
          <w:color w:val="auto"/>
        </w:rPr>
      </w:pPr>
    </w:p>
    <w:p>
      <w:pPr>
        <w:ind w:left="200" w:right="979" w:firstLine="610"/>
        <w:spacing w:after="0" w:line="263" w:lineRule="auto"/>
        <w:rPr>
          <w:sz w:val="20"/>
          <w:szCs w:val="20"/>
          <w:color w:val="auto"/>
        </w:rPr>
      </w:pPr>
      <w:r>
        <w:rPr>
          <w:rFonts w:ascii="Times New Roman" w:cs="Times New Roman" w:eastAsia="Times New Roman" w:hAnsi="Times New Roman"/>
          <w:sz w:val="19"/>
          <w:szCs w:val="19"/>
          <w:color w:val="auto"/>
        </w:rPr>
        <w:t>If a sale is to be made by an officer, director or 10% stockholder (or any family member living in the same household):</w:t>
      </w:r>
    </w:p>
    <w:p>
      <w:pPr>
        <w:spacing w:after="0" w:line="161" w:lineRule="exact"/>
        <w:rPr>
          <w:sz w:val="20"/>
          <w:szCs w:val="20"/>
          <w:color w:val="auto"/>
        </w:rPr>
      </w:pPr>
    </w:p>
    <w:p>
      <w:pPr>
        <w:ind w:left="1420" w:right="239" w:hanging="620"/>
        <w:spacing w:after="0" w:line="250" w:lineRule="auto"/>
        <w:tabs>
          <w:tab w:leader="none" w:pos="142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Have there been any purchases by the insider (or family members living in the same household) within the past six (6) months?</w:t>
      </w:r>
    </w:p>
    <w:p>
      <w:pPr>
        <w:spacing w:after="0" w:line="178"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Have there been any stock option exercises within the past six (6) months?</w:t>
      </w:r>
    </w:p>
    <w:p>
      <w:pPr>
        <w:spacing w:after="0" w:line="200"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Are any purchases (or stock option exercises) anticipated or required within the next six</w:t>
      </w:r>
    </w:p>
    <w:p>
      <w:pPr>
        <w:spacing w:after="0" w:line="13" w:lineRule="exact"/>
        <w:rPr>
          <w:rFonts w:ascii="Times New Roman" w:cs="Times New Roman" w:eastAsia="Times New Roman" w:hAnsi="Times New Roman"/>
          <w:sz w:val="19"/>
          <w:szCs w:val="19"/>
          <w:color w:val="auto"/>
        </w:rPr>
      </w:pPr>
    </w:p>
    <w:p>
      <w:pPr>
        <w:ind w:left="14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 months?</w:t>
      </w:r>
    </w:p>
    <w:p>
      <w:pPr>
        <w:spacing w:after="0" w:line="185"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Has a Form 4 been prepared?</w:t>
      </w:r>
    </w:p>
    <w:p>
      <w:pPr>
        <w:spacing w:after="0" w:line="196" w:lineRule="exact"/>
        <w:rPr>
          <w:sz w:val="20"/>
          <w:szCs w:val="20"/>
          <w:color w:val="auto"/>
        </w:rPr>
      </w:pPr>
    </w:p>
    <w:p>
      <w:pPr>
        <w:ind w:left="200" w:right="219" w:firstLine="609"/>
        <w:spacing w:after="0" w:line="263" w:lineRule="auto"/>
        <w:rPr>
          <w:sz w:val="20"/>
          <w:szCs w:val="20"/>
          <w:color w:val="auto"/>
        </w:rPr>
      </w:pPr>
      <w:r>
        <w:rPr>
          <w:rFonts w:ascii="Times New Roman" w:cs="Times New Roman" w:eastAsia="Times New Roman" w:hAnsi="Times New Roman"/>
          <w:sz w:val="19"/>
          <w:szCs w:val="19"/>
          <w:color w:val="auto"/>
        </w:rPr>
        <w:t>Note: If a sale is to be made by an affiliate of the Company and unregistered stock is to be sold, has a Form 144 been prepared and has the broker been reminded to sell pursuant to Rule 144?</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PURCHASES AND STOCK OPTION EXERCISES</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If a purchase or stock option exercise for stock is to be made:</w:t>
      </w:r>
    </w:p>
    <w:p>
      <w:pPr>
        <w:spacing w:after="0" w:line="205" w:lineRule="exact"/>
        <w:rPr>
          <w:sz w:val="20"/>
          <w:szCs w:val="20"/>
          <w:color w:val="auto"/>
        </w:rPr>
      </w:pPr>
    </w:p>
    <w:p>
      <w:pPr>
        <w:ind w:left="1420" w:right="699" w:hanging="620"/>
        <w:spacing w:after="0" w:line="250" w:lineRule="auto"/>
        <w:tabs>
          <w:tab w:leader="none" w:pos="142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Have there been any sales by the insider (or family members living in the same household) within the past six (6) months?</w:t>
      </w:r>
    </w:p>
    <w:p>
      <w:pPr>
        <w:spacing w:after="0" w:line="178" w:lineRule="exact"/>
        <w:rPr>
          <w:rFonts w:ascii="Times New Roman" w:cs="Times New Roman" w:eastAsia="Times New Roman" w:hAnsi="Times New Roman"/>
          <w:sz w:val="19"/>
          <w:szCs w:val="19"/>
          <w:color w:val="auto"/>
        </w:rPr>
      </w:pPr>
    </w:p>
    <w:p>
      <w:pPr>
        <w:ind w:left="1420" w:right="819" w:hanging="620"/>
        <w:spacing w:after="0" w:line="250" w:lineRule="auto"/>
        <w:tabs>
          <w:tab w:leader="none" w:pos="142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Are any sales anticipated or required within the next six (6) months (such as tax- related or year-end transactions)?</w:t>
      </w:r>
    </w:p>
    <w:p>
      <w:pPr>
        <w:spacing w:after="0" w:line="178" w:lineRule="exact"/>
        <w:rPr>
          <w:rFonts w:ascii="Times New Roman" w:cs="Times New Roman" w:eastAsia="Times New Roman" w:hAnsi="Times New Roman"/>
          <w:sz w:val="19"/>
          <w:szCs w:val="19"/>
          <w:color w:val="auto"/>
        </w:rPr>
      </w:pPr>
    </w:p>
    <w:p>
      <w:pPr>
        <w:ind w:left="1420" w:hanging="620"/>
        <w:spacing w:after="0"/>
        <w:tabs>
          <w:tab w:leader="none" w:pos="142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Has a Form 4 been prepared?</w:t>
      </w:r>
    </w:p>
    <w:p>
      <w:pPr>
        <w:spacing w:after="0" w:line="192" w:lineRule="exact"/>
        <w:rPr>
          <w:sz w:val="20"/>
          <w:szCs w:val="20"/>
          <w:color w:val="auto"/>
        </w:rPr>
      </w:pPr>
    </w:p>
    <w:p>
      <w:pPr>
        <w:jc w:val="center"/>
        <w:ind w:left="200" w:right="219"/>
        <w:spacing w:after="0" w:line="252" w:lineRule="auto"/>
        <w:rPr>
          <w:sz w:val="20"/>
          <w:szCs w:val="20"/>
          <w:color w:val="auto"/>
        </w:rPr>
      </w:pPr>
      <w:r>
        <w:rPr>
          <w:rFonts w:ascii="Times New Roman" w:cs="Times New Roman" w:eastAsia="Times New Roman" w:hAnsi="Times New Roman"/>
          <w:sz w:val="19"/>
          <w:szCs w:val="19"/>
          <w:b w:val="1"/>
          <w:bCs w:val="1"/>
          <w:color w:val="auto"/>
        </w:rPr>
        <w:t>BEFORE PROCEEDING WITH A PURCHASE OR SALE, CONSIDER WHETHER YOU ARE AWARE OF MATERIAL, NON-PUBLIC INFORMATION WHICH COULD AFFECT THE PRICE OF THE STOCK.</w:t>
      </w:r>
    </w:p>
    <w:p>
      <w:pPr>
        <w:sectPr>
          <w:pgSz w:w="11900" w:h="16838" w:orient="portrait"/>
          <w:cols w:equalWidth="0" w:num="1">
            <w:col w:w="9019"/>
          </w:cols>
          <w:pgMar w:left="1440" w:top="398" w:right="1440" w:bottom="1440" w:gutter="0" w:footer="0" w:header="0"/>
        </w:sectPr>
      </w:pP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19</w:t>
      </w:r>
    </w:p>
    <w:p>
      <w:pPr>
        <w:sectPr>
          <w:pgSz w:w="11900" w:h="16838" w:orient="portrait"/>
          <w:cols w:equalWidth="0" w:num="2">
            <w:col w:w="6900" w:space="720"/>
            <w:col w:w="1399"/>
          </w:cols>
          <w:pgMar w:left="1440" w:top="398" w:right="1440" w:bottom="1440" w:gutter="0" w:footer="0" w:header="0"/>
          <w:type w:val="continuous"/>
        </w:sectPr>
      </w:pPr>
    </w:p>
    <w:bookmarkStart w:id="142" w:name="page143"/>
    <w:bookmarkEnd w:id="142"/>
    <w:p>
      <w:pPr>
        <w:jc w:val="right"/>
        <w:ind w:right="199"/>
        <w:spacing w:after="0"/>
        <w:rPr>
          <w:sz w:val="20"/>
          <w:szCs w:val="20"/>
          <w:color w:val="auto"/>
        </w:rPr>
      </w:pP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1"/>
          <w:szCs w:val="11"/>
          <w:b w:val="1"/>
          <w:bCs w:val="1"/>
          <w:u w:val="single" w:color="auto"/>
          <w:color w:val="auto"/>
        </w:rPr>
        <w:t>ttachment</w:t>
      </w:r>
      <w:r>
        <w:rPr>
          <w:rFonts w:ascii="Times New Roman" w:cs="Times New Roman" w:eastAsia="Times New Roman" w:hAnsi="Times New Roman"/>
          <w:sz w:val="17"/>
          <w:szCs w:val="17"/>
          <w:b w:val="1"/>
          <w:bCs w:val="1"/>
          <w:u w:val="single" w:color="auto"/>
          <w:color w:val="auto"/>
        </w:rPr>
        <w:t xml:space="preserve"> B</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INSIDER TRADING REMINDERS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Before engaging in any transaction in the Company’s securities, please read the following:</w:t>
      </w:r>
    </w:p>
    <w:p>
      <w:pPr>
        <w:spacing w:after="0" w:line="201"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Both the federal securities laws and the Company’s policy prohibit transactions in the Company’s securities at a time when you may be in possession of material information about the Company which has not been publicly disclosed. This also applies to members of your household as well as all others whose transactions may be attributable to you.</w:t>
      </w:r>
    </w:p>
    <w:p>
      <w:pPr>
        <w:spacing w:after="0" w:line="175"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Material information, in short, is any information which could affect the price of the securities. Either positive or negative information may be material. Once a public announcement has been made, you should wait until the information has been made available to the public for at least twenty-four (24) hours before engaging in any transaction.</w:t>
      </w:r>
    </w:p>
    <w:p>
      <w:pPr>
        <w:spacing w:after="0" w:line="180" w:lineRule="exact"/>
        <w:rPr>
          <w:sz w:val="20"/>
          <w:szCs w:val="20"/>
          <w:color w:val="auto"/>
        </w:rPr>
      </w:pPr>
    </w:p>
    <w:p>
      <w:pPr>
        <w:jc w:val="both"/>
        <w:ind w:left="200" w:right="199" w:firstLine="609"/>
        <w:spacing w:after="0" w:line="259" w:lineRule="auto"/>
        <w:rPr>
          <w:sz w:val="20"/>
          <w:szCs w:val="20"/>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II.D.</w:t>
      </w:r>
      <w:r>
        <w:rPr>
          <w:rFonts w:ascii="Times New Roman" w:cs="Times New Roman" w:eastAsia="Times New Roman" w:hAnsi="Times New Roman"/>
          <w:sz w:val="17"/>
          <w:szCs w:val="17"/>
          <w:color w:val="auto"/>
        </w:rPr>
        <w:t xml:space="preserve"> of our Insider Trading Compliance Policy and except for transactions effected under an approved Rule 10b5-1 Trading Plan as described in Section V of our Insider Trading Compliance Policy, </w:t>
      </w:r>
      <w:r>
        <w:rPr>
          <w:rFonts w:ascii="Times New Roman" w:cs="Times New Roman" w:eastAsia="Times New Roman" w:hAnsi="Times New Roman"/>
          <w:sz w:val="17"/>
          <w:szCs w:val="17"/>
          <w:b w:val="1"/>
          <w:bCs w:val="1"/>
          <w:color w:val="auto"/>
        </w:rPr>
        <w:t>neither the</w:t>
      </w:r>
    </w:p>
    <w:p>
      <w:pPr>
        <w:jc w:val="both"/>
        <w:ind w:left="200" w:right="199"/>
        <w:spacing w:after="0" w:line="251" w:lineRule="auto"/>
        <w:rPr>
          <w:sz w:val="20"/>
          <w:szCs w:val="20"/>
          <w:color w:val="auto"/>
        </w:rPr>
      </w:pPr>
      <w:r>
        <w:rPr>
          <w:rFonts w:ascii="Times New Roman" w:cs="Times New Roman" w:eastAsia="Times New Roman" w:hAnsi="Times New Roman"/>
          <w:sz w:val="17"/>
          <w:szCs w:val="17"/>
          <w:b w:val="1"/>
          <w:bCs w:val="1"/>
          <w:color w:val="auto"/>
        </w:rPr>
        <w:t>Company nor any of its officers, directors, employees or Subject Contractors may trade in any securities of the Company during the period beginning on the last trading day of the fiscal quarter and ending two (2) full trading days after the public release of earnings data or quarterly/annual report whether or not the Company or any of its officers, directors, employees or Subject Contractors is in possession of material, non-public information, unless authorized by the Compliance Officer.</w:t>
      </w:r>
    </w:p>
    <w:p>
      <w:pPr>
        <w:spacing w:after="0" w:line="174" w:lineRule="exact"/>
        <w:rPr>
          <w:sz w:val="20"/>
          <w:szCs w:val="20"/>
          <w:color w:val="auto"/>
        </w:rPr>
      </w:pPr>
    </w:p>
    <w:p>
      <w:pPr>
        <w:jc w:val="both"/>
        <w:ind w:left="200" w:right="199" w:firstLine="609"/>
        <w:spacing w:after="0" w:line="252" w:lineRule="auto"/>
        <w:rPr>
          <w:sz w:val="20"/>
          <w:szCs w:val="20"/>
          <w:color w:val="auto"/>
        </w:rPr>
      </w:pPr>
      <w:r>
        <w:rPr>
          <w:rFonts w:ascii="Times New Roman" w:cs="Times New Roman" w:eastAsia="Times New Roman" w:hAnsi="Times New Roman"/>
          <w:sz w:val="19"/>
          <w:szCs w:val="19"/>
          <w:b w:val="1"/>
          <w:bCs w:val="1"/>
          <w:color w:val="auto"/>
        </w:rPr>
        <w:t xml:space="preserve">Important: All transactions by officers, directors, employees and Subject Contractors must be pre-cleared with the Compliance Officer, except as specifically noted in </w:t>
      </w:r>
      <w:r>
        <w:rPr>
          <w:rFonts w:ascii="Times New Roman" w:cs="Times New Roman" w:eastAsia="Times New Roman" w:hAnsi="Times New Roman"/>
          <w:sz w:val="19"/>
          <w:szCs w:val="19"/>
          <w:b w:val="1"/>
          <w:bCs w:val="1"/>
          <w:u w:val="single" w:color="auto"/>
          <w:color w:val="auto"/>
        </w:rPr>
        <w:t>Section IV.D.</w:t>
      </w:r>
      <w:r>
        <w:rPr>
          <w:rFonts w:ascii="Times New Roman" w:cs="Times New Roman" w:eastAsia="Times New Roman" w:hAnsi="Times New Roman"/>
          <w:sz w:val="19"/>
          <w:szCs w:val="19"/>
          <w:b w:val="1"/>
          <w:bCs w:val="1"/>
          <w:color w:val="auto"/>
        </w:rPr>
        <w:t xml:space="preserve"> of our Insider Trading Compliance Policy.</w:t>
      </w:r>
    </w:p>
    <w:p>
      <w:pPr>
        <w:spacing w:after="0" w:line="167" w:lineRule="exact"/>
        <w:rPr>
          <w:sz w:val="20"/>
          <w:szCs w:val="20"/>
          <w:color w:val="auto"/>
        </w:rPr>
      </w:pPr>
    </w:p>
    <w:p>
      <w:pPr>
        <w:jc w:val="both"/>
        <w:ind w:left="200" w:right="199" w:firstLine="609"/>
        <w:spacing w:after="0" w:line="263" w:lineRule="auto"/>
        <w:rPr>
          <w:sz w:val="20"/>
          <w:szCs w:val="20"/>
          <w:color w:val="auto"/>
        </w:rPr>
      </w:pPr>
      <w:r>
        <w:rPr>
          <w:rFonts w:ascii="Times New Roman" w:cs="Times New Roman" w:eastAsia="Times New Roman" w:hAnsi="Times New Roman"/>
          <w:sz w:val="19"/>
          <w:szCs w:val="19"/>
          <w:color w:val="auto"/>
        </w:rPr>
        <w:t>For further information and guidance, please refer to our Insider Trading Compliance Policy and do not hesitate to contact the Compliance Officer.</w:t>
      </w:r>
    </w:p>
    <w:p>
      <w:pPr>
        <w:spacing w:after="0" w:line="152" w:lineRule="exact"/>
        <w:rPr>
          <w:sz w:val="20"/>
          <w:szCs w:val="20"/>
          <w:color w:val="auto"/>
        </w:rPr>
      </w:pPr>
    </w:p>
    <w:p>
      <w:pPr>
        <w:jc w:val="both"/>
        <w:ind w:left="200" w:right="199"/>
        <w:spacing w:after="0" w:line="252" w:lineRule="auto"/>
        <w:rPr>
          <w:sz w:val="20"/>
          <w:szCs w:val="20"/>
          <w:color w:val="auto"/>
        </w:rPr>
      </w:pPr>
      <w:r>
        <w:rPr>
          <w:rFonts w:ascii="Times New Roman" w:cs="Times New Roman" w:eastAsia="Times New Roman" w:hAnsi="Times New Roman"/>
          <w:sz w:val="19"/>
          <w:szCs w:val="19"/>
          <w:b w:val="1"/>
          <w:bCs w:val="1"/>
          <w:color w:val="auto"/>
        </w:rPr>
        <w:t>ALL TRANSACTIONS IN HELIUS MEDICAL TECHNOLOGIES, INC. SECURITIES BY OFFICERS, DIRECTORS, EMPLOYEES AND SUBJECT CONTRACTORS MUST BE PRE- CLEARED BY THE COMPLIANCE OFFICER.</w:t>
      </w:r>
    </w:p>
    <w:p>
      <w:pPr>
        <w:sectPr>
          <w:pgSz w:w="11900" w:h="16838" w:orient="portrait"/>
          <w:cols w:equalWidth="0" w:num="1">
            <w:col w:w="9019"/>
          </w:cols>
          <w:pgMar w:left="1440" w:top="399" w:right="1440" w:bottom="1440" w:gutter="0" w:footer="0" w:header="0"/>
        </w:sectPr>
      </w:pP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20</w:t>
      </w:r>
    </w:p>
    <w:p>
      <w:pPr>
        <w:sectPr>
          <w:pgSz w:w="11900" w:h="16838" w:orient="portrait"/>
          <w:cols w:equalWidth="0" w:num="2">
            <w:col w:w="6900" w:space="720"/>
            <w:col w:w="1399"/>
          </w:cols>
          <w:pgMar w:left="1440" w:top="399" w:right="1440" w:bottom="1440" w:gutter="0" w:footer="0" w:header="0"/>
          <w:type w:val="continuous"/>
        </w:sectPr>
      </w:pPr>
    </w:p>
    <w:bookmarkStart w:id="143" w:name="page144"/>
    <w:bookmarkEnd w:id="143"/>
    <w:p>
      <w:pPr>
        <w:jc w:val="right"/>
        <w:ind w:right="199"/>
        <w:spacing w:after="0"/>
        <w:rPr>
          <w:sz w:val="20"/>
          <w:szCs w:val="20"/>
          <w:color w:val="auto"/>
        </w:rPr>
      </w:pP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1"/>
          <w:szCs w:val="11"/>
          <w:b w:val="1"/>
          <w:bCs w:val="1"/>
          <w:u w:val="single" w:color="auto"/>
          <w:color w:val="auto"/>
        </w:rPr>
        <w:t>ttachment</w:t>
      </w:r>
      <w:r>
        <w:rPr>
          <w:rFonts w:ascii="Times New Roman" w:cs="Times New Roman" w:eastAsia="Times New Roman" w:hAnsi="Times New Roman"/>
          <w:sz w:val="17"/>
          <w:szCs w:val="17"/>
          <w:b w:val="1"/>
          <w:bCs w:val="1"/>
          <w:u w:val="single" w:color="auto"/>
          <w:color w:val="auto"/>
        </w:rPr>
        <w:t xml:space="preserve"> 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Request for Pre-Clearance*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For pre-clearance to transact in Company Securities.</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Upon executing a transaction, directors, officers and employees must immediately notify the Company.</w:t>
      </w:r>
    </w:p>
    <w:p>
      <w:pPr>
        <w:spacing w:after="0" w:line="226"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3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Transaction Vehicle (check one)</w:t>
            </w:r>
          </w:p>
        </w:tc>
        <w:tc>
          <w:tcPr>
            <w:tcW w:w="462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Transaction Initiated By (check one)</w:t>
            </w:r>
          </w:p>
        </w:tc>
      </w:tr>
      <w:tr>
        <w:trPr>
          <w:trHeight w:val="262"/>
        </w:trPr>
        <w:tc>
          <w:tcPr>
            <w:tcW w:w="3160" w:type="dxa"/>
            <w:vAlign w:val="bottom"/>
          </w:tcPr>
          <w:p>
            <w:pPr>
              <w:spacing w:after="0" w:line="219" w:lineRule="exact"/>
              <w:rPr>
                <w:sz w:val="20"/>
                <w:szCs w:val="20"/>
                <w:color w:val="auto"/>
              </w:rPr>
            </w:pP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Open Market Transaction</w:t>
            </w:r>
          </w:p>
        </w:tc>
        <w:tc>
          <w:tcPr>
            <w:tcW w:w="4620" w:type="dxa"/>
            <w:vAlign w:val="bottom"/>
          </w:tcPr>
          <w:p>
            <w:pPr>
              <w:ind w:left="640"/>
              <w:spacing w:after="0" w:line="219" w:lineRule="exact"/>
              <w:rPr>
                <w:sz w:val="20"/>
                <w:szCs w:val="20"/>
                <w:color w:val="auto"/>
              </w:rPr>
            </w:pP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Employee or immediate family member directly</w:t>
            </w:r>
          </w:p>
        </w:tc>
      </w:tr>
      <w:tr>
        <w:trPr>
          <w:trHeight w:val="229"/>
        </w:trPr>
        <w:tc>
          <w:tcPr>
            <w:tcW w:w="3160" w:type="dxa"/>
            <w:vAlign w:val="bottom"/>
          </w:tcPr>
          <w:p>
            <w:pPr>
              <w:spacing w:after="0" w:line="219" w:lineRule="exact"/>
              <w:rPr>
                <w:sz w:val="20"/>
                <w:szCs w:val="20"/>
                <w:color w:val="auto"/>
              </w:rPr>
            </w:pP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Equity Compensation Plan</w:t>
            </w:r>
          </w:p>
        </w:tc>
        <w:tc>
          <w:tcPr>
            <w:tcW w:w="4620" w:type="dxa"/>
            <w:vAlign w:val="bottom"/>
          </w:tcPr>
          <w:p>
            <w:pPr>
              <w:ind w:left="640"/>
              <w:spacing w:after="0" w:line="219" w:lineRule="exact"/>
              <w:rPr>
                <w:sz w:val="20"/>
                <w:szCs w:val="20"/>
                <w:color w:val="auto"/>
              </w:rPr>
            </w:pPr>
            <w:r>
              <w:rPr>
                <w:rFonts w:ascii="MS PGothic" w:cs="MS PGothic" w:eastAsia="MS PGothic" w:hAnsi="MS PGothic"/>
                <w:sz w:val="19"/>
                <w:szCs w:val="19"/>
                <w:color w:val="auto"/>
                <w:highlight w:val="black"/>
                <w:w w:val="98"/>
              </w:rPr>
              <w:t>☐</w:t>
            </w:r>
            <w:r>
              <w:rPr>
                <w:rFonts w:ascii="Times New Roman" w:cs="Times New Roman" w:eastAsia="Times New Roman" w:hAnsi="Times New Roman"/>
                <w:sz w:val="19"/>
                <w:szCs w:val="19"/>
                <w:color w:val="auto"/>
                <w:w w:val="98"/>
              </w:rPr>
              <w:t xml:space="preserve"> Court or government decree (e.g., divorce decree)</w:t>
            </w:r>
          </w:p>
        </w:tc>
      </w:tr>
      <w:tr>
        <w:trPr>
          <w:trHeight w:val="315"/>
        </w:trPr>
        <w:tc>
          <w:tcPr>
            <w:tcW w:w="3160" w:type="dxa"/>
            <w:vAlign w:val="bottom"/>
          </w:tcPr>
          <w:p>
            <w:pPr>
              <w:spacing w:after="0" w:line="219" w:lineRule="exact"/>
              <w:rPr>
                <w:sz w:val="20"/>
                <w:szCs w:val="20"/>
                <w:color w:val="auto"/>
              </w:rPr>
            </w:pPr>
            <w:r>
              <w:rPr>
                <w:rFonts w:ascii="MS PGothic" w:cs="MS PGothic" w:eastAsia="MS PGothic" w:hAnsi="MS PGothic"/>
                <w:sz w:val="19"/>
                <w:szCs w:val="19"/>
                <w:color w:val="auto"/>
                <w:highlight w:val="black"/>
              </w:rPr>
              <w:t>☐</w:t>
            </w:r>
            <w:r>
              <w:rPr>
                <w:rFonts w:ascii="Times New Roman" w:cs="Times New Roman" w:eastAsia="Times New Roman" w:hAnsi="Times New Roman"/>
                <w:sz w:val="19"/>
                <w:szCs w:val="19"/>
                <w:color w:val="auto"/>
              </w:rPr>
              <w:t xml:space="preserve"> Other (specify):</w:t>
            </w:r>
          </w:p>
        </w:tc>
        <w:tc>
          <w:tcPr>
            <w:tcW w:w="4620" w:type="dxa"/>
            <w:vAlign w:val="bottom"/>
          </w:tcPr>
          <w:p>
            <w:pPr>
              <w:ind w:left="640"/>
              <w:spacing w:after="0" w:line="219" w:lineRule="exact"/>
              <w:rPr>
                <w:sz w:val="20"/>
                <w:szCs w:val="20"/>
                <w:color w:val="auto"/>
              </w:rPr>
            </w:pPr>
            <w:r>
              <w:rPr>
                <w:rFonts w:ascii="MS PGothic" w:cs="MS PGothic" w:eastAsia="MS PGothic" w:hAnsi="MS PGothic"/>
                <w:sz w:val="19"/>
                <w:szCs w:val="19"/>
                <w:color w:val="auto"/>
                <w:highlight w:val="black"/>
                <w:w w:val="95"/>
              </w:rPr>
              <w:t>☐</w:t>
            </w:r>
            <w:r>
              <w:rPr>
                <w:rFonts w:ascii="Times New Roman" w:cs="Times New Roman" w:eastAsia="Times New Roman" w:hAnsi="Times New Roman"/>
                <w:sz w:val="19"/>
                <w:szCs w:val="19"/>
                <w:color w:val="auto"/>
                <w:w w:val="95"/>
              </w:rPr>
              <w:t xml:space="preserve"> Broker (provide name, firm, telephone and e-mail):</w:t>
            </w:r>
          </w:p>
        </w:tc>
      </w:tr>
    </w:tbl>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Type of Transaction (check one)</w:t>
      </w:r>
    </w:p>
    <w:p>
      <w:pPr>
        <w:spacing w:after="0" w:line="24" w:lineRule="exact"/>
        <w:rPr>
          <w:sz w:val="20"/>
          <w:szCs w:val="20"/>
          <w:color w:val="auto"/>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Purchase or acquire common stock</w:t>
      </w:r>
    </w:p>
    <w:p>
      <w:pPr>
        <w:spacing w:after="0" w:line="14" w:lineRule="exact"/>
        <w:rPr>
          <w:rFonts w:ascii="MS PGothic" w:cs="MS PGothic" w:eastAsia="MS PGothic" w:hAnsi="MS PGothic"/>
          <w:sz w:val="17"/>
          <w:szCs w:val="17"/>
          <w:color w:val="auto"/>
          <w:highlight w:val="black"/>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Sell or dispose of common stock</w:t>
      </w:r>
    </w:p>
    <w:p>
      <w:pPr>
        <w:spacing w:after="0" w:line="7" w:lineRule="exact"/>
        <w:rPr>
          <w:rFonts w:ascii="MS PGothic" w:cs="MS PGothic" w:eastAsia="MS PGothic" w:hAnsi="MS PGothic"/>
          <w:sz w:val="17"/>
          <w:szCs w:val="17"/>
          <w:color w:val="auto"/>
          <w:highlight w:val="black"/>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Move Company Securities from one account to another (e.g., in or out of a trust)</w:t>
      </w:r>
    </w:p>
    <w:p>
      <w:pPr>
        <w:spacing w:after="0" w:line="7" w:lineRule="exact"/>
        <w:rPr>
          <w:rFonts w:ascii="MS PGothic" w:cs="MS PGothic" w:eastAsia="MS PGothic" w:hAnsi="MS PGothic"/>
          <w:sz w:val="17"/>
          <w:szCs w:val="17"/>
          <w:color w:val="auto"/>
          <w:highlight w:val="black"/>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Dispose of fractional shares</w:t>
      </w:r>
    </w:p>
    <w:p>
      <w:pPr>
        <w:spacing w:after="0" w:line="7" w:lineRule="exact"/>
        <w:rPr>
          <w:rFonts w:ascii="MS PGothic" w:cs="MS PGothic" w:eastAsia="MS PGothic" w:hAnsi="MS PGothic"/>
          <w:sz w:val="17"/>
          <w:szCs w:val="17"/>
          <w:color w:val="auto"/>
          <w:highlight w:val="black"/>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Pledge Company Securities for margin account, or otherwise</w:t>
      </w:r>
    </w:p>
    <w:p>
      <w:pPr>
        <w:spacing w:after="0" w:line="7" w:lineRule="exact"/>
        <w:rPr>
          <w:rFonts w:ascii="MS PGothic" w:cs="MS PGothic" w:eastAsia="MS PGothic" w:hAnsi="MS PGothic"/>
          <w:sz w:val="17"/>
          <w:szCs w:val="17"/>
          <w:color w:val="auto"/>
          <w:highlight w:val="black"/>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Exercise options without subsequent sale</w:t>
      </w:r>
    </w:p>
    <w:p>
      <w:pPr>
        <w:spacing w:after="0" w:line="7" w:lineRule="exact"/>
        <w:rPr>
          <w:rFonts w:ascii="MS PGothic" w:cs="MS PGothic" w:eastAsia="MS PGothic" w:hAnsi="MS PGothic"/>
          <w:sz w:val="17"/>
          <w:szCs w:val="17"/>
          <w:color w:val="auto"/>
          <w:highlight w:val="black"/>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Exercise options with subsequent sale (e.g., a “cashless exercise”)</w:t>
      </w:r>
    </w:p>
    <w:p>
      <w:pPr>
        <w:spacing w:after="0" w:line="7" w:lineRule="exact"/>
        <w:rPr>
          <w:rFonts w:ascii="MS PGothic" w:cs="MS PGothic" w:eastAsia="MS PGothic" w:hAnsi="MS PGothic"/>
          <w:sz w:val="17"/>
          <w:szCs w:val="17"/>
          <w:color w:val="auto"/>
          <w:highlight w:val="black"/>
        </w:rPr>
      </w:pPr>
    </w:p>
    <w:p>
      <w:pPr>
        <w:ind w:left="1060" w:hanging="244"/>
        <w:spacing w:after="0"/>
        <w:tabs>
          <w:tab w:leader="none" w:pos="1060" w:val="left"/>
        </w:tabs>
        <w:numPr>
          <w:ilvl w:val="0"/>
          <w:numId w:val="15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Other (describe):</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Transaction Detail (provide the following information)</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-635</wp:posOffset>
            </wp:positionV>
            <wp:extent cx="26466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Estimated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11430</wp:posOffset>
            </wp:positionV>
            <wp:extent cx="26466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Contemplated execution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11430</wp:posOffset>
            </wp:positionV>
            <wp:extent cx="2646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Date of your last “opposite way”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11430</wp:posOffset>
            </wp:positionV>
            <wp:extent cx="26466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05" w:lineRule="exact"/>
        <w:rPr>
          <w:sz w:val="20"/>
          <w:szCs w:val="20"/>
          <w:color w:val="auto"/>
        </w:rPr>
      </w:pPr>
    </w:p>
    <w:p>
      <w:pPr>
        <w:jc w:val="both"/>
        <w:ind w:left="200" w:right="199"/>
        <w:spacing w:after="0" w:line="245" w:lineRule="auto"/>
        <w:rPr>
          <w:sz w:val="20"/>
          <w:szCs w:val="20"/>
          <w:color w:val="auto"/>
        </w:rPr>
      </w:pPr>
      <w:r>
        <w:rPr>
          <w:rFonts w:ascii="Times New Roman" w:cs="Times New Roman" w:eastAsia="Times New Roman" w:hAnsi="Times New Roman"/>
          <w:sz w:val="19"/>
          <w:szCs w:val="19"/>
          <w:color w:val="auto"/>
        </w:rPr>
        <w:t>I certify that I have fully disclosed the information requested in this form, I have read the Helius Medical Technologies, Inc. Insider Trading Policy, I am not in possession of material nonpublic information, and to the best of my knowledge and belief the proposed transaction will not violate the Helius Medical Technologies, Inc. Insider Trading Compliance Policy.</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11430</wp:posOffset>
            </wp:positionV>
            <wp:extent cx="17506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11430</wp:posOffset>
            </wp:positionV>
            <wp:extent cx="17506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11430</wp:posOffset>
            </wp:positionV>
            <wp:extent cx="17506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194" w:lineRule="exact"/>
        <w:rPr>
          <w:sz w:val="20"/>
          <w:szCs w:val="20"/>
          <w:color w:val="auto"/>
        </w:rPr>
      </w:pPr>
    </w:p>
    <w:p>
      <w:pPr>
        <w:ind w:left="200" w:right="199" w:hanging="2"/>
        <w:spacing w:after="0" w:line="283" w:lineRule="auto"/>
        <w:tabs>
          <w:tab w:leader="none" w:pos="325" w:val="left"/>
        </w:tabs>
        <w:numPr>
          <w:ilvl w:val="0"/>
          <w:numId w:val="15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Capitalized terms used but not defined herein have the meanings ascribed to them in the Helius Medical Technologies, Inc. Insider Trading Compliance Policy.</w:t>
      </w:r>
    </w:p>
    <w:p>
      <w:pPr>
        <w:spacing w:after="0" w:line="162" w:lineRule="exact"/>
        <w:rPr>
          <w:sz w:val="20"/>
          <w:szCs w:val="20"/>
          <w:color w:val="auto"/>
        </w:rPr>
      </w:pPr>
    </w:p>
    <w:p>
      <w:pPr>
        <w:jc w:val="both"/>
        <w:ind w:left="200" w:right="199" w:hanging="6"/>
        <w:spacing w:after="0" w:line="260" w:lineRule="auto"/>
        <w:tabs>
          <w:tab w:leader="none" w:pos="435" w:val="left"/>
        </w:tabs>
        <w:numPr>
          <w:ilvl w:val="0"/>
          <w:numId w:val="1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If a Section 16 insider buys and sells (or sells and buys) Company Securities within a six-month time frame and such transactions are not exempt under SEC rules, the two transactions can be “matched” for purposes of Section 16. The insider may be sued and will be strictly liable for any profits made, </w:t>
      </w:r>
      <w:r>
        <w:rPr>
          <w:rFonts w:ascii="Times New Roman" w:cs="Times New Roman" w:eastAsia="Times New Roman" w:hAnsi="Times New Roman"/>
          <w:sz w:val="17"/>
          <w:szCs w:val="17"/>
          <w:b w:val="1"/>
          <w:bCs w:val="1"/>
          <w:i w:val="1"/>
          <w:iCs w:val="1"/>
          <w:u w:val="single" w:color="auto"/>
          <w:color w:val="auto"/>
        </w:rPr>
        <w:t>regardless of whether the insider was in possession of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u w:val="single" w:color="auto"/>
          <w:color w:val="auto"/>
        </w:rPr>
        <w:t>nonpublic information</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398" w:right="1440" w:bottom="1440" w:gutter="0" w:footer="0" w:header="0"/>
        </w:sectPr>
      </w:pP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450215</wp:posOffset>
            </wp:positionV>
            <wp:extent cx="5631815"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21</w:t>
      </w:r>
    </w:p>
    <w:p>
      <w:pPr>
        <w:sectPr>
          <w:pgSz w:w="11900" w:h="16838" w:orient="portrait"/>
          <w:cols w:equalWidth="0" w:num="2">
            <w:col w:w="6900" w:space="720"/>
            <w:col w:w="1399"/>
          </w:cols>
          <w:pgMar w:left="1440" w:top="398" w:right="1440" w:bottom="1440" w:gutter="0" w:footer="0" w:header="0"/>
          <w:type w:val="continuous"/>
        </w:sectPr>
      </w:pPr>
    </w:p>
    <w:bookmarkStart w:id="144" w:name="page145"/>
    <w:bookmarkEnd w:id="144"/>
    <w:p>
      <w:pPr>
        <w:jc w:val="right"/>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1"/>
          <w:szCs w:val="11"/>
          <w:b w:val="1"/>
          <w:bCs w:val="1"/>
          <w:u w:val="single" w:color="auto"/>
          <w:color w:val="auto"/>
        </w:rPr>
        <w:t>ttachment</w:t>
      </w:r>
      <w:r>
        <w:rPr>
          <w:rFonts w:ascii="Times New Roman" w:cs="Times New Roman" w:eastAsia="Times New Roman" w:hAnsi="Times New Roman"/>
          <w:sz w:val="17"/>
          <w:szCs w:val="17"/>
          <w:b w:val="1"/>
          <w:bCs w:val="1"/>
          <w:u w:val="single" w:color="auto"/>
          <w:color w:val="auto"/>
        </w:rPr>
        <w:t xml:space="preserve"> D</w:t>
      </w:r>
    </w:p>
    <w:p>
      <w:pPr>
        <w:spacing w:after="0" w:line="2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9"/>
          <w:szCs w:val="19"/>
          <w:color w:val="auto"/>
        </w:rPr>
        <w:t>Outside Directors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CERTIFICATION OF COMPLIANCE</w:t>
      </w:r>
    </w:p>
    <w:p>
      <w:pPr>
        <w:spacing w:after="0" w:line="218" w:lineRule="exact"/>
        <w:rPr>
          <w:sz w:val="20"/>
          <w:szCs w:val="20"/>
          <w:color w:val="auto"/>
        </w:rPr>
      </w:pPr>
    </w:p>
    <w:p>
      <w:pPr>
        <w:ind w:left="200"/>
        <w:spacing w:after="0"/>
        <w:tabs>
          <w:tab w:leader="none" w:pos="78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9"/>
          <w:szCs w:val="19"/>
          <w:color w:val="auto"/>
        </w:rPr>
        <w:t>Compliance Officer</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-12065</wp:posOffset>
            </wp:positionV>
            <wp:extent cx="13601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81" w:lineRule="exact"/>
        <w:rPr>
          <w:sz w:val="20"/>
          <w:szCs w:val="20"/>
          <w:color w:val="auto"/>
        </w:rPr>
      </w:pPr>
    </w:p>
    <w:p>
      <w:pPr>
        <w:ind w:left="200"/>
        <w:spacing w:after="0"/>
        <w:tabs>
          <w:tab w:leader="none" w:pos="78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color w:val="auto"/>
        </w:rPr>
        <w:t>INSIDER TRADING COMPLIANCE POLICY OF HELIUS MEDICAL TECHNOLOGIES, INC.</w:t>
      </w:r>
    </w:p>
    <w:p>
      <w:pPr>
        <w:spacing w:after="0" w:line="201"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I have received, reviewed and understand the above-referenced Insider Trading Compliance Policy and hereby undertake, as a condition to my present and continued affiliation with Helius Medical Technologies, Inc., to comply fully with the policies and procedures contained therein.</w:t>
      </w:r>
    </w:p>
    <w:p>
      <w:pPr>
        <w:spacing w:after="0" w:line="169" w:lineRule="exact"/>
        <w:rPr>
          <w:sz w:val="20"/>
          <w:szCs w:val="20"/>
          <w:color w:val="auto"/>
        </w:rPr>
      </w:pPr>
    </w:p>
    <w:p>
      <w:pPr>
        <w:jc w:val="both"/>
        <w:ind w:left="200" w:right="199" w:firstLine="609"/>
        <w:spacing w:after="0" w:line="263" w:lineRule="auto"/>
        <w:rPr>
          <w:sz w:val="20"/>
          <w:szCs w:val="20"/>
          <w:color w:val="auto"/>
        </w:rPr>
      </w:pPr>
      <w:r>
        <w:rPr>
          <w:rFonts w:ascii="Times New Roman" w:cs="Times New Roman" w:eastAsia="Times New Roman" w:hAnsi="Times New Roman"/>
          <w:sz w:val="19"/>
          <w:szCs w:val="19"/>
          <w:color w:val="auto"/>
        </w:rPr>
        <w:t>I hereby certify that to the best of my knowledge I have complied, and I will henceforth comply fully with all policies and procedures set forth in the above-referenced Insider Trading Compliance Policy.</w:t>
      </w:r>
    </w:p>
    <w:p>
      <w:pPr>
        <w:spacing w:after="0" w:line="377" w:lineRule="exact"/>
        <w:rPr>
          <w:sz w:val="20"/>
          <w:szCs w:val="20"/>
          <w:color w:val="auto"/>
        </w:rPr>
      </w:pPr>
    </w:p>
    <w:p>
      <w:pPr>
        <w:ind w:left="200"/>
        <w:spacing w:after="0"/>
        <w:tabs>
          <w:tab w:leader="none" w:pos="450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-121285</wp:posOffset>
            </wp:positionV>
            <wp:extent cx="55511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55511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-121285</wp:posOffset>
            </wp:positionV>
            <wp:extent cx="25901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sectPr>
          <w:pgSz w:w="11900" w:h="16838" w:orient="portrait"/>
          <w:cols w:equalWidth="0" w:num="1">
            <w:col w:w="9019"/>
          </w:cols>
          <w:pgMar w:left="1440" w:top="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56318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22</w:t>
      </w:r>
    </w:p>
    <w:p>
      <w:pPr>
        <w:sectPr>
          <w:pgSz w:w="11900" w:h="16838" w:orient="portrait"/>
          <w:cols w:equalWidth="0" w:num="2">
            <w:col w:w="6900" w:space="720"/>
            <w:col w:w="1399"/>
          </w:cols>
          <w:pgMar w:left="1440" w:top="399" w:right="1440" w:bottom="1440" w:gutter="0" w:footer="0" w:header="0"/>
          <w:type w:val="continuous"/>
        </w:sectPr>
      </w:pPr>
    </w:p>
    <w:bookmarkStart w:id="145" w:name="page146"/>
    <w:bookmarkEnd w:id="145"/>
    <w:p>
      <w:pPr>
        <w:jc w:val="right"/>
        <w:ind w:right="199"/>
        <w:spacing w:after="0"/>
        <w:rPr>
          <w:sz w:val="20"/>
          <w:szCs w:val="20"/>
          <w:color w:val="auto"/>
        </w:rPr>
      </w:pP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1"/>
          <w:szCs w:val="11"/>
          <w:b w:val="1"/>
          <w:bCs w:val="1"/>
          <w:u w:val="single" w:color="auto"/>
          <w:color w:val="auto"/>
        </w:rPr>
        <w:t>ttachment</w:t>
      </w:r>
      <w:r>
        <w:rPr>
          <w:rFonts w:ascii="Times New Roman" w:cs="Times New Roman" w:eastAsia="Times New Roman" w:hAnsi="Times New Roman"/>
          <w:sz w:val="17"/>
          <w:szCs w:val="17"/>
          <w:b w:val="1"/>
          <w:bCs w:val="1"/>
          <w:u w:val="single" w:color="auto"/>
          <w:color w:val="auto"/>
        </w:rPr>
        <w:t xml:space="preserve"> E</w:t>
      </w:r>
    </w:p>
    <w:p>
      <w:pPr>
        <w:spacing w:after="0" w:line="71"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9"/>
          <w:szCs w:val="19"/>
          <w:color w:val="auto"/>
        </w:rPr>
        <w:t>Officers, Management Directors &amp; Employees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CERTIFICATION OF COMPLIANCE</w:t>
      </w:r>
    </w:p>
    <w:p>
      <w:pPr>
        <w:spacing w:after="0" w:line="31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200"/>
        <w:spacing w:after="0"/>
        <w:tabs>
          <w:tab w:leader="none" w:pos="78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9"/>
          <w:szCs w:val="19"/>
          <w:color w:val="auto"/>
        </w:rPr>
        <w:t>Compliance Officer FROM:​</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-12065</wp:posOffset>
            </wp:positionV>
            <wp:extent cx="796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79" w:lineRule="exact"/>
        <w:rPr>
          <w:sz w:val="20"/>
          <w:szCs w:val="20"/>
          <w:color w:val="auto"/>
        </w:rPr>
      </w:pPr>
    </w:p>
    <w:p>
      <w:pPr>
        <w:ind w:left="200"/>
        <w:spacing w:after="0"/>
        <w:tabs>
          <w:tab w:leader="none" w:pos="78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color w:val="auto"/>
        </w:rPr>
        <w:t>INSIDER TRADING COMPLIANCE POLICY OF HELIUS MEDICAL TECHNOLOGIES, INC.</w:t>
      </w:r>
    </w:p>
    <w:p>
      <w:pPr>
        <w:spacing w:after="0" w:line="201"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I have received, reviewed and understand the above-referenced Insider Trading Compliance Policy and hereby undertake, as a condition to my present and continued employment at Helius Medical Technologies, Inc., to comply fully with the policies and procedures contained therein.</w:t>
      </w:r>
    </w:p>
    <w:p>
      <w:pPr>
        <w:spacing w:after="0" w:line="169" w:lineRule="exact"/>
        <w:rPr>
          <w:sz w:val="20"/>
          <w:szCs w:val="20"/>
          <w:color w:val="auto"/>
        </w:rPr>
      </w:pPr>
    </w:p>
    <w:p>
      <w:pPr>
        <w:jc w:val="both"/>
        <w:ind w:left="200" w:right="199" w:firstLine="609"/>
        <w:spacing w:after="0" w:line="263" w:lineRule="auto"/>
        <w:rPr>
          <w:sz w:val="20"/>
          <w:szCs w:val="20"/>
          <w:color w:val="auto"/>
        </w:rPr>
      </w:pPr>
      <w:r>
        <w:rPr>
          <w:rFonts w:ascii="Times New Roman" w:cs="Times New Roman" w:eastAsia="Times New Roman" w:hAnsi="Times New Roman"/>
          <w:sz w:val="19"/>
          <w:szCs w:val="19"/>
          <w:color w:val="auto"/>
        </w:rPr>
        <w:t>I hereby certify that to the best of my knowledge I have complied, and I will henceforth comply fully with all policies and procedures set forth in the above-referenced Insider Trading Compliance Policy.</w:t>
      </w:r>
    </w:p>
    <w:p>
      <w:pPr>
        <w:spacing w:after="0" w:line="377" w:lineRule="exact"/>
        <w:rPr>
          <w:sz w:val="20"/>
          <w:szCs w:val="20"/>
          <w:color w:val="auto"/>
        </w:rPr>
      </w:pPr>
    </w:p>
    <w:p>
      <w:pPr>
        <w:ind w:left="200"/>
        <w:spacing w:after="0"/>
        <w:tabs>
          <w:tab w:leader="none" w:pos="450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-121285</wp:posOffset>
            </wp:positionV>
            <wp:extent cx="55511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55511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-121285</wp:posOffset>
            </wp:positionV>
            <wp:extent cx="25901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sectPr>
          <w:pgSz w:w="11900" w:h="16838" w:orient="portrait"/>
          <w:cols w:equalWidth="0" w:num="1">
            <w:col w:w="9019"/>
          </w:cols>
          <w:pgMar w:left="1440" w:top="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457835</wp:posOffset>
            </wp:positionV>
            <wp:extent cx="5631815"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23</w:t>
      </w:r>
    </w:p>
    <w:p>
      <w:pPr>
        <w:sectPr>
          <w:pgSz w:w="11900" w:h="16838" w:orient="portrait"/>
          <w:cols w:equalWidth="0" w:num="2">
            <w:col w:w="6900" w:space="720"/>
            <w:col w:w="1399"/>
          </w:cols>
          <w:pgMar w:left="1440" w:top="399" w:right="1440" w:bottom="1440" w:gutter="0" w:footer="0" w:header="0"/>
          <w:type w:val="continuous"/>
        </w:sectPr>
      </w:pPr>
    </w:p>
    <w:bookmarkStart w:id="146" w:name="page147"/>
    <w:bookmarkEnd w:id="146"/>
    <w:p>
      <w:pPr>
        <w:jc w:val="right"/>
        <w:ind w:right="199"/>
        <w:spacing w:after="0"/>
        <w:rPr>
          <w:sz w:val="20"/>
          <w:szCs w:val="20"/>
          <w:color w:val="auto"/>
        </w:rPr>
      </w:pP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1"/>
          <w:szCs w:val="11"/>
          <w:b w:val="1"/>
          <w:bCs w:val="1"/>
          <w:u w:val="single" w:color="auto"/>
          <w:color w:val="auto"/>
        </w:rPr>
        <w:t>ttachment</w:t>
      </w:r>
      <w:r>
        <w:rPr>
          <w:rFonts w:ascii="Times New Roman" w:cs="Times New Roman" w:eastAsia="Times New Roman" w:hAnsi="Times New Roman"/>
          <w:sz w:val="17"/>
          <w:szCs w:val="17"/>
          <w:b w:val="1"/>
          <w:bCs w:val="1"/>
          <w:u w:val="single" w:color="auto"/>
          <w:color w:val="auto"/>
        </w:rPr>
        <w:t xml:space="preserve"> F</w:t>
      </w:r>
    </w:p>
    <w:p>
      <w:pPr>
        <w:spacing w:after="0" w:line="27"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9"/>
          <w:szCs w:val="19"/>
          <w:color w:val="auto"/>
        </w:rPr>
        <w:t>Consultants, Contractors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CERTIFICATION OF COMPLIANCE</w:t>
      </w:r>
    </w:p>
    <w:p>
      <w:pPr>
        <w:spacing w:after="0" w:line="200" w:lineRule="exact"/>
        <w:rPr>
          <w:sz w:val="20"/>
          <w:szCs w:val="20"/>
          <w:color w:val="auto"/>
        </w:rPr>
      </w:pPr>
    </w:p>
    <w:p>
      <w:pPr>
        <w:spacing w:after="0" w:line="335" w:lineRule="exact"/>
        <w:rPr>
          <w:sz w:val="20"/>
          <w:szCs w:val="20"/>
          <w:color w:val="auto"/>
        </w:rPr>
      </w:pPr>
    </w:p>
    <w:p>
      <w:pPr>
        <w:ind w:left="200"/>
        <w:spacing w:after="0"/>
        <w:tabs>
          <w:tab w:leader="none" w:pos="78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9"/>
          <w:szCs w:val="19"/>
          <w:color w:val="auto"/>
        </w:rPr>
        <w:t>Compliance Officer</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FROM: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-12065</wp:posOffset>
            </wp:positionV>
            <wp:extent cx="11753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92" w:lineRule="exact"/>
        <w:rPr>
          <w:sz w:val="20"/>
          <w:szCs w:val="20"/>
          <w:color w:val="auto"/>
        </w:rPr>
      </w:pPr>
    </w:p>
    <w:p>
      <w:pPr>
        <w:ind w:left="200"/>
        <w:spacing w:after="0"/>
        <w:tabs>
          <w:tab w:leader="none" w:pos="78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color w:val="auto"/>
        </w:rPr>
        <w:t>INSIDER TRADING COMPLIANCE POLICY OF HELIUS MEDICAL TECHNOLOGIES, INC.</w:t>
      </w:r>
    </w:p>
    <w:p>
      <w:pPr>
        <w:spacing w:after="0" w:line="201" w:lineRule="exact"/>
        <w:rPr>
          <w:sz w:val="20"/>
          <w:szCs w:val="20"/>
          <w:color w:val="auto"/>
        </w:rPr>
      </w:pPr>
    </w:p>
    <w:p>
      <w:pPr>
        <w:jc w:val="both"/>
        <w:ind w:left="200" w:right="199" w:firstLine="609"/>
        <w:spacing w:after="0" w:line="245" w:lineRule="auto"/>
        <w:rPr>
          <w:sz w:val="20"/>
          <w:szCs w:val="20"/>
          <w:color w:val="auto"/>
        </w:rPr>
      </w:pPr>
      <w:r>
        <w:rPr>
          <w:rFonts w:ascii="Times New Roman" w:cs="Times New Roman" w:eastAsia="Times New Roman" w:hAnsi="Times New Roman"/>
          <w:sz w:val="19"/>
          <w:szCs w:val="19"/>
          <w:color w:val="auto"/>
        </w:rPr>
        <w:t>The above named consultant or contractor to Helius Medical Technologies, Inc. has received, reviewed and understands the above-referenced Insider Trading Compliance Policy and hereby undertakes, as a condition to his, her or its present and continued consulting or other contractual relationship with Helius Medical Technologies, Inc., to comply fully with the policies and procedures contained therein.</w:t>
      </w:r>
    </w:p>
    <w:p>
      <w:pPr>
        <w:spacing w:after="0" w:line="175" w:lineRule="exact"/>
        <w:rPr>
          <w:sz w:val="20"/>
          <w:szCs w:val="20"/>
          <w:color w:val="auto"/>
        </w:rPr>
      </w:pPr>
    </w:p>
    <w:p>
      <w:pPr>
        <w:jc w:val="both"/>
        <w:ind w:left="200" w:right="199" w:firstLine="609"/>
        <w:spacing w:after="0" w:line="250" w:lineRule="auto"/>
        <w:rPr>
          <w:sz w:val="20"/>
          <w:szCs w:val="20"/>
          <w:color w:val="auto"/>
        </w:rPr>
      </w:pPr>
      <w:r>
        <w:rPr>
          <w:rFonts w:ascii="Times New Roman" w:cs="Times New Roman" w:eastAsia="Times New Roman" w:hAnsi="Times New Roman"/>
          <w:sz w:val="19"/>
          <w:szCs w:val="19"/>
          <w:color w:val="auto"/>
        </w:rPr>
        <w:t>The above named consultant or contractor hereby certifies that to the best of his, her or its knowledge such consultant or contractor has complied and will henceforth comply fully with all policies and procedures set forth in the above-referenced Insider Trading Compliance Policy.</w:t>
      </w:r>
    </w:p>
    <w:p>
      <w:pPr>
        <w:spacing w:after="0" w:line="389" w:lineRule="exact"/>
        <w:rPr>
          <w:sz w:val="20"/>
          <w:szCs w:val="20"/>
          <w:color w:val="auto"/>
        </w:rPr>
      </w:pPr>
    </w:p>
    <w:p>
      <w:pPr>
        <w:ind w:left="200"/>
        <w:spacing w:after="0"/>
        <w:tabs>
          <w:tab w:leader="none" w:pos="450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-121285</wp:posOffset>
            </wp:positionV>
            <wp:extent cx="55511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5551170" cy="8255"/>
                    </a:xfrm>
                    <a:prstGeom prst="rect">
                      <a:avLst/>
                    </a:prstGeom>
                    <a:noFill/>
                  </pic:spPr>
                </pic:pic>
              </a:graphicData>
            </a:graphic>
          </wp:anchor>
        </w:drawing>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-121285</wp:posOffset>
            </wp:positionV>
            <wp:extent cx="25901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-121285</wp:posOffset>
            </wp:positionV>
            <wp:extent cx="25901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49444290</w:t>
      </w: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HELIUS MEDICAL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-132715</wp:posOffset>
            </wp:positionV>
            <wp:extent cx="56318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9"/>
          <w:szCs w:val="19"/>
          <w:color w:val="auto"/>
        </w:rPr>
        <w:t>INSIDER TRADING COMPLIANCE POLICY</w:t>
      </w:r>
    </w:p>
    <w:p>
      <w:pPr>
        <w:ind w:left="80"/>
        <w:spacing w:after="0"/>
        <w:rPr>
          <w:sz w:val="20"/>
          <w:szCs w:val="20"/>
          <w:color w:val="auto"/>
        </w:rPr>
      </w:pPr>
      <w:r>
        <w:rPr>
          <w:rFonts w:ascii="Times New Roman" w:cs="Times New Roman" w:eastAsia="Times New Roman" w:hAnsi="Times New Roman"/>
          <w:sz w:val="19"/>
          <w:szCs w:val="19"/>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442595</wp:posOffset>
            </wp:positionV>
            <wp:extent cx="5631815"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5631815" cy="2413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tc>
      </w:tr>
      <w:tr>
        <w:trPr>
          <w:trHeight w:val="40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2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SUBSIDIARIES OF HELIUS MEDICAL TECHNOLOGIES, INC</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Helius Medical, Inc.</w:t>
            </w: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Delaware</w:t>
            </w:r>
          </w:p>
        </w:tc>
      </w:tr>
      <w:tr>
        <w:trPr>
          <w:trHeight w:val="203"/>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Revelation Neuro, Inc.</w:t>
            </w:r>
          </w:p>
        </w:tc>
        <w:tc>
          <w:tcPr>
            <w:tcW w:w="6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Texas</w:t>
            </w:r>
          </w:p>
        </w:tc>
      </w:tr>
      <w:tr>
        <w:trPr>
          <w:trHeight w:val="219"/>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Helius Medical Technologies (Canada), Inc.</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Canada</w:t>
            </w:r>
          </w:p>
        </w:tc>
      </w:tr>
      <w:tr>
        <w:trPr>
          <w:trHeight w:val="1340"/>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 1 (No. 333 278698, 333 259334 and 333 266107), Form S 3 (333 284633 and 333 270433) and Form S 8 (No. 333 280978, 333 204155, 333 218095, 333 229724, 333 256680, 333 257749, 333 265324 and 333 269305) of Helius Medical Technologies, Inc. of our report dated March 25, 2025, relating to the consolidated financial statements, which includes an explanatory paragraph relating to the Company's ability to continue as a going concern and appearing within this annual report on Form 10 K for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6301105"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6301105" cy="2413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Periodic Report Pursuant to Rule 13a-14(a) and Rule 15d-14(a)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Dane C. Andreeff, certify that:</w:t>
      </w:r>
    </w:p>
    <w:p>
      <w:pPr>
        <w:spacing w:after="0" w:line="211" w:lineRule="exact"/>
        <w:rPr>
          <w:sz w:val="20"/>
          <w:szCs w:val="20"/>
          <w:color w:val="auto"/>
        </w:rPr>
      </w:pPr>
    </w:p>
    <w:p>
      <w:pPr>
        <w:ind w:left="400" w:hanging="397"/>
        <w:spacing w:after="0"/>
        <w:tabs>
          <w:tab w:leader="none" w:pos="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Helius Medical Technologies, Inc.;</w:t>
      </w:r>
    </w:p>
    <w:p>
      <w:pPr>
        <w:spacing w:after="0" w:line="211" w:lineRule="exact"/>
        <w:rPr>
          <w:rFonts w:ascii="Times New Roman" w:cs="Times New Roman" w:eastAsia="Times New Roman" w:hAnsi="Times New Roman"/>
          <w:sz w:val="17"/>
          <w:szCs w:val="17"/>
          <w:color w:val="auto"/>
        </w:rPr>
      </w:pPr>
    </w:p>
    <w:p>
      <w:pPr>
        <w:ind w:left="400" w:right="100" w:hanging="397"/>
        <w:spacing w:after="0" w:line="263" w:lineRule="auto"/>
        <w:tabs>
          <w:tab w:leader="none" w:pos="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7"/>
          <w:szCs w:val="17"/>
          <w:color w:val="auto"/>
        </w:rPr>
      </w:pPr>
    </w:p>
    <w:p>
      <w:pPr>
        <w:ind w:left="400" w:right="380" w:hanging="397"/>
        <w:spacing w:after="0" w:line="310" w:lineRule="auto"/>
        <w:tabs>
          <w:tab w:leader="none" w:pos="4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6"/>
          <w:szCs w:val="16"/>
          <w:color w:val="auto"/>
        </w:rPr>
      </w:pPr>
    </w:p>
    <w:p>
      <w:pPr>
        <w:ind w:left="400" w:right="40" w:hanging="397"/>
        <w:spacing w:after="0" w:line="263" w:lineRule="auto"/>
        <w:tabs>
          <w:tab w:leader="none" w:pos="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7"/>
          <w:szCs w:val="17"/>
          <w:color w:val="auto"/>
        </w:rPr>
      </w:pPr>
    </w:p>
    <w:p>
      <w:pPr>
        <w:ind w:left="820" w:right="80" w:hanging="411"/>
        <w:spacing w:after="0" w:line="263" w:lineRule="auto"/>
        <w:tabs>
          <w:tab w:leader="none" w:pos="8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ind w:left="820" w:right="140" w:hanging="411"/>
        <w:spacing w:after="0" w:line="263" w:lineRule="auto"/>
        <w:tabs>
          <w:tab w:leader="none" w:pos="8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820" w:right="240" w:hanging="411"/>
        <w:spacing w:after="0" w:line="263" w:lineRule="auto"/>
        <w:tabs>
          <w:tab w:leader="none" w:pos="8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Times New Roman" w:cs="Times New Roman" w:eastAsia="Times New Roman" w:hAnsi="Times New Roman"/>
          <w:sz w:val="17"/>
          <w:szCs w:val="17"/>
          <w:color w:val="auto"/>
        </w:rPr>
      </w:pPr>
    </w:p>
    <w:p>
      <w:pPr>
        <w:ind w:left="820" w:right="360" w:hanging="411"/>
        <w:spacing w:after="0" w:line="263" w:lineRule="auto"/>
        <w:tabs>
          <w:tab w:leader="none" w:pos="8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left="400" w:right="320" w:hanging="397"/>
        <w:spacing w:after="0" w:line="263" w:lineRule="auto"/>
        <w:tabs>
          <w:tab w:leader="none" w:pos="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Times New Roman" w:cs="Times New Roman" w:eastAsia="Times New Roman" w:hAnsi="Times New Roman"/>
          <w:sz w:val="17"/>
          <w:szCs w:val="17"/>
          <w:color w:val="auto"/>
        </w:rPr>
      </w:pPr>
    </w:p>
    <w:p>
      <w:pPr>
        <w:ind w:left="820" w:right="180" w:hanging="411"/>
        <w:spacing w:after="0" w:line="278" w:lineRule="auto"/>
        <w:tabs>
          <w:tab w:leader="none" w:pos="8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left="820" w:right="460" w:hanging="411"/>
        <w:spacing w:after="0" w:line="278" w:lineRule="auto"/>
        <w:tabs>
          <w:tab w:leader="none" w:pos="8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25,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Dane C. Andreeff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31464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457200</wp:posOffset>
            </wp:positionV>
            <wp:extent cx="6301105"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6301105" cy="2413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Periodic Report Pursuant to Rule 13a-14(a) and Rule 15d-14(a)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S. Mathiesen, certify that:</w:t>
      </w:r>
    </w:p>
    <w:p>
      <w:pPr>
        <w:spacing w:after="0" w:line="211" w:lineRule="exact"/>
        <w:rPr>
          <w:sz w:val="20"/>
          <w:szCs w:val="20"/>
          <w:color w:val="auto"/>
        </w:rPr>
      </w:pPr>
    </w:p>
    <w:p>
      <w:pPr>
        <w:ind w:left="400" w:hanging="397"/>
        <w:spacing w:after="0"/>
        <w:tabs>
          <w:tab w:leader="none" w:pos="40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Helius Medical Technologies, Inc.;</w:t>
      </w:r>
    </w:p>
    <w:p>
      <w:pPr>
        <w:spacing w:after="0" w:line="211" w:lineRule="exact"/>
        <w:rPr>
          <w:rFonts w:ascii="Times New Roman" w:cs="Times New Roman" w:eastAsia="Times New Roman" w:hAnsi="Times New Roman"/>
          <w:sz w:val="17"/>
          <w:szCs w:val="17"/>
          <w:color w:val="auto"/>
        </w:rPr>
      </w:pPr>
    </w:p>
    <w:p>
      <w:pPr>
        <w:ind w:left="400" w:right="100" w:hanging="397"/>
        <w:spacing w:after="0" w:line="263" w:lineRule="auto"/>
        <w:tabs>
          <w:tab w:leader="none" w:pos="40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7"/>
          <w:szCs w:val="17"/>
          <w:color w:val="auto"/>
        </w:rPr>
      </w:pPr>
    </w:p>
    <w:p>
      <w:pPr>
        <w:ind w:left="400" w:right="380" w:hanging="397"/>
        <w:spacing w:after="0" w:line="310" w:lineRule="auto"/>
        <w:tabs>
          <w:tab w:leader="none" w:pos="40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6"/>
          <w:szCs w:val="16"/>
          <w:color w:val="auto"/>
        </w:rPr>
      </w:pPr>
    </w:p>
    <w:p>
      <w:pPr>
        <w:ind w:left="400" w:right="40" w:hanging="397"/>
        <w:spacing w:after="0" w:line="263" w:lineRule="auto"/>
        <w:tabs>
          <w:tab w:leader="none" w:pos="40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7"/>
          <w:szCs w:val="17"/>
          <w:color w:val="auto"/>
        </w:rPr>
      </w:pPr>
    </w:p>
    <w:p>
      <w:pPr>
        <w:ind w:left="820" w:right="80" w:hanging="411"/>
        <w:spacing w:after="0" w:line="263" w:lineRule="auto"/>
        <w:tabs>
          <w:tab w:leader="none" w:pos="8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ind w:left="820" w:right="140" w:hanging="411"/>
        <w:spacing w:after="0" w:line="263" w:lineRule="auto"/>
        <w:tabs>
          <w:tab w:leader="none" w:pos="8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820" w:right="240" w:hanging="411"/>
        <w:spacing w:after="0" w:line="263" w:lineRule="auto"/>
        <w:tabs>
          <w:tab w:leader="none" w:pos="8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Times New Roman" w:cs="Times New Roman" w:eastAsia="Times New Roman" w:hAnsi="Times New Roman"/>
          <w:sz w:val="17"/>
          <w:szCs w:val="17"/>
          <w:color w:val="auto"/>
        </w:rPr>
      </w:pPr>
    </w:p>
    <w:p>
      <w:pPr>
        <w:ind w:left="820" w:right="360" w:hanging="411"/>
        <w:spacing w:after="0" w:line="263" w:lineRule="auto"/>
        <w:tabs>
          <w:tab w:leader="none" w:pos="8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left="400" w:right="320" w:hanging="397"/>
        <w:spacing w:after="0" w:line="263" w:lineRule="auto"/>
        <w:tabs>
          <w:tab w:leader="none" w:pos="40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Times New Roman" w:cs="Times New Roman" w:eastAsia="Times New Roman" w:hAnsi="Times New Roman"/>
          <w:sz w:val="17"/>
          <w:szCs w:val="17"/>
          <w:color w:val="auto"/>
        </w:rPr>
      </w:pPr>
    </w:p>
    <w:p>
      <w:pPr>
        <w:ind w:left="820" w:right="180" w:hanging="411"/>
        <w:spacing w:after="0" w:line="278" w:lineRule="auto"/>
        <w:tabs>
          <w:tab w:leader="none" w:pos="8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left="820" w:right="460" w:hanging="411"/>
        <w:spacing w:after="0" w:line="278" w:lineRule="auto"/>
        <w:tabs>
          <w:tab w:leader="none" w:pos="8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25,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Jeffrey S. Mathiesen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S. Mathiesen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31464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457200</wp:posOffset>
            </wp:positionV>
            <wp:extent cx="6301105"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6301105" cy="2413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9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In connection with the Annual Report on Form 10-K of Helius Medical Technologies, Inc. (the “Company”) for the year ended December 31, 2024 as filed with the Securities and Exchange Commission on the date hereof (the “Report”), Dane C. Andreeff, as Chief Executive Officer of the Company, and Jeffrey S. Mathiesen, as Chief Financial Officer of the Company, each hereby certifies, pursuant to 18 U.S.C. Section 1350, as adopted pursuant to Section 906 of the Sarbanes-Oxley Act of 2002, that, to the best of their knowledge:</w:t>
      </w:r>
    </w:p>
    <w:p>
      <w:pPr>
        <w:spacing w:after="0" w:line="173" w:lineRule="exact"/>
        <w:rPr>
          <w:sz w:val="20"/>
          <w:szCs w:val="20"/>
          <w:color w:val="auto"/>
        </w:rPr>
      </w:pPr>
    </w:p>
    <w:p>
      <w:pPr>
        <w:ind w:left="400" w:hanging="397"/>
        <w:spacing w:after="0"/>
        <w:tabs>
          <w:tab w:leader="none" w:pos="4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7"/>
          <w:szCs w:val="17"/>
          <w:color w:val="auto"/>
        </w:rPr>
      </w:pPr>
    </w:p>
    <w:p>
      <w:pPr>
        <w:ind w:left="400" w:right="420" w:hanging="397"/>
        <w:spacing w:after="0" w:line="278" w:lineRule="auto"/>
        <w:tabs>
          <w:tab w:leader="none" w:pos="4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25,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wp:posOffset>
            </wp:positionV>
            <wp:extent cx="31464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Dane C. Andreeff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Jeffrey S. Mathiesen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wp:posOffset>
            </wp:positionV>
            <wp:extent cx="31464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S. Mathiesen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Helius Medical Technologies, Inc. and will be retained by Helius Medical Technologies,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313690</wp:posOffset>
            </wp:positionV>
            <wp:extent cx="6301105"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6301105" cy="24130"/>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1)"/>
      <w:numFmt w:val="lowerRoman"/>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1."/>
      <w:numFmt w:val="decimal"/>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
      <w:numFmt w:val="bullet"/>
      <w:start w:val="1"/>
    </w:lvl>
  </w:abstractNum>
  <w:abstractNum w:abstractNumId="35">
    <w:nsid w:val="6FC75AF8"/>
    <w:multiLevelType w:val="hybridMultilevel"/>
    <w:lvl w:ilvl="0">
      <w:lvlJc w:val="left"/>
      <w:lvlText w:val="%1."/>
      <w:numFmt w:val="decimal"/>
      <w:start w:val="1"/>
    </w:lvl>
  </w:abstractNum>
  <w:abstractNum w:abstractNumId="36">
    <w:nsid w:val="6A5F7029"/>
    <w:multiLevelType w:val="hybridMultilevel"/>
    <w:lvl w:ilvl="0">
      <w:lvlJc w:val="left"/>
      <w:lvlText w:val="%1."/>
      <w:numFmt w:val="decimal"/>
      <w:start w:val="2"/>
    </w:lvl>
  </w:abstractNum>
  <w:abstractNum w:abstractNumId="37">
    <w:nsid w:val="7D5E18F8"/>
    <w:multiLevelType w:val="hybridMultilevel"/>
    <w:lvl w:ilvl="0">
      <w:lvlJc w:val="left"/>
      <w:lvlText w:val="%1."/>
      <w:numFmt w:val="decimal"/>
      <w:start w:val="3"/>
    </w:lvl>
  </w:abstractNum>
  <w:abstractNum w:abstractNumId="38">
    <w:nsid w:val="5F3534A4"/>
    <w:multiLevelType w:val="hybridMultilevel"/>
    <w:lvl w:ilvl="0">
      <w:lvlJc w:val="left"/>
      <w:lvlText w:val="%1."/>
      <w:numFmt w:val="decimal"/>
      <w:start w:val="4"/>
    </w:lvl>
  </w:abstractNum>
  <w:abstractNum w:abstractNumId="39">
    <w:nsid w:val="73A1821B"/>
    <w:multiLevelType w:val="hybridMultilevel"/>
    <w:lvl w:ilvl="0">
      <w:lvlJc w:val="left"/>
      <w:lvlText w:val="%1."/>
      <w:numFmt w:val="decimal"/>
      <w:start w:val="5"/>
    </w:lvl>
  </w:abstractNum>
  <w:abstractNum w:abstractNumId="40">
    <w:nsid w:val="7DE67713"/>
    <w:multiLevelType w:val="hybridMultilevel"/>
    <w:lvl w:ilvl="0">
      <w:lvlJc w:val="left"/>
      <w:lvlText w:val="%1."/>
      <w:numFmt w:val="decimal"/>
      <w:start w:val="6"/>
    </w:lvl>
  </w:abstractNum>
  <w:abstractNum w:abstractNumId="41">
    <w:nsid w:val="555C55B5"/>
    <w:multiLevelType w:val="hybridMultilevel"/>
    <w:lvl w:ilvl="0">
      <w:lvlJc w:val="left"/>
      <w:lvlText w:val="%1."/>
      <w:numFmt w:val="decimal"/>
      <w:start w:val="7"/>
    </w:lvl>
  </w:abstractNum>
  <w:abstractNum w:abstractNumId="42">
    <w:nsid w:val="3FA62ACA"/>
    <w:multiLevelType w:val="hybridMultilevel"/>
    <w:lvl w:ilvl="0">
      <w:lvlJc w:val="left"/>
      <w:lvlText w:val="%1."/>
      <w:numFmt w:val="decimal"/>
      <w:start w:val="8"/>
    </w:lvl>
  </w:abstractNum>
  <w:abstractNum w:abstractNumId="43">
    <w:nsid w:val="14FCE74E"/>
    <w:multiLevelType w:val="hybridMultilevel"/>
    <w:lvl w:ilvl="0">
      <w:lvlJc w:val="left"/>
      <w:lvlText w:val="%1."/>
      <w:numFmt w:val="decimal"/>
      <w:start w:val="9"/>
    </w:lvl>
  </w:abstractNum>
  <w:abstractNum w:abstractNumId="44">
    <w:nsid w:val="6A3DD3E8"/>
    <w:multiLevelType w:val="hybridMultilevel"/>
    <w:lvl w:ilvl="0">
      <w:lvlJc w:val="left"/>
      <w:lvlText w:val="%1."/>
      <w:numFmt w:val="decimal"/>
      <w:start w:val="10"/>
    </w:lvl>
  </w:abstractNum>
  <w:abstractNum w:abstractNumId="45">
    <w:nsid w:val="71C91298"/>
    <w:multiLevelType w:val="hybridMultilevel"/>
    <w:lvl w:ilvl="0">
      <w:lvlJc w:val="left"/>
      <w:lvlText w:val="(%1)"/>
      <w:numFmt w:val="decimal"/>
      <w:start w:val="1"/>
    </w:lvl>
  </w:abstractNum>
  <w:abstractNum w:abstractNumId="46">
    <w:nsid w:val="9DAF632"/>
    <w:multiLevelType w:val="hybridMultilevel"/>
    <w:lvl w:ilvl="0">
      <w:lvlJc w:val="left"/>
      <w:lvlText w:val="%1."/>
      <w:numFmt w:val="decimal"/>
      <w:start w:val="11"/>
    </w:lvl>
  </w:abstractNum>
  <w:abstractNum w:abstractNumId="47">
    <w:nsid w:val="53299938"/>
    <w:multiLevelType w:val="hybridMultilevel"/>
    <w:lvl w:ilvl="0">
      <w:lvlJc w:val="left"/>
      <w:lvlText w:val="%1."/>
      <w:numFmt w:val="decimal"/>
      <w:start w:val="12"/>
    </w:lvl>
  </w:abstractNum>
  <w:abstractNum w:abstractNumId="48">
    <w:nsid w:val="1FBFE8E0"/>
    <w:multiLevelType w:val="hybridMultilevel"/>
    <w:lvl w:ilvl="0">
      <w:lvlJc w:val="left"/>
      <w:lvlText w:val="%1."/>
      <w:numFmt w:val="decimal"/>
      <w:start w:val="13"/>
    </w:lvl>
  </w:abstractNum>
  <w:abstractNum w:abstractNumId="49">
    <w:nsid w:val="5092CA79"/>
    <w:multiLevelType w:val="hybridMultilevel"/>
    <w:lvl w:ilvl="0">
      <w:lvlJc w:val="left"/>
      <w:lvlText w:val="%1."/>
      <w:numFmt w:val="decimal"/>
      <w:start w:val="14"/>
    </w:lvl>
  </w:abstractNum>
  <w:abstractNum w:abstractNumId="50">
    <w:nsid w:val="1D545C4D"/>
    <w:multiLevelType w:val="hybridMultilevel"/>
    <w:lvl w:ilvl="0">
      <w:lvlJc w:val="left"/>
      <w:lvlText w:val="%1."/>
      <w:numFmt w:val="decimal"/>
      <w:start w:val="15"/>
    </w:lvl>
  </w:abstractNum>
  <w:abstractNum w:abstractNumId="51">
    <w:nsid w:val="59ADEA3D"/>
    <w:multiLevelType w:val="hybridMultilevel"/>
    <w:lvl w:ilvl="0">
      <w:lvlJc w:val="left"/>
      <w:lvlText w:val="%1."/>
      <w:numFmt w:val="decimal"/>
      <w:start w:val="1"/>
    </w:lvl>
  </w:abstractNum>
  <w:abstractNum w:abstractNumId="52">
    <w:nsid w:val="288F1A34"/>
    <w:multiLevelType w:val="hybridMultilevel"/>
    <w:lvl w:ilvl="0">
      <w:lvlJc w:val="left"/>
      <w:lvlText w:val="%1."/>
      <w:numFmt w:val="upperLetter"/>
      <w:start w:val="2"/>
    </w:lvl>
  </w:abstractNum>
  <w:abstractNum w:abstractNumId="53">
    <w:nsid w:val="2A155DBC"/>
    <w:multiLevelType w:val="hybridMultilevel"/>
    <w:lvl w:ilvl="0">
      <w:lvlJc w:val="left"/>
      <w:lvlText w:val="%1."/>
      <w:numFmt w:val="decimal"/>
      <w:start w:val="2"/>
    </w:lvl>
  </w:abstractNum>
  <w:abstractNum w:abstractNumId="54">
    <w:nsid w:val="1D9F6E5F"/>
    <w:multiLevelType w:val="hybridMultilevel"/>
    <w:lvl w:ilvl="0">
      <w:lvlJc w:val="left"/>
      <w:lvlText w:val="%1."/>
      <w:numFmt w:val="decimal"/>
      <w:start w:val="2"/>
    </w:lvl>
  </w:abstractNum>
  <w:abstractNum w:abstractNumId="55">
    <w:nsid w:val="97E1B4E"/>
    <w:multiLevelType w:val="hybridMultilevel"/>
    <w:lvl w:ilvl="0">
      <w:lvlJc w:val="left"/>
      <w:lvlText w:val="%1."/>
      <w:numFmt w:val="upperLetter"/>
      <w:start w:val="2"/>
    </w:lvl>
  </w:abstractNum>
  <w:abstractNum w:abstractNumId="56">
    <w:nsid w:val="51088277"/>
    <w:multiLevelType w:val="hybridMultilevel"/>
    <w:lvl w:ilvl="0">
      <w:lvlJc w:val="left"/>
      <w:lvlText w:val="%1."/>
      <w:numFmt w:val="upperLetter"/>
      <w:start w:val="3"/>
    </w:lvl>
  </w:abstractNum>
  <w:abstractNum w:abstractNumId="57">
    <w:nsid w:val="1CA0C5FA"/>
    <w:multiLevelType w:val="hybridMultilevel"/>
    <w:lvl w:ilvl="0">
      <w:lvlJc w:val="left"/>
      <w:lvlText w:val="%1"/>
      <w:numFmt w:val="decimal"/>
      <w:start w:val="1"/>
    </w:lvl>
    <w:lvl w:ilvl="1">
      <w:lvlJc w:val="left"/>
      <w:lvlText w:val="%2."/>
      <w:numFmt w:val="upperLetter"/>
      <w:start w:val="4"/>
    </w:lvl>
  </w:abstractNum>
  <w:abstractNum w:abstractNumId="58">
    <w:nsid w:val="53584BCB"/>
    <w:multiLevelType w:val="hybridMultilevel"/>
    <w:lvl w:ilvl="0">
      <w:lvlJc w:val="left"/>
      <w:lvlText w:val="%1."/>
      <w:numFmt w:val="decimal"/>
      <w:start w:val="3"/>
    </w:lvl>
    <w:lvl w:ilvl="1">
      <w:lvlJc w:val="left"/>
      <w:lvlText w:val="%2"/>
      <w:numFmt w:val="upperLetter"/>
      <w:start w:val="1"/>
    </w:lvl>
  </w:abstractNum>
  <w:abstractNum w:abstractNumId="59">
    <w:nsid w:val="415E286C"/>
    <w:multiLevelType w:val="hybridMultilevel"/>
    <w:lvl w:ilvl="0">
      <w:lvlJc w:val="left"/>
      <w:lvlText w:val="%1."/>
      <w:numFmt w:val="decimal"/>
      <w:start w:val="4"/>
    </w:lvl>
  </w:abstractNum>
  <w:abstractNum w:abstractNumId="60">
    <w:nsid w:val="7C58FD05"/>
    <w:multiLevelType w:val="hybridMultilevel"/>
    <w:lvl w:ilvl="0">
      <w:lvlJc w:val="left"/>
      <w:lvlText w:val="%1."/>
      <w:numFmt w:val="decimal"/>
      <w:start w:val="5"/>
    </w:lvl>
  </w:abstractNum>
  <w:abstractNum w:abstractNumId="61">
    <w:nsid w:val="23D86AAC"/>
    <w:multiLevelType w:val="hybridMultilevel"/>
    <w:lvl w:ilvl="0">
      <w:lvlJc w:val="left"/>
      <w:lvlText w:val="%1."/>
      <w:numFmt w:val="decimal"/>
      <w:start w:val="6"/>
    </w:lvl>
  </w:abstractNum>
  <w:abstractNum w:abstractNumId="62">
    <w:nsid w:val="45E6D486"/>
    <w:multiLevelType w:val="hybridMultilevel"/>
    <w:lvl w:ilvl="0">
      <w:lvlJc w:val="left"/>
      <w:lvlText w:val="%1."/>
      <w:numFmt w:val="decimal"/>
      <w:start w:val="8"/>
    </w:lvl>
  </w:abstractNum>
  <w:abstractNum w:abstractNumId="63">
    <w:nsid w:val="5C10FE21"/>
    <w:multiLevelType w:val="hybridMultilevel"/>
    <w:lvl w:ilvl="0">
      <w:lvlJc w:val="left"/>
      <w:lvlText w:val="%1."/>
      <w:numFmt w:val="decimal"/>
      <w:start w:val="1"/>
    </w:lvl>
  </w:abstractNum>
  <w:abstractNum w:abstractNumId="64">
    <w:nsid w:val="E7FFA2B"/>
    <w:multiLevelType w:val="hybridMultilevel"/>
    <w:lvl w:ilvl="0">
      <w:lvlJc w:val="left"/>
      <w:lvlText w:val="%1."/>
      <w:numFmt w:val="upperLetter"/>
      <w:start w:val="2"/>
    </w:lvl>
  </w:abstractNum>
  <w:abstractNum w:abstractNumId="65">
    <w:nsid w:val="3C5991AA"/>
    <w:multiLevelType w:val="hybridMultilevel"/>
    <w:lvl w:ilvl="0">
      <w:lvlJc w:val="left"/>
      <w:lvlText w:val="%1."/>
      <w:numFmt w:val="decimal"/>
      <w:start w:val="2"/>
    </w:lvl>
  </w:abstractNum>
  <w:abstractNum w:abstractNumId="66">
    <w:nsid w:val="4BD8591A"/>
    <w:multiLevelType w:val="hybridMultilevel"/>
    <w:lvl w:ilvl="0">
      <w:lvlJc w:val="left"/>
      <w:lvlText w:val="%1."/>
      <w:numFmt w:val="upperLetter"/>
      <w:start w:val="1"/>
    </w:lvl>
  </w:abstractNum>
  <w:abstractNum w:abstractNumId="67">
    <w:nsid w:val="78DF6A55"/>
    <w:multiLevelType w:val="hybridMultilevel"/>
    <w:lvl w:ilvl="0">
      <w:lvlJc w:val="left"/>
      <w:lvlText w:val="%1."/>
      <w:numFmt w:val="upperLetter"/>
      <w:start w:val="2"/>
    </w:lvl>
  </w:abstractNum>
  <w:abstractNum w:abstractNumId="68">
    <w:nsid w:val="39B7AAA2"/>
    <w:multiLevelType w:val="hybridMultilevel"/>
    <w:lvl w:ilvl="0">
      <w:lvlJc w:val="left"/>
      <w:lvlText w:val="%1."/>
      <w:numFmt w:val="upperLetter"/>
      <w:start w:val="3"/>
    </w:lvl>
  </w:abstractNum>
  <w:abstractNum w:abstractNumId="69">
    <w:nsid w:val="2B0D8DBE"/>
    <w:multiLevelType w:val="hybridMultilevel"/>
    <w:lvl w:ilvl="0">
      <w:lvlJc w:val="left"/>
      <w:lvlText w:val="%1."/>
      <w:numFmt w:val="upperLetter"/>
      <w:start w:val="4"/>
    </w:lvl>
  </w:abstractNum>
  <w:abstractNum w:abstractNumId="70">
    <w:nsid w:val="6C80EC70"/>
    <w:multiLevelType w:val="hybridMultilevel"/>
    <w:lvl w:ilvl="0">
      <w:lvlJc w:val="left"/>
      <w:lvlText w:val="%1."/>
      <w:numFmt w:val="upperLetter"/>
      <w:start w:val="5"/>
    </w:lvl>
  </w:abstractNum>
  <w:abstractNum w:abstractNumId="71">
    <w:nsid w:val="379E21B5"/>
    <w:multiLevelType w:val="hybridMultilevel"/>
    <w:lvl w:ilvl="0">
      <w:lvlJc w:val="left"/>
      <w:lvlText w:val="%1."/>
      <w:numFmt w:val="upperLetter"/>
      <w:start w:val="6"/>
    </w:lvl>
  </w:abstractNum>
  <w:abstractNum w:abstractNumId="72">
    <w:nsid w:val="69E373"/>
    <w:multiLevelType w:val="hybridMultilevel"/>
    <w:lvl w:ilvl="0">
      <w:lvlJc w:val="left"/>
      <w:lvlText w:val="%1."/>
      <w:numFmt w:val="decimal"/>
      <w:start w:val="3"/>
    </w:lvl>
  </w:abstractNum>
  <w:abstractNum w:abstractNumId="73">
    <w:nsid w:val="2C27173B"/>
    <w:multiLevelType w:val="hybridMultilevel"/>
    <w:lvl w:ilvl="0">
      <w:lvlJc w:val="left"/>
      <w:lvlText w:val="%1."/>
      <w:numFmt w:val="decimal"/>
      <w:start w:val="4"/>
    </w:lvl>
  </w:abstractNum>
  <w:abstractNum w:abstractNumId="74">
    <w:nsid w:val="4C9B0904"/>
    <w:multiLevelType w:val="hybridMultilevel"/>
    <w:lvl w:ilvl="0">
      <w:lvlJc w:val="left"/>
      <w:lvlText w:val="%1."/>
      <w:numFmt w:val="upperLetter"/>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1."/>
      <w:numFmt w:val="upperLetter"/>
      <w:start w:val="2"/>
    </w:lvl>
  </w:abstractNum>
  <w:abstractNum w:abstractNumId="77">
    <w:nsid w:val="5675FF36"/>
    <w:multiLevelType w:val="hybridMultilevel"/>
    <w:lvl w:ilvl="0">
      <w:lvlJc w:val="left"/>
      <w:lvlText w:val="%1."/>
      <w:numFmt w:val="upperLetter"/>
      <w:start w:val="3"/>
    </w:lvl>
  </w:abstractNum>
  <w:abstractNum w:abstractNumId="78">
    <w:nsid w:val="3DD15094"/>
    <w:multiLevelType w:val="hybridMultilevel"/>
    <w:lvl w:ilvl="0">
      <w:lvlJc w:val="left"/>
      <w:lvlText w:val="%1."/>
      <w:numFmt w:val="upperLetter"/>
      <w:start w:val="4"/>
    </w:lvl>
  </w:abstractNum>
  <w:abstractNum w:abstractNumId="79">
    <w:nsid w:val="3DB012B3"/>
    <w:multiLevelType w:val="hybridMultilevel"/>
    <w:lvl w:ilvl="0">
      <w:lvlJc w:val="left"/>
      <w:lvlText w:val="%1."/>
      <w:numFmt w:val="decimal"/>
      <w:start w:val="5"/>
    </w:lvl>
  </w:abstractNum>
  <w:abstractNum w:abstractNumId="80">
    <w:nsid w:val="2708C9AF"/>
    <w:multiLevelType w:val="hybridMultilevel"/>
    <w:lvl w:ilvl="0">
      <w:lvlJc w:val="left"/>
      <w:lvlText w:val="%1."/>
      <w:numFmt w:val="upperLetter"/>
      <w:start w:val="1"/>
    </w:lvl>
  </w:abstractNum>
  <w:abstractNum w:abstractNumId="81">
    <w:nsid w:val="5B25ACE2"/>
    <w:multiLevelType w:val="hybridMultilevel"/>
    <w:lvl w:ilvl="0">
      <w:lvlJc w:val="left"/>
      <w:lvlText w:val="%1."/>
      <w:numFmt w:val="upperLetter"/>
      <w:start w:val="2"/>
    </w:lvl>
  </w:abstractNum>
  <w:abstractNum w:abstractNumId="82">
    <w:nsid w:val="175DFCF0"/>
    <w:multiLevelType w:val="hybridMultilevel"/>
    <w:lvl w:ilvl="0">
      <w:lvlJc w:val="left"/>
      <w:lvlText w:val="%1."/>
      <w:numFmt w:val="upperLetter"/>
      <w:start w:val="3"/>
    </w:lvl>
  </w:abstractNum>
  <w:abstractNum w:abstractNumId="83">
    <w:nsid w:val="4F97E3E4"/>
    <w:multiLevelType w:val="hybridMultilevel"/>
    <w:lvl w:ilvl="0">
      <w:lvlJc w:val="left"/>
      <w:lvlText w:val="%1."/>
      <w:numFmt w:val="decimal"/>
      <w:start w:val="6"/>
    </w:lvl>
  </w:abstractNum>
  <w:abstractNum w:abstractNumId="84">
    <w:nsid w:val="53B0A9E"/>
    <w:multiLevelType w:val="hybridMultilevel"/>
    <w:lvl w:ilvl="0">
      <w:lvlJc w:val="left"/>
      <w:lvlText w:val="%1."/>
      <w:numFmt w:val="upperLetter"/>
      <w:start w:val="2"/>
    </w:lvl>
  </w:abstractNum>
  <w:abstractNum w:abstractNumId="85">
    <w:nsid w:val="34FD6B4F"/>
    <w:multiLevelType w:val="hybridMultilevel"/>
    <w:lvl w:ilvl="0">
      <w:lvlJc w:val="left"/>
      <w:lvlText w:val="%1."/>
      <w:numFmt w:val="upperLetter"/>
      <w:start w:val="3"/>
    </w:lvl>
  </w:abstractNum>
  <w:abstractNum w:abstractNumId="86">
    <w:nsid w:val="5915FF32"/>
    <w:multiLevelType w:val="hybridMultilevel"/>
    <w:lvl w:ilvl="0">
      <w:lvlJc w:val="left"/>
      <w:lvlText w:val="%1."/>
      <w:numFmt w:val="decimal"/>
      <w:start w:val="7"/>
    </w:lvl>
  </w:abstractNum>
  <w:abstractNum w:abstractNumId="87">
    <w:nsid w:val="56438D15"/>
    <w:multiLevelType w:val="hybridMultilevel"/>
    <w:lvl w:ilvl="0">
      <w:lvlJc w:val="left"/>
      <w:lvlText w:val="%1."/>
      <w:numFmt w:val="upperLetter"/>
      <w:start w:val="2"/>
    </w:lvl>
  </w:abstractNum>
  <w:abstractNum w:abstractNumId="88">
    <w:nsid w:val="519E3149"/>
    <w:multiLevelType w:val="hybridMultilevel"/>
    <w:lvl w:ilvl="0">
      <w:lvlJc w:val="left"/>
      <w:lvlText w:val="%1."/>
      <w:numFmt w:val="decimal"/>
      <w:start w:val="8"/>
    </w:lvl>
  </w:abstractNum>
  <w:abstractNum w:abstractNumId="89">
    <w:nsid w:val="2C6E4AFD"/>
    <w:multiLevelType w:val="hybridMultilevel"/>
    <w:lvl w:ilvl="0">
      <w:lvlJc w:val="left"/>
      <w:lvlText w:val="%1."/>
      <w:numFmt w:val="decimal"/>
      <w:start w:val="9"/>
    </w:lvl>
  </w:abstractNum>
  <w:abstractNum w:abstractNumId="90">
    <w:nsid w:val="17A1B582"/>
    <w:multiLevelType w:val="hybridMultilevel"/>
    <w:lvl w:ilvl="0">
      <w:lvlJc w:val="left"/>
      <w:lvlText w:val="%1."/>
      <w:numFmt w:val="upperLetter"/>
      <w:start w:val="1"/>
    </w:lvl>
  </w:abstractNum>
  <w:abstractNum w:abstractNumId="91">
    <w:nsid w:val="4DF72E4E"/>
    <w:multiLevelType w:val="hybridMultilevel"/>
    <w:lvl w:ilvl="0">
      <w:lvlJc w:val="left"/>
      <w:lvlText w:val="%1."/>
      <w:numFmt w:val="decimal"/>
      <w:start w:val="1"/>
    </w:lvl>
  </w:abstractNum>
  <w:abstractNum w:abstractNumId="92">
    <w:nsid w:val="5046B5A9"/>
    <w:multiLevelType w:val="hybridMultilevel"/>
    <w:lvl w:ilvl="0">
      <w:lvlJc w:val="left"/>
      <w:lvlText w:val="%1"/>
      <w:numFmt w:val="upperLetter"/>
      <w:start w:val="1"/>
    </w:lvl>
    <w:lvl w:ilvl="1">
      <w:lvlJc w:val="left"/>
      <w:lvlText w:val="%2."/>
      <w:numFmt w:val="decimal"/>
      <w:start w:val="3"/>
    </w:lvl>
  </w:abstractNum>
  <w:abstractNum w:abstractNumId="93">
    <w:nsid w:val="5D888A08"/>
    <w:multiLevelType w:val="hybridMultilevel"/>
    <w:lvl w:ilvl="0">
      <w:lvlJc w:val="left"/>
      <w:lvlText w:val="%1."/>
      <w:numFmt w:val="upperLetter"/>
      <w:start w:val="2"/>
    </w:lvl>
    <w:lvl w:ilvl="1">
      <w:lvlJc w:val="left"/>
      <w:lvlText w:val="%2."/>
      <w:numFmt w:val="decimal"/>
      <w:start w:val="1"/>
    </w:lvl>
  </w:abstractNum>
  <w:abstractNum w:abstractNumId="94">
    <w:nsid w:val="2A082C70"/>
    <w:multiLevelType w:val="hybridMultilevel"/>
    <w:lvl w:ilvl="0">
      <w:lvlJc w:val="left"/>
      <w:lvlText w:val="%1"/>
      <w:numFmt w:val="upperLetter"/>
      <w:start w:val="1"/>
    </w:lvl>
    <w:lvl w:ilvl="1">
      <w:lvlJc w:val="left"/>
      <w:lvlText w:val="%2."/>
      <w:numFmt w:val="decimal"/>
      <w:start w:val="6"/>
    </w:lvl>
  </w:abstractNum>
  <w:abstractNum w:abstractNumId="95">
    <w:nsid w:val="5EC6AFD4"/>
    <w:multiLevelType w:val="hybridMultilevel"/>
    <w:lvl w:ilvl="0">
      <w:lvlJc w:val="left"/>
      <w:lvlText w:val="%1."/>
      <w:numFmt w:val="upperLetter"/>
      <w:start w:val="3"/>
    </w:lvl>
    <w:lvl w:ilvl="1">
      <w:lvlJc w:val="left"/>
      <w:lvlText w:val="%2"/>
      <w:numFmt w:val="decimal"/>
      <w:start w:val="1"/>
    </w:lvl>
  </w:abstractNum>
  <w:abstractNum w:abstractNumId="96">
    <w:nsid w:val="19E21BB2"/>
    <w:multiLevelType w:val="hybridMultilevel"/>
    <w:lvl w:ilvl="0">
      <w:lvlJc w:val="left"/>
      <w:lvlText w:val="(%1)"/>
      <w:numFmt w:val="decimal"/>
      <w:start w:val="1"/>
    </w:lvl>
  </w:abstractNum>
  <w:abstractNum w:abstractNumId="97">
    <w:nsid w:val="75E0858A"/>
    <w:multiLevelType w:val="hybridMultilevel"/>
    <w:lvl w:ilvl="0">
      <w:lvlJc w:val="left"/>
      <w:lvlText w:val="(%1)"/>
      <w:numFmt w:val="decimal"/>
      <w:start w:val="3"/>
    </w:lvl>
  </w:abstractNum>
  <w:abstractNum w:abstractNumId="98">
    <w:nsid w:val="57A61A29"/>
    <w:multiLevelType w:val="hybridMultilevel"/>
    <w:lvl w:ilvl="0">
      <w:lvlJc w:val="left"/>
      <w:lvlText w:val="(%1)"/>
      <w:numFmt w:val="decimal"/>
      <w:start w:val="4"/>
    </w:lvl>
  </w:abstractNum>
  <w:abstractNum w:abstractNumId="99">
    <w:nsid w:val="5399C654"/>
    <w:multiLevelType w:val="hybridMultilevel"/>
    <w:lvl w:ilvl="0">
      <w:lvlJc w:val="left"/>
      <w:lvlText w:val="%1"/>
      <w:numFmt w:val="upperLetter"/>
      <w:start w:val="1"/>
    </w:lvl>
    <w:lvl w:ilvl="1">
      <w:lvlJc w:val="left"/>
      <w:lvlText w:val="(%2)"/>
      <w:numFmt w:val="decimal"/>
      <w:start w:val="5"/>
    </w:lvl>
  </w:abstractNum>
  <w:abstractNum w:abstractNumId="100">
    <w:nsid w:val="20EE1348"/>
    <w:multiLevelType w:val="hybridMultilevel"/>
    <w:lvl w:ilvl="0">
      <w:lvlJc w:val="left"/>
      <w:lvlText w:val="%1."/>
      <w:numFmt w:val="upperLetter"/>
      <w:start w:val="4"/>
    </w:lvl>
    <w:lvl w:ilvl="1">
      <w:lvlJc w:val="left"/>
      <w:lvlText w:val="%2"/>
      <w:numFmt w:val="decimal"/>
      <w:start w:val="1"/>
    </w:lvl>
  </w:abstractNum>
  <w:abstractNum w:abstractNumId="101">
    <w:nsid w:val="4427069A"/>
    <w:multiLevelType w:val="hybridMultilevel"/>
    <w:lvl w:ilvl="0">
      <w:lvlJc w:val="left"/>
      <w:lvlText w:val="%1."/>
      <w:numFmt w:val="decimal"/>
      <w:start w:val="1"/>
    </w:lvl>
  </w:abstractNum>
  <w:abstractNum w:abstractNumId="102">
    <w:nsid w:val="B37E80A"/>
    <w:multiLevelType w:val="hybridMultilevel"/>
    <w:lvl w:ilvl="0">
      <w:lvlJc w:val="left"/>
      <w:lvlText w:val="%1."/>
      <w:numFmt w:val="upperLetter"/>
      <w:start w:val="5"/>
    </w:lvl>
  </w:abstractNum>
  <w:abstractNum w:abstractNumId="103">
    <w:nsid w:val="2157F6BC"/>
    <w:multiLevelType w:val="hybridMultilevel"/>
    <w:lvl w:ilvl="0">
      <w:lvlJc w:val="left"/>
      <w:lvlText w:val="%1."/>
      <w:numFmt w:val="decimal"/>
      <w:start w:val="10"/>
    </w:lvl>
  </w:abstractNum>
  <w:abstractNum w:abstractNumId="104">
    <w:nsid w:val="704E1DD5"/>
    <w:multiLevelType w:val="hybridMultilevel"/>
    <w:lvl w:ilvl="0">
      <w:lvlJc w:val="left"/>
      <w:lvlText w:val="%1."/>
      <w:numFmt w:val="decimal"/>
      <w:start w:val="11"/>
    </w:lvl>
  </w:abstractNum>
  <w:abstractNum w:abstractNumId="105">
    <w:nsid w:val="57D2F10E"/>
    <w:multiLevelType w:val="hybridMultilevel"/>
    <w:lvl w:ilvl="0">
      <w:lvlJc w:val="left"/>
      <w:lvlText w:val="%1."/>
      <w:numFmt w:val="decimal"/>
      <w:start w:val="12"/>
    </w:lvl>
  </w:abstractNum>
  <w:abstractNum w:abstractNumId="106">
    <w:nsid w:val="BFFAE18"/>
    <w:multiLevelType w:val="hybridMultilevel"/>
    <w:lvl w:ilvl="0">
      <w:lvlJc w:val="left"/>
      <w:lvlText w:val="%1."/>
      <w:numFmt w:val="upperLetter"/>
      <w:start w:val="1"/>
    </w:lvl>
  </w:abstractNum>
  <w:abstractNum w:abstractNumId="107">
    <w:nsid w:val="E3E47A8"/>
    <w:multiLevelType w:val="hybridMultilevel"/>
    <w:lvl w:ilvl="0">
      <w:lvlJc w:val="left"/>
      <w:lvlText w:val="%1."/>
      <w:numFmt w:val="upperLetter"/>
      <w:start w:val="2"/>
    </w:lvl>
  </w:abstractNum>
  <w:abstractNum w:abstractNumId="108">
    <w:nsid w:val="2E48F044"/>
    <w:multiLevelType w:val="hybridMultilevel"/>
    <w:lvl w:ilvl="0">
      <w:lvlJc w:val="left"/>
      <w:lvlText w:val="%1."/>
      <w:numFmt w:val="upperLetter"/>
      <w:start w:val="3"/>
    </w:lvl>
    <w:lvl w:ilvl="1">
      <w:lvlJc w:val="left"/>
      <w:lvlText w:val="(%2)"/>
      <w:numFmt w:val="decimal"/>
      <w:start w:val="7"/>
    </w:lvl>
  </w:abstractNum>
  <w:abstractNum w:abstractNumId="109">
    <w:nsid w:val="49D0FEAC"/>
    <w:multiLevelType w:val="hybridMultilevel"/>
    <w:lvl w:ilvl="0">
      <w:lvlJc w:val="left"/>
      <w:lvlText w:val="(%1)"/>
      <w:numFmt w:val="decimal"/>
      <w:start w:val="8"/>
    </w:lvl>
  </w:abstractNum>
  <w:abstractNum w:abstractNumId="110">
    <w:nsid w:val="4BEE5A5B"/>
    <w:multiLevelType w:val="hybridMultilevel"/>
    <w:lvl w:ilvl="0">
      <w:lvlJc w:val="left"/>
      <w:lvlText w:val="%1."/>
      <w:numFmt w:val="decimal"/>
      <w:start w:val="14"/>
    </w:lvl>
  </w:abstractNum>
  <w:abstractNum w:abstractNumId="111">
    <w:nsid w:val="5551B9F3"/>
    <w:multiLevelType w:val="hybridMultilevel"/>
    <w:lvl w:ilvl="0">
      <w:lvlJc w:val="left"/>
      <w:lvlText w:val="%1."/>
      <w:numFmt w:val="upperLetter"/>
      <w:start w:val="2"/>
    </w:lvl>
  </w:abstractNum>
  <w:abstractNum w:abstractNumId="112">
    <w:nsid w:val="24F6AB8E"/>
    <w:multiLevelType w:val="hybridMultilevel"/>
    <w:lvl w:ilvl="0">
      <w:lvlJc w:val="left"/>
      <w:lvlText w:val="%1."/>
      <w:numFmt w:val="upperLetter"/>
      <w:start w:val="4"/>
    </w:lvl>
  </w:abstractNum>
  <w:abstractNum w:abstractNumId="113">
    <w:nsid w:val="634C574C"/>
    <w:multiLevelType w:val="hybridMultilevel"/>
    <w:lvl w:ilvl="0">
      <w:lvlJc w:val="left"/>
      <w:lvlText w:val="%1."/>
      <w:numFmt w:val="upperLetter"/>
      <w:start w:val="5"/>
    </w:lvl>
  </w:abstractNum>
  <w:abstractNum w:abstractNumId="114">
    <w:nsid w:val="24E99DD7"/>
    <w:multiLevelType w:val="hybridMultilevel"/>
    <w:lvl w:ilvl="0">
      <w:lvlJc w:val="left"/>
      <w:lvlText w:val="%1."/>
      <w:numFmt w:val="upperLetter"/>
      <w:start w:val="6"/>
    </w:lvl>
  </w:abstractNum>
  <w:abstractNum w:abstractNumId="115">
    <w:nsid w:val="2A31B62D"/>
    <w:multiLevelType w:val="hybridMultilevel"/>
    <w:lvl w:ilvl="0">
      <w:lvlJc w:val="left"/>
      <w:lvlText w:val="(%1)"/>
      <w:numFmt w:val="decimal"/>
      <w:start w:val="6"/>
    </w:lvl>
  </w:abstractNum>
  <w:abstractNum w:abstractNumId="116">
    <w:nsid w:val="1849C29B"/>
    <w:multiLevelType w:val="hybridMultilevel"/>
    <w:lvl w:ilvl="0">
      <w:lvlJc w:val="left"/>
      <w:lvlText w:val="%1."/>
      <w:numFmt w:val="upperLetter"/>
      <w:start w:val="7"/>
    </w:lvl>
  </w:abstractNum>
  <w:abstractNum w:abstractNumId="117">
    <w:nsid w:val="7DFF9D09"/>
    <w:multiLevelType w:val="hybridMultilevel"/>
    <w:lvl w:ilvl="0">
      <w:lvlJc w:val="left"/>
      <w:lvlText w:val="%1."/>
      <w:numFmt w:val="upperLetter"/>
      <w:start w:val="8"/>
    </w:lvl>
  </w:abstractNum>
  <w:abstractNum w:abstractNumId="118">
    <w:nsid w:val="754342"/>
    <w:multiLevelType w:val="hybridMultilevel"/>
    <w:lvl w:ilvl="0">
      <w:lvlJc w:val="left"/>
      <w:lvlText w:val="%1."/>
      <w:numFmt w:val="upperLetter"/>
      <w:start w:val="9"/>
    </w:lvl>
  </w:abstractNum>
  <w:abstractNum w:abstractNumId="119">
    <w:nsid w:val="69E7F3E5"/>
    <w:multiLevelType w:val="hybridMultilevel"/>
    <w:lvl w:ilvl="0">
      <w:lvlJc w:val="left"/>
      <w:lvlText w:val="%1."/>
      <w:numFmt w:val="upperLetter"/>
      <w:start w:val="10"/>
    </w:lvl>
  </w:abstractNum>
  <w:abstractNum w:abstractNumId="120">
    <w:nsid w:val="2A6DE806"/>
    <w:multiLevelType w:val="hybridMultilevel"/>
    <w:lvl w:ilvl="0">
      <w:lvlJc w:val="left"/>
      <w:lvlText w:val="%1."/>
      <w:numFmt w:val="decimal"/>
      <w:start w:val="15"/>
    </w:lvl>
  </w:abstractNum>
  <w:abstractNum w:abstractNumId="121">
    <w:nsid w:val="1816F8C4"/>
    <w:multiLevelType w:val="hybridMultilevel"/>
    <w:lvl w:ilvl="0">
      <w:lvlJc w:val="left"/>
      <w:lvlText w:val="%1."/>
      <w:numFmt w:val="decimal"/>
      <w:start w:val="1"/>
    </w:lvl>
  </w:abstractNum>
  <w:abstractNum w:abstractNumId="122">
    <w:nsid w:val="37DF2233"/>
    <w:multiLevelType w:val="hybridMultilevel"/>
    <w:lvl w:ilvl="0">
      <w:lvlJc w:val="left"/>
      <w:lvlText w:val="%1."/>
      <w:numFmt w:val="upperLetter"/>
      <w:start w:val="35"/>
    </w:lvl>
    <w:lvl w:ilvl="1">
      <w:lvlJc w:val="left"/>
      <w:lvlText w:val="%2"/>
      <w:numFmt w:val="upperLetter"/>
      <w:start w:val="1"/>
    </w:lvl>
  </w:abstractNum>
  <w:abstractNum w:abstractNumId="123">
    <w:nsid w:val="7AB49DAF"/>
    <w:multiLevelType w:val="hybridMultilevel"/>
    <w:lvl w:ilvl="0">
      <w:lvlJc w:val="left"/>
      <w:lvlText w:val="%1."/>
      <w:numFmt w:val="upperLetter"/>
      <w:start w:val="2"/>
    </w:lvl>
    <w:lvl w:ilvl="1">
      <w:lvlJc w:val="left"/>
      <w:lvlText w:val="%2."/>
      <w:numFmt w:val="decimal"/>
      <w:start w:val="1"/>
    </w:lvl>
  </w:abstractNum>
  <w:abstractNum w:abstractNumId="124">
    <w:nsid w:val="759F82CD"/>
    <w:multiLevelType w:val="hybridMultilevel"/>
    <w:lvl w:ilvl="0">
      <w:lvlJc w:val="left"/>
      <w:lvlText w:val="%1."/>
      <w:numFmt w:val="decimal"/>
      <w:start w:val="4"/>
    </w:lvl>
  </w:abstractNum>
  <w:abstractNum w:abstractNumId="125">
    <w:nsid w:val="61E74EA3"/>
    <w:multiLevelType w:val="hybridMultilevel"/>
    <w:lvl w:ilvl="0">
      <w:lvlJc w:val="left"/>
      <w:lvlText w:val="●"/>
      <w:numFmt w:val="bullet"/>
      <w:start w:val="1"/>
    </w:lvl>
    <w:lvl w:ilvl="1">
      <w:lvlJc w:val="left"/>
      <w:lvlText w:val="%2."/>
      <w:numFmt w:val="upperLetter"/>
      <w:start w:val="1"/>
    </w:lvl>
  </w:abstractNum>
  <w:abstractNum w:abstractNumId="126">
    <w:nsid w:val="597B4D84"/>
    <w:multiLevelType w:val="hybridMultilevel"/>
    <w:lvl w:ilvl="0">
      <w:lvlJc w:val="left"/>
      <w:lvlText w:val="%1."/>
      <w:numFmt w:val="upperLetter"/>
      <w:start w:val="2"/>
    </w:lvl>
  </w:abstractNum>
  <w:abstractNum w:abstractNumId="127">
    <w:nsid w:val="F819E7F"/>
    <w:multiLevelType w:val="hybridMultilevel"/>
    <w:lvl w:ilvl="0">
      <w:lvlJc w:val="left"/>
      <w:lvlText w:val="%1."/>
      <w:numFmt w:val="upperLetter"/>
      <w:start w:val="3"/>
    </w:lvl>
  </w:abstractNum>
  <w:abstractNum w:abstractNumId="128">
    <w:nsid w:val="57C7D42D"/>
    <w:multiLevelType w:val="hybridMultilevel"/>
    <w:lvl w:ilvl="0">
      <w:lvlJc w:val="left"/>
      <w:lvlText w:val="%1."/>
      <w:numFmt w:val="upperLetter"/>
      <w:start w:val="4"/>
    </w:lvl>
  </w:abstractNum>
  <w:abstractNum w:abstractNumId="129">
    <w:nsid w:val="312167AD"/>
    <w:multiLevelType w:val="hybridMultilevel"/>
    <w:lvl w:ilvl="0">
      <w:lvlJc w:val="left"/>
      <w:lvlText w:val="%1."/>
      <w:numFmt w:val="upperLetter"/>
      <w:start w:val="5"/>
    </w:lvl>
  </w:abstractNum>
  <w:abstractNum w:abstractNumId="130">
    <w:nsid w:val="631B64D4"/>
    <w:multiLevelType w:val="hybridMultilevel"/>
    <w:lvl w:ilvl="0">
      <w:lvlJc w:val="left"/>
      <w:lvlText w:val="●"/>
      <w:numFmt w:val="bullet"/>
      <w:start w:val="1"/>
    </w:lvl>
  </w:abstractNum>
  <w:abstractNum w:abstractNumId="131">
    <w:nsid w:val="78B5E776"/>
    <w:multiLevelType w:val="hybridMultilevel"/>
    <w:lvl w:ilvl="0">
      <w:lvlJc w:val="left"/>
      <w:lvlText w:val="●"/>
      <w:numFmt w:val="bullet"/>
      <w:start w:val="1"/>
    </w:lvl>
  </w:abstractNum>
  <w:abstractNum w:abstractNumId="132">
    <w:nsid w:val="75486E47"/>
    <w:multiLevelType w:val="hybridMultilevel"/>
    <w:lvl w:ilvl="0">
      <w:lvlJc w:val="left"/>
      <w:lvlText w:val="%1."/>
      <w:numFmt w:val="upperLetter"/>
      <w:start w:val="6"/>
    </w:lvl>
  </w:abstractNum>
  <w:abstractNum w:abstractNumId="133">
    <w:nsid w:val="6E534CDE"/>
    <w:multiLevelType w:val="hybridMultilevel"/>
    <w:lvl w:ilvl="0">
      <w:lvlJc w:val="left"/>
      <w:lvlText w:val="%1."/>
      <w:numFmt w:val="upperLetter"/>
      <w:start w:val="7"/>
    </w:lvl>
  </w:abstractNum>
  <w:abstractNum w:abstractNumId="134">
    <w:nsid w:val="1A0DDE32"/>
    <w:multiLevelType w:val="hybridMultilevel"/>
    <w:lvl w:ilvl="0">
      <w:lvlJc w:val="left"/>
      <w:lvlText w:val="(%1)"/>
      <w:numFmt w:val="decimal"/>
      <w:start w:val="2"/>
    </w:lvl>
  </w:abstractNum>
  <w:abstractNum w:abstractNumId="135">
    <w:nsid w:val="65968C1C"/>
    <w:multiLevelType w:val="hybridMultilevel"/>
    <w:lvl w:ilvl="0">
      <w:lvlJc w:val="left"/>
      <w:lvlText w:val="%1."/>
      <w:numFmt w:val="decimal"/>
      <w:start w:val="3"/>
    </w:lvl>
  </w:abstractNum>
  <w:abstractNum w:abstractNumId="136">
    <w:nsid w:val="46263DEC"/>
    <w:multiLevelType w:val="hybridMultilevel"/>
    <w:lvl w:ilvl="0">
      <w:lvlJc w:val="left"/>
      <w:lvlText w:val="%1."/>
      <w:numFmt w:val="upperLetter"/>
      <w:start w:val="8"/>
    </w:lvl>
  </w:abstractNum>
  <w:abstractNum w:abstractNumId="137">
    <w:nsid w:val="260D8C4A"/>
    <w:multiLevelType w:val="hybridMultilevel"/>
    <w:lvl w:ilvl="0">
      <w:lvlJc w:val="left"/>
      <w:lvlText w:val="%1."/>
      <w:numFmt w:val="upperLetter"/>
      <w:start w:val="1"/>
    </w:lvl>
  </w:abstractNum>
  <w:abstractNum w:abstractNumId="138">
    <w:nsid w:val="73D4D3C4"/>
    <w:multiLevelType w:val="hybridMultilevel"/>
    <w:lvl w:ilvl="0">
      <w:lvlJc w:val="left"/>
      <w:lvlText w:val="%1."/>
      <w:numFmt w:val="upperLetter"/>
      <w:start w:val="2"/>
    </w:lvl>
  </w:abstractNum>
  <w:abstractNum w:abstractNumId="139">
    <w:nsid w:val="746F2E30"/>
    <w:multiLevelType w:val="hybridMultilevel"/>
    <w:lvl w:ilvl="0">
      <w:lvlJc w:val="left"/>
      <w:lvlText w:val="%1."/>
      <w:numFmt w:val="upperLetter"/>
      <w:start w:val="3"/>
    </w:lvl>
  </w:abstractNum>
  <w:abstractNum w:abstractNumId="140">
    <w:nsid w:val="6FDE8AF6"/>
    <w:multiLevelType w:val="hybridMultilevel"/>
    <w:lvl w:ilvl="0">
      <w:lvlJc w:val="left"/>
      <w:lvlText w:val="%1."/>
      <w:numFmt w:val="decimal"/>
      <w:start w:val="1"/>
    </w:lvl>
    <w:lvl w:ilvl="1">
      <w:lvlJc w:val="left"/>
      <w:lvlText w:val="●"/>
      <w:numFmt w:val="bullet"/>
      <w:start w:val="1"/>
    </w:lvl>
  </w:abstractNum>
  <w:abstractNum w:abstractNumId="141">
    <w:nsid w:val="3FC32E20"/>
    <w:multiLevelType w:val="hybridMultilevel"/>
    <w:lvl w:ilvl="0">
      <w:lvlJc w:val="left"/>
      <w:lvlText w:val="%1."/>
      <w:numFmt w:val="decimal"/>
      <w:start w:val="1"/>
    </w:lvl>
    <w:lvl w:ilvl="1">
      <w:lvlJc w:val="left"/>
      <w:lvlText w:val="%2."/>
      <w:numFmt w:val="upperLetter"/>
      <w:start w:val="4"/>
    </w:lvl>
    <w:lvl w:ilvl="2">
      <w:lvlJc w:val="left"/>
      <w:lvlText w:val="●"/>
      <w:numFmt w:val="bullet"/>
      <w:start w:val="1"/>
    </w:lvl>
  </w:abstractNum>
  <w:abstractNum w:abstractNumId="142">
    <w:nsid w:val="49C0E823"/>
    <w:multiLevelType w:val="hybridMultilevel"/>
    <w:lvl w:ilvl="0">
      <w:lvlJc w:val="left"/>
      <w:lvlText w:val="●"/>
      <w:numFmt w:val="bullet"/>
      <w:start w:val="1"/>
    </w:lvl>
  </w:abstractNum>
  <w:abstractNum w:abstractNumId="143">
    <w:nsid w:val="14D53685"/>
    <w:multiLevelType w:val="hybridMultilevel"/>
    <w:lvl w:ilvl="0">
      <w:lvlJc w:val="left"/>
      <w:lvlText w:val="%1."/>
      <w:numFmt w:val="upperLetter"/>
      <w:start w:val="5"/>
    </w:lvl>
  </w:abstractNum>
  <w:abstractNum w:abstractNumId="144">
    <w:nsid w:val="230F856C"/>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45">
    <w:nsid w:val="6EAA85FB"/>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146">
    <w:nsid w:val="3F06ECB2"/>
    <w:multiLevelType w:val="hybridMultilevel"/>
    <w:lvl w:ilvl="0">
      <w:lvlJc w:val="left"/>
      <w:lvlText w:val="●"/>
      <w:numFmt w:val="bullet"/>
      <w:start w:val="1"/>
    </w:lvl>
    <w:lvl w:ilvl="1">
      <w:lvlJc w:val="left"/>
      <w:lvlText w:val="%2."/>
      <w:numFmt w:val="upperLetter"/>
      <w:start w:val="2"/>
    </w:lvl>
    <w:lvl w:ilvl="2">
      <w:lvlJc w:val="left"/>
      <w:lvlText w:val="°"/>
      <w:numFmt w:val="bullet"/>
      <w:start w:val="1"/>
    </w:lvl>
  </w:abstractNum>
  <w:abstractNum w:abstractNumId="147">
    <w:nsid w:val="3B594807"/>
    <w:multiLevelType w:val="hybridMultilevel"/>
    <w:lvl w:ilvl="0">
      <w:lvlJc w:val="left"/>
      <w:lvlText w:val="%1."/>
      <w:numFmt w:val="upperLetter"/>
      <w:start w:val="3"/>
    </w:lvl>
  </w:abstractNum>
  <w:abstractNum w:abstractNumId="148">
    <w:nsid w:val="6CAA2304"/>
    <w:multiLevelType w:val="hybridMultilevel"/>
    <w:lvl w:ilvl="0">
      <w:lvlJc w:val="left"/>
      <w:lvlText w:val="%1."/>
      <w:numFmt w:val="upperLetter"/>
      <w:start w:val="4"/>
    </w:lvl>
  </w:abstractNum>
  <w:abstractNum w:abstractNumId="149">
    <w:nsid w:val="3F7C2FF4"/>
    <w:multiLevelType w:val="hybridMultilevel"/>
    <w:lvl w:ilvl="0">
      <w:lvlJc w:val="left"/>
      <w:lvlText w:val="%1."/>
      <w:numFmt w:val="upperLetter"/>
      <w:start w:val="5"/>
    </w:lvl>
  </w:abstractNum>
  <w:abstractNum w:abstractNumId="150">
    <w:nsid w:val="25413BEC"/>
    <w:multiLevelType w:val="hybridMultilevel"/>
    <w:lvl w:ilvl="0">
      <w:lvlJc w:val="left"/>
      <w:lvlText w:val="%1."/>
      <w:numFmt w:val="upperLetter"/>
      <w:start w:val="6"/>
    </w:lvl>
  </w:abstractNum>
  <w:abstractNum w:abstractNumId="151">
    <w:nsid w:val="17180B0B"/>
    <w:multiLevelType w:val="hybridMultilevel"/>
    <w:lvl w:ilvl="0">
      <w:lvlJc w:val="left"/>
      <w:lvlText w:val="(%1)"/>
      <w:numFmt w:val="decimal"/>
      <w:start w:val="6"/>
    </w:lvl>
    <w:lvl w:ilvl="1">
      <w:lvlJc w:val="left"/>
      <w:lvlText w:val="%2"/>
      <w:numFmt w:val="upperLetter"/>
      <w:start w:val="1"/>
    </w:lvl>
  </w:abstractNum>
  <w:abstractNum w:abstractNumId="152">
    <w:nsid w:val="579328B9"/>
    <w:multiLevelType w:val="hybridMultilevel"/>
    <w:lvl w:ilvl="0">
      <w:lvlJc w:val="left"/>
      <w:lvlText w:val="%1."/>
      <w:numFmt w:val="upperLetter"/>
      <w:start w:val="8"/>
    </w:lvl>
  </w:abstractNum>
  <w:abstractNum w:abstractNumId="153">
    <w:nsid w:val="5D205E20"/>
    <w:multiLevelType w:val="hybridMultilevel"/>
    <w:lvl w:ilvl="0">
      <w:lvlJc w:val="left"/>
      <w:lvlText w:val="%1."/>
      <w:numFmt w:val="upperLetter"/>
      <w:start w:val="9"/>
    </w:lvl>
  </w:abstractNum>
  <w:abstractNum w:abstractNumId="154">
    <w:nsid w:val="11CCA8BA"/>
    <w:multiLevelType w:val="hybridMultilevel"/>
    <w:lvl w:ilvl="0">
      <w:lvlJc w:val="left"/>
      <w:lvlText w:val="%1."/>
      <w:numFmt w:val="upperLetter"/>
      <w:start w:val="10"/>
    </w:lvl>
  </w:abstractNum>
  <w:abstractNum w:abstractNumId="155">
    <w:nsid w:val="4D32AB86"/>
    <w:multiLevelType w:val="hybridMultilevel"/>
    <w:lvl w:ilvl="0">
      <w:lvlJc w:val="left"/>
      <w:lvlText w:val="%1."/>
      <w:numFmt w:val="decimal"/>
      <w:start w:val="1"/>
    </w:lvl>
  </w:abstractNum>
  <w:abstractNum w:abstractNumId="156">
    <w:nsid w:val="3F07ACC3"/>
    <w:multiLevelType w:val="hybridMultilevel"/>
    <w:lvl w:ilvl="0">
      <w:lvlJc w:val="left"/>
      <w:lvlText w:val="%1."/>
      <w:numFmt w:val="decimal"/>
      <w:start w:val="1"/>
    </w:lvl>
  </w:abstractNum>
  <w:abstractNum w:abstractNumId="157">
    <w:nsid w:val="6B47F63E"/>
    <w:multiLevelType w:val="hybridMultilevel"/>
    <w:lvl w:ilvl="0">
      <w:lvlJc w:val="left"/>
      <w:lvlText w:val="☐"/>
      <w:numFmt w:val="bullet"/>
      <w:start w:val="1"/>
    </w:lvl>
  </w:abstractNum>
  <w:abstractNum w:abstractNumId="158">
    <w:nsid w:val="5CB44A05"/>
    <w:multiLevelType w:val="hybridMultilevel"/>
    <w:lvl w:ilvl="0">
      <w:lvlJc w:val="left"/>
      <w:lvlText w:val="*"/>
      <w:numFmt w:val="bullet"/>
      <w:start w:val="1"/>
    </w:lvl>
  </w:abstractNum>
  <w:abstractNum w:abstractNumId="159">
    <w:nsid w:val="16CF80F1"/>
    <w:multiLevelType w:val="hybridMultilevel"/>
    <w:lvl w:ilvl="0">
      <w:lvlJc w:val="left"/>
      <w:lvlText w:val="**"/>
      <w:numFmt w:val="bullet"/>
      <w:start w:val="1"/>
    </w:lvl>
  </w:abstractNum>
  <w:abstractNum w:abstractNumId="160">
    <w:nsid w:val="1C695DEC"/>
    <w:multiLevelType w:val="hybridMultilevel"/>
    <w:lvl w:ilvl="0">
      <w:lvlJc w:val="left"/>
      <w:lvlText w:val="%1."/>
      <w:numFmt w:val="decimal"/>
      <w:start w:val="1"/>
    </w:lvl>
    <w:lvl w:ilvl="1">
      <w:lvlJc w:val="left"/>
      <w:lvlText w:val="(%2)"/>
      <w:numFmt w:val="lowerLetter"/>
      <w:start w:val="1"/>
    </w:lvl>
  </w:abstractNum>
  <w:abstractNum w:abstractNumId="161">
    <w:nsid w:val="3FCFAED9"/>
    <w:multiLevelType w:val="hybridMultilevel"/>
    <w:lvl w:ilvl="0">
      <w:lvlJc w:val="left"/>
      <w:lvlText w:val="%1."/>
      <w:numFmt w:val="decimal"/>
      <w:start w:val="1"/>
    </w:lvl>
    <w:lvl w:ilvl="1">
      <w:lvlJc w:val="left"/>
      <w:lvlText w:val="(%2)"/>
      <w:numFmt w:val="lowerLetter"/>
      <w:start w:val="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88" Type="http://schemas.openxmlformats.org/officeDocument/2006/relationships/hyperlink" Target="https://www.sec.gov/Archives/edgar/data/1610853/000156459018020736/hsdt-ex31_66.htm" TargetMode="External"/><Relationship Id="rId89" Type="http://schemas.openxmlformats.org/officeDocument/2006/relationships/hyperlink" Target="https://www.sec.gov/Archives/edgar/data/1610853/000119312518312155/d646047dex31.htm" TargetMode="External"/><Relationship Id="rId90" Type="http://schemas.openxmlformats.org/officeDocument/2006/relationships/hyperlink" Target="https://www.sec.gov/Archives/edgar/data/1610853/000156459020058917/hsdt-ex31_7.htm" TargetMode="External"/><Relationship Id="rId91" Type="http://schemas.openxmlformats.org/officeDocument/2006/relationships/hyperlink" Target="https://www.sec.gov/Archives/edgar/data/1610853/000156459018020736/hsdt-ex33_68.htm" TargetMode="External"/><Relationship Id="rId92" Type="http://schemas.openxmlformats.org/officeDocument/2006/relationships/hyperlink" Target="https://www.sec.gov/Archives/edgar/data/1610853/000119312521011714/d15508dex41.htm" TargetMode="External"/><Relationship Id="rId93" Type="http://schemas.openxmlformats.org/officeDocument/2006/relationships/hyperlink" Target="https://www.sec.gov/Archives/edgar/data/1610853/000119312521011714/d15508dex42.htm" TargetMode="External"/><Relationship Id="rId94" Type="http://schemas.openxmlformats.org/officeDocument/2006/relationships/hyperlink" Target="https://www.sec.gov/Archives/edgar/data/1610853/000156459021012121/hsdt-ex47_10.htm" TargetMode="External"/><Relationship Id="rId95" Type="http://schemas.openxmlformats.org/officeDocument/2006/relationships/hyperlink" Target="https://www.sec.gov/Archives/edgar/data/1610853/000156459021003612/hsdt-ex42_9.htm" TargetMode="External"/><Relationship Id="rId96" Type="http://schemas.openxmlformats.org/officeDocument/2006/relationships/hyperlink" Target="https://www.sec.gov/Archives/edgar/data/1610853/000110465922087978/tm2222911d1_ex4-1.htm" TargetMode="External"/><Relationship Id="rId97" Type="http://schemas.openxmlformats.org/officeDocument/2006/relationships/hyperlink" Target="https://www.sec.gov/Archives/edgar/data/1610853/000110465922087978/tm2222911d1_ex4-2.htm" TargetMode="External"/><Relationship Id="rId98" Type="http://schemas.openxmlformats.org/officeDocument/2006/relationships/hyperlink" Target="https://www.sec.gov/Archives/edgar/data/1610853/000110465924059372/tm2411553d9_ex4-1.htm" TargetMode="External"/><Relationship Id="rId99" Type="http://schemas.openxmlformats.org/officeDocument/2006/relationships/hyperlink" Target="https://www.sec.gov/Archives/edgar/data/1610853/000110465924059372/tm2411553d9_ex4-2.htm" TargetMode="External"/><Relationship Id="rId100" Type="http://schemas.openxmlformats.org/officeDocument/2006/relationships/hyperlink" Target="https://www.sec.gov/Archives/edgar/data/1610853/000110465924059372/tm2411553d9_ex4-3.htm" TargetMode="External"/><Relationship Id="rId101" Type="http://schemas.openxmlformats.org/officeDocument/2006/relationships/hyperlink" Target="https://www.sec.gov/Archives/edgar/data/1610853/000110465924059372/tm2411553d9_ex4-4.htm" TargetMode="External"/><Relationship Id="rId102" Type="http://schemas.openxmlformats.org/officeDocument/2006/relationships/hyperlink" Target="https://www.sec.gov/Archives/edgar/data/1610853/000155837025000407/hsdt-20250121xex4d1.htm" TargetMode="External"/><Relationship Id="rId103" Type="http://schemas.openxmlformats.org/officeDocument/2006/relationships/hyperlink" Target="https://www.sec.gov/Archives/edgar/data/1610853/000106299314005608/exhibit10-8.htm" TargetMode="External"/><Relationship Id="rId104" Type="http://schemas.openxmlformats.org/officeDocument/2006/relationships/hyperlink" Target="https://www.sec.gov/Archives/edgar/data/1610853/000118374014000218/fs1ex10-1.htm" TargetMode="External"/><Relationship Id="rId105" Type="http://schemas.openxmlformats.org/officeDocument/2006/relationships/hyperlink" Target="https://www.sec.gov/Archives/edgar/data/1610853/000118374014000218/fs1ex10-7.htm" TargetMode="External"/><Relationship Id="rId106" Type="http://schemas.openxmlformats.org/officeDocument/2006/relationships/hyperlink" Target="https://www.sec.gov/Archives/edgar/data/1610853/000118374014000218/fs1ex10-3.htm" TargetMode="External"/><Relationship Id="rId107" Type="http://schemas.openxmlformats.org/officeDocument/2006/relationships/hyperlink" Target="https://www.sec.gov/Archives/edgar/data/1610853/000106299315005471/exhibit2-1.htm" TargetMode="External"/><Relationship Id="rId108" Type="http://schemas.openxmlformats.org/officeDocument/2006/relationships/hyperlink" Target="https://www.sec.gov/Archives/edgar/data/1610853/000156459017021203/hsdt-ex101_6.htm" TargetMode="External"/><Relationship Id="rId109" Type="http://schemas.openxmlformats.org/officeDocument/2006/relationships/hyperlink" Target="https://www.sec.gov/Archives/edgar/data/1610853/000156459019007839/hsdt-ex1027_291.htm" TargetMode="External"/><Relationship Id="rId110" Type="http://schemas.openxmlformats.org/officeDocument/2006/relationships/hyperlink" Target="https://www.sec.gov/Archives/edgar/data/1610853/000156459017023191/hsdt-ex43_70.htm" TargetMode="External"/><Relationship Id="rId111" Type="http://schemas.openxmlformats.org/officeDocument/2006/relationships/hyperlink" Target="https://www.sec.gov/Archives/edgar/data/1610853/000156459017005926/hsdt-ex10231_989.htm" TargetMode="External"/><Relationship Id="rId112" Type="http://schemas.openxmlformats.org/officeDocument/2006/relationships/hyperlink" Target="https://www.sec.gov/Archives/edgar/data/1610853/000156459017005926/hsdt-ex1025_990.htm" TargetMode="External"/><Relationship Id="rId113" Type="http://schemas.openxmlformats.org/officeDocument/2006/relationships/hyperlink" Target="https://www.sec.gov/Archives/edgar/data/1610853/000156459017005926/hsdt-ex10251_1221.htm" TargetMode="External"/><Relationship Id="rId114" Type="http://schemas.openxmlformats.org/officeDocument/2006/relationships/hyperlink" Target="https://www.sec.gov/Archives/edgar/data/1610853/000119312517175405/d382247dex47.htm" TargetMode="External"/><Relationship Id="rId115" Type="http://schemas.openxmlformats.org/officeDocument/2006/relationships/hyperlink" Target="https://www.sec.gov/Archives/edgar/data/1610853/000119312517175405/d382247dex48.htm" TargetMode="External"/><Relationship Id="rId116" Type="http://schemas.openxmlformats.org/officeDocument/2006/relationships/hyperlink" Target="https://www.sec.gov/Archives/edgar/data/1610853/000119312517175405/d382247dex49.htm" TargetMode="External"/><Relationship Id="rId117" Type="http://schemas.openxmlformats.org/officeDocument/2006/relationships/hyperlink" Target="https://www.sec.gov/Archives/edgar/data/1610853/000156459018028537/hsdt-ex102_17.htm" TargetMode="External"/><Relationship Id="rId118" Type="http://schemas.openxmlformats.org/officeDocument/2006/relationships/hyperlink" Target="https://www.sec.gov/Archives/edgar/data/1610853/000156459018028537/hsdt-ex103_18.htm" TargetMode="External"/><Relationship Id="rId119" Type="http://schemas.openxmlformats.org/officeDocument/2006/relationships/hyperlink" Target="https://www.sec.gov/Archives/edgar/data/1610853/000156459018028537/hsdt-ex104_19.htm" TargetMode="External"/><Relationship Id="rId120" Type="http://schemas.openxmlformats.org/officeDocument/2006/relationships/hyperlink" Target="https://www.sec.gov/Archives/edgar/data/1610853/000156459020046019/hsdt-ex101_7.htm" TargetMode="External"/><Relationship Id="rId121" Type="http://schemas.openxmlformats.org/officeDocument/2006/relationships/hyperlink" Target="https://www.sec.gov/Archives/edgar/data/1610853/000156459021018009/hsdt-ex101_8.htm" TargetMode="External"/><Relationship Id="rId122" Type="http://schemas.openxmlformats.org/officeDocument/2006/relationships/hyperlink" Target="https://www.sec.gov/Archives/edgar/data/1610853/000156459021030425/hsdt-ex101_8.htm" TargetMode="External"/><Relationship Id="rId123" Type="http://schemas.openxmlformats.org/officeDocument/2006/relationships/hyperlink" Target="https://www.sec.gov/Archives/edgar/data/1610853/000156459021032871/hsdt-ex103_7.htm" TargetMode="External"/><Relationship Id="rId124" Type="http://schemas.openxmlformats.org/officeDocument/2006/relationships/hyperlink" Target="https://www.sec.gov/Archives/edgar/data/1610853/000156459021012121/hsdt-ex1024_291.htm" TargetMode="External"/><Relationship Id="rId125" Type="http://schemas.openxmlformats.org/officeDocument/2006/relationships/hyperlink" Target="https://www.sec.gov/Archives/edgar/data/1610853/000156459021028404/hsdt-ex107_84.htm" TargetMode="External"/><Relationship Id="rId126" Type="http://schemas.openxmlformats.org/officeDocument/2006/relationships/hyperlink" Target="https://www.sec.gov/Archives/edgar/data/1610853/000156459021032871/hsdt-ex101_9.htm" TargetMode="External"/><Relationship Id="rId127" Type="http://schemas.openxmlformats.org/officeDocument/2006/relationships/hyperlink" Target="https://www.sec.gov/Archives/edgar/data/1610853/000156459021032871/hsdt-ex102_8.htm" TargetMode="External"/><Relationship Id="rId128" Type="http://schemas.openxmlformats.org/officeDocument/2006/relationships/hyperlink" Target="https://www.sec.gov/Archives/edgar/data/1610853/000119312521209963/d164802dex45.htm" TargetMode="External"/><Relationship Id="rId129" Type="http://schemas.openxmlformats.org/officeDocument/2006/relationships/hyperlink" Target="https://www.sec.gov/Archives/edgar/data/1610853/000110465924082337/tm2420001d1_ex4-8.htm" TargetMode="External"/><Relationship Id="rId130" Type="http://schemas.openxmlformats.org/officeDocument/2006/relationships/hyperlink" Target="https://www.sec.gov/Archives/edgar/data/1610853/000119312521209963/d164802dex46.htm" TargetMode="External"/><Relationship Id="rId131" Type="http://schemas.openxmlformats.org/officeDocument/2006/relationships/hyperlink" Target="https://www.sec.gov/Archives/edgar/data/1610853/000119312521265642/d184071dex1031.htm" TargetMode="External"/><Relationship Id="rId132" Type="http://schemas.openxmlformats.org/officeDocument/2006/relationships/hyperlink" Target="https://www.sec.gov/Archives/edgar/data/1610853/000156459022005702/hsdt-ex101_8.htm" TargetMode="External"/><Relationship Id="rId133" Type="http://schemas.openxmlformats.org/officeDocument/2006/relationships/hyperlink" Target="https://www.sec.gov/Archives/edgar/data/1610853/000155837024009613/hsdt-20240627xex10d1.htm" TargetMode="External"/><Relationship Id="rId134" Type="http://schemas.openxmlformats.org/officeDocument/2006/relationships/hyperlink" Target="https://www.sec.gov/Archives/edgar/data/1610853/000156459022005702/hsdt-ex103_9.htm" TargetMode="External"/><Relationship Id="rId135" Type="http://schemas.openxmlformats.org/officeDocument/2006/relationships/hyperlink" Target="https://www.sec.gov/Archives/edgar/data/0001610853/000110465923074256/tm2319490d1_ex1-1.htm" TargetMode="External"/><Relationship Id="rId136" Type="http://schemas.openxmlformats.org/officeDocument/2006/relationships/hyperlink" Target="https://www.sec.gov/Archives/edgar/data/1610853/000110465924059372/tm2411553d9_ex10-1.htm" TargetMode="External"/><Relationship Id="rId137" Type="http://schemas.openxmlformats.org/officeDocument/2006/relationships/hyperlink" Target="https://www.sec.gov/Archives/edgar/data/1610853/000155837024004260/hsdt-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2025-03-25T15:23:16Z</dcterms:created>
  <dcterms:modified xsi:type="dcterms:W3CDTF">2025-03-25T15:23:16Z</dcterms:modified>
</cp:coreProperties>
</file>