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drawing>
          <wp:anchor simplePos="0" relativeHeight="251657728" behindDoc="1" locked="0" layoutInCell="0" allowOverlap="1">
            <wp:simplePos x="0" y="0"/>
            <wp:positionH relativeFrom="page">
              <wp:posOffset>945515</wp:posOffset>
            </wp:positionH>
            <wp:positionV relativeFrom="page">
              <wp:posOffset>431800</wp:posOffset>
            </wp:positionV>
            <wp:extent cx="565785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657850" cy="34290"/>
                    </a:xfrm>
                    <a:prstGeom prst="rect">
                      <a:avLst/>
                    </a:prstGeom>
                    <a:noFill/>
                  </pic:spPr>
                </pic:pic>
              </a:graphicData>
            </a:graphic>
          </wp:anchor>
        </w:drawing>
        <w:drawing>
          <wp:anchor simplePos="0" relativeHeight="251657728" behindDoc="1" locked="0" layoutInCell="0" allowOverlap="1">
            <wp:simplePos x="0" y="0"/>
            <wp:positionH relativeFrom="page">
              <wp:posOffset>945515</wp:posOffset>
            </wp:positionH>
            <wp:positionV relativeFrom="page">
              <wp:posOffset>483235</wp:posOffset>
            </wp:positionV>
            <wp:extent cx="565785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657850" cy="8255"/>
                    </a:xfrm>
                    <a:prstGeom prst="rect">
                      <a:avLst/>
                    </a:prstGeom>
                    <a:noFill/>
                  </pic:spPr>
                </pic:pic>
              </a:graphicData>
            </a:graphic>
          </wp:anchor>
        </w:drawing>
        <w:t>UNITED STATES</w:t>
      </w:r>
    </w:p>
    <w:p>
      <w:pPr>
        <w:spacing w:after="0" w:line="4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FORM 8-K</w:t>
      </w:r>
    </w:p>
    <w:p>
      <w:pPr>
        <w:spacing w:after="0" w:line="6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4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 Securities Exchange Act of 1934</w:t>
      </w:r>
    </w:p>
    <w:p>
      <w:pPr>
        <w:spacing w:after="0" w:line="21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April 9,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2405380</wp:posOffset>
            </wp:positionH>
            <wp:positionV relativeFrom="paragraph">
              <wp:posOffset>53975</wp:posOffset>
            </wp:positionV>
            <wp:extent cx="917575" cy="8147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917575" cy="8147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5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3"/>
          <w:szCs w:val="43"/>
          <w:b w:val="1"/>
          <w:bCs w:val="1"/>
          <w:color w:val="auto"/>
        </w:rPr>
        <w:t>SOLANA COMPANY</w:t>
      </w:r>
    </w:p>
    <w:p>
      <w:pPr>
        <w:spacing w:after="0" w:line="5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2157095</wp:posOffset>
            </wp:positionH>
            <wp:positionV relativeFrom="paragraph">
              <wp:posOffset>64770</wp:posOffset>
            </wp:positionV>
            <wp:extent cx="140589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05890" cy="8255"/>
                    </a:xfrm>
                    <a:prstGeom prst="rect">
                      <a:avLst/>
                    </a:prstGeom>
                    <a:noFill/>
                  </pic:spPr>
                </pic:pic>
              </a:graphicData>
            </a:graphic>
          </wp:anchor>
        </w:drawing>
      </w:r>
    </w:p>
    <w:p>
      <w:pPr>
        <w:spacing w:after="0" w:line="262" w:lineRule="exact"/>
        <w:rPr>
          <w:sz w:val="24"/>
          <w:szCs w:val="24"/>
          <w:color w:val="auto"/>
        </w:rPr>
      </w:pPr>
    </w:p>
    <w:tbl>
      <w:tblPr>
        <w:tblLayout w:type="fixed"/>
        <w:tblInd w:w="140" w:type="dxa"/>
        <w:tblCellMar>
          <w:top w:w="0" w:type="dxa"/>
          <w:left w:w="0" w:type="dxa"/>
          <w:bottom w:w="0" w:type="dxa"/>
          <w:right w:w="0" w:type="dxa"/>
        </w:tblCellMar>
      </w:tblPr>
      <w:tr>
        <w:trPr>
          <w:trHeight w:val="222"/>
        </w:trPr>
        <w:tc>
          <w:tcPr>
            <w:tcW w:w="3200" w:type="dxa"/>
            <w:vAlign w:val="bottom"/>
          </w:tcPr>
          <w:p>
            <w:pPr>
              <w:jc w:val="center"/>
              <w:ind w:right="321"/>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2780" w:type="dxa"/>
            <w:vAlign w:val="bottom"/>
          </w:tcPr>
          <w:p>
            <w:pPr>
              <w:jc w:val="right"/>
              <w:ind w:right="1141"/>
              <w:spacing w:after="0"/>
              <w:rPr>
                <w:sz w:val="20"/>
                <w:szCs w:val="20"/>
                <w:color w:val="auto"/>
              </w:rPr>
            </w:pPr>
            <w:r>
              <w:rPr>
                <w:rFonts w:ascii="Times New Roman" w:cs="Times New Roman" w:eastAsia="Times New Roman" w:hAnsi="Times New Roman"/>
                <w:sz w:val="18"/>
                <w:szCs w:val="18"/>
                <w:b w:val="1"/>
                <w:bCs w:val="1"/>
                <w:color w:val="auto"/>
              </w:rPr>
              <w:t>001-38445</w:t>
            </w:r>
          </w:p>
        </w:tc>
        <w:tc>
          <w:tcPr>
            <w:tcW w:w="1880" w:type="dxa"/>
            <w:vAlign w:val="bottom"/>
          </w:tcPr>
          <w:p>
            <w:pPr>
              <w:jc w:val="right"/>
              <w:ind w:right="24"/>
              <w:spacing w:after="0"/>
              <w:rPr>
                <w:sz w:val="20"/>
                <w:szCs w:val="20"/>
                <w:color w:val="auto"/>
              </w:rPr>
            </w:pPr>
            <w:r>
              <w:rPr>
                <w:rFonts w:ascii="Times New Roman" w:cs="Times New Roman" w:eastAsia="Times New Roman" w:hAnsi="Times New Roman"/>
                <w:sz w:val="18"/>
                <w:szCs w:val="18"/>
                <w:b w:val="1"/>
                <w:bCs w:val="1"/>
                <w:color w:val="auto"/>
              </w:rPr>
              <w:t>36-4787690</w:t>
            </w:r>
          </w:p>
        </w:tc>
      </w:tr>
      <w:tr>
        <w:trPr>
          <w:trHeight w:val="148"/>
        </w:trPr>
        <w:tc>
          <w:tcPr>
            <w:tcW w:w="3200" w:type="dxa"/>
            <w:vAlign w:val="bottom"/>
          </w:tcPr>
          <w:p>
            <w:pPr>
              <w:jc w:val="center"/>
              <w:ind w:right="301"/>
              <w:spacing w:after="0"/>
              <w:rPr>
                <w:sz w:val="20"/>
                <w:szCs w:val="20"/>
                <w:color w:val="auto"/>
              </w:rPr>
            </w:pPr>
            <w:r>
              <w:rPr>
                <w:rFonts w:ascii="Times New Roman" w:cs="Times New Roman" w:eastAsia="Times New Roman" w:hAnsi="Times New Roman"/>
                <w:sz w:val="13"/>
                <w:szCs w:val="13"/>
                <w:b w:val="1"/>
                <w:bCs w:val="1"/>
                <w:color w:val="auto"/>
              </w:rPr>
              <w:t>(State or other jurisdiction</w:t>
            </w:r>
          </w:p>
        </w:tc>
        <w:tc>
          <w:tcPr>
            <w:tcW w:w="2780" w:type="dxa"/>
            <w:vAlign w:val="bottom"/>
          </w:tcPr>
          <w:p>
            <w:pPr>
              <w:spacing w:after="0"/>
              <w:rPr>
                <w:sz w:val="12"/>
                <w:szCs w:val="12"/>
                <w:color w:val="auto"/>
              </w:rPr>
            </w:pPr>
          </w:p>
        </w:tc>
        <w:tc>
          <w:tcPr>
            <w:tcW w:w="1880" w:type="dxa"/>
            <w:vAlign w:val="bottom"/>
          </w:tcPr>
          <w:p>
            <w:pPr>
              <w:jc w:val="center"/>
              <w:ind w:left="764"/>
              <w:spacing w:after="0"/>
              <w:rPr>
                <w:sz w:val="20"/>
                <w:szCs w:val="20"/>
                <w:color w:val="auto"/>
              </w:rPr>
            </w:pPr>
            <w:r>
              <w:rPr>
                <w:rFonts w:ascii="Times New Roman" w:cs="Times New Roman" w:eastAsia="Times New Roman" w:hAnsi="Times New Roman"/>
                <w:sz w:val="13"/>
                <w:szCs w:val="13"/>
                <w:b w:val="1"/>
                <w:bCs w:val="1"/>
                <w:color w:val="auto"/>
              </w:rPr>
              <w:t>(IRS Employer</w:t>
            </w:r>
          </w:p>
        </w:tc>
      </w:tr>
      <w:tr>
        <w:trPr>
          <w:trHeight w:val="178"/>
        </w:trPr>
        <w:tc>
          <w:tcPr>
            <w:tcW w:w="3200" w:type="dxa"/>
            <w:vAlign w:val="bottom"/>
          </w:tcPr>
          <w:p>
            <w:pPr>
              <w:jc w:val="center"/>
              <w:ind w:right="321"/>
              <w:spacing w:after="0"/>
              <w:rPr>
                <w:sz w:val="20"/>
                <w:szCs w:val="20"/>
                <w:color w:val="auto"/>
              </w:rPr>
            </w:pPr>
            <w:r>
              <w:rPr>
                <w:rFonts w:ascii="Times New Roman" w:cs="Times New Roman" w:eastAsia="Times New Roman" w:hAnsi="Times New Roman"/>
                <w:sz w:val="13"/>
                <w:szCs w:val="13"/>
                <w:b w:val="1"/>
                <w:bCs w:val="1"/>
                <w:color w:val="auto"/>
              </w:rPr>
              <w:t>of incorporation)</w:t>
            </w:r>
          </w:p>
        </w:tc>
        <w:tc>
          <w:tcPr>
            <w:tcW w:w="2780" w:type="dxa"/>
            <w:vAlign w:val="bottom"/>
          </w:tcPr>
          <w:p>
            <w:pPr>
              <w:jc w:val="center"/>
              <w:ind w:right="361"/>
              <w:spacing w:after="0"/>
              <w:rPr>
                <w:sz w:val="20"/>
                <w:szCs w:val="20"/>
                <w:color w:val="auto"/>
              </w:rPr>
            </w:pPr>
            <w:r>
              <w:rPr>
                <w:rFonts w:ascii="Times New Roman" w:cs="Times New Roman" w:eastAsia="Times New Roman" w:hAnsi="Times New Roman"/>
                <w:sz w:val="13"/>
                <w:szCs w:val="13"/>
                <w:b w:val="1"/>
                <w:bCs w:val="1"/>
                <w:color w:val="auto"/>
              </w:rPr>
              <w:t>(Commission File Number)</w:t>
            </w:r>
          </w:p>
        </w:tc>
        <w:tc>
          <w:tcPr>
            <w:tcW w:w="1880" w:type="dxa"/>
            <w:vAlign w:val="bottom"/>
          </w:tcPr>
          <w:p>
            <w:pPr>
              <w:jc w:val="center"/>
              <w:ind w:left="744"/>
              <w:spacing w:after="0"/>
              <w:rPr>
                <w:sz w:val="20"/>
                <w:szCs w:val="20"/>
                <w:color w:val="auto"/>
              </w:rPr>
            </w:pPr>
            <w:r>
              <w:rPr>
                <w:rFonts w:ascii="Times New Roman" w:cs="Times New Roman" w:eastAsia="Times New Roman" w:hAnsi="Times New Roman"/>
                <w:sz w:val="13"/>
                <w:szCs w:val="13"/>
                <w:b w:val="1"/>
                <w:bCs w:val="1"/>
                <w:color w:val="auto"/>
              </w:rPr>
              <w:t>Identification No.)</w:t>
            </w:r>
          </w:p>
        </w:tc>
      </w:tr>
      <w:tr>
        <w:trPr>
          <w:trHeight w:val="329"/>
        </w:trPr>
        <w:tc>
          <w:tcPr>
            <w:tcW w:w="3200" w:type="dxa"/>
            <w:vAlign w:val="bottom"/>
          </w:tcPr>
          <w:p>
            <w:pPr>
              <w:jc w:val="center"/>
              <w:ind w:right="321"/>
              <w:spacing w:after="0"/>
              <w:rPr>
                <w:sz w:val="20"/>
                <w:szCs w:val="20"/>
                <w:color w:val="auto"/>
              </w:rPr>
            </w:pPr>
            <w:r>
              <w:rPr>
                <w:rFonts w:ascii="Times New Roman" w:cs="Times New Roman" w:eastAsia="Times New Roman" w:hAnsi="Times New Roman"/>
                <w:sz w:val="18"/>
                <w:szCs w:val="18"/>
                <w:b w:val="1"/>
                <w:bCs w:val="1"/>
                <w:color w:val="auto"/>
                <w:w w:val="94"/>
              </w:rPr>
              <w:t>642 Newtown Yardley Road, Suite 100</w:t>
            </w:r>
          </w:p>
        </w:tc>
        <w:tc>
          <w:tcPr>
            <w:tcW w:w="2780" w:type="dxa"/>
            <w:vAlign w:val="bottom"/>
          </w:tcPr>
          <w:p>
            <w:pPr>
              <w:spacing w:after="0"/>
              <w:rPr>
                <w:sz w:val="24"/>
                <w:szCs w:val="24"/>
                <w:color w:val="auto"/>
              </w:rPr>
            </w:pPr>
          </w:p>
        </w:tc>
        <w:tc>
          <w:tcPr>
            <w:tcW w:w="1880" w:type="dxa"/>
            <w:vAlign w:val="bottom"/>
          </w:tcPr>
          <w:p>
            <w:pPr>
              <w:spacing w:after="0"/>
              <w:rPr>
                <w:sz w:val="24"/>
                <w:szCs w:val="24"/>
                <w:color w:val="auto"/>
              </w:rPr>
            </w:pPr>
          </w:p>
        </w:tc>
      </w:tr>
      <w:tr>
        <w:trPr>
          <w:trHeight w:val="222"/>
        </w:trPr>
        <w:tc>
          <w:tcPr>
            <w:tcW w:w="3200" w:type="dxa"/>
            <w:vAlign w:val="bottom"/>
          </w:tcPr>
          <w:p>
            <w:pPr>
              <w:jc w:val="center"/>
              <w:ind w:right="321"/>
              <w:spacing w:after="0"/>
              <w:rPr>
                <w:sz w:val="20"/>
                <w:szCs w:val="20"/>
                <w:color w:val="auto"/>
              </w:rPr>
            </w:pPr>
            <w:r>
              <w:rPr>
                <w:rFonts w:ascii="Times New Roman" w:cs="Times New Roman" w:eastAsia="Times New Roman" w:hAnsi="Times New Roman"/>
                <w:sz w:val="18"/>
                <w:szCs w:val="18"/>
                <w:b w:val="1"/>
                <w:bCs w:val="1"/>
                <w:color w:val="auto"/>
                <w:w w:val="99"/>
              </w:rPr>
              <w:t>Newtown, PA</w:t>
            </w:r>
          </w:p>
        </w:tc>
        <w:tc>
          <w:tcPr>
            <w:tcW w:w="2780" w:type="dxa"/>
            <w:vAlign w:val="bottom"/>
          </w:tcPr>
          <w:p>
            <w:pPr>
              <w:spacing w:after="0"/>
              <w:rPr>
                <w:sz w:val="19"/>
                <w:szCs w:val="19"/>
                <w:color w:val="auto"/>
              </w:rPr>
            </w:pPr>
          </w:p>
        </w:tc>
        <w:tc>
          <w:tcPr>
            <w:tcW w:w="1880" w:type="dxa"/>
            <w:vAlign w:val="bottom"/>
          </w:tcPr>
          <w:p>
            <w:pPr>
              <w:jc w:val="right"/>
              <w:ind w:right="224"/>
              <w:spacing w:after="0"/>
              <w:rPr>
                <w:sz w:val="20"/>
                <w:szCs w:val="20"/>
                <w:color w:val="auto"/>
              </w:rPr>
            </w:pPr>
            <w:r>
              <w:rPr>
                <w:rFonts w:ascii="Times New Roman" w:cs="Times New Roman" w:eastAsia="Times New Roman" w:hAnsi="Times New Roman"/>
                <w:sz w:val="18"/>
                <w:szCs w:val="18"/>
                <w:b w:val="1"/>
                <w:bCs w:val="1"/>
                <w:color w:val="auto"/>
              </w:rPr>
              <w:t>18940</w:t>
            </w:r>
          </w:p>
        </w:tc>
      </w:tr>
      <w:tr>
        <w:trPr>
          <w:trHeight w:val="178"/>
        </w:trPr>
        <w:tc>
          <w:tcPr>
            <w:tcW w:w="3200" w:type="dxa"/>
            <w:vAlign w:val="bottom"/>
          </w:tcPr>
          <w:p>
            <w:pPr>
              <w:jc w:val="center"/>
              <w:ind w:right="321"/>
              <w:spacing w:after="0"/>
              <w:rPr>
                <w:sz w:val="20"/>
                <w:szCs w:val="20"/>
                <w:color w:val="auto"/>
              </w:rPr>
            </w:pPr>
            <w:r>
              <w:rPr>
                <w:rFonts w:ascii="Times New Roman" w:cs="Times New Roman" w:eastAsia="Times New Roman" w:hAnsi="Times New Roman"/>
                <w:sz w:val="13"/>
                <w:szCs w:val="13"/>
                <w:b w:val="1"/>
                <w:bCs w:val="1"/>
                <w:color w:val="auto"/>
              </w:rPr>
              <w:t>(Address of principal executive offices)</w:t>
            </w:r>
          </w:p>
        </w:tc>
        <w:tc>
          <w:tcPr>
            <w:tcW w:w="2780" w:type="dxa"/>
            <w:vAlign w:val="bottom"/>
          </w:tcPr>
          <w:p>
            <w:pPr>
              <w:spacing w:after="0"/>
              <w:rPr>
                <w:sz w:val="15"/>
                <w:szCs w:val="15"/>
                <w:color w:val="auto"/>
              </w:rPr>
            </w:pPr>
          </w:p>
        </w:tc>
        <w:tc>
          <w:tcPr>
            <w:tcW w:w="1880" w:type="dxa"/>
            <w:vAlign w:val="bottom"/>
          </w:tcPr>
          <w:p>
            <w:pPr>
              <w:jc w:val="center"/>
              <w:ind w:left="744"/>
              <w:spacing w:after="0"/>
              <w:rPr>
                <w:sz w:val="20"/>
                <w:szCs w:val="20"/>
                <w:color w:val="auto"/>
              </w:rPr>
            </w:pPr>
            <w:r>
              <w:rPr>
                <w:rFonts w:ascii="Times New Roman" w:cs="Times New Roman" w:eastAsia="Times New Roman" w:hAnsi="Times New Roman"/>
                <w:sz w:val="13"/>
                <w:szCs w:val="13"/>
                <w:b w:val="1"/>
                <w:bCs w:val="1"/>
                <w:color w:val="auto"/>
              </w:rPr>
              <w:t>(Zip Code)</w:t>
            </w:r>
          </w:p>
        </w:tc>
      </w:tr>
    </w:tbl>
    <w:p>
      <w:pPr>
        <w:spacing w:after="0" w:line="181"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(215) 944-6100</w:t>
      </w:r>
    </w:p>
    <w:p>
      <w:pPr>
        <w:spacing w:after="0" w:line="63" w:lineRule="exact"/>
        <w:rPr>
          <w:sz w:val="24"/>
          <w:szCs w:val="24"/>
          <w:color w:val="auto"/>
        </w:rPr>
      </w:pPr>
    </w:p>
    <w:p>
      <w:pPr>
        <w:ind w:left="4340"/>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45" w:lineRule="exact"/>
        <w:rPr>
          <w:sz w:val="24"/>
          <w:szCs w:val="24"/>
          <w:color w:val="auto"/>
        </w:rPr>
      </w:pPr>
    </w:p>
    <w:p>
      <w:pPr>
        <w:ind w:left="60" w:right="359"/>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54" w:lineRule="exact"/>
        <w:rPr>
          <w:sz w:val="24"/>
          <w:szCs w:val="24"/>
          <w:color w:val="auto"/>
        </w:rPr>
      </w:pPr>
    </w:p>
    <w:p>
      <w:pPr>
        <w:ind w:left="860" w:hanging="801"/>
        <w:spacing w:after="0"/>
        <w:tabs>
          <w:tab w:leader="none" w:pos="8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9" w:lineRule="exact"/>
        <w:rPr>
          <w:rFonts w:ascii="MS PGothic" w:cs="MS PGothic" w:eastAsia="MS PGothic" w:hAnsi="MS PGothic"/>
          <w:sz w:val="18"/>
          <w:szCs w:val="18"/>
          <w:color w:val="auto"/>
        </w:rPr>
      </w:pPr>
    </w:p>
    <w:p>
      <w:pPr>
        <w:ind w:left="860" w:hanging="801"/>
        <w:spacing w:after="0"/>
        <w:tabs>
          <w:tab w:leader="none" w:pos="8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860" w:right="439" w:hanging="801"/>
        <w:spacing w:after="0" w:line="249" w:lineRule="auto"/>
        <w:tabs>
          <w:tab w:leader="none" w:pos="8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ind w:left="860" w:hanging="801"/>
        <w:spacing w:after="0"/>
        <w:tabs>
          <w:tab w:leader="none" w:pos="8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07" w:lineRule="exact"/>
        <w:rPr>
          <w:sz w:val="24"/>
          <w:szCs w:val="24"/>
          <w:color w:val="auto"/>
        </w:rPr>
      </w:pPr>
    </w:p>
    <w:p>
      <w:pPr>
        <w:ind w:left="60"/>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98" w:lineRule="exact"/>
        <w:rPr>
          <w:sz w:val="24"/>
          <w:szCs w:val="24"/>
          <w:color w:val="auto"/>
        </w:rPr>
      </w:pPr>
    </w:p>
    <w:tbl>
      <w:tblPr>
        <w:tblLayout w:type="fixed"/>
        <w:tblInd w:w="40" w:type="dxa"/>
        <w:tblCellMar>
          <w:top w:w="0" w:type="dxa"/>
          <w:left w:w="0" w:type="dxa"/>
          <w:bottom w:w="0" w:type="dxa"/>
          <w:right w:w="0" w:type="dxa"/>
        </w:tblCellMar>
      </w:tblPr>
      <w:tr>
        <w:trPr>
          <w:trHeight w:val="161"/>
        </w:trPr>
        <w:tc>
          <w:tcPr>
            <w:tcW w:w="35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8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w:t>
            </w:r>
          </w:p>
        </w:tc>
        <w:tc>
          <w:tcPr>
            <w:tcW w:w="1220" w:type="dxa"/>
            <w:vAlign w:val="bottom"/>
          </w:tcPr>
          <w:p>
            <w:pPr>
              <w:jc w:val="center"/>
              <w:ind w:right="122"/>
              <w:spacing w:after="0"/>
              <w:rPr>
                <w:sz w:val="20"/>
                <w:szCs w:val="20"/>
                <w:color w:val="auto"/>
              </w:rPr>
            </w:pPr>
            <w:r>
              <w:rPr>
                <w:rFonts w:ascii="Times New Roman" w:cs="Times New Roman" w:eastAsia="Times New Roman" w:hAnsi="Times New Roman"/>
                <w:sz w:val="14"/>
                <w:szCs w:val="14"/>
                <w:b w:val="1"/>
                <w:bCs w:val="1"/>
                <w:color w:val="auto"/>
              </w:rPr>
              <w:t>Trading</w:t>
            </w:r>
          </w:p>
        </w:tc>
        <w:tc>
          <w:tcPr>
            <w:tcW w:w="40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w:t>
            </w:r>
          </w:p>
        </w:tc>
        <w:tc>
          <w:tcPr>
            <w:tcW w:w="3340" w:type="dxa"/>
            <w:vAlign w:val="bottom"/>
            <w:vMerge w:val="restart"/>
          </w:tcPr>
          <w:p>
            <w:pPr>
              <w:jc w:val="center"/>
              <w:ind w:right="139"/>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c>
          <w:tcPr>
            <w:tcW w:w="0" w:type="dxa"/>
            <w:vAlign w:val="bottom"/>
          </w:tcPr>
          <w:p>
            <w:pPr>
              <w:spacing w:after="0"/>
              <w:rPr>
                <w:sz w:val="1"/>
                <w:szCs w:val="1"/>
                <w:color w:val="auto"/>
              </w:rPr>
            </w:pPr>
          </w:p>
        </w:tc>
      </w:tr>
      <w:tr>
        <w:trPr>
          <w:trHeight w:val="173"/>
        </w:trPr>
        <w:tc>
          <w:tcPr>
            <w:tcW w:w="3560" w:type="dxa"/>
            <w:vAlign w:val="bottom"/>
            <w:vMerge w:val="continue"/>
          </w:tcPr>
          <w:p>
            <w:pPr>
              <w:spacing w:after="0"/>
              <w:rPr>
                <w:sz w:val="15"/>
                <w:szCs w:val="15"/>
                <w:color w:val="auto"/>
              </w:rPr>
            </w:pPr>
          </w:p>
        </w:tc>
        <w:tc>
          <w:tcPr>
            <w:tcW w:w="380" w:type="dxa"/>
            <w:vAlign w:val="bottom"/>
            <w:gridSpan w:val="2"/>
            <w:vMerge w:val="continue"/>
          </w:tcPr>
          <w:p>
            <w:pPr>
              <w:spacing w:after="0"/>
              <w:rPr>
                <w:sz w:val="15"/>
                <w:szCs w:val="15"/>
                <w:color w:val="auto"/>
              </w:rPr>
            </w:pPr>
          </w:p>
        </w:tc>
        <w:tc>
          <w:tcPr>
            <w:tcW w:w="1220" w:type="dxa"/>
            <w:vAlign w:val="bottom"/>
          </w:tcPr>
          <w:p>
            <w:pPr>
              <w:jc w:val="center"/>
              <w:ind w:right="122"/>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400" w:type="dxa"/>
            <w:vAlign w:val="bottom"/>
            <w:gridSpan w:val="2"/>
            <w:vMerge w:val="continue"/>
          </w:tcPr>
          <w:p>
            <w:pPr>
              <w:spacing w:after="0"/>
              <w:rPr>
                <w:sz w:val="15"/>
                <w:szCs w:val="15"/>
                <w:color w:val="auto"/>
              </w:rPr>
            </w:pPr>
          </w:p>
        </w:tc>
        <w:tc>
          <w:tcPr>
            <w:tcW w:w="33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8"/>
        </w:trPr>
        <w:tc>
          <w:tcPr>
            <w:tcW w:w="35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Class A Common Stock, $0.001 par value</w:t>
            </w:r>
          </w:p>
        </w:tc>
        <w:tc>
          <w:tcPr>
            <w:tcW w:w="18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jc w:val="center"/>
              <w:ind w:right="122"/>
              <w:spacing w:after="0"/>
              <w:rPr>
                <w:sz w:val="20"/>
                <w:szCs w:val="20"/>
                <w:color w:val="auto"/>
              </w:rPr>
            </w:pPr>
            <w:r>
              <w:rPr>
                <w:rFonts w:ascii="Times New Roman" w:cs="Times New Roman" w:eastAsia="Times New Roman" w:hAnsi="Times New Roman"/>
                <w:sz w:val="18"/>
                <w:szCs w:val="18"/>
                <w:color w:val="auto"/>
                <w:w w:val="97"/>
              </w:rPr>
              <w:t>HSDT</w:t>
            </w:r>
          </w:p>
        </w:tc>
        <w:tc>
          <w:tcPr>
            <w:tcW w:w="16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3340" w:type="dxa"/>
            <w:vAlign w:val="bottom"/>
            <w:tcBorders>
              <w:top w:val="single" w:sz="8" w:color="auto"/>
            </w:tcBorders>
          </w:tcPr>
          <w:p>
            <w:pPr>
              <w:jc w:val="center"/>
              <w:ind w:right="139"/>
              <w:spacing w:after="0"/>
              <w:rPr>
                <w:sz w:val="20"/>
                <w:szCs w:val="20"/>
                <w:color w:val="auto"/>
              </w:rPr>
            </w:pPr>
            <w:r>
              <w:rPr>
                <w:rFonts w:ascii="Times New Roman" w:cs="Times New Roman" w:eastAsia="Times New Roman" w:hAnsi="Times New Roman"/>
                <w:sz w:val="18"/>
                <w:szCs w:val="18"/>
                <w:color w:val="auto"/>
              </w:rPr>
              <w:t>The Nasdaq Stock Market LLC</w:t>
            </w:r>
          </w:p>
        </w:tc>
        <w:tc>
          <w:tcPr>
            <w:tcW w:w="0" w:type="dxa"/>
            <w:vAlign w:val="bottom"/>
          </w:tcPr>
          <w:p>
            <w:pPr>
              <w:spacing w:after="0"/>
              <w:rPr>
                <w:sz w:val="1"/>
                <w:szCs w:val="1"/>
                <w:color w:val="auto"/>
              </w:rPr>
            </w:pPr>
          </w:p>
        </w:tc>
      </w:tr>
    </w:tbl>
    <w:p>
      <w:pPr>
        <w:spacing w:after="0" w:line="179" w:lineRule="exact"/>
        <w:rPr>
          <w:sz w:val="24"/>
          <w:szCs w:val="24"/>
          <w:color w:val="auto"/>
        </w:rPr>
      </w:pPr>
    </w:p>
    <w:p>
      <w:pPr>
        <w:ind w:left="60" w:right="119"/>
        <w:spacing w:after="0" w:line="276" w:lineRule="auto"/>
        <w:rPr>
          <w:sz w:val="20"/>
          <w:szCs w:val="20"/>
          <w:color w:val="auto"/>
        </w:rPr>
      </w:pPr>
      <w:r>
        <w:rPr>
          <w:rFonts w:ascii="Times New Roman" w:cs="Times New Roman" w:eastAsia="Times New Roman" w:hAnsi="Times New Roman"/>
          <w:sz w:val="17"/>
          <w:szCs w:val="17"/>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1" w:lineRule="exact"/>
        <w:rPr>
          <w:sz w:val="24"/>
          <w:szCs w:val="24"/>
          <w:color w:val="auto"/>
        </w:rPr>
      </w:pPr>
    </w:p>
    <w:p>
      <w:pPr>
        <w:ind w:left="60"/>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99" w:lineRule="exact"/>
        <w:rPr>
          <w:sz w:val="24"/>
          <w:szCs w:val="24"/>
          <w:color w:val="auto"/>
        </w:rPr>
      </w:pPr>
    </w:p>
    <w:p>
      <w:pPr>
        <w:jc w:val="both"/>
        <w:ind w:left="60" w:right="439"/>
        <w:spacing w:after="0" w:line="232"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wp:posOffset>
            </wp:positionH>
            <wp:positionV relativeFrom="paragraph">
              <wp:posOffset>411480</wp:posOffset>
            </wp:positionV>
            <wp:extent cx="5657850" cy="254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657850" cy="25400"/>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8255</wp:posOffset>
            </wp:positionV>
            <wp:extent cx="56578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657850" cy="8890"/>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34290</wp:posOffset>
            </wp:positionV>
            <wp:extent cx="5657850" cy="342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657850" cy="34290"/>
                    </a:xfrm>
                    <a:prstGeom prst="rect">
                      <a:avLst/>
                    </a:prstGeom>
                    <a:noFill/>
                  </pic:spPr>
                </pic:pic>
              </a:graphicData>
            </a:graphic>
          </wp:anchor>
        </w:drawing>
      </w:r>
    </w:p>
    <w:p>
      <w:pPr>
        <w:sectPr>
          <w:pgSz w:w="11900" w:h="16838" w:orient="portrait"/>
          <w:cols w:equalWidth="0" w:num="1">
            <w:col w:w="9019"/>
          </w:cols>
          <w:pgMar w:left="1440" w:top="776" w:right="1440" w:bottom="1440" w:gutter="0" w:footer="0" w:header="0"/>
        </w:sectPr>
      </w:pPr>
    </w:p>
    <w:bookmarkStart w:id="1" w:name="page2"/>
    <w:bookmarkEnd w:id="1"/>
    <w:p>
      <w:pPr>
        <w:ind w:left="60"/>
        <w:spacing w:after="0"/>
        <w:tabs>
          <w:tab w:leader="none" w:pos="1000" w:val="left"/>
        </w:tabs>
        <w:rPr>
          <w:sz w:val="20"/>
          <w:szCs w:val="20"/>
          <w:color w:val="auto"/>
        </w:rPr>
      </w:pPr>
      <w:r>
        <w:rPr>
          <w:rFonts w:ascii="Times New Roman" w:cs="Times New Roman" w:eastAsia="Times New Roman" w:hAnsi="Times New Roman"/>
          <w:sz w:val="18"/>
          <w:szCs w:val="18"/>
          <w:b w:val="1"/>
          <w:bCs w:val="1"/>
          <w:color w:val="auto"/>
        </w:rPr>
        <w:t>Item 5.02</w:t>
      </w:r>
      <w:r>
        <w:rPr>
          <w:sz w:val="20"/>
          <w:szCs w:val="20"/>
          <w:color w:val="auto"/>
        </w:rPr>
        <w:tab/>
      </w:r>
      <w:r>
        <w:rPr>
          <w:rFonts w:ascii="Times New Roman" w:cs="Times New Roman" w:eastAsia="Times New Roman" w:hAnsi="Times New Roman"/>
          <w:sz w:val="17"/>
          <w:szCs w:val="17"/>
          <w:b w:val="1"/>
          <w:bCs w:val="1"/>
          <w:color w:val="auto"/>
        </w:rPr>
        <w:t>Results of Operations and Financial Condition.</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u w:val="single" w:color="auto"/>
          <w:color w:val="auto"/>
        </w:rPr>
        <w:t>Appointment of Chief Operating Officer and Deputy Chief Financial Officer</w:t>
      </w:r>
    </w:p>
    <w:p>
      <w:pPr>
        <w:spacing w:after="0" w:line="225" w:lineRule="exact"/>
        <w:rPr>
          <w:sz w:val="20"/>
          <w:szCs w:val="20"/>
          <w:color w:val="auto"/>
        </w:rPr>
      </w:pPr>
    </w:p>
    <w:p>
      <w:pPr>
        <w:ind w:left="60" w:right="119"/>
        <w:spacing w:after="0" w:line="253" w:lineRule="auto"/>
        <w:rPr>
          <w:sz w:val="20"/>
          <w:szCs w:val="20"/>
          <w:color w:val="auto"/>
        </w:rPr>
      </w:pPr>
      <w:r>
        <w:rPr>
          <w:rFonts w:ascii="Times New Roman" w:cs="Times New Roman" w:eastAsia="Times New Roman" w:hAnsi="Times New Roman"/>
          <w:sz w:val="18"/>
          <w:szCs w:val="18"/>
          <w:color w:val="auto"/>
        </w:rPr>
        <w:t>On March 16, 2026, Solana Company (the “Company”) appointed Agustina “Madelene” Gani Tjandrasuwita to serve as the Company’s Chief Operating Officer and Deputy Chief Financial Officer, effective April 6, 2026 (the “Effective Date”). Ms. Tjandrasuwita, age 50, was most recently the Chief Financial Officer at Hedera Hashgraph, Inc., a decentralized blockchain company, from 2024 to 2026, where she was responsible for its financial transparency, revenue growth, risk management, governance, investor relations and global tax planning. From 2022 to 2024, Ms. Tjandrasuwita served as Head of Finance, Vice President at Aptos Labs Inc., a permissionless layer 1 blockchain company, where she oversaw financial deals, partnerships, token treasury management, and audit and tax matters. Prior to that, from 2021 to 2022, she served as Head of Finance, Vice President at Gemini (Nasdaq: GEMI), a publicly traded cryptocurrency exchange and custodian company, where she oversaw capital fundraise and IPO readiness matters. Before that, from 2018 to 2021, she served as Global Controller, Head of Global Taxes at JUUL Labs, Inc., an American electronic cigarette company, where she led global controllership functions. Ms. Tjandrasuwita received her Bachelor of Business Administration degree from the University of San Diego. She is a certified public accountant with an active license.</w:t>
      </w:r>
    </w:p>
    <w:p>
      <w:pPr>
        <w:spacing w:after="0" w:line="190" w:lineRule="exact"/>
        <w:rPr>
          <w:sz w:val="20"/>
          <w:szCs w:val="20"/>
          <w:color w:val="auto"/>
        </w:rPr>
      </w:pPr>
    </w:p>
    <w:p>
      <w:pPr>
        <w:ind w:left="60" w:right="99"/>
        <w:spacing w:after="0" w:line="253" w:lineRule="auto"/>
        <w:rPr>
          <w:sz w:val="20"/>
          <w:szCs w:val="20"/>
          <w:color w:val="auto"/>
        </w:rPr>
      </w:pPr>
      <w:r>
        <w:rPr>
          <w:rFonts w:ascii="Times New Roman" w:cs="Times New Roman" w:eastAsia="Times New Roman" w:hAnsi="Times New Roman"/>
          <w:sz w:val="18"/>
          <w:szCs w:val="18"/>
          <w:color w:val="auto"/>
        </w:rPr>
        <w:t>In connection with her appointment as Chief Operating Officer and Deputy Chief Financial Officer, the Company entered into an Offer Letter with Ms. Tjandrasuwita, dated March 13, 2026 (the “Offer Letter”). Pursuant to the Offer Letter, Ms. Tjandrasuwita will be paid an annual base salary of $350,000 and will be eligible for (i) an annual bonus in the form of cash (or in any other form as the Company considers in its sole and absolute discretion) equivalent to 40% of her annual base salary (“Target Bonus”) and (ii) options, equity awards or restricted stock units (“Incentives”) subject to the approval of the Board of Directors. The target range of the aggregate value for the Target Bonus and Incentives is from $300,000 to $500,000. Additionally, following the initial three months of her employment, subject to the approval of the Board of Directors, Ms. Tjandrasuwita will be entitled to a one-time sign-on option award to purchase the Company’s Class A common stock under the Company’s 2022 Equity Incentive Plan, as amended, having an aggregate grant date fair value equal to $75,000. The exercise price of such option award shall be equal to the fair market value of the Company’s Class A common stock on the grant date. Such option award shall vest as to 25% of such option award in annual installments beginning on the first anniversary of the Effective Date and ending on the fourth anniversary of the Effective Date, subject to continued service through such vesting period.</w:t>
      </w:r>
    </w:p>
    <w:p>
      <w:pPr>
        <w:spacing w:after="0" w:line="187" w:lineRule="exact"/>
        <w:rPr>
          <w:sz w:val="20"/>
          <w:szCs w:val="20"/>
          <w:color w:val="auto"/>
        </w:rPr>
      </w:pPr>
    </w:p>
    <w:p>
      <w:pPr>
        <w:ind w:left="60" w:right="239"/>
        <w:spacing w:after="0" w:line="282" w:lineRule="auto"/>
        <w:rPr>
          <w:sz w:val="20"/>
          <w:szCs w:val="20"/>
          <w:color w:val="auto"/>
        </w:rPr>
      </w:pPr>
      <w:r>
        <w:rPr>
          <w:rFonts w:ascii="Times New Roman" w:cs="Times New Roman" w:eastAsia="Times New Roman" w:hAnsi="Times New Roman"/>
          <w:sz w:val="18"/>
          <w:szCs w:val="18"/>
          <w:color w:val="auto"/>
        </w:rPr>
        <w:t>The foregoing summary description of the terms of the Offer Letter does not purport to be complete and is qualified in its entirety by reference to the Offer Letter, which is filed as Exhibit 10.1 hereto.</w:t>
      </w:r>
    </w:p>
    <w:p>
      <w:pPr>
        <w:spacing w:after="0" w:line="162" w:lineRule="exact"/>
        <w:rPr>
          <w:sz w:val="20"/>
          <w:szCs w:val="20"/>
          <w:color w:val="auto"/>
        </w:rPr>
      </w:pPr>
    </w:p>
    <w:p>
      <w:pPr>
        <w:jc w:val="both"/>
        <w:ind w:left="60" w:right="179"/>
        <w:spacing w:after="0" w:line="261" w:lineRule="auto"/>
        <w:rPr>
          <w:sz w:val="20"/>
          <w:szCs w:val="20"/>
          <w:color w:val="auto"/>
        </w:rPr>
      </w:pPr>
      <w:r>
        <w:rPr>
          <w:rFonts w:ascii="Times New Roman" w:cs="Times New Roman" w:eastAsia="Times New Roman" w:hAnsi="Times New Roman"/>
          <w:sz w:val="18"/>
          <w:szCs w:val="18"/>
          <w:color w:val="auto"/>
        </w:rPr>
        <w:t>There are no arrangements or understandings between Ms. Tjandrasuwita and any other person pursuant to which she was selected as the Company’s Chief Operating Officer and Deputy Chief Financial Officer. There are no family relationships between Ms. Tjandrasuwita and any director or executive officer of the Company. Ms. Tjandrasuwita is not a party to any transaction that would require disclosure under Item 404(a) of Regulation S-K.</w:t>
      </w:r>
    </w:p>
    <w:p>
      <w:pPr>
        <w:spacing w:after="0" w:line="189" w:lineRule="exact"/>
        <w:rPr>
          <w:sz w:val="20"/>
          <w:szCs w:val="20"/>
          <w:color w:val="auto"/>
        </w:rPr>
      </w:pPr>
    </w:p>
    <w:p>
      <w:pPr>
        <w:ind w:left="60"/>
        <w:spacing w:after="0"/>
        <w:tabs>
          <w:tab w:leader="none" w:pos="1080" w:val="left"/>
        </w:tabs>
        <w:rPr>
          <w:sz w:val="20"/>
          <w:szCs w:val="20"/>
          <w:color w:val="auto"/>
        </w:rPr>
      </w:pPr>
      <w:r>
        <w:rPr>
          <w:rFonts w:ascii="Times New Roman" w:cs="Times New Roman" w:eastAsia="Times New Roman" w:hAnsi="Times New Roman"/>
          <w:sz w:val="18"/>
          <w:szCs w:val="18"/>
          <w:b w:val="1"/>
          <w:bCs w:val="1"/>
          <w:color w:val="auto"/>
        </w:rPr>
        <w:t>Item 7.01</w:t>
      </w:r>
      <w:r>
        <w:rPr>
          <w:sz w:val="20"/>
          <w:szCs w:val="20"/>
          <w:color w:val="auto"/>
        </w:rPr>
        <w:tab/>
      </w:r>
      <w:r>
        <w:rPr>
          <w:rFonts w:ascii="Times New Roman" w:cs="Times New Roman" w:eastAsia="Times New Roman" w:hAnsi="Times New Roman"/>
          <w:sz w:val="17"/>
          <w:szCs w:val="17"/>
          <w:b w:val="1"/>
          <w:bCs w:val="1"/>
          <w:color w:val="auto"/>
        </w:rPr>
        <w:t>Regulation FD Disclosure.</w:t>
      </w:r>
    </w:p>
    <w:p>
      <w:pPr>
        <w:spacing w:after="0" w:line="229" w:lineRule="exact"/>
        <w:rPr>
          <w:sz w:val="20"/>
          <w:szCs w:val="20"/>
          <w:color w:val="auto"/>
        </w:rPr>
      </w:pPr>
    </w:p>
    <w:p>
      <w:pPr>
        <w:jc w:val="both"/>
        <w:ind w:left="60" w:right="199"/>
        <w:spacing w:after="0" w:line="282" w:lineRule="auto"/>
        <w:rPr>
          <w:sz w:val="20"/>
          <w:szCs w:val="20"/>
          <w:color w:val="auto"/>
        </w:rPr>
      </w:pPr>
      <w:r>
        <w:rPr>
          <w:rFonts w:ascii="Times New Roman" w:cs="Times New Roman" w:eastAsia="Times New Roman" w:hAnsi="Times New Roman"/>
          <w:sz w:val="18"/>
          <w:szCs w:val="18"/>
          <w:color w:val="auto"/>
        </w:rPr>
        <w:t>A press release announcing the appointment of Ms. Tjandrasuwita as Chief Operating Officer and Deputy Chief Financial Officer is furnished as Exhibit 99.1 hereto.</w:t>
      </w:r>
    </w:p>
    <w:p>
      <w:pPr>
        <w:spacing w:after="0" w:line="162" w:lineRule="exact"/>
        <w:rPr>
          <w:sz w:val="20"/>
          <w:szCs w:val="20"/>
          <w:color w:val="auto"/>
        </w:rPr>
      </w:pPr>
    </w:p>
    <w:p>
      <w:pPr>
        <w:ind w:left="60" w:right="119"/>
        <w:spacing w:after="0" w:line="258" w:lineRule="auto"/>
        <w:rPr>
          <w:sz w:val="20"/>
          <w:szCs w:val="20"/>
          <w:color w:val="auto"/>
        </w:rPr>
      </w:pPr>
      <w:r>
        <w:rPr>
          <w:rFonts w:ascii="Times New Roman" w:cs="Times New Roman" w:eastAsia="Times New Roman" w:hAnsi="Times New Roman"/>
          <w:sz w:val="18"/>
          <w:szCs w:val="18"/>
          <w:color w:val="auto"/>
        </w:rPr>
        <w:t>The information contained in this Item 7.01 of this current report, including the press release furnished as Exhibit 99.1 hereto, is being furnished and shall not be deemed “filed” for purposes of Section 18 of the Securities Exchange Act of 1934, as amended (the “Exchange Act”), or otherwise subject to the liabilities of that section, and shall not be incorporated by reference into any registration statement or other document filed under the Securities Act of 1933, as amended, or the Exchange Act, except as shall be expressly set forth by specific reference in such filing.</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2" w:name="page3"/>
    <w:bookmarkEnd w:id="2"/>
    <w:tbl>
      <w:tblPr>
        <w:tblLayout w:type="fixed"/>
        <w:tblInd w:w="60" w:type="dxa"/>
        <w:tblCellMar>
          <w:top w:w="0" w:type="dxa"/>
          <w:left w:w="0" w:type="dxa"/>
          <w:bottom w:w="0" w:type="dxa"/>
          <w:right w:w="0" w:type="dxa"/>
        </w:tblCellMar>
      </w:tblPr>
      <w:tr>
        <w:trPr>
          <w:trHeight w:val="238"/>
        </w:trPr>
        <w:tc>
          <w:tcPr>
            <w:tcW w:w="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9.01</w:t>
            </w:r>
          </w:p>
        </w:tc>
        <w:tc>
          <w:tcPr>
            <w:tcW w:w="6880" w:type="dxa"/>
            <w:vAlign w:val="bottom"/>
            <w:gridSpan w:val="4"/>
          </w:tcPr>
          <w:p>
            <w:pPr>
              <w:ind w:left="60"/>
              <w:spacing w:after="0"/>
              <w:rPr>
                <w:sz w:val="20"/>
                <w:szCs w:val="20"/>
                <w:color w:val="auto"/>
              </w:rPr>
            </w:pPr>
            <w:r>
              <w:rPr>
                <w:rFonts w:ascii="Times New Roman" w:cs="Times New Roman" w:eastAsia="Times New Roman" w:hAnsi="Times New Roman"/>
                <w:sz w:val="18"/>
                <w:szCs w:val="18"/>
                <w:b w:val="1"/>
                <w:bCs w:val="1"/>
                <w:color w:val="auto"/>
              </w:rPr>
              <w:t>Financial Statements and Exhibits.</w:t>
            </w:r>
          </w:p>
        </w:tc>
      </w:tr>
      <w:tr>
        <w:trPr>
          <w:trHeight w:val="432"/>
        </w:trPr>
        <w:tc>
          <w:tcPr>
            <w:tcW w:w="98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(d) Exhibits</w:t>
            </w:r>
          </w:p>
        </w:tc>
        <w:tc>
          <w:tcPr>
            <w:tcW w:w="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340" w:type="dxa"/>
            <w:vAlign w:val="bottom"/>
          </w:tcPr>
          <w:p>
            <w:pPr>
              <w:spacing w:after="0"/>
              <w:rPr>
                <w:sz w:val="24"/>
                <w:szCs w:val="24"/>
                <w:color w:val="auto"/>
              </w:rPr>
            </w:pPr>
          </w:p>
        </w:tc>
      </w:tr>
      <w:tr>
        <w:trPr>
          <w:trHeight w:val="446"/>
        </w:trPr>
        <w:tc>
          <w:tcPr>
            <w:tcW w:w="78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 xml:space="preserve">Exhibit No.  </w:t>
            </w:r>
            <w:r>
              <w:rPr>
                <w:rFonts w:ascii="Times New Roman" w:cs="Times New Roman" w:eastAsia="Times New Roman" w:hAnsi="Times New Roman"/>
                <w:sz w:val="16"/>
                <w:szCs w:val="16"/>
                <w:color w:val="auto"/>
              </w:rPr>
              <w:t>​​​</w:t>
            </w:r>
            <w:r>
              <w:rPr>
                <w:rFonts w:ascii="Times New Roman" w:cs="Times New Roman" w:eastAsia="Times New Roman" w:hAnsi="Times New Roman"/>
                <w:sz w:val="18"/>
                <w:szCs w:val="18"/>
                <w:color w:val="auto"/>
              </w:rPr>
              <w:t>Description</w:t>
            </w:r>
          </w:p>
        </w:tc>
      </w:tr>
      <w:tr>
        <w:trPr>
          <w:trHeight w:val="391"/>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10.1</w:t>
            </w:r>
          </w:p>
        </w:tc>
        <w:tc>
          <w:tcPr>
            <w:tcW w:w="60" w:type="dxa"/>
            <w:vAlign w:val="bottom"/>
          </w:tcPr>
          <w:p>
            <w:pPr>
              <w:spacing w:after="0"/>
              <w:rPr>
                <w:sz w:val="24"/>
                <w:szCs w:val="24"/>
                <w:color w:val="auto"/>
              </w:rPr>
            </w:pPr>
          </w:p>
        </w:tc>
        <w:tc>
          <w:tcPr>
            <w:tcW w:w="6820" w:type="dxa"/>
            <w:vAlign w:val="bottom"/>
            <w:tcBorders>
              <w:bottom w:val="single" w:sz="8" w:color="0000EE"/>
            </w:tcBorders>
            <w:gridSpan w:val="3"/>
          </w:tcPr>
          <w:p>
            <w:pPr>
              <w:spacing w:after="0"/>
              <w:rPr>
                <w:sz w:val="20"/>
                <w:szCs w:val="20"/>
                <w:color w:val="auto"/>
              </w:rPr>
            </w:pPr>
            <w:r>
              <w:rPr>
                <w:rFonts w:ascii="Times New Roman" w:cs="Times New Roman" w:eastAsia="Times New Roman" w:hAnsi="Times New Roman"/>
                <w:sz w:val="18"/>
                <w:szCs w:val="18"/>
                <w:color w:val="0000EE"/>
                <w:w w:val="99"/>
              </w:rPr>
              <w:t>Offer Letter, dated as of March 13, 2026, by and between Solana Company and Agustina Gani</w:t>
            </w:r>
          </w:p>
        </w:tc>
      </w:tr>
      <w:tr>
        <w:trPr>
          <w:trHeight w:val="196"/>
        </w:trPr>
        <w:tc>
          <w:tcPr>
            <w:tcW w:w="9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82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color w:val="0000EE"/>
              </w:rPr>
              <w:t>Tjandrasuwita.</w:t>
            </w:r>
          </w:p>
        </w:tc>
      </w:tr>
      <w:tr>
        <w:trPr>
          <w:trHeight w:val="20"/>
        </w:trPr>
        <w:tc>
          <w:tcPr>
            <w:tcW w:w="9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r>
      <w:tr>
        <w:trPr>
          <w:trHeight w:val="196"/>
        </w:trPr>
        <w:tc>
          <w:tcPr>
            <w:tcW w:w="9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99.1</w:t>
            </w:r>
          </w:p>
        </w:tc>
        <w:tc>
          <w:tcPr>
            <w:tcW w:w="60" w:type="dxa"/>
            <w:vAlign w:val="bottom"/>
          </w:tcPr>
          <w:p>
            <w:pPr>
              <w:spacing w:after="0"/>
              <w:rPr>
                <w:sz w:val="17"/>
                <w:szCs w:val="17"/>
                <w:color w:val="auto"/>
              </w:rPr>
            </w:pPr>
          </w:p>
        </w:tc>
        <w:tc>
          <w:tcPr>
            <w:tcW w:w="682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color w:val="0000EE"/>
              </w:rPr>
              <w:t>Press Release dated April 9, 2026.</w:t>
            </w:r>
          </w:p>
        </w:tc>
      </w:tr>
      <w:tr>
        <w:trPr>
          <w:trHeight w:val="20"/>
        </w:trPr>
        <w:tc>
          <w:tcPr>
            <w:tcW w:w="9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1400" w:type="dxa"/>
            <w:vAlign w:val="bottom"/>
            <w:shd w:val="clear" w:color="auto" w:fill="0000EE"/>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r>
    </w:tbl>
    <w:p>
      <w:pPr>
        <w:spacing w:after="0" w:line="9" w:lineRule="exact"/>
        <w:rPr>
          <w:sz w:val="20"/>
          <w:szCs w:val="20"/>
          <w:color w:val="auto"/>
        </w:rPr>
      </w:pPr>
    </w:p>
    <w:p>
      <w:pPr>
        <w:ind w:left="1100" w:hanging="1044"/>
        <w:spacing w:after="0"/>
        <w:tabs>
          <w:tab w:leader="none" w:pos="11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(embedded within Inline XBRL document).</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305" w:lineRule="exact"/>
        <w:rPr>
          <w:rFonts w:ascii="Times New Roman" w:cs="Times New Roman" w:eastAsia="Times New Roman" w:hAnsi="Times New Roman"/>
          <w:sz w:val="18"/>
          <w:szCs w:val="18"/>
          <w:color w:val="auto"/>
        </w:rPr>
      </w:pPr>
    </w:p>
    <w:p>
      <w:pPr>
        <w:ind w:left="44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121" w:lineRule="exact"/>
        <w:rPr>
          <w:sz w:val="20"/>
          <w:szCs w:val="20"/>
          <w:color w:val="auto"/>
        </w:rPr>
      </w:pPr>
    </w:p>
    <w:p>
      <w:pPr>
        <w:ind w:left="60" w:right="11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98" w:lineRule="exact"/>
        <w:rPr>
          <w:sz w:val="20"/>
          <w:szCs w:val="20"/>
          <w:color w:val="auto"/>
        </w:rPr>
      </w:pPr>
    </w:p>
    <w:tbl>
      <w:tblPr>
        <w:tblLayout w:type="fixed"/>
        <w:tblInd w:w="60" w:type="dxa"/>
        <w:tblCellMar>
          <w:top w:w="0" w:type="dxa"/>
          <w:left w:w="0" w:type="dxa"/>
          <w:bottom w:w="0" w:type="dxa"/>
          <w:right w:w="0" w:type="dxa"/>
        </w:tblCellMar>
      </w:tblPr>
      <w:tr>
        <w:trPr>
          <w:trHeight w:val="238"/>
        </w:trPr>
        <w:tc>
          <w:tcPr>
            <w:tcW w:w="2960" w:type="dxa"/>
            <w:vAlign w:val="bottom"/>
          </w:tcPr>
          <w:p>
            <w:pPr>
              <w:spacing w:after="0"/>
              <w:rPr>
                <w:sz w:val="20"/>
                <w:szCs w:val="20"/>
                <w:color w:val="auto"/>
              </w:rPr>
            </w:pPr>
          </w:p>
        </w:tc>
        <w:tc>
          <w:tcPr>
            <w:tcW w:w="5940" w:type="dxa"/>
            <w:vAlign w:val="bottom"/>
            <w:gridSpan w:val="2"/>
          </w:tcPr>
          <w:p>
            <w:pPr>
              <w:ind w:left="1480"/>
              <w:spacing w:after="0"/>
              <w:rPr>
                <w:sz w:val="20"/>
                <w:szCs w:val="20"/>
                <w:color w:val="auto"/>
              </w:rPr>
            </w:pPr>
            <w:r>
              <w:rPr>
                <w:rFonts w:ascii="Times New Roman" w:cs="Times New Roman" w:eastAsia="Times New Roman" w:hAnsi="Times New Roman"/>
                <w:sz w:val="18"/>
                <w:szCs w:val="18"/>
                <w:b w:val="1"/>
                <w:bCs w:val="1"/>
                <w:color w:val="auto"/>
              </w:rPr>
              <w:t>SOLANA COMPANY.</w:t>
            </w:r>
          </w:p>
        </w:tc>
      </w:tr>
      <w:tr>
        <w:trPr>
          <w:trHeight w:val="459"/>
        </w:trPr>
        <w:tc>
          <w:tcPr>
            <w:tcW w:w="2960" w:type="dxa"/>
            <w:vAlign w:val="bottom"/>
          </w:tcPr>
          <w:p>
            <w:pPr>
              <w:spacing w:after="0"/>
              <w:rPr>
                <w:sz w:val="20"/>
                <w:szCs w:val="20"/>
                <w:color w:val="auto"/>
              </w:rPr>
            </w:pPr>
            <w:r>
              <w:rPr>
                <w:rFonts w:ascii="Times New Roman" w:cs="Times New Roman" w:eastAsia="Times New Roman" w:hAnsi="Times New Roman"/>
                <w:sz w:val="18"/>
                <w:szCs w:val="18"/>
                <w:color w:val="auto"/>
              </w:rPr>
              <w:t>Dated: April 9, 2026</w:t>
            </w:r>
          </w:p>
        </w:tc>
        <w:tc>
          <w:tcPr>
            <w:tcW w:w="1760" w:type="dxa"/>
            <w:vAlign w:val="bottom"/>
          </w:tcPr>
          <w:p>
            <w:pPr>
              <w:ind w:left="1480"/>
              <w:spacing w:after="0"/>
              <w:rPr>
                <w:sz w:val="20"/>
                <w:szCs w:val="20"/>
                <w:color w:val="auto"/>
              </w:rPr>
            </w:pPr>
            <w:r>
              <w:rPr>
                <w:rFonts w:ascii="Times New Roman" w:cs="Times New Roman" w:eastAsia="Times New Roman" w:hAnsi="Times New Roman"/>
                <w:sz w:val="18"/>
                <w:szCs w:val="18"/>
                <w:color w:val="auto"/>
                <w:w w:val="99"/>
              </w:rPr>
              <w:t>By:</w:t>
            </w:r>
          </w:p>
        </w:tc>
        <w:tc>
          <w:tcPr>
            <w:tcW w:w="4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/s/ Jeffrey S. Mathiesen</w:t>
            </w:r>
          </w:p>
        </w:tc>
      </w:tr>
      <w:tr>
        <w:trPr>
          <w:trHeight w:val="228"/>
        </w:trPr>
        <w:tc>
          <w:tcPr>
            <w:tcW w:w="296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4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Jeffrey S. Mathiesen</w:t>
            </w:r>
          </w:p>
        </w:tc>
      </w:tr>
    </w:tbl>
    <w:p>
      <w:pPr>
        <w:ind w:left="5120"/>
        <w:spacing w:after="0"/>
        <w:rPr>
          <w:sz w:val="20"/>
          <w:szCs w:val="20"/>
          <w:color w:val="auto"/>
        </w:rPr>
      </w:pPr>
      <w:r>
        <w:rPr>
          <w:rFonts w:ascii="Times New Roman" w:cs="Times New Roman" w:eastAsia="Times New Roman" w:hAnsi="Times New Roman"/>
          <w:sz w:val="18"/>
          <w:szCs w:val="18"/>
          <w:color w:val="auto"/>
        </w:rPr>
        <w:t>Chief Financial Officer, Treasurer and Secretary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4" w:name="page5"/>
    <w:bookmarkEnd w:id="4"/>
    <w:p>
      <w:pPr>
        <w:jc w:val="right"/>
        <w:ind w:right="219"/>
        <w:spacing w:after="0"/>
        <w:rPr>
          <w:sz w:val="20"/>
          <w:szCs w:val="20"/>
          <w:color w:val="auto"/>
        </w:rPr>
      </w:pPr>
      <w:r>
        <w:rPr>
          <w:rFonts w:ascii="Times New Roman" w:cs="Times New Roman" w:eastAsia="Times New Roman" w:hAnsi="Times New Roman"/>
          <w:sz w:val="19"/>
          <w:szCs w:val="19"/>
          <w:b w:val="1"/>
          <w:bCs w:val="1"/>
          <w:color w:val="auto"/>
        </w:rPr>
        <w:t>Exhibit 10.1</w:t>
      </w:r>
    </w:p>
    <w:p>
      <w:pPr>
        <w:spacing w:after="0" w:line="200" w:lineRule="exact"/>
        <w:rPr>
          <w:sz w:val="20"/>
          <w:szCs w:val="20"/>
          <w:color w:val="auto"/>
        </w:rPr>
      </w:pPr>
    </w:p>
    <w:p>
      <w:pPr>
        <w:spacing w:after="0" w:line="35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color w:val="auto"/>
        </w:rPr>
        <w:t>March 13, 2026</w:t>
      </w:r>
    </w:p>
    <w:p>
      <w:pPr>
        <w:spacing w:after="0" w:line="22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2"/>
          <w:szCs w:val="22"/>
          <w:color w:val="auto"/>
        </w:rPr>
        <w:t>Agustina Gani Tjandrasuwita</w:t>
      </w:r>
    </w:p>
    <w:p>
      <w:pPr>
        <w:spacing w:after="0" w:line="22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color w:val="auto"/>
        </w:rPr>
        <w:t>Dear Madelene:</w:t>
      </w:r>
    </w:p>
    <w:p>
      <w:pPr>
        <w:spacing w:after="0" w:line="229" w:lineRule="exact"/>
        <w:rPr>
          <w:sz w:val="20"/>
          <w:szCs w:val="20"/>
          <w:color w:val="auto"/>
        </w:rPr>
      </w:pPr>
    </w:p>
    <w:p>
      <w:pPr>
        <w:ind w:left="200" w:right="899" w:firstLine="648"/>
        <w:spacing w:after="0" w:line="269" w:lineRule="auto"/>
        <w:rPr>
          <w:sz w:val="20"/>
          <w:szCs w:val="20"/>
          <w:color w:val="auto"/>
        </w:rPr>
      </w:pPr>
      <w:r>
        <w:rPr>
          <w:rFonts w:ascii="Times New Roman" w:cs="Times New Roman" w:eastAsia="Times New Roman" w:hAnsi="Times New Roman"/>
          <w:sz w:val="20"/>
          <w:szCs w:val="20"/>
          <w:color w:val="auto"/>
        </w:rPr>
        <w:t>We are pleased to offer you employment with S</w:t>
      </w:r>
      <w:r>
        <w:rPr>
          <w:rFonts w:ascii="Times New Roman" w:cs="Times New Roman" w:eastAsia="Times New Roman" w:hAnsi="Times New Roman"/>
          <w:sz w:val="13"/>
          <w:szCs w:val="13"/>
          <w:color w:val="auto"/>
        </w:rPr>
        <w:t>olana</w:t>
      </w:r>
      <w:r>
        <w:rPr>
          <w:rFonts w:ascii="Times New Roman" w:cs="Times New Roman" w:eastAsia="Times New Roman" w:hAnsi="Times New Roman"/>
          <w:sz w:val="20"/>
          <w:szCs w:val="20"/>
          <w:color w:val="auto"/>
        </w:rPr>
        <w:t xml:space="preserve"> C</w:t>
      </w:r>
      <w:r>
        <w:rPr>
          <w:rFonts w:ascii="Times New Roman" w:cs="Times New Roman" w:eastAsia="Times New Roman" w:hAnsi="Times New Roman"/>
          <w:sz w:val="13"/>
          <w:szCs w:val="13"/>
          <w:color w:val="auto"/>
        </w:rPr>
        <w:t>ompany</w:t>
      </w:r>
      <w:r>
        <w:rPr>
          <w:rFonts w:ascii="Times New Roman" w:cs="Times New Roman" w:eastAsia="Times New Roman" w:hAnsi="Times New Roman"/>
          <w:sz w:val="20"/>
          <w:szCs w:val="20"/>
          <w:color w:val="auto"/>
        </w:rPr>
        <w:t xml:space="preserve"> a Delaware corporation (the </w:t>
      </w:r>
      <w:r>
        <w:rPr>
          <w:rFonts w:ascii="Times New Roman" w:cs="Times New Roman" w:eastAsia="Times New Roman" w:hAnsi="Times New Roman"/>
          <w:sz w:val="20"/>
          <w:szCs w:val="20"/>
          <w:b w:val="1"/>
          <w:bCs w:val="1"/>
          <w:i w:val="1"/>
          <w:iCs w:val="1"/>
          <w:color w:val="auto"/>
        </w:rPr>
        <w:t>“Company”</w:t>
      </w:r>
      <w:r>
        <w:rPr>
          <w:rFonts w:ascii="Times New Roman" w:cs="Times New Roman" w:eastAsia="Times New Roman" w:hAnsi="Times New Roman"/>
          <w:sz w:val="20"/>
          <w:szCs w:val="20"/>
          <w:color w:val="auto"/>
        </w:rPr>
        <w:t>). The terms of your offer are as follows:</w:t>
      </w:r>
    </w:p>
    <w:p>
      <w:pPr>
        <w:spacing w:after="0" w:line="173" w:lineRule="exact"/>
        <w:rPr>
          <w:sz w:val="20"/>
          <w:szCs w:val="20"/>
          <w:color w:val="auto"/>
        </w:rPr>
      </w:pPr>
    </w:p>
    <w:p>
      <w:pPr>
        <w:ind w:left="200" w:right="219" w:firstLine="648"/>
        <w:spacing w:after="0" w:line="244" w:lineRule="auto"/>
        <w:rPr>
          <w:sz w:val="20"/>
          <w:szCs w:val="20"/>
          <w:color w:val="auto"/>
        </w:rPr>
      </w:pPr>
      <w:r>
        <w:rPr>
          <w:rFonts w:ascii="Times New Roman" w:cs="Times New Roman" w:eastAsia="Times New Roman" w:hAnsi="Times New Roman"/>
          <w:sz w:val="20"/>
          <w:szCs w:val="20"/>
          <w:color w:val="auto"/>
        </w:rPr>
        <w:t>Your initial position with the Company will be Chief Operating Officer &amp; Deputy CFO, reporting to the Executive Chairman of the Company or such other person as designed from time to time by the Executive Title of the Company. You will be required to perform the duties commonly associated with the position of Position Title of the Company and as may also be assigned to you from time to time by the Report to Title of the Company. The Company reserves the right to change your job title or your duties as we may reasonably decide from time to time in its sole discretion. You will work from your home and as reasonably requested from time to time at the Company’s Pennsylvania-based office.</w:t>
      </w:r>
    </w:p>
    <w:p>
      <w:pPr>
        <w:spacing w:after="0" w:line="199"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0"/>
          <w:szCs w:val="20"/>
          <w:color w:val="auto"/>
        </w:rPr>
        <w:t>Beginning on or about April 1st, 2026 (the “Effective Date”), your annual base salary will be</w:t>
      </w:r>
    </w:p>
    <w:p>
      <w:pPr>
        <w:spacing w:after="0" w:line="2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color w:val="auto"/>
        </w:rPr>
        <w:t>$350,000.00, paid in equal semi-monthly installments in accordance with our normal payroll procedures.</w:t>
      </w:r>
    </w:p>
    <w:p>
      <w:pPr>
        <w:ind w:left="200"/>
        <w:spacing w:after="0"/>
        <w:rPr>
          <w:sz w:val="20"/>
          <w:szCs w:val="20"/>
          <w:color w:val="auto"/>
        </w:rPr>
      </w:pPr>
      <w:r>
        <w:rPr>
          <w:rFonts w:ascii="Times New Roman" w:cs="Times New Roman" w:eastAsia="Times New Roman" w:hAnsi="Times New Roman"/>
          <w:sz w:val="20"/>
          <w:szCs w:val="20"/>
          <w:color w:val="auto"/>
        </w:rPr>
        <w:t>Your annual base salary amount shall be subject to review and may be adjusted based upon the Company’s</w:t>
      </w:r>
    </w:p>
    <w:p>
      <w:pPr>
        <w:ind w:left="200"/>
        <w:spacing w:after="0"/>
        <w:rPr>
          <w:sz w:val="20"/>
          <w:szCs w:val="20"/>
          <w:color w:val="auto"/>
        </w:rPr>
      </w:pPr>
      <w:r>
        <w:rPr>
          <w:rFonts w:ascii="Times New Roman" w:cs="Times New Roman" w:eastAsia="Times New Roman" w:hAnsi="Times New Roman"/>
          <w:sz w:val="20"/>
          <w:szCs w:val="20"/>
          <w:color w:val="auto"/>
        </w:rPr>
        <w:t>normal performance review practices.</w:t>
      </w:r>
    </w:p>
    <w:p>
      <w:pPr>
        <w:spacing w:after="0" w:line="207" w:lineRule="exact"/>
        <w:rPr>
          <w:sz w:val="20"/>
          <w:szCs w:val="20"/>
          <w:color w:val="auto"/>
        </w:rPr>
      </w:pPr>
    </w:p>
    <w:p>
      <w:pPr>
        <w:ind w:left="200" w:right="239" w:firstLine="648"/>
        <w:spacing w:after="0" w:line="245" w:lineRule="auto"/>
        <w:rPr>
          <w:sz w:val="20"/>
          <w:szCs w:val="20"/>
          <w:color w:val="auto"/>
        </w:rPr>
      </w:pPr>
      <w:r>
        <w:rPr>
          <w:rFonts w:ascii="Times New Roman" w:cs="Times New Roman" w:eastAsia="Times New Roman" w:hAnsi="Times New Roman"/>
          <w:sz w:val="20"/>
          <w:szCs w:val="20"/>
          <w:color w:val="auto"/>
        </w:rPr>
        <w:t>Your first three (3) months of employment, commencing on the Effective Date, shall constitute a probationary period (the “Probationary Period”). The Company may extend or end the Employee’s probation period at its discretion. The Employee’s employment may be terminated within the first month of the probation period by either party at any time without notice to the other party, and the remainder with one month advance notice. During any extension of the Employee’s probation period, either party may terminate the employment by giving to the other party 7 days’ notice or payment in lieu of notice.</w:t>
      </w:r>
    </w:p>
    <w:p>
      <w:pPr>
        <w:spacing w:after="0" w:line="198" w:lineRule="exact"/>
        <w:rPr>
          <w:sz w:val="20"/>
          <w:szCs w:val="20"/>
          <w:color w:val="auto"/>
        </w:rPr>
      </w:pPr>
    </w:p>
    <w:p>
      <w:pPr>
        <w:ind w:left="200" w:right="239" w:firstLine="648"/>
        <w:spacing w:after="0" w:line="241" w:lineRule="auto"/>
        <w:rPr>
          <w:sz w:val="20"/>
          <w:szCs w:val="20"/>
          <w:color w:val="auto"/>
        </w:rPr>
      </w:pPr>
      <w:r>
        <w:rPr>
          <w:rFonts w:ascii="Times New Roman" w:cs="Times New Roman" w:eastAsia="Times New Roman" w:hAnsi="Times New Roman"/>
          <w:sz w:val="20"/>
          <w:szCs w:val="20"/>
          <w:color w:val="auto"/>
        </w:rPr>
        <w:t>Upon signing this employment agreement and after completing the probation period, you are entitled to receiving a one-time sign-on bonus of a stock option agreement issued to be awarded under the 2022 Equity Incentive Plan (the 2022 EIP”) subject to approval by the Board (or the Compensation Committee of the Board) on or after the Effective Date, the Company will issue you a stock option with an approximate target value on the date of grant equal to US $75,000 (the “Option Award”) to purchase the Company’s Class A common stock (the “Initial Shares”), as an inducement for your acceptance of employment with the Company. The Option Award shall include the following additional terms: (1) the exercise price per share for the Initial Shares shall equal the Fair Market Value (as defined in the 2022 EIP) of the Company’s Class A common stock on the date of the grant of the Option Award; and (2) subject your continued employment with the Company and the terms and conditions of the 2022 Equity Incentive Plan, twenty-five percent (25%) of the Initial Shares shall vest and become exercisable on the first, second, third and fourth anniversary of the Effective Date and as further provided in the terms and conditions of this letter agreement, the Option Award and the 2022 EIP.</w:t>
      </w:r>
    </w:p>
    <w:p>
      <w:pPr>
        <w:spacing w:after="0" w:line="211" w:lineRule="exact"/>
        <w:rPr>
          <w:sz w:val="20"/>
          <w:szCs w:val="20"/>
          <w:color w:val="auto"/>
        </w:rPr>
      </w:pPr>
    </w:p>
    <w:p>
      <w:pPr>
        <w:ind w:left="200" w:right="319" w:firstLine="648"/>
        <w:spacing w:after="0" w:line="254" w:lineRule="auto"/>
        <w:rPr>
          <w:sz w:val="20"/>
          <w:szCs w:val="20"/>
          <w:color w:val="auto"/>
        </w:rPr>
      </w:pPr>
      <w:r>
        <w:rPr>
          <w:rFonts w:ascii="Times New Roman" w:cs="Times New Roman" w:eastAsia="Times New Roman" w:hAnsi="Times New Roman"/>
          <w:sz w:val="20"/>
          <w:szCs w:val="20"/>
          <w:color w:val="auto"/>
        </w:rPr>
        <w:t>During your employment, you may also be eligible for an annual bonus in the form of cash (or in any other form as the Company considers appropriate in its sole and absolute discretion) equivalent to 40% of annual base salary (“Target Bonus”).</w:t>
      </w:r>
    </w:p>
    <w:p>
      <w:pPr>
        <w:spacing w:after="0" w:line="3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520065</wp:posOffset>
            </wp:positionV>
            <wp:extent cx="5452110" cy="254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10" w:right="1440" w:bottom="1440" w:gutter="0" w:footer="0" w:header="0"/>
        </w:sectPr>
      </w:pPr>
    </w:p>
    <w:bookmarkStart w:id="5" w:name="page6"/>
    <w:bookmarkEnd w:id="5"/>
    <w:p>
      <w:pPr>
        <w:ind w:left="200" w:right="299" w:firstLine="648"/>
        <w:spacing w:after="0" w:line="248" w:lineRule="auto"/>
        <w:rPr>
          <w:sz w:val="20"/>
          <w:szCs w:val="20"/>
          <w:color w:val="auto"/>
        </w:rPr>
      </w:pPr>
      <w:r>
        <w:rPr>
          <w:rFonts w:ascii="Times New Roman" w:cs="Times New Roman" w:eastAsia="Times New Roman" w:hAnsi="Times New Roman"/>
          <w:sz w:val="20"/>
          <w:szCs w:val="20"/>
          <w:color w:val="auto"/>
        </w:rPr>
        <w:t>Subject to applicable laws, rules (including compliance with the US Listing Rules) and regulations, the Company may at its sole discretion, procure options, equity awards or restricted stock unit of the Company to be awarded to you subject to the approval by the board of directors of the Company at its sole and absolute discretion (the "Incentives"). Details of the Incentives (if any) will be provided by the Company to the Employee in a separate grant letter. The target range of the aggregate value for both the Target Bonus and Incentives is US$300,000 - 500,000.</w:t>
      </w:r>
    </w:p>
    <w:p>
      <w:pPr>
        <w:spacing w:after="0" w:line="193" w:lineRule="exact"/>
        <w:rPr>
          <w:sz w:val="20"/>
          <w:szCs w:val="20"/>
          <w:color w:val="auto"/>
        </w:rPr>
      </w:pPr>
    </w:p>
    <w:p>
      <w:pPr>
        <w:ind w:left="200" w:right="219" w:firstLine="648"/>
        <w:spacing w:after="0" w:line="245" w:lineRule="auto"/>
        <w:rPr>
          <w:sz w:val="20"/>
          <w:szCs w:val="20"/>
          <w:color w:val="auto"/>
        </w:rPr>
      </w:pPr>
      <w:r>
        <w:rPr>
          <w:rFonts w:ascii="Times New Roman" w:cs="Times New Roman" w:eastAsia="Times New Roman" w:hAnsi="Times New Roman"/>
          <w:sz w:val="20"/>
          <w:szCs w:val="20"/>
          <w:color w:val="auto"/>
        </w:rPr>
        <w:t>Any entitlement to bonus payment (including end of year payment/bonus, annual payment, Bonus and Incentive), is of a gratuitous nature and whether it will be paid, its amount and timing of payment would be at the sole and absolute discretion of the Company. If the Company makes any bonus payment to you, it will not be obliged to make such subsequent bonus payments in the following financial years. For the avoidance of doubt, any payments made to you are entirely discretionary and do not form part your contractual remuneration or wages.</w:t>
      </w:r>
    </w:p>
    <w:p>
      <w:pPr>
        <w:spacing w:after="0" w:line="198" w:lineRule="exact"/>
        <w:rPr>
          <w:sz w:val="20"/>
          <w:szCs w:val="20"/>
          <w:color w:val="auto"/>
        </w:rPr>
      </w:pPr>
    </w:p>
    <w:p>
      <w:pPr>
        <w:ind w:left="200" w:right="259" w:firstLine="648"/>
        <w:spacing w:after="0" w:line="245" w:lineRule="auto"/>
        <w:rPr>
          <w:sz w:val="20"/>
          <w:szCs w:val="20"/>
          <w:color w:val="auto"/>
        </w:rPr>
      </w:pPr>
      <w:r>
        <w:rPr>
          <w:rFonts w:ascii="Times New Roman" w:cs="Times New Roman" w:eastAsia="Times New Roman" w:hAnsi="Times New Roman"/>
          <w:sz w:val="20"/>
          <w:szCs w:val="20"/>
          <w:color w:val="auto"/>
        </w:rPr>
        <w:t>After the Effective Date, the Company will provide one-way business class air fare from the US to the new location if you are required to relocate. In addition, the Company will reimburse you up to one month of accommodations in the new location for the search of your residence, with the accommodations to be arranged or approved by the Company. The Company will also arrange and pay for tax preparation services to help you prepare your tax return for the first year in the case that you are relocated to a new country.</w:t>
      </w:r>
    </w:p>
    <w:p>
      <w:pPr>
        <w:spacing w:after="0" w:line="198" w:lineRule="exact"/>
        <w:rPr>
          <w:sz w:val="20"/>
          <w:szCs w:val="20"/>
          <w:color w:val="auto"/>
        </w:rPr>
      </w:pPr>
    </w:p>
    <w:p>
      <w:pPr>
        <w:ind w:left="200" w:right="239" w:firstLine="648"/>
        <w:spacing w:after="0" w:line="249" w:lineRule="auto"/>
        <w:rPr>
          <w:sz w:val="20"/>
          <w:szCs w:val="20"/>
          <w:color w:val="auto"/>
        </w:rPr>
      </w:pPr>
      <w:r>
        <w:rPr>
          <w:rFonts w:ascii="Times New Roman" w:cs="Times New Roman" w:eastAsia="Times New Roman" w:hAnsi="Times New Roman"/>
          <w:sz w:val="20"/>
          <w:szCs w:val="20"/>
          <w:color w:val="auto"/>
        </w:rPr>
        <w:t>During your employment, you will be allowed to participate in the benefit programs and arrangements that the Company makes available to its employees, including paid time off (“PTO”), contributory and non-contributory welfare and benefit plans, disability plans, and medical, death benefit and life insurance plans for which you are eligible under the terms of those plans.</w:t>
      </w:r>
    </w:p>
    <w:p>
      <w:pPr>
        <w:spacing w:after="0" w:line="193" w:lineRule="exact"/>
        <w:rPr>
          <w:sz w:val="20"/>
          <w:szCs w:val="20"/>
          <w:color w:val="auto"/>
        </w:rPr>
      </w:pPr>
    </w:p>
    <w:p>
      <w:pPr>
        <w:ind w:left="200" w:right="399" w:firstLine="648"/>
        <w:spacing w:after="0" w:line="249" w:lineRule="auto"/>
        <w:rPr>
          <w:sz w:val="20"/>
          <w:szCs w:val="20"/>
          <w:color w:val="auto"/>
        </w:rPr>
      </w:pPr>
      <w:r>
        <w:rPr>
          <w:rFonts w:ascii="Times New Roman" w:cs="Times New Roman" w:eastAsia="Times New Roman" w:hAnsi="Times New Roman"/>
          <w:sz w:val="20"/>
          <w:szCs w:val="20"/>
          <w:color w:val="auto"/>
        </w:rPr>
        <w:t>Your employment will be subject to the terms of the Company’s employee handbook (as amended from time to time), which will supplement this letter agreement and is expressly incorporated by reference into this letter agreement. In addition, your job duties, title, responsibility and reporting level, compensation and benefits, as well as personnel policies and procedures, are subject to change.</w:t>
      </w:r>
    </w:p>
    <w:p>
      <w:pPr>
        <w:spacing w:after="0" w:line="193" w:lineRule="exact"/>
        <w:rPr>
          <w:sz w:val="20"/>
          <w:szCs w:val="20"/>
          <w:color w:val="auto"/>
        </w:rPr>
      </w:pPr>
    </w:p>
    <w:p>
      <w:pPr>
        <w:ind w:left="200" w:right="259" w:firstLine="648"/>
        <w:spacing w:after="0" w:line="254" w:lineRule="auto"/>
        <w:rPr>
          <w:sz w:val="20"/>
          <w:szCs w:val="20"/>
          <w:color w:val="auto"/>
        </w:rPr>
      </w:pPr>
      <w:r>
        <w:rPr>
          <w:rFonts w:ascii="Times New Roman" w:cs="Times New Roman" w:eastAsia="Times New Roman" w:hAnsi="Times New Roman"/>
          <w:sz w:val="20"/>
          <w:szCs w:val="20"/>
          <w:color w:val="auto"/>
        </w:rPr>
        <w:t>Your employment is effective as of the Effective Date. By signing this letter agreement, you acknowledge and agree that your employment with the Company is “at will,” meaning that either you or the Company are entitled to terminate your employment at any time for any reason, with or without cause.</w:t>
      </w:r>
    </w:p>
    <w:p>
      <w:pPr>
        <w:spacing w:after="0" w:line="188" w:lineRule="exact"/>
        <w:rPr>
          <w:sz w:val="20"/>
          <w:szCs w:val="20"/>
          <w:color w:val="auto"/>
        </w:rPr>
      </w:pPr>
    </w:p>
    <w:p>
      <w:pPr>
        <w:ind w:left="200" w:right="339" w:firstLine="648"/>
        <w:spacing w:after="0" w:line="263" w:lineRule="auto"/>
        <w:rPr>
          <w:sz w:val="20"/>
          <w:szCs w:val="20"/>
          <w:color w:val="auto"/>
        </w:rPr>
      </w:pPr>
      <w:r>
        <w:rPr>
          <w:rFonts w:ascii="Times New Roman" w:cs="Times New Roman" w:eastAsia="Times New Roman" w:hAnsi="Times New Roman"/>
          <w:sz w:val="19"/>
          <w:szCs w:val="19"/>
          <w:color w:val="auto"/>
        </w:rPr>
        <w:t xml:space="preserve">Although your job duties, title, compensation and benefits, as well as the Company’s personnel policies and procedures, may change from time to time, the “at will” nature of your employment may only be changed in an express writing signed by you and the Company. You are required, as a condition to your employment with the Company, to sign the Company’s standard Employee Proprietary Information, Inventions Assignment and Non-Competition Agreement in the form attached hereto as </w:t>
      </w:r>
      <w:r>
        <w:rPr>
          <w:rFonts w:ascii="Times New Roman" w:cs="Times New Roman" w:eastAsia="Times New Roman" w:hAnsi="Times New Roman"/>
          <w:sz w:val="19"/>
          <w:szCs w:val="19"/>
          <w:u w:val="single" w:color="auto"/>
          <w:color w:val="auto"/>
        </w:rPr>
        <w:t>E</w:t>
      </w:r>
      <w:r>
        <w:rPr>
          <w:rFonts w:ascii="Times New Roman" w:cs="Times New Roman" w:eastAsia="Times New Roman" w:hAnsi="Times New Roman"/>
          <w:sz w:val="12"/>
          <w:szCs w:val="12"/>
          <w:u w:val="single" w:color="auto"/>
          <w:color w:val="auto"/>
        </w:rPr>
        <w:t>xhibit</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A</w:t>
      </w:r>
      <w:r>
        <w:rPr>
          <w:rFonts w:ascii="Times New Roman" w:cs="Times New Roman" w:eastAsia="Times New Roman" w:hAnsi="Times New Roman"/>
          <w:sz w:val="19"/>
          <w:szCs w:val="19"/>
          <w:color w:val="auto"/>
        </w:rPr>
        <w:t>.</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367030</wp:posOffset>
            </wp:positionV>
            <wp:extent cx="5452110" cy="260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6" w:name="page7"/>
    <w:bookmarkEnd w:id="6"/>
    <w:p>
      <w:pPr>
        <w:ind w:left="200" w:right="239" w:firstLine="648"/>
        <w:spacing w:after="0" w:line="242" w:lineRule="auto"/>
        <w:rPr>
          <w:sz w:val="20"/>
          <w:szCs w:val="20"/>
          <w:color w:val="auto"/>
        </w:rPr>
      </w:pPr>
      <w:r>
        <w:rPr>
          <w:rFonts w:ascii="Times New Roman" w:cs="Times New Roman" w:eastAsia="Times New Roman" w:hAnsi="Times New Roman"/>
          <w:sz w:val="20"/>
          <w:szCs w:val="20"/>
          <w:color w:val="auto"/>
        </w:rPr>
        <w:t>In your work for the Company, you are expected not to use or disclose any confidential information, including trade secrets, of any former employer or other third party to whom you have an obligation of confidentiality. You are expected to use only that information which is generally known and used by persons with training and experience comparable to your own, which is common knowledge in the industry or otherwise legally in the public domain, or which is otherwise provided or developed by the Company. By execution of this letter agreement, you hereby agree that you will not bring onto premises of the Company or use in your work for the Company any unpublished documents or property (including but not limited to proprietary information) belonging to any former employer or other third party that you are not authorized to use or disclose. By execution of this letter agreement, you hereby represent that you are able to perform your job duties within these guidelines.</w:t>
      </w:r>
    </w:p>
    <w:p>
      <w:pPr>
        <w:spacing w:after="0" w:line="205" w:lineRule="exact"/>
        <w:rPr>
          <w:sz w:val="20"/>
          <w:szCs w:val="20"/>
          <w:color w:val="auto"/>
        </w:rPr>
      </w:pPr>
    </w:p>
    <w:p>
      <w:pPr>
        <w:jc w:val="both"/>
        <w:ind w:left="200" w:right="219" w:firstLine="648"/>
        <w:spacing w:after="0" w:line="254" w:lineRule="auto"/>
        <w:rPr>
          <w:sz w:val="20"/>
          <w:szCs w:val="20"/>
          <w:color w:val="auto"/>
        </w:rPr>
      </w:pPr>
      <w:r>
        <w:rPr>
          <w:rFonts w:ascii="Times New Roman" w:cs="Times New Roman" w:eastAsia="Times New Roman" w:hAnsi="Times New Roman"/>
          <w:sz w:val="20"/>
          <w:szCs w:val="20"/>
          <w:color w:val="auto"/>
        </w:rPr>
        <w:t>This letter agreement and its attachments contain all of the terms of your employment with the Company and supersedes any prior understandings or agreements, whether oral or written, between you and the Company.</w:t>
      </w:r>
    </w:p>
    <w:p>
      <w:pPr>
        <w:spacing w:after="0" w:line="174" w:lineRule="exact"/>
        <w:rPr>
          <w:sz w:val="20"/>
          <w:szCs w:val="20"/>
          <w:color w:val="auto"/>
        </w:rPr>
      </w:pPr>
    </w:p>
    <w:p>
      <w:pPr>
        <w:jc w:val="both"/>
        <w:ind w:left="200" w:right="219" w:firstLine="648"/>
        <w:spacing w:after="0" w:line="242" w:lineRule="auto"/>
        <w:rPr>
          <w:sz w:val="20"/>
          <w:szCs w:val="20"/>
          <w:color w:val="auto"/>
        </w:rPr>
      </w:pPr>
      <w:r>
        <w:rPr>
          <w:rFonts w:ascii="Times New Roman" w:cs="Times New Roman" w:eastAsia="Times New Roman" w:hAnsi="Times New Roman"/>
          <w:sz w:val="20"/>
          <w:szCs w:val="20"/>
          <w:color w:val="auto"/>
        </w:rPr>
        <w:t>This letter agreement may not be amended or modified except by an express written agreement signed by you and a duly authorized member of the Board. The terms of this letter agreement shall be governed by and construed in accordance with the internal laws of the Commonwealth of Pennsylvania, without regard to its principles of conflicts of laws. By signing this letter agreement you irrevocably submit to the exclusive jurisdiction of the state and federal courts of the Commonwealth of Pennsylvania for the purpose of any suit, action, proceeding or judgment relating to or arising out of this letter agreement and the transactions contemplated hereby. BY SIGNING THIS LETTER AGREEMENT, YOU ALSO WAIVE ANY RIGHT TO REQUEST A TRIAL BY JURY IN ANY LITIGATION WITH RESPECT TO THIS LETTER AGREEMENT AND REPRESENT THAT COUNSEL HAS BEEN CONSULTED SPECIFICALLY AS TO THIS WAIVER.</w:t>
      </w:r>
    </w:p>
    <w:p>
      <w:pPr>
        <w:spacing w:after="0" w:line="192" w:lineRule="exact"/>
        <w:rPr>
          <w:sz w:val="20"/>
          <w:szCs w:val="20"/>
          <w:color w:val="auto"/>
        </w:rPr>
      </w:pPr>
    </w:p>
    <w:p>
      <w:pPr>
        <w:jc w:val="both"/>
        <w:ind w:left="200" w:right="219" w:firstLine="648"/>
        <w:spacing w:after="0" w:line="245" w:lineRule="auto"/>
        <w:rPr>
          <w:sz w:val="20"/>
          <w:szCs w:val="20"/>
          <w:color w:val="auto"/>
        </w:rPr>
      </w:pPr>
      <w:r>
        <w:rPr>
          <w:rFonts w:ascii="Times New Roman" w:cs="Times New Roman" w:eastAsia="Times New Roman" w:hAnsi="Times New Roman"/>
          <w:sz w:val="20"/>
          <w:szCs w:val="20"/>
          <w:color w:val="auto"/>
        </w:rPr>
        <w:t>We hope that you find the foregoing terms acceptable. You may indicate your agreement with these terms and accept this offer by signing and dating duplicate original copies of this letter agreement and the enclosed Employee Proprietary Information, Inventions Assignment and Non-Competition Agreement and returning them to me. As required by law, your employment with the Company is also contingent upon you providing legal proof of your identity and authorization to work in the United States. We look forward to you becoming a member of the Solana Company team!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color w:val="auto"/>
        </w:rPr>
        <w:t>Sincerely,</w:t>
      </w:r>
    </w:p>
    <w:p>
      <w:pPr>
        <w:spacing w:after="0" w:line="21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b w:val="1"/>
          <w:bCs w:val="1"/>
          <w:color w:val="auto"/>
        </w:rPr>
        <w:t>S</w:t>
      </w:r>
      <w:r>
        <w:rPr>
          <w:rFonts w:ascii="Times New Roman" w:cs="Times New Roman" w:eastAsia="Times New Roman" w:hAnsi="Times New Roman"/>
          <w:sz w:val="13"/>
          <w:szCs w:val="13"/>
          <w:b w:val="1"/>
          <w:bCs w:val="1"/>
          <w:color w:val="auto"/>
        </w:rPr>
        <w:t>olana</w:t>
      </w:r>
      <w:r>
        <w:rPr>
          <w:rFonts w:ascii="Times New Roman" w:cs="Times New Roman" w:eastAsia="Times New Roman" w:hAnsi="Times New Roman"/>
          <w:sz w:val="20"/>
          <w:szCs w:val="20"/>
          <w:b w:val="1"/>
          <w:bCs w:val="1"/>
          <w:color w:val="auto"/>
        </w:rPr>
        <w:t xml:space="preserve"> C</w:t>
      </w:r>
      <w:r>
        <w:rPr>
          <w:rFonts w:ascii="Times New Roman" w:cs="Times New Roman" w:eastAsia="Times New Roman" w:hAnsi="Times New Roman"/>
          <w:sz w:val="13"/>
          <w:szCs w:val="13"/>
          <w:b w:val="1"/>
          <w:bCs w:val="1"/>
          <w:color w:val="auto"/>
        </w:rPr>
        <w:t>ompany</w:t>
      </w:r>
    </w:p>
    <w:p>
      <w:pPr>
        <w:spacing w:after="0" w:line="24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color w:val="auto"/>
        </w:rPr>
        <w:t>By: /S/ Joseph Chee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-10795</wp:posOffset>
            </wp:positionV>
            <wp:extent cx="228346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283460" cy="8255"/>
                    </a:xfrm>
                    <a:prstGeom prst="rect">
                      <a:avLst/>
                    </a:prstGeom>
                    <a:noFill/>
                  </pic:spPr>
                </pic:pic>
              </a:graphicData>
            </a:graphic>
          </wp:anchor>
        </w:drawing>
      </w:r>
    </w:p>
    <w:p>
      <w:pPr>
        <w:spacing w:after="0" w:line="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color w:val="auto"/>
        </w:rPr>
        <w:t>Name: Joseph Chee (Choon Wee)</w:t>
      </w:r>
    </w:p>
    <w:p>
      <w:pPr>
        <w:ind w:left="200"/>
        <w:spacing w:after="0"/>
        <w:rPr>
          <w:sz w:val="20"/>
          <w:szCs w:val="20"/>
          <w:color w:val="auto"/>
        </w:rPr>
      </w:pPr>
      <w:r>
        <w:rPr>
          <w:rFonts w:ascii="Times New Roman" w:cs="Times New Roman" w:eastAsia="Times New Roman" w:hAnsi="Times New Roman"/>
          <w:sz w:val="20"/>
          <w:szCs w:val="20"/>
          <w:color w:val="auto"/>
        </w:rPr>
        <w:t>Title:  Executive Chairman</w:t>
      </w:r>
    </w:p>
    <w:p>
      <w:pPr>
        <w:spacing w:after="0" w:line="200" w:lineRule="exact"/>
        <w:rPr>
          <w:sz w:val="20"/>
          <w:szCs w:val="20"/>
          <w:color w:val="auto"/>
        </w:rPr>
      </w:pPr>
    </w:p>
    <w:p>
      <w:pPr>
        <w:spacing w:after="0" w:line="25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367030</wp:posOffset>
            </wp:positionV>
            <wp:extent cx="5452110" cy="260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7" w:name="page8"/>
    <w:bookmarkEnd w:id="7"/>
    <w:p>
      <w:pPr>
        <w:jc w:val="center"/>
        <w:ind w:right="19"/>
        <w:spacing w:after="0"/>
        <w:rPr>
          <w:sz w:val="20"/>
          <w:szCs w:val="20"/>
          <w:color w:val="auto"/>
        </w:rPr>
      </w:pPr>
      <w:r>
        <w:rPr>
          <w:rFonts w:ascii="Times New Roman" w:cs="Times New Roman" w:eastAsia="Times New Roman" w:hAnsi="Times New Roman"/>
          <w:sz w:val="20"/>
          <w:szCs w:val="20"/>
          <w:b w:val="1"/>
          <w:bCs w:val="1"/>
          <w:u w:val="single" w:color="auto"/>
          <w:color w:val="auto"/>
        </w:rPr>
        <w:t>ACKNOWLEDGEMENT AND ACCEPTANCE</w:t>
      </w:r>
    </w:p>
    <w:p>
      <w:pPr>
        <w:spacing w:after="0" w:line="232" w:lineRule="exact"/>
        <w:rPr>
          <w:sz w:val="20"/>
          <w:szCs w:val="20"/>
          <w:color w:val="auto"/>
        </w:rPr>
      </w:pPr>
    </w:p>
    <w:p>
      <w:pPr>
        <w:ind w:left="200" w:right="299" w:firstLine="648"/>
        <w:spacing w:after="0" w:line="259" w:lineRule="auto"/>
        <w:rPr>
          <w:sz w:val="20"/>
          <w:szCs w:val="20"/>
          <w:color w:val="auto"/>
        </w:rPr>
      </w:pPr>
      <w:r>
        <w:rPr>
          <w:rFonts w:ascii="Times New Roman" w:cs="Times New Roman" w:eastAsia="Times New Roman" w:hAnsi="Times New Roman"/>
          <w:sz w:val="19"/>
          <w:szCs w:val="19"/>
          <w:color w:val="auto"/>
        </w:rPr>
        <w:t>I have read and accept this letter agreement. By signing this letter agreement, I represent and warrant to the Company that I am under no contractual commitments inconsistent with my obligations to the Company. Further, in consideration of my employment, I agree that, unless a shorter period of limitations applies, any claim, suit, action or other proceeding arising out of my employment or the termination of my employment, including but not limited to claims arising under state or federal civil rights statutes, must be brought or asserted by me within six (6) months of the event giving rise to the claim or be forever barred. I expressly waive any longer statute or other period of limitations to the contrary.</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tbl>
      <w:tblPr>
        <w:tblLayout w:type="fixed"/>
        <w:tblInd w:w="200" w:type="dxa"/>
        <w:tblCellMar>
          <w:top w:w="0" w:type="dxa"/>
          <w:left w:w="0" w:type="dxa"/>
          <w:bottom w:w="0" w:type="dxa"/>
          <w:right w:w="0" w:type="dxa"/>
        </w:tblCellMar>
      </w:tblPr>
      <w:tr>
        <w:trPr>
          <w:trHeight w:val="230"/>
        </w:trPr>
        <w:tc>
          <w:tcPr>
            <w:tcW w:w="3760" w:type="dxa"/>
            <w:vAlign w:val="bottom"/>
            <w:gridSpan w:val="3"/>
          </w:tcPr>
          <w:p>
            <w:pPr>
              <w:spacing w:after="0"/>
              <w:rPr>
                <w:sz w:val="20"/>
                <w:szCs w:val="20"/>
                <w:color w:val="auto"/>
              </w:rPr>
            </w:pPr>
            <w:r>
              <w:rPr>
                <w:rFonts w:ascii="Times New Roman" w:cs="Times New Roman" w:eastAsia="Times New Roman" w:hAnsi="Times New Roman"/>
                <w:sz w:val="20"/>
                <w:szCs w:val="20"/>
                <w:i w:val="1"/>
                <w:iCs w:val="1"/>
                <w:color w:val="auto"/>
              </w:rPr>
              <w:t>/S/ AGUSTINA GANI TJANDRASUWITA</w:t>
            </w:r>
          </w:p>
        </w:tc>
        <w:tc>
          <w:tcPr>
            <w:tcW w:w="4840" w:type="dxa"/>
            <w:vAlign w:val="bottom"/>
          </w:tcPr>
          <w:p>
            <w:pPr>
              <w:jc w:val="right"/>
              <w:ind w:right="1496"/>
              <w:spacing w:after="0"/>
              <w:rPr>
                <w:sz w:val="20"/>
                <w:szCs w:val="20"/>
                <w:color w:val="auto"/>
              </w:rPr>
            </w:pPr>
            <w:r>
              <w:rPr>
                <w:rFonts w:ascii="Times New Roman" w:cs="Times New Roman" w:eastAsia="Times New Roman" w:hAnsi="Times New Roman"/>
                <w:sz w:val="20"/>
                <w:szCs w:val="20"/>
                <w:color w:val="auto"/>
              </w:rPr>
              <w:t>Dated: March 16, 2026</w:t>
            </w:r>
          </w:p>
        </w:tc>
      </w:tr>
      <w:tr>
        <w:trPr>
          <w:trHeight w:val="256"/>
        </w:trPr>
        <w:tc>
          <w:tcPr>
            <w:tcW w:w="328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auto"/>
              </w:rPr>
              <w:t>A</w:t>
            </w:r>
            <w:r>
              <w:rPr>
                <w:rFonts w:ascii="Times New Roman" w:cs="Times New Roman" w:eastAsia="Times New Roman" w:hAnsi="Times New Roman"/>
                <w:sz w:val="13"/>
                <w:szCs w:val="13"/>
                <w:color w:val="auto"/>
              </w:rPr>
              <w:t>gustina</w:t>
            </w:r>
            <w:r>
              <w:rPr>
                <w:rFonts w:ascii="Times New Roman" w:cs="Times New Roman" w:eastAsia="Times New Roman" w:hAnsi="Times New Roman"/>
                <w:sz w:val="20"/>
                <w:szCs w:val="20"/>
                <w:color w:val="auto"/>
              </w:rPr>
              <w:t xml:space="preserve"> G</w:t>
            </w:r>
            <w:r>
              <w:rPr>
                <w:rFonts w:ascii="Times New Roman" w:cs="Times New Roman" w:eastAsia="Times New Roman" w:hAnsi="Times New Roman"/>
                <w:sz w:val="13"/>
                <w:szCs w:val="13"/>
                <w:color w:val="auto"/>
              </w:rPr>
              <w:t>ani</w:t>
            </w:r>
            <w:r>
              <w:rPr>
                <w:rFonts w:ascii="Times New Roman" w:cs="Times New Roman" w:eastAsia="Times New Roman" w:hAnsi="Times New Roman"/>
                <w:sz w:val="20"/>
                <w:szCs w:val="20"/>
                <w:color w:val="auto"/>
              </w:rPr>
              <w:t xml:space="preserve"> T</w:t>
            </w:r>
            <w:r>
              <w:rPr>
                <w:rFonts w:ascii="Times New Roman" w:cs="Times New Roman" w:eastAsia="Times New Roman" w:hAnsi="Times New Roman"/>
                <w:sz w:val="13"/>
                <w:szCs w:val="13"/>
                <w:color w:val="auto"/>
              </w:rPr>
              <w:t>jandrasuwita</w:t>
            </w:r>
          </w:p>
        </w:tc>
        <w:tc>
          <w:tcPr>
            <w:tcW w:w="480" w:type="dxa"/>
            <w:vAlign w:val="bottom"/>
          </w:tcPr>
          <w:p>
            <w:pPr>
              <w:spacing w:after="0"/>
              <w:rPr>
                <w:sz w:val="22"/>
                <w:szCs w:val="22"/>
                <w:color w:val="auto"/>
              </w:rPr>
            </w:pPr>
          </w:p>
        </w:tc>
        <w:tc>
          <w:tcPr>
            <w:tcW w:w="4840" w:type="dxa"/>
            <w:vAlign w:val="bottom"/>
          </w:tcPr>
          <w:p>
            <w:pPr>
              <w:spacing w:after="0"/>
              <w:rPr>
                <w:sz w:val="22"/>
                <w:szCs w:val="22"/>
                <w:color w:val="auto"/>
              </w:rPr>
            </w:pPr>
          </w:p>
        </w:tc>
      </w:tr>
      <w:tr>
        <w:trPr>
          <w:trHeight w:val="604"/>
        </w:trPr>
        <w:tc>
          <w:tcPr>
            <w:tcW w:w="2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840" w:type="dxa"/>
            <w:vAlign w:val="bottom"/>
          </w:tcPr>
          <w:p>
            <w:pPr>
              <w:jc w:val="right"/>
              <w:ind w:right="4156"/>
              <w:spacing w:after="0"/>
              <w:rPr>
                <w:sz w:val="20"/>
                <w:szCs w:val="20"/>
                <w:color w:val="auto"/>
              </w:rPr>
            </w:pPr>
            <w:r>
              <w:rPr>
                <w:rFonts w:ascii="Arial" w:cs="Arial" w:eastAsia="Arial" w:hAnsi="Arial"/>
                <w:sz w:val="14"/>
                <w:szCs w:val="14"/>
                <w:color w:val="auto"/>
              </w:rPr>
              <w:t>4</w:t>
            </w:r>
          </w:p>
        </w:tc>
      </w:tr>
      <w:tr>
        <w:trPr>
          <w:trHeight w:val="598"/>
        </w:trPr>
        <w:tc>
          <w:tcPr>
            <w:tcW w:w="20" w:type="dxa"/>
            <w:vAlign w:val="bottom"/>
          </w:tcPr>
          <w:p>
            <w:pPr>
              <w:spacing w:after="0"/>
              <w:rPr>
                <w:sz w:val="24"/>
                <w:szCs w:val="24"/>
                <w:color w:val="auto"/>
              </w:rPr>
            </w:pPr>
          </w:p>
        </w:tc>
        <w:tc>
          <w:tcPr>
            <w:tcW w:w="326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484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114" w:right="1440"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auto"/>
        </w:rPr>
        <w:t>EXHIBIT A</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auto"/>
        </w:rPr>
        <w:t>EMPLOYEE PROPRIETARY INFORMATION, INVENTIONS</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auto"/>
        </w:rPr>
        <w:t>ASSIGNMENT AND NON-COMPETITION AGREEMENT</w:t>
      </w:r>
    </w:p>
    <w:p>
      <w:pPr>
        <w:spacing w:after="0" w:line="207" w:lineRule="exact"/>
        <w:rPr>
          <w:sz w:val="20"/>
          <w:szCs w:val="20"/>
          <w:color w:val="auto"/>
        </w:rPr>
      </w:pPr>
    </w:p>
    <w:p>
      <w:pPr>
        <w:ind w:left="200" w:right="259" w:firstLine="648"/>
        <w:spacing w:after="0" w:line="253" w:lineRule="auto"/>
        <w:rPr>
          <w:sz w:val="20"/>
          <w:szCs w:val="20"/>
          <w:color w:val="auto"/>
        </w:rPr>
      </w:pPr>
      <w:r>
        <w:rPr>
          <w:rFonts w:ascii="Times New Roman" w:cs="Times New Roman" w:eastAsia="Times New Roman" w:hAnsi="Times New Roman"/>
          <w:sz w:val="20"/>
          <w:szCs w:val="20"/>
          <w:color w:val="auto"/>
        </w:rPr>
        <w:t xml:space="preserve">THIS EMPLOYEE PROPRIETARY INFORMATION, INVENTIONS ASSIGNMENT AND NON-COMPETITION AGREEMENT (this </w:t>
      </w:r>
      <w:r>
        <w:rPr>
          <w:rFonts w:ascii="Times New Roman" w:cs="Times New Roman" w:eastAsia="Times New Roman" w:hAnsi="Times New Roman"/>
          <w:sz w:val="20"/>
          <w:szCs w:val="20"/>
          <w:b w:val="1"/>
          <w:bCs w:val="1"/>
          <w:i w:val="1"/>
          <w:iCs w:val="1"/>
          <w:color w:val="auto"/>
        </w:rPr>
        <w:t>“Agreement”</w:t>
      </w:r>
      <w:r>
        <w:rPr>
          <w:rFonts w:ascii="Times New Roman" w:cs="Times New Roman" w:eastAsia="Times New Roman" w:hAnsi="Times New Roman"/>
          <w:sz w:val="20"/>
          <w:szCs w:val="20"/>
          <w:color w:val="auto"/>
        </w:rPr>
        <w:t xml:space="preserve">) is made as of the date set forth below between </w:t>
      </w:r>
      <w:r>
        <w:rPr>
          <w:rFonts w:ascii="Times New Roman" w:cs="Times New Roman" w:eastAsia="Times New Roman" w:hAnsi="Times New Roman"/>
          <w:sz w:val="13"/>
          <w:szCs w:val="13"/>
          <w:color w:val="auto"/>
        </w:rPr>
        <w:t xml:space="preserve">solana </w:t>
      </w:r>
      <w:r>
        <w:rPr>
          <w:rFonts w:ascii="Times New Roman" w:cs="Times New Roman" w:eastAsia="Times New Roman" w:hAnsi="Times New Roman"/>
          <w:sz w:val="19"/>
          <w:szCs w:val="19"/>
          <w:color w:val="auto"/>
        </w:rPr>
        <w:t>C</w:t>
      </w:r>
      <w:r>
        <w:rPr>
          <w:rFonts w:ascii="Times New Roman" w:cs="Times New Roman" w:eastAsia="Times New Roman" w:hAnsi="Times New Roman"/>
          <w:sz w:val="13"/>
          <w:szCs w:val="13"/>
          <w:color w:val="auto"/>
        </w:rPr>
        <w:t>ompany</w:t>
      </w:r>
      <w:r>
        <w:rPr>
          <w:rFonts w:ascii="Times New Roman" w:cs="Times New Roman" w:eastAsia="Times New Roman" w:hAnsi="Times New Roman"/>
          <w:sz w:val="19"/>
          <w:szCs w:val="19"/>
          <w:color w:val="auto"/>
        </w:rPr>
        <w:t>, a Delaware corporation (the</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9"/>
          <w:szCs w:val="19"/>
          <w:b w:val="1"/>
          <w:bCs w:val="1"/>
          <w:i w:val="1"/>
          <w:iCs w:val="1"/>
          <w:color w:val="auto"/>
        </w:rPr>
        <w:t>“Company”</w:t>
      </w:r>
      <w:r>
        <w:rPr>
          <w:rFonts w:ascii="Times New Roman" w:cs="Times New Roman" w:eastAsia="Times New Roman" w:hAnsi="Times New Roman"/>
          <w:sz w:val="19"/>
          <w:szCs w:val="19"/>
          <w:color w:val="auto"/>
        </w:rPr>
        <w:t>), and the undersigned employee of the Company</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“Employee”</w:t>
      </w:r>
      <w:r>
        <w:rPr>
          <w:rFonts w:ascii="Times New Roman" w:cs="Times New Roman" w:eastAsia="Times New Roman" w:hAnsi="Times New Roman"/>
          <w:sz w:val="19"/>
          <w:szCs w:val="19"/>
          <w:color w:val="auto"/>
        </w:rPr>
        <w:t>).</w:t>
      </w:r>
    </w:p>
    <w:p>
      <w:pPr>
        <w:spacing w:after="0" w:line="190" w:lineRule="exact"/>
        <w:rPr>
          <w:sz w:val="20"/>
          <w:szCs w:val="20"/>
          <w:color w:val="auto"/>
        </w:rPr>
      </w:pPr>
    </w:p>
    <w:p>
      <w:pPr>
        <w:ind w:left="200" w:right="739" w:firstLine="648"/>
        <w:spacing w:after="0" w:line="254" w:lineRule="auto"/>
        <w:rPr>
          <w:sz w:val="20"/>
          <w:szCs w:val="20"/>
          <w:color w:val="auto"/>
        </w:rPr>
      </w:pPr>
      <w:r>
        <w:rPr>
          <w:rFonts w:ascii="Times New Roman" w:cs="Times New Roman" w:eastAsia="Times New Roman" w:hAnsi="Times New Roman"/>
          <w:sz w:val="20"/>
          <w:szCs w:val="20"/>
          <w:color w:val="auto"/>
        </w:rPr>
        <w:t>This Agreement confirms certain terms of Employee’s employment with the Company, which Employee acknowledges are a material part of the consideration for Employee’s employment by the Company, and the compensation received by Employee from the Company from time to time.</w:t>
      </w:r>
    </w:p>
    <w:p>
      <w:pPr>
        <w:spacing w:after="0" w:line="184" w:lineRule="exact"/>
        <w:rPr>
          <w:sz w:val="20"/>
          <w:szCs w:val="20"/>
          <w:color w:val="auto"/>
        </w:rPr>
      </w:pPr>
    </w:p>
    <w:p>
      <w:pPr>
        <w:ind w:left="200" w:right="239" w:firstLine="657"/>
        <w:spacing w:after="0" w:line="273" w:lineRule="auto"/>
        <w:tabs>
          <w:tab w:leader="none" w:pos="1496" w:val="left"/>
        </w:tabs>
        <w:numPr>
          <w:ilvl w:val="0"/>
          <w:numId w:val="3"/>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D</w:t>
      </w:r>
      <w:r>
        <w:rPr>
          <w:rFonts w:ascii="Times New Roman" w:cs="Times New Roman" w:eastAsia="Times New Roman" w:hAnsi="Times New Roman"/>
          <w:sz w:val="13"/>
          <w:szCs w:val="13"/>
          <w:b w:val="1"/>
          <w:bCs w:val="1"/>
          <w:color w:val="auto"/>
        </w:rPr>
        <w:t>efinitions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The following capitalized terms used in this Agreement shall have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following meanings:</w:t>
      </w:r>
    </w:p>
    <w:p>
      <w:pPr>
        <w:spacing w:after="0" w:line="151" w:lineRule="exact"/>
        <w:rPr>
          <w:rFonts w:ascii="Times New Roman" w:cs="Times New Roman" w:eastAsia="Times New Roman" w:hAnsi="Times New Roman"/>
          <w:sz w:val="20"/>
          <w:szCs w:val="20"/>
          <w:b w:val="1"/>
          <w:bCs w:val="1"/>
          <w:color w:val="auto"/>
        </w:rPr>
      </w:pPr>
    </w:p>
    <w:p>
      <w:pPr>
        <w:jc w:val="both"/>
        <w:ind w:left="200" w:right="219" w:firstLine="1305"/>
        <w:spacing w:after="0" w:line="245" w:lineRule="auto"/>
        <w:tabs>
          <w:tab w:leader="none" w:pos="2144" w:val="left"/>
        </w:tabs>
        <w:numPr>
          <w:ilvl w:val="1"/>
          <w:numId w:val="3"/>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i w:val="1"/>
          <w:iCs w:val="1"/>
          <w:color w:val="auto"/>
        </w:rPr>
        <w:t xml:space="preserve">“Company Documents and Materials” </w:t>
      </w:r>
      <w:r>
        <w:rPr>
          <w:rFonts w:ascii="Times New Roman" w:cs="Times New Roman" w:eastAsia="Times New Roman" w:hAnsi="Times New Roman"/>
          <w:sz w:val="20"/>
          <w:szCs w:val="20"/>
          <w:color w:val="auto"/>
        </w:rPr>
        <w:t>means documents or other media, whether</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in tangible or intangible form, that contain or embody Proprietary Information or any other information concerning the business, operations or plans of the Company, whether such documents or media have been prepared by Employee or by others. Company Documents and Materials include, without limitation, blueprints, drawings, photographs, charts, graphs, notebooks, tests, test results, experiments, customer lists, computer disks, tapes or printouts, sound recordings and other printed, electronic, typewritten or handwritten documents or information, sample products, prototypes and models.</w:t>
      </w:r>
    </w:p>
    <w:p>
      <w:pPr>
        <w:spacing w:after="0" w:line="179" w:lineRule="exact"/>
        <w:rPr>
          <w:rFonts w:ascii="Times New Roman" w:cs="Times New Roman" w:eastAsia="Times New Roman" w:hAnsi="Times New Roman"/>
          <w:sz w:val="20"/>
          <w:szCs w:val="20"/>
          <w:b w:val="1"/>
          <w:bCs w:val="1"/>
          <w:color w:val="auto"/>
        </w:rPr>
      </w:pPr>
    </w:p>
    <w:p>
      <w:pPr>
        <w:jc w:val="both"/>
        <w:ind w:left="200" w:right="219" w:firstLine="1305"/>
        <w:spacing w:after="0" w:line="247" w:lineRule="auto"/>
        <w:tabs>
          <w:tab w:leader="none" w:pos="2144" w:val="left"/>
        </w:tabs>
        <w:numPr>
          <w:ilvl w:val="1"/>
          <w:numId w:val="3"/>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i w:val="1"/>
          <w:iCs w:val="1"/>
          <w:color w:val="auto"/>
        </w:rPr>
        <w:t xml:space="preserve">“Inventions” </w:t>
      </w:r>
      <w:r>
        <w:rPr>
          <w:rFonts w:ascii="Times New Roman" w:cs="Times New Roman" w:eastAsia="Times New Roman" w:hAnsi="Times New Roman"/>
          <w:sz w:val="20"/>
          <w:szCs w:val="20"/>
          <w:color w:val="auto"/>
        </w:rPr>
        <w:t>means, without limitation, all software programs or subroutines,</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source or object code, algorithms, improvements, inventions, works of authorship, trade secrets, technology, designs, formulas, ideas, processes, techniques, know-how and data, whether or not patentable or copyrightable, made or discovered or conceived or reduced to practice or developed by Employee, either alone or jointly with others.</w:t>
      </w:r>
    </w:p>
    <w:p>
      <w:pPr>
        <w:spacing w:after="0" w:line="180" w:lineRule="exact"/>
        <w:rPr>
          <w:rFonts w:ascii="Times New Roman" w:cs="Times New Roman" w:eastAsia="Times New Roman" w:hAnsi="Times New Roman"/>
          <w:sz w:val="20"/>
          <w:szCs w:val="20"/>
          <w:b w:val="1"/>
          <w:bCs w:val="1"/>
          <w:color w:val="auto"/>
        </w:rPr>
      </w:pPr>
    </w:p>
    <w:p>
      <w:pPr>
        <w:jc w:val="both"/>
        <w:ind w:left="200" w:right="219" w:firstLine="1305"/>
        <w:spacing w:after="0" w:line="243" w:lineRule="auto"/>
        <w:tabs>
          <w:tab w:leader="none" w:pos="2144" w:val="left"/>
        </w:tabs>
        <w:numPr>
          <w:ilvl w:val="1"/>
          <w:numId w:val="3"/>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i w:val="1"/>
          <w:iCs w:val="1"/>
          <w:color w:val="auto"/>
        </w:rPr>
        <w:t xml:space="preserve">“Proprietary Information” </w:t>
      </w:r>
      <w:r>
        <w:rPr>
          <w:rFonts w:ascii="Times New Roman" w:cs="Times New Roman" w:eastAsia="Times New Roman" w:hAnsi="Times New Roman"/>
          <w:sz w:val="20"/>
          <w:szCs w:val="20"/>
          <w:color w:val="auto"/>
        </w:rPr>
        <w:t>means information that was or will be developed,</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created, or discovered by or on behalf of the Company, or which became or will become known to, or was or is conveyed to the Company, which has commercial value in the Company’s business, whether or not patentable or copyrightable, including, without limitation, information about software programs and subroutines, source and object code, algorithms, trade secrets, designs, technology, know-how, processes, data, ideas, techniques, inventions, works of authorship, formulas, business and product development plans, customer lists, terms of compensation and performance levels of the Company’s employees and consultants, the Company’s customers and other information concerning the Company’s actual or anticipated business, research or development, or which is received in confidence by or for the Company from any other person or entity.</w:t>
      </w:r>
    </w:p>
    <w:p>
      <w:pPr>
        <w:spacing w:after="0" w:line="182" w:lineRule="exact"/>
        <w:rPr>
          <w:rFonts w:ascii="Times New Roman" w:cs="Times New Roman" w:eastAsia="Times New Roman" w:hAnsi="Times New Roman"/>
          <w:sz w:val="20"/>
          <w:szCs w:val="20"/>
          <w:b w:val="1"/>
          <w:bCs w:val="1"/>
          <w:color w:val="auto"/>
        </w:rPr>
      </w:pPr>
    </w:p>
    <w:p>
      <w:pPr>
        <w:ind w:left="1500" w:hanging="643"/>
        <w:spacing w:after="0"/>
        <w:tabs>
          <w:tab w:leader="none" w:pos="1500" w:val="left"/>
        </w:tabs>
        <w:numPr>
          <w:ilvl w:val="0"/>
          <w:numId w:val="3"/>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C</w:t>
      </w:r>
      <w:r>
        <w:rPr>
          <w:rFonts w:ascii="Times New Roman" w:cs="Times New Roman" w:eastAsia="Times New Roman" w:hAnsi="Times New Roman"/>
          <w:sz w:val="13"/>
          <w:szCs w:val="13"/>
          <w:b w:val="1"/>
          <w:bCs w:val="1"/>
          <w:color w:val="auto"/>
        </w:rPr>
        <w:t>onfidentiality of</w:t>
      </w:r>
      <w:r>
        <w:rPr>
          <w:rFonts w:ascii="Times New Roman" w:cs="Times New Roman" w:eastAsia="Times New Roman" w:hAnsi="Times New Roman"/>
          <w:sz w:val="20"/>
          <w:szCs w:val="20"/>
          <w:b w:val="1"/>
          <w:bCs w:val="1"/>
          <w:color w:val="auto"/>
        </w:rPr>
        <w:t xml:space="preserve"> P</w:t>
      </w:r>
      <w:r>
        <w:rPr>
          <w:rFonts w:ascii="Times New Roman" w:cs="Times New Roman" w:eastAsia="Times New Roman" w:hAnsi="Times New Roman"/>
          <w:sz w:val="13"/>
          <w:szCs w:val="13"/>
          <w:b w:val="1"/>
          <w:bCs w:val="1"/>
          <w:color w:val="auto"/>
        </w:rPr>
        <w:t>roprietary</w:t>
      </w:r>
      <w:r>
        <w:rPr>
          <w:rFonts w:ascii="Times New Roman" w:cs="Times New Roman" w:eastAsia="Times New Roman" w:hAnsi="Times New Roman"/>
          <w:sz w:val="20"/>
          <w:szCs w:val="20"/>
          <w:b w:val="1"/>
          <w:bCs w:val="1"/>
          <w:color w:val="auto"/>
        </w:rPr>
        <w:t xml:space="preserve"> I</w:t>
      </w:r>
      <w:r>
        <w:rPr>
          <w:rFonts w:ascii="Times New Roman" w:cs="Times New Roman" w:eastAsia="Times New Roman" w:hAnsi="Times New Roman"/>
          <w:sz w:val="13"/>
          <w:szCs w:val="13"/>
          <w:b w:val="1"/>
          <w:bCs w:val="1"/>
          <w:color w:val="auto"/>
        </w:rPr>
        <w:t>nformation</w:t>
      </w:r>
      <w:r>
        <w:rPr>
          <w:rFonts w:ascii="Times New Roman" w:cs="Times New Roman" w:eastAsia="Times New Roman" w:hAnsi="Times New Roman"/>
          <w:sz w:val="20"/>
          <w:szCs w:val="20"/>
          <w:b w:val="1"/>
          <w:bCs w:val="1"/>
          <w:color w:val="auto"/>
        </w:rPr>
        <w:t>.</w:t>
      </w:r>
    </w:p>
    <w:p>
      <w:pPr>
        <w:spacing w:after="0" w:line="215" w:lineRule="exact"/>
        <w:rPr>
          <w:rFonts w:ascii="Times New Roman" w:cs="Times New Roman" w:eastAsia="Times New Roman" w:hAnsi="Times New Roman"/>
          <w:sz w:val="20"/>
          <w:szCs w:val="20"/>
          <w:b w:val="1"/>
          <w:bCs w:val="1"/>
          <w:color w:val="auto"/>
        </w:rPr>
      </w:pPr>
    </w:p>
    <w:p>
      <w:pPr>
        <w:jc w:val="both"/>
        <w:ind w:left="200" w:right="219" w:firstLine="1305"/>
        <w:spacing w:after="0" w:line="250" w:lineRule="auto"/>
        <w:tabs>
          <w:tab w:leader="none" w:pos="2144" w:val="left"/>
        </w:tabs>
        <w:numPr>
          <w:ilvl w:val="1"/>
          <w:numId w:val="3"/>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Nature of Information. </w:t>
      </w:r>
      <w:r>
        <w:rPr>
          <w:rFonts w:ascii="Times New Roman" w:cs="Times New Roman" w:eastAsia="Times New Roman" w:hAnsi="Times New Roman"/>
          <w:sz w:val="20"/>
          <w:szCs w:val="20"/>
          <w:color w:val="auto"/>
        </w:rPr>
        <w:t>Employee understands that the Company possesses and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will possess Proprietary Information which is important to its business. Employee understands that Employee’s engagement creates a relationship of confidence and trust between the Company and Employee with respect to Proprietary Information.</w:t>
      </w: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E</w:t>
      </w:r>
      <w:r>
        <w:rPr>
          <w:rFonts w:ascii="Arial" w:cs="Arial" w:eastAsia="Arial" w:hAnsi="Arial"/>
          <w:sz w:val="9"/>
          <w:szCs w:val="9"/>
          <w:color w:val="auto"/>
        </w:rPr>
        <w:t>xhibit</w:t>
      </w:r>
      <w:r>
        <w:rPr>
          <w:rFonts w:ascii="Arial" w:cs="Arial" w:eastAsia="Arial" w:hAnsi="Arial"/>
          <w:sz w:val="14"/>
          <w:szCs w:val="14"/>
          <w:color w:val="auto"/>
        </w:rPr>
        <w:t xml:space="preserve"> A - 1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529590</wp:posOffset>
            </wp:positionV>
            <wp:extent cx="5452110" cy="260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1125" w:right="1440" w:bottom="1440" w:gutter="0" w:footer="0" w:header="0"/>
        </w:sectPr>
      </w:pPr>
    </w:p>
    <w:bookmarkStart w:id="9" w:name="page10"/>
    <w:bookmarkEnd w:id="9"/>
    <w:p>
      <w:pPr>
        <w:jc w:val="both"/>
        <w:ind w:left="200" w:right="219" w:firstLine="1305"/>
        <w:spacing w:after="0" w:line="246" w:lineRule="auto"/>
        <w:tabs>
          <w:tab w:leader="none" w:pos="2144" w:val="left"/>
        </w:tabs>
        <w:numPr>
          <w:ilvl w:val="1"/>
          <w:numId w:val="4"/>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Property of the Company. </w:t>
      </w:r>
      <w:r>
        <w:rPr>
          <w:rFonts w:ascii="Times New Roman" w:cs="Times New Roman" w:eastAsia="Times New Roman" w:hAnsi="Times New Roman"/>
          <w:sz w:val="20"/>
          <w:szCs w:val="20"/>
          <w:color w:val="auto"/>
        </w:rPr>
        <w:t>Employee acknowledges and agrees that all Company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Documents and Materials, Proprietary Information and all patents, patent rights, copyrights, trade secret rights, trademark rights and other rights (including, without limitation, intellectual property rights) anywhere in the world in connection therewith is and shall be the sole property of the Company. Employee hereby assigns to the Company any and all rights, title and interest Employee may have or acquire in the Proprietary Information or any Company Documents and Materials.</w:t>
      </w:r>
    </w:p>
    <w:p>
      <w:pPr>
        <w:spacing w:after="0" w:line="178" w:lineRule="exact"/>
        <w:rPr>
          <w:rFonts w:ascii="Times New Roman" w:cs="Times New Roman" w:eastAsia="Times New Roman" w:hAnsi="Times New Roman"/>
          <w:sz w:val="20"/>
          <w:szCs w:val="20"/>
          <w:b w:val="1"/>
          <w:bCs w:val="1"/>
          <w:color w:val="auto"/>
        </w:rPr>
      </w:pPr>
    </w:p>
    <w:p>
      <w:pPr>
        <w:jc w:val="both"/>
        <w:ind w:left="200" w:right="219" w:firstLine="1305"/>
        <w:spacing w:after="0" w:line="242" w:lineRule="auto"/>
        <w:tabs>
          <w:tab w:leader="none" w:pos="2144" w:val="left"/>
        </w:tabs>
        <w:numPr>
          <w:ilvl w:val="1"/>
          <w:numId w:val="4"/>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Confidentiality. </w:t>
      </w:r>
      <w:r>
        <w:rPr>
          <w:rFonts w:ascii="Times New Roman" w:cs="Times New Roman" w:eastAsia="Times New Roman" w:hAnsi="Times New Roman"/>
          <w:sz w:val="20"/>
          <w:szCs w:val="20"/>
          <w:color w:val="auto"/>
        </w:rPr>
        <w:t>At all times, both during the term of Employee’s engagement by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the Company and after Employee’s termination, Employee shall keep in confidence and trust and shall not use or disclose any Proprietary Information or anything relating to it without the prior written consent of the President or other duly designated officer of the Company, except as may be necessary in the ordinary course of performing Employee’s duties for the Company; provided, however, that Employee shall have no such obligation with respect to Proprietary Information that (i) was already known to Employee at the time of its disclosure to Employee by or on behalf of the Company, as evidenced by written records (ii) at the time of disclosure to Employee was generally available to the public or otherwise in the public domain, or</w:t>
      </w:r>
    </w:p>
    <w:p>
      <w:pPr>
        <w:spacing w:after="0" w:line="6" w:lineRule="exact"/>
        <w:rPr>
          <w:rFonts w:ascii="Times New Roman" w:cs="Times New Roman" w:eastAsia="Times New Roman" w:hAnsi="Times New Roman"/>
          <w:sz w:val="20"/>
          <w:szCs w:val="20"/>
          <w:b w:val="1"/>
          <w:bCs w:val="1"/>
          <w:color w:val="auto"/>
        </w:rPr>
      </w:pPr>
    </w:p>
    <w:p>
      <w:pPr>
        <w:ind w:left="580" w:hanging="371"/>
        <w:spacing w:after="0"/>
        <w:tabs>
          <w:tab w:leader="none" w:pos="58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subsequent to such disclosure becomes generally available to the public without fault on Employee’s</w:t>
      </w:r>
    </w:p>
    <w:p>
      <w:pPr>
        <w:ind w:left="20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part.</w:t>
      </w:r>
    </w:p>
    <w:p>
      <w:pPr>
        <w:spacing w:after="0" w:line="189" w:lineRule="exact"/>
        <w:rPr>
          <w:rFonts w:ascii="Times New Roman" w:cs="Times New Roman" w:eastAsia="Times New Roman" w:hAnsi="Times New Roman"/>
          <w:sz w:val="20"/>
          <w:szCs w:val="20"/>
          <w:color w:val="auto"/>
        </w:rPr>
      </w:pPr>
    </w:p>
    <w:p>
      <w:pPr>
        <w:jc w:val="both"/>
        <w:ind w:left="200" w:right="219" w:firstLine="1305"/>
        <w:spacing w:after="0" w:line="244" w:lineRule="auto"/>
        <w:tabs>
          <w:tab w:leader="none" w:pos="2144" w:val="left"/>
        </w:tabs>
        <w:numPr>
          <w:ilvl w:val="1"/>
          <w:numId w:val="5"/>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Compelled Disclosure. </w:t>
      </w:r>
      <w:r>
        <w:rPr>
          <w:rFonts w:ascii="Times New Roman" w:cs="Times New Roman" w:eastAsia="Times New Roman" w:hAnsi="Times New Roman"/>
          <w:sz w:val="20"/>
          <w:szCs w:val="20"/>
          <w:color w:val="auto"/>
        </w:rPr>
        <w:t>In the event that Employee is requested in any proceeding</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to disclose any Proprietary Information, Employee shall give the Company prompt notice of such request so that the Company may seek an appropriate protective order. If, in the absence of a protective order, Employee is nonetheless compelled by any court or tribunal of competent jurisdiction to disclose Proprietary Information, Employee may disclose such information without liability hereunder; provided, however, that Employee gives the Company notice of the Proprietary Information to be disclosed as far in advance of its disclosure as is practicable and uses Employee’s best efforts to obtain assurances that confidential treatment will be accorded to such Proprietary Information.</w:t>
      </w:r>
    </w:p>
    <w:p>
      <w:pPr>
        <w:spacing w:after="0" w:line="181" w:lineRule="exact"/>
        <w:rPr>
          <w:rFonts w:ascii="Times New Roman" w:cs="Times New Roman" w:eastAsia="Times New Roman" w:hAnsi="Times New Roman"/>
          <w:sz w:val="20"/>
          <w:szCs w:val="20"/>
          <w:b w:val="1"/>
          <w:bCs w:val="1"/>
          <w:color w:val="auto"/>
        </w:rPr>
      </w:pPr>
    </w:p>
    <w:p>
      <w:pPr>
        <w:jc w:val="both"/>
        <w:ind w:left="200" w:right="219" w:firstLine="1305"/>
        <w:spacing w:after="0" w:line="256" w:lineRule="auto"/>
        <w:tabs>
          <w:tab w:leader="none" w:pos="2144" w:val="left"/>
        </w:tabs>
        <w:numPr>
          <w:ilvl w:val="1"/>
          <w:numId w:val="5"/>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Records. </w:t>
      </w:r>
      <w:r>
        <w:rPr>
          <w:rFonts w:ascii="Times New Roman" w:cs="Times New Roman" w:eastAsia="Times New Roman" w:hAnsi="Times New Roman"/>
          <w:sz w:val="20"/>
          <w:szCs w:val="20"/>
          <w:color w:val="auto"/>
        </w:rPr>
        <w:t>Employee agrees to make and maintain adequate and current written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records, in a form specified by the Company, of all Inventions, trade secrets and works of authorship assigned or to be assigned to the Company pursuant to this Agreement.</w:t>
      </w:r>
    </w:p>
    <w:p>
      <w:pPr>
        <w:spacing w:after="0" w:line="168" w:lineRule="exact"/>
        <w:rPr>
          <w:rFonts w:ascii="Times New Roman" w:cs="Times New Roman" w:eastAsia="Times New Roman" w:hAnsi="Times New Roman"/>
          <w:sz w:val="20"/>
          <w:szCs w:val="20"/>
          <w:b w:val="1"/>
          <w:bCs w:val="1"/>
          <w:color w:val="auto"/>
        </w:rPr>
      </w:pPr>
    </w:p>
    <w:p>
      <w:pPr>
        <w:jc w:val="both"/>
        <w:ind w:left="200" w:right="219" w:firstLine="1305"/>
        <w:spacing w:after="0" w:line="243" w:lineRule="auto"/>
        <w:tabs>
          <w:tab w:leader="none" w:pos="2144" w:val="left"/>
        </w:tabs>
        <w:numPr>
          <w:ilvl w:val="1"/>
          <w:numId w:val="5"/>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Handling of the Company Documents and Materials. </w:t>
      </w:r>
      <w:r>
        <w:rPr>
          <w:rFonts w:ascii="Times New Roman" w:cs="Times New Roman" w:eastAsia="Times New Roman" w:hAnsi="Times New Roman"/>
          <w:sz w:val="20"/>
          <w:szCs w:val="20"/>
          <w:color w:val="auto"/>
        </w:rPr>
        <w:t>Employee agrees that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during Employee’s employment by the Company, Employee shall not remove any Company Documents and Materials from the business premises of the Company or deliver any Company Documents and Materials to any person or entity outside the Company, except as Employee may be required to do in connection with performing the duties of Employee’s employment. Employee further agrees that, immediately upon the termination of Employee’s employment by Employee or by the Company for any reason, or during Employee’s employment if so requested by the Company, Employee shall return all Company Documents and Materials, apparatus, equipment and other physical property, or any reproduction of such property, excepting only (i) Employee’s personal copies of personnel records and records relating to Employee’s compensation; and (ii) Employee’s copy of this Agreement.</w:t>
      </w: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E</w:t>
      </w:r>
      <w:r>
        <w:rPr>
          <w:rFonts w:ascii="Arial" w:cs="Arial" w:eastAsia="Arial" w:hAnsi="Arial"/>
          <w:sz w:val="9"/>
          <w:szCs w:val="9"/>
          <w:color w:val="auto"/>
        </w:rPr>
        <w:t>xhibit</w:t>
      </w:r>
      <w:r>
        <w:rPr>
          <w:rFonts w:ascii="Arial" w:cs="Arial" w:eastAsia="Arial" w:hAnsi="Arial"/>
          <w:sz w:val="14"/>
          <w:szCs w:val="14"/>
          <w:color w:val="auto"/>
        </w:rPr>
        <w:t xml:space="preserve"> A - 2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529590</wp:posOffset>
            </wp:positionV>
            <wp:extent cx="5452110" cy="254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125" w:right="1440" w:bottom="1440" w:gutter="0" w:footer="0" w:header="0"/>
        </w:sectPr>
      </w:pPr>
    </w:p>
    <w:bookmarkStart w:id="10" w:name="page11"/>
    <w:bookmarkEnd w:id="10"/>
    <w:p>
      <w:pPr>
        <w:ind w:left="1500" w:hanging="643"/>
        <w:spacing w:after="0"/>
        <w:tabs>
          <w:tab w:leader="none" w:pos="1500" w:val="left"/>
        </w:tabs>
        <w:numPr>
          <w:ilvl w:val="0"/>
          <w:numId w:val="6"/>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I</w:t>
      </w:r>
      <w:r>
        <w:rPr>
          <w:rFonts w:ascii="Times New Roman" w:cs="Times New Roman" w:eastAsia="Times New Roman" w:hAnsi="Times New Roman"/>
          <w:sz w:val="13"/>
          <w:szCs w:val="13"/>
          <w:b w:val="1"/>
          <w:bCs w:val="1"/>
          <w:color w:val="auto"/>
        </w:rPr>
        <w:t>nventions</w:t>
      </w:r>
      <w:r>
        <w:rPr>
          <w:rFonts w:ascii="Times New Roman" w:cs="Times New Roman" w:eastAsia="Times New Roman" w:hAnsi="Times New Roman"/>
          <w:sz w:val="20"/>
          <w:szCs w:val="20"/>
          <w:b w:val="1"/>
          <w:bCs w:val="1"/>
          <w:color w:val="auto"/>
        </w:rPr>
        <w:t>.</w:t>
      </w:r>
    </w:p>
    <w:p>
      <w:pPr>
        <w:spacing w:after="0" w:line="215" w:lineRule="exact"/>
        <w:rPr>
          <w:rFonts w:ascii="Times New Roman" w:cs="Times New Roman" w:eastAsia="Times New Roman" w:hAnsi="Times New Roman"/>
          <w:sz w:val="20"/>
          <w:szCs w:val="20"/>
          <w:b w:val="1"/>
          <w:bCs w:val="1"/>
          <w:color w:val="auto"/>
        </w:rPr>
      </w:pPr>
    </w:p>
    <w:p>
      <w:pPr>
        <w:jc w:val="both"/>
        <w:ind w:left="200" w:right="219" w:firstLine="1305"/>
        <w:spacing w:after="0" w:line="243" w:lineRule="auto"/>
        <w:tabs>
          <w:tab w:leader="none" w:pos="2144" w:val="left"/>
        </w:tabs>
        <w:numPr>
          <w:ilvl w:val="1"/>
          <w:numId w:val="6"/>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Disclosure. </w:t>
      </w:r>
      <w:r>
        <w:rPr>
          <w:rFonts w:ascii="Times New Roman" w:cs="Times New Roman" w:eastAsia="Times New Roman" w:hAnsi="Times New Roman"/>
          <w:sz w:val="20"/>
          <w:szCs w:val="20"/>
          <w:color w:val="auto"/>
        </w:rPr>
        <w:t>Employee shall promptly disclose in writing to Employee’s immediate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supervisor or to such other person designated by the Company all Inventions made during the term of Employee’s employment. Employee shall also disclose to Employee’s immediate supervisor or such designee all Inventions made, discovered, conceived, reduced to practice or developed by Employee either alone or jointly with others, within six (6) months after the termination of Employee’s employment with the Company which resulted, in whole or in part, from Employee’s prior employment by the Company. Such disclosures shall be received by the Company in confidence, to the extent such Inventions are not assigned to the Company pursuant to subsection (b) below, and do not extend the assignments made in such subsection.</w:t>
      </w:r>
    </w:p>
    <w:p>
      <w:pPr>
        <w:spacing w:after="0" w:line="185" w:lineRule="exact"/>
        <w:rPr>
          <w:rFonts w:ascii="Times New Roman" w:cs="Times New Roman" w:eastAsia="Times New Roman" w:hAnsi="Times New Roman"/>
          <w:sz w:val="20"/>
          <w:szCs w:val="20"/>
          <w:b w:val="1"/>
          <w:bCs w:val="1"/>
          <w:color w:val="auto"/>
        </w:rPr>
      </w:pPr>
    </w:p>
    <w:p>
      <w:pPr>
        <w:jc w:val="both"/>
        <w:ind w:left="200" w:right="219" w:firstLine="1305"/>
        <w:spacing w:after="0" w:line="245" w:lineRule="auto"/>
        <w:tabs>
          <w:tab w:leader="none" w:pos="2144" w:val="left"/>
        </w:tabs>
        <w:numPr>
          <w:ilvl w:val="1"/>
          <w:numId w:val="6"/>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Assignment of Inventions to the Company. </w:t>
      </w:r>
      <w:r>
        <w:rPr>
          <w:rFonts w:ascii="Times New Roman" w:cs="Times New Roman" w:eastAsia="Times New Roman" w:hAnsi="Times New Roman"/>
          <w:sz w:val="20"/>
          <w:szCs w:val="20"/>
          <w:color w:val="auto"/>
        </w:rPr>
        <w:t>Except as provided in Sections 3(c)</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and 3(d), Employee agrees that all Inventions which Employee makes, discovers, conceives, reduces to practice or develops (in whole or in part, either alone or jointly with others) during Employee’s employment, including, but not limited to, conceptions or ideas derived prior to employment and reduced to practice or developed (in whole or in part, either alone or jointly with others) during employment, shall be the sole property of the Company to the maximum extent permitted by law and Employee agrees to assign and hereby does assign to the Company all right title and interest to the Inventions.</w:t>
      </w:r>
    </w:p>
    <w:p>
      <w:pPr>
        <w:spacing w:after="0" w:line="179" w:lineRule="exact"/>
        <w:rPr>
          <w:rFonts w:ascii="Times New Roman" w:cs="Times New Roman" w:eastAsia="Times New Roman" w:hAnsi="Times New Roman"/>
          <w:sz w:val="20"/>
          <w:szCs w:val="20"/>
          <w:b w:val="1"/>
          <w:bCs w:val="1"/>
          <w:color w:val="auto"/>
        </w:rPr>
      </w:pPr>
    </w:p>
    <w:p>
      <w:pPr>
        <w:jc w:val="both"/>
        <w:ind w:left="200" w:right="219" w:firstLine="1305"/>
        <w:spacing w:after="0" w:line="255" w:lineRule="auto"/>
        <w:tabs>
          <w:tab w:leader="none" w:pos="2144" w:val="left"/>
        </w:tabs>
        <w:numPr>
          <w:ilvl w:val="1"/>
          <w:numId w:val="6"/>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color w:val="auto"/>
        </w:rPr>
        <w:t xml:space="preserve">Works Made for Hire. </w:t>
      </w:r>
      <w:r>
        <w:rPr>
          <w:rFonts w:ascii="Times New Roman" w:cs="Times New Roman" w:eastAsia="Times New Roman" w:hAnsi="Times New Roman"/>
          <w:sz w:val="19"/>
          <w:szCs w:val="19"/>
          <w:color w:val="auto"/>
        </w:rPr>
        <w:t>Employee agrees that the Company shall be the sole</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owner of all patents, patent rights, copyrights, trade secret rights, trademark rights and all other intellectual property or other rights in connection with Inventions. Employee further acknowledges and agrees that such Inventions, including, without limitation, any computer programs, programming documentation and other works of authorship, are “works made for hire” for purposes of the Company’s rights under copyright laws. Employee hereby assigns to the Company any and all rights, title and interest Employee may have or acquire in such Inventions. If in the course of Employee’s employment with the Company, Employee incorporates into a Company product, process or a machine a prior Invention or improvement owned by Employee or in which Employee has an interest, and listed in Exhibit 1, the Company is hereby granted and shall have a non-exclusive, royalty-free, irrevocable, perpetual, sublicensable, worldwide license to make, have made, modify, use, market, sell and distribute such prior Invention as part of or in connection with such product process or machine. Pursuant to Section 3(d), if in the course of Employee’s employment with the Company, Employee incorporates into a Company product, process or a machine a prior Invention or improvement owned by Employee or in which Employee has an interest, but not listed in Exhibit 1, Employee agrees to assign and hereby does assign all rights and interest in the Invention to the Company.</w:t>
      </w:r>
    </w:p>
    <w:p>
      <w:pPr>
        <w:spacing w:after="0" w:line="176" w:lineRule="exact"/>
        <w:rPr>
          <w:rFonts w:ascii="Times New Roman" w:cs="Times New Roman" w:eastAsia="Times New Roman" w:hAnsi="Times New Roman"/>
          <w:sz w:val="19"/>
          <w:szCs w:val="19"/>
          <w:b w:val="1"/>
          <w:bCs w:val="1"/>
          <w:color w:val="auto"/>
        </w:rPr>
      </w:pPr>
    </w:p>
    <w:p>
      <w:pPr>
        <w:jc w:val="both"/>
        <w:ind w:left="200" w:right="219" w:firstLine="1305"/>
        <w:spacing w:after="0" w:line="246" w:lineRule="auto"/>
        <w:tabs>
          <w:tab w:leader="none" w:pos="2144" w:val="left"/>
        </w:tabs>
        <w:numPr>
          <w:ilvl w:val="1"/>
          <w:numId w:val="6"/>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List of Inventions. </w:t>
      </w:r>
      <w:r>
        <w:rPr>
          <w:rFonts w:ascii="Times New Roman" w:cs="Times New Roman" w:eastAsia="Times New Roman" w:hAnsi="Times New Roman"/>
          <w:sz w:val="20"/>
          <w:szCs w:val="20"/>
          <w:color w:val="auto"/>
        </w:rPr>
        <w:t>Employee has attached hereto as Exhibit 1 a complete list of</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all Inventions or improvements to which Employee claims ownership or in which Employee has an interest and that Employee desires to remove from the operation of this Agreement. Employee acknowledges and agrees that such list is complete. If no such list is attached to this Agreement or such Exhibit has not been completed and signed by Employee, Employee represents to the Company and agrees that Employee has no such Inventions or improvements at the time of signing this Agreement.</w:t>
      </w: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E</w:t>
      </w:r>
      <w:r>
        <w:rPr>
          <w:rFonts w:ascii="Arial" w:cs="Arial" w:eastAsia="Arial" w:hAnsi="Arial"/>
          <w:sz w:val="9"/>
          <w:szCs w:val="9"/>
          <w:color w:val="auto"/>
        </w:rPr>
        <w:t>xhibit</w:t>
      </w:r>
      <w:r>
        <w:rPr>
          <w:rFonts w:ascii="Arial" w:cs="Arial" w:eastAsia="Arial" w:hAnsi="Arial"/>
          <w:sz w:val="14"/>
          <w:szCs w:val="14"/>
          <w:color w:val="auto"/>
        </w:rPr>
        <w:t xml:space="preserve"> A - 3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529590</wp:posOffset>
            </wp:positionV>
            <wp:extent cx="5452110" cy="260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1125" w:right="1440" w:bottom="1440" w:gutter="0" w:footer="0" w:header="0"/>
        </w:sectPr>
      </w:pPr>
    </w:p>
    <w:bookmarkStart w:id="11" w:name="page12"/>
    <w:bookmarkEnd w:id="11"/>
    <w:p>
      <w:pPr>
        <w:jc w:val="both"/>
        <w:ind w:left="200" w:right="219" w:firstLine="1305"/>
        <w:spacing w:after="0" w:line="242" w:lineRule="auto"/>
        <w:tabs>
          <w:tab w:leader="none" w:pos="2144" w:val="left"/>
        </w:tabs>
        <w:numPr>
          <w:ilvl w:val="0"/>
          <w:numId w:val="7"/>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Cooperation. </w:t>
      </w:r>
      <w:r>
        <w:rPr>
          <w:rFonts w:ascii="Times New Roman" w:cs="Times New Roman" w:eastAsia="Times New Roman" w:hAnsi="Times New Roman"/>
          <w:sz w:val="20"/>
          <w:szCs w:val="20"/>
          <w:color w:val="auto"/>
        </w:rPr>
        <w:t>Employee agrees to perform, during and after Employee’s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employment, all acts deemed necessary or desirable by the Company to permit and assist it, at the Company’s expense, in further evidencing and perfecting the assignments made to the Company under this Agreement and in obtaining, maintaining, defending and enforcing patents, patent rights, copyrights, trademark rights, trade secret rights or any other rights in connection with such Inventions and improvements in any and all countries. Such acts may include, without limitation, execution of documents and assistance or cooperation in legal proceedings. Employee hereby irrevocably designates and appoints the Company and its duly authorized officers and agents, as Employee’s agents and attorney-in-fact, coupled with an interest, to act for and on Employee’s behalf and in Employee’s place and stead, to execute and file any documents, applications or related findings and to do all other lawfully permitted acts to further the purposes set forth above in this Section, including, without limitation, the perfection of assignment and the prosecution and issuance of patents, patent applications, filing with the FDA, copyright applications and registrations, trademark applications and registrations or other rights in connection with such Inventions and improvements with the same legal force and effect as if executed by Employee.</w:t>
      </w:r>
    </w:p>
    <w:p>
      <w:pPr>
        <w:spacing w:after="0" w:line="182" w:lineRule="exact"/>
        <w:rPr>
          <w:rFonts w:ascii="Times New Roman" w:cs="Times New Roman" w:eastAsia="Times New Roman" w:hAnsi="Times New Roman"/>
          <w:sz w:val="20"/>
          <w:szCs w:val="20"/>
          <w:b w:val="1"/>
          <w:bCs w:val="1"/>
          <w:color w:val="auto"/>
        </w:rPr>
      </w:pPr>
    </w:p>
    <w:p>
      <w:pPr>
        <w:jc w:val="both"/>
        <w:ind w:left="200" w:right="219" w:firstLine="1305"/>
        <w:spacing w:after="0" w:line="245" w:lineRule="auto"/>
        <w:tabs>
          <w:tab w:leader="none" w:pos="2144" w:val="left"/>
        </w:tabs>
        <w:numPr>
          <w:ilvl w:val="0"/>
          <w:numId w:val="7"/>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Assignment or Waiver of Moral Rights. </w:t>
      </w:r>
      <w:r>
        <w:rPr>
          <w:rFonts w:ascii="Times New Roman" w:cs="Times New Roman" w:eastAsia="Times New Roman" w:hAnsi="Times New Roman"/>
          <w:sz w:val="20"/>
          <w:szCs w:val="20"/>
          <w:color w:val="auto"/>
        </w:rPr>
        <w:t>Any assignment of copyright hereunder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(and any ownership of a copyright as a work made for hire) includes all rights of paternity, integrity, disclosure and withdrawal and any other rights that may be known as or referred to as “Moral Rights” (collectively, </w:t>
      </w:r>
      <w:r>
        <w:rPr>
          <w:rFonts w:ascii="Times New Roman" w:cs="Times New Roman" w:eastAsia="Times New Roman" w:hAnsi="Times New Roman"/>
          <w:sz w:val="20"/>
          <w:szCs w:val="20"/>
          <w:b w:val="1"/>
          <w:bCs w:val="1"/>
          <w:i w:val="1"/>
          <w:iCs w:val="1"/>
          <w:color w:val="auto"/>
        </w:rPr>
        <w:t>“Moral Rights”</w:t>
      </w:r>
      <w:r>
        <w:rPr>
          <w:rFonts w:ascii="Times New Roman" w:cs="Times New Roman" w:eastAsia="Times New Roman" w:hAnsi="Times New Roman"/>
          <w:sz w:val="20"/>
          <w:szCs w:val="20"/>
          <w:color w:val="auto"/>
        </w:rPr>
        <w:t>). To the extent such Moral Rights cannot be assigned under applicable law and to the extent the following is allowed by the law in the various countries where Moral Rights exist, Employee hereby waives such Moral Rights and consents to any action of the Company that would violate such Moral Rights in the absence of such consent.</w:t>
      </w:r>
    </w:p>
    <w:p>
      <w:pPr>
        <w:spacing w:after="0" w:line="179" w:lineRule="exact"/>
        <w:rPr>
          <w:rFonts w:ascii="Times New Roman" w:cs="Times New Roman" w:eastAsia="Times New Roman" w:hAnsi="Times New Roman"/>
          <w:sz w:val="20"/>
          <w:szCs w:val="20"/>
          <w:b w:val="1"/>
          <w:bCs w:val="1"/>
          <w:color w:val="auto"/>
        </w:rPr>
      </w:pPr>
    </w:p>
    <w:p>
      <w:pPr>
        <w:ind w:left="2160" w:hanging="655"/>
        <w:spacing w:after="0"/>
        <w:tabs>
          <w:tab w:leader="none" w:pos="2160" w:val="left"/>
        </w:tabs>
        <w:numPr>
          <w:ilvl w:val="0"/>
          <w:numId w:val="7"/>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Holdover Assignment.</w:t>
      </w:r>
    </w:p>
    <w:p>
      <w:pPr>
        <w:spacing w:after="0" w:line="219" w:lineRule="exact"/>
        <w:rPr>
          <w:rFonts w:ascii="Times New Roman" w:cs="Times New Roman" w:eastAsia="Times New Roman" w:hAnsi="Times New Roman"/>
          <w:sz w:val="20"/>
          <w:szCs w:val="20"/>
          <w:b w:val="1"/>
          <w:bCs w:val="1"/>
          <w:color w:val="auto"/>
        </w:rPr>
      </w:pPr>
    </w:p>
    <w:p>
      <w:pPr>
        <w:jc w:val="both"/>
        <w:ind w:left="200" w:right="219" w:firstLine="1953"/>
        <w:spacing w:after="0" w:line="243" w:lineRule="auto"/>
        <w:tabs>
          <w:tab w:leader="none" w:pos="2792" w:val="left"/>
        </w:tabs>
        <w:numPr>
          <w:ilvl w:val="1"/>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Employee agrees to, after the termination of Employee’s employment with the Company for any reason, (1) disclose immediately to the Company all Inventions, patentable or not; (2) assist, at the Company’s expenses such applications for United States patents and foreign patents covering such Inventions as the Company may request; (3) assign to the Company without further compensation to Employee the entire title and rights to all such Inventions and applications that Employee may have, and (4) execute, acknowledge, deliver, or act as otherwise necessary at the request of the Company all such papers, including but not limited to patent applications, assignments, power of attorney, as necessary to secure the Company the fully rights to such Inventions and applications.</w:t>
      </w:r>
    </w:p>
    <w:p>
      <w:pPr>
        <w:spacing w:after="0" w:line="189" w:lineRule="exact"/>
        <w:rPr>
          <w:rFonts w:ascii="Times New Roman" w:cs="Times New Roman" w:eastAsia="Times New Roman" w:hAnsi="Times New Roman"/>
          <w:sz w:val="20"/>
          <w:szCs w:val="20"/>
          <w:color w:val="auto"/>
        </w:rPr>
      </w:pPr>
    </w:p>
    <w:p>
      <w:pPr>
        <w:jc w:val="both"/>
        <w:ind w:left="200" w:right="219" w:firstLine="1953"/>
        <w:spacing w:after="0" w:line="244" w:lineRule="auto"/>
        <w:tabs>
          <w:tab w:leader="none" w:pos="2792" w:val="left"/>
        </w:tabs>
        <w:numPr>
          <w:ilvl w:val="1"/>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Inventions which shall come under this Section 3(g) shall include all Inventions that (1) Employee conceives, reduces to practice, or otherwise makes or develops, either solely or jointly with others, within one year after the termination of Employee’s employment with the Company; and (2) are in any way based on any trade secret or confidential or proprietary information that Employee learned during employment at the Company; or result from any work performed by Employee for the Company; or are in any way related to the subject matter or activities of Employee’s employment at the Company.</w:t>
      </w: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E</w:t>
      </w:r>
      <w:r>
        <w:rPr>
          <w:rFonts w:ascii="Arial" w:cs="Arial" w:eastAsia="Arial" w:hAnsi="Arial"/>
          <w:sz w:val="9"/>
          <w:szCs w:val="9"/>
          <w:color w:val="auto"/>
        </w:rPr>
        <w:t>xhibit</w:t>
      </w:r>
      <w:r>
        <w:rPr>
          <w:rFonts w:ascii="Arial" w:cs="Arial" w:eastAsia="Arial" w:hAnsi="Arial"/>
          <w:sz w:val="14"/>
          <w:szCs w:val="14"/>
          <w:color w:val="auto"/>
        </w:rPr>
        <w:t xml:space="preserve"> A - 4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529590</wp:posOffset>
            </wp:positionV>
            <wp:extent cx="5452110" cy="254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125" w:right="1440" w:bottom="1440" w:gutter="0" w:footer="0" w:header="0"/>
        </w:sectPr>
      </w:pPr>
    </w:p>
    <w:bookmarkStart w:id="12" w:name="page13"/>
    <w:bookmarkEnd w:id="12"/>
    <w:p>
      <w:pPr>
        <w:ind w:left="1500" w:hanging="643"/>
        <w:spacing w:after="0"/>
        <w:tabs>
          <w:tab w:leader="none" w:pos="1500" w:val="left"/>
        </w:tabs>
        <w:numPr>
          <w:ilvl w:val="0"/>
          <w:numId w:val="8"/>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N</w:t>
      </w:r>
      <w:r>
        <w:rPr>
          <w:rFonts w:ascii="Times New Roman" w:cs="Times New Roman" w:eastAsia="Times New Roman" w:hAnsi="Times New Roman"/>
          <w:sz w:val="13"/>
          <w:szCs w:val="13"/>
          <w:b w:val="1"/>
          <w:bCs w:val="1"/>
          <w:color w:val="auto"/>
        </w:rPr>
        <w:t>on</w:t>
      </w:r>
      <w:r>
        <w:rPr>
          <w:rFonts w:ascii="Times New Roman" w:cs="Times New Roman" w:eastAsia="Times New Roman" w:hAnsi="Times New Roman"/>
          <w:sz w:val="20"/>
          <w:szCs w:val="20"/>
          <w:b w:val="1"/>
          <w:bCs w:val="1"/>
          <w:color w:val="auto"/>
        </w:rPr>
        <w:t>-S</w:t>
      </w:r>
      <w:r>
        <w:rPr>
          <w:rFonts w:ascii="Times New Roman" w:cs="Times New Roman" w:eastAsia="Times New Roman" w:hAnsi="Times New Roman"/>
          <w:sz w:val="13"/>
          <w:szCs w:val="13"/>
          <w:b w:val="1"/>
          <w:bCs w:val="1"/>
          <w:color w:val="auto"/>
        </w:rPr>
        <w:t>olicitation  or</w:t>
      </w:r>
      <w:r>
        <w:rPr>
          <w:rFonts w:ascii="Times New Roman" w:cs="Times New Roman" w:eastAsia="Times New Roman" w:hAnsi="Times New Roman"/>
          <w:sz w:val="20"/>
          <w:szCs w:val="20"/>
          <w:b w:val="1"/>
          <w:bCs w:val="1"/>
          <w:color w:val="auto"/>
        </w:rPr>
        <w:t xml:space="preserve">  H</w:t>
      </w:r>
      <w:r>
        <w:rPr>
          <w:rFonts w:ascii="Times New Roman" w:cs="Times New Roman" w:eastAsia="Times New Roman" w:hAnsi="Times New Roman"/>
          <w:sz w:val="13"/>
          <w:szCs w:val="13"/>
          <w:b w:val="1"/>
          <w:bCs w:val="1"/>
          <w:color w:val="auto"/>
        </w:rPr>
        <w:t>ire  of</w:t>
      </w:r>
      <w:r>
        <w:rPr>
          <w:rFonts w:ascii="Times New Roman" w:cs="Times New Roman" w:eastAsia="Times New Roman" w:hAnsi="Times New Roman"/>
          <w:sz w:val="20"/>
          <w:szCs w:val="20"/>
          <w:b w:val="1"/>
          <w:bCs w:val="1"/>
          <w:color w:val="auto"/>
        </w:rPr>
        <w:t xml:space="preserve">  C</w:t>
      </w:r>
      <w:r>
        <w:rPr>
          <w:rFonts w:ascii="Times New Roman" w:cs="Times New Roman" w:eastAsia="Times New Roman" w:hAnsi="Times New Roman"/>
          <w:sz w:val="13"/>
          <w:szCs w:val="13"/>
          <w:b w:val="1"/>
          <w:bCs w:val="1"/>
          <w:color w:val="auto"/>
        </w:rPr>
        <w:t>ompany</w:t>
      </w:r>
      <w:r>
        <w:rPr>
          <w:rFonts w:ascii="Times New Roman" w:cs="Times New Roman" w:eastAsia="Times New Roman" w:hAnsi="Times New Roman"/>
          <w:sz w:val="20"/>
          <w:szCs w:val="20"/>
          <w:b w:val="1"/>
          <w:bCs w:val="1"/>
          <w:color w:val="auto"/>
        </w:rPr>
        <w:t xml:space="preserve">  E</w:t>
      </w:r>
      <w:r>
        <w:rPr>
          <w:rFonts w:ascii="Times New Roman" w:cs="Times New Roman" w:eastAsia="Times New Roman" w:hAnsi="Times New Roman"/>
          <w:sz w:val="13"/>
          <w:szCs w:val="13"/>
          <w:b w:val="1"/>
          <w:bCs w:val="1"/>
          <w:color w:val="auto"/>
        </w:rPr>
        <w:t>mployees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During the term of Employee’s</w:t>
      </w:r>
    </w:p>
    <w:p>
      <w:pPr>
        <w:spacing w:after="0" w:line="26" w:lineRule="exact"/>
        <w:rPr>
          <w:sz w:val="20"/>
          <w:szCs w:val="20"/>
          <w:color w:val="auto"/>
        </w:rPr>
      </w:pPr>
    </w:p>
    <w:p>
      <w:pPr>
        <w:jc w:val="both"/>
        <w:ind w:left="200" w:right="219"/>
        <w:spacing w:after="0" w:line="254" w:lineRule="auto"/>
        <w:rPr>
          <w:sz w:val="20"/>
          <w:szCs w:val="20"/>
          <w:color w:val="auto"/>
        </w:rPr>
      </w:pPr>
      <w:r>
        <w:rPr>
          <w:rFonts w:ascii="Times New Roman" w:cs="Times New Roman" w:eastAsia="Times New Roman" w:hAnsi="Times New Roman"/>
          <w:sz w:val="19"/>
          <w:szCs w:val="19"/>
          <w:color w:val="auto"/>
        </w:rPr>
        <w:t xml:space="preserve">employment and for one (1) year thereafter, Employee shall not encourage or solicit any employee of the Company to leave the Company for any reason or to accept employment with any other person or entity. As part of this restriction, Employee shall not (a) interview or provide any input to any third party regarding any such person during such time period, or (b) retain or hire in any capacity, either individually or for any company by which Employee may be employed or with which Employee may be affiliated, any person who is or was employed by the Company at any time during the time of Employee’s employment with Company and six (6) months after the termination of Employee’s employment with the Company. Notwithstanding the foregoing, the restrictions of this Section shall not apply with respect to the </w:t>
      </w:r>
      <w:r>
        <w:rPr>
          <w:rFonts w:ascii="Times New Roman" w:cs="Times New Roman" w:eastAsia="Times New Roman" w:hAnsi="Times New Roman"/>
          <w:sz w:val="19"/>
          <w:szCs w:val="19"/>
          <w:i w:val="1"/>
          <w:iCs w:val="1"/>
          <w:color w:val="auto"/>
        </w:rPr>
        <w:t>bona fide</w:t>
      </w:r>
      <w:r>
        <w:rPr>
          <w:rFonts w:ascii="Times New Roman" w:cs="Times New Roman" w:eastAsia="Times New Roman" w:hAnsi="Times New Roman"/>
          <w:sz w:val="19"/>
          <w:szCs w:val="19"/>
          <w:color w:val="auto"/>
        </w:rPr>
        <w:t xml:space="preserve"> hiring and firing of the Company personnel to the extent such acts are part of Employee’s duties for the Company.</w:t>
      </w:r>
    </w:p>
    <w:p>
      <w:pPr>
        <w:spacing w:after="0" w:line="175" w:lineRule="exact"/>
        <w:rPr>
          <w:sz w:val="20"/>
          <w:szCs w:val="20"/>
          <w:color w:val="auto"/>
        </w:rPr>
      </w:pPr>
    </w:p>
    <w:p>
      <w:pPr>
        <w:jc w:val="both"/>
        <w:ind w:left="200" w:right="219" w:firstLine="657"/>
        <w:spacing w:after="0" w:line="247" w:lineRule="auto"/>
        <w:tabs>
          <w:tab w:leader="none" w:pos="1496" w:val="left"/>
        </w:tabs>
        <w:numPr>
          <w:ilvl w:val="0"/>
          <w:numId w:val="9"/>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N</w:t>
      </w:r>
      <w:r>
        <w:rPr>
          <w:rFonts w:ascii="Times New Roman" w:cs="Times New Roman" w:eastAsia="Times New Roman" w:hAnsi="Times New Roman"/>
          <w:sz w:val="13"/>
          <w:szCs w:val="13"/>
          <w:b w:val="1"/>
          <w:bCs w:val="1"/>
          <w:color w:val="auto"/>
        </w:rPr>
        <w:t>on</w:t>
      </w:r>
      <w:r>
        <w:rPr>
          <w:rFonts w:ascii="Times New Roman" w:cs="Times New Roman" w:eastAsia="Times New Roman" w:hAnsi="Times New Roman"/>
          <w:sz w:val="20"/>
          <w:szCs w:val="20"/>
          <w:b w:val="1"/>
          <w:bCs w:val="1"/>
          <w:color w:val="auto"/>
        </w:rPr>
        <w:t>-S</w:t>
      </w:r>
      <w:r>
        <w:rPr>
          <w:rFonts w:ascii="Times New Roman" w:cs="Times New Roman" w:eastAsia="Times New Roman" w:hAnsi="Times New Roman"/>
          <w:sz w:val="13"/>
          <w:szCs w:val="13"/>
          <w:b w:val="1"/>
          <w:bCs w:val="1"/>
          <w:color w:val="auto"/>
        </w:rPr>
        <w:t>olicitation of</w:t>
      </w:r>
      <w:r>
        <w:rPr>
          <w:rFonts w:ascii="Times New Roman" w:cs="Times New Roman" w:eastAsia="Times New Roman" w:hAnsi="Times New Roman"/>
          <w:sz w:val="20"/>
          <w:szCs w:val="20"/>
          <w:b w:val="1"/>
          <w:bCs w:val="1"/>
          <w:color w:val="auto"/>
        </w:rPr>
        <w:t xml:space="preserve"> N</w:t>
      </w:r>
      <w:r>
        <w:rPr>
          <w:rFonts w:ascii="Times New Roman" w:cs="Times New Roman" w:eastAsia="Times New Roman" w:hAnsi="Times New Roman"/>
          <w:sz w:val="13"/>
          <w:szCs w:val="13"/>
          <w:b w:val="1"/>
          <w:bCs w:val="1"/>
          <w:color w:val="auto"/>
        </w:rPr>
        <w:t>on</w:t>
      </w:r>
      <w:r>
        <w:rPr>
          <w:rFonts w:ascii="Times New Roman" w:cs="Times New Roman" w:eastAsia="Times New Roman" w:hAnsi="Times New Roman"/>
          <w:sz w:val="20"/>
          <w:szCs w:val="20"/>
          <w:b w:val="1"/>
          <w:bCs w:val="1"/>
          <w:color w:val="auto"/>
        </w:rPr>
        <w:t>-E</w:t>
      </w:r>
      <w:r>
        <w:rPr>
          <w:rFonts w:ascii="Times New Roman" w:cs="Times New Roman" w:eastAsia="Times New Roman" w:hAnsi="Times New Roman"/>
          <w:sz w:val="13"/>
          <w:szCs w:val="13"/>
          <w:b w:val="1"/>
          <w:bCs w:val="1"/>
          <w:color w:val="auto"/>
        </w:rPr>
        <w:t>mployees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During the term of this Agreement and for one (1)</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year thereafter, Employee shall not interfere with or attempt to impair the relationship between the Company and any of its non-employee consultants and advisors or customers, nor shall Employee attempt, directly or indirectly, to solicit, entice, hire or otherwise induce any non-employee consultant or advisor or customer of the Company to terminate association with Company</w:t>
      </w:r>
    </w:p>
    <w:p>
      <w:pPr>
        <w:spacing w:after="0" w:line="180" w:lineRule="exact"/>
        <w:rPr>
          <w:rFonts w:ascii="Times New Roman" w:cs="Times New Roman" w:eastAsia="Times New Roman" w:hAnsi="Times New Roman"/>
          <w:sz w:val="20"/>
          <w:szCs w:val="20"/>
          <w:b w:val="1"/>
          <w:bCs w:val="1"/>
          <w:color w:val="auto"/>
        </w:rPr>
      </w:pPr>
    </w:p>
    <w:p>
      <w:pPr>
        <w:jc w:val="both"/>
        <w:ind w:left="200" w:right="219" w:firstLine="657"/>
        <w:spacing w:after="0" w:line="243" w:lineRule="auto"/>
        <w:tabs>
          <w:tab w:leader="none" w:pos="1496" w:val="left"/>
        </w:tabs>
        <w:numPr>
          <w:ilvl w:val="0"/>
          <w:numId w:val="9"/>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N</w:t>
      </w:r>
      <w:r>
        <w:rPr>
          <w:rFonts w:ascii="Times New Roman" w:cs="Times New Roman" w:eastAsia="Times New Roman" w:hAnsi="Times New Roman"/>
          <w:sz w:val="13"/>
          <w:szCs w:val="13"/>
          <w:b w:val="1"/>
          <w:bCs w:val="1"/>
          <w:color w:val="auto"/>
        </w:rPr>
        <w:t>on</w:t>
      </w:r>
      <w:r>
        <w:rPr>
          <w:rFonts w:ascii="Times New Roman" w:cs="Times New Roman" w:eastAsia="Times New Roman" w:hAnsi="Times New Roman"/>
          <w:sz w:val="20"/>
          <w:szCs w:val="20"/>
          <w:b w:val="1"/>
          <w:bCs w:val="1"/>
          <w:color w:val="auto"/>
        </w:rPr>
        <w:t>-C</w:t>
      </w:r>
      <w:r>
        <w:rPr>
          <w:rFonts w:ascii="Times New Roman" w:cs="Times New Roman" w:eastAsia="Times New Roman" w:hAnsi="Times New Roman"/>
          <w:sz w:val="13"/>
          <w:szCs w:val="13"/>
          <w:b w:val="1"/>
          <w:bCs w:val="1"/>
          <w:color w:val="auto"/>
        </w:rPr>
        <w:t>ompetition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During the term of Employee’s employment and for one (1) year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thereafter, Employee shall not, with or without consideration, render services in any capacity to any person, business, firm or the Company engaged in any business competitive with the business conducted by the Company at the time of Employee’s employment with the Company, or the termination of Employee’s employment. Employee shall not become interested in any such business involved in competitive activities with the Company, either directly or indirectly, as partner, stockholder, principal, member, employee, agent, trustee, consultant, or any other relationship or capacity; provided, however, that such restriction shall not apply with respect to a less than or equal to a one percent (1%) of an entity which is publicly traded and listed on a recognized securities exchange.</w:t>
      </w:r>
    </w:p>
    <w:p>
      <w:pPr>
        <w:spacing w:after="0" w:line="185" w:lineRule="exact"/>
        <w:rPr>
          <w:rFonts w:ascii="Times New Roman" w:cs="Times New Roman" w:eastAsia="Times New Roman" w:hAnsi="Times New Roman"/>
          <w:sz w:val="20"/>
          <w:szCs w:val="20"/>
          <w:b w:val="1"/>
          <w:bCs w:val="1"/>
          <w:color w:val="auto"/>
        </w:rPr>
      </w:pPr>
    </w:p>
    <w:p>
      <w:pPr>
        <w:jc w:val="both"/>
        <w:ind w:left="200" w:right="219" w:firstLine="657"/>
        <w:spacing w:after="0" w:line="246" w:lineRule="auto"/>
        <w:tabs>
          <w:tab w:leader="none" w:pos="1496" w:val="left"/>
        </w:tabs>
        <w:numPr>
          <w:ilvl w:val="0"/>
          <w:numId w:val="9"/>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R</w:t>
      </w:r>
      <w:r>
        <w:rPr>
          <w:rFonts w:ascii="Times New Roman" w:cs="Times New Roman" w:eastAsia="Times New Roman" w:hAnsi="Times New Roman"/>
          <w:sz w:val="13"/>
          <w:szCs w:val="13"/>
          <w:b w:val="1"/>
          <w:bCs w:val="1"/>
          <w:color w:val="auto"/>
        </w:rPr>
        <w:t>easonableness of</w:t>
      </w:r>
      <w:r>
        <w:rPr>
          <w:rFonts w:ascii="Times New Roman" w:cs="Times New Roman" w:eastAsia="Times New Roman" w:hAnsi="Times New Roman"/>
          <w:sz w:val="20"/>
          <w:szCs w:val="20"/>
          <w:b w:val="1"/>
          <w:bCs w:val="1"/>
          <w:color w:val="auto"/>
        </w:rPr>
        <w:t xml:space="preserve"> T</w:t>
      </w:r>
      <w:r>
        <w:rPr>
          <w:rFonts w:ascii="Times New Roman" w:cs="Times New Roman" w:eastAsia="Times New Roman" w:hAnsi="Times New Roman"/>
          <w:sz w:val="13"/>
          <w:szCs w:val="13"/>
          <w:b w:val="1"/>
          <w:bCs w:val="1"/>
          <w:color w:val="auto"/>
        </w:rPr>
        <w:t>erms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The Company and Employee agree that the terms contained in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Sections 2-6 of this Agreement are reasonable in all respects and that the restrictions contained therein are designed to ensure that Employee does not engage in unfair competition with the Company. In the event a court determines that any of the terms or provisions of this Agreement are unreasonable, the court may limit the application of any provision or term, or modify any provision or term, and proceed to enforce this Agreement as so limited or modified.</w:t>
      </w:r>
    </w:p>
    <w:p>
      <w:pPr>
        <w:spacing w:after="0" w:line="178" w:lineRule="exact"/>
        <w:rPr>
          <w:rFonts w:ascii="Times New Roman" w:cs="Times New Roman" w:eastAsia="Times New Roman" w:hAnsi="Times New Roman"/>
          <w:sz w:val="20"/>
          <w:szCs w:val="20"/>
          <w:b w:val="1"/>
          <w:bCs w:val="1"/>
          <w:color w:val="auto"/>
        </w:rPr>
      </w:pPr>
    </w:p>
    <w:p>
      <w:pPr>
        <w:jc w:val="both"/>
        <w:ind w:left="200" w:right="219" w:firstLine="657"/>
        <w:spacing w:after="0" w:line="244" w:lineRule="auto"/>
        <w:tabs>
          <w:tab w:leader="none" w:pos="1496" w:val="left"/>
        </w:tabs>
        <w:numPr>
          <w:ilvl w:val="0"/>
          <w:numId w:val="9"/>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R</w:t>
      </w:r>
      <w:r>
        <w:rPr>
          <w:rFonts w:ascii="Times New Roman" w:cs="Times New Roman" w:eastAsia="Times New Roman" w:hAnsi="Times New Roman"/>
          <w:sz w:val="13"/>
          <w:szCs w:val="13"/>
          <w:b w:val="1"/>
          <w:bCs w:val="1"/>
          <w:color w:val="auto"/>
        </w:rPr>
        <w:t>emedies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Employee acknowledges that a violation of the terms of this Agreement may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give rise to irreparable injury to the Company inadequately compensable in damages, and accordingly, agrees that the Company may seek injunctive relief against such breach or threatened breach, in addition to any other legal remedies which may be available, including recovery of monetary damages. In any action successfully brought by the Company to enforce the rights of the Company against Employee under this Agreement, the Company shall also be entitled to recover reasonable attorneys’ fees and costs of the action, and the period of the restrictions above shall be deemed to commence upon the entry of the court’s order for relief.</w:t>
      </w:r>
    </w:p>
    <w:p>
      <w:pPr>
        <w:spacing w:after="0" w:line="181" w:lineRule="exact"/>
        <w:rPr>
          <w:rFonts w:ascii="Times New Roman" w:cs="Times New Roman" w:eastAsia="Times New Roman" w:hAnsi="Times New Roman"/>
          <w:sz w:val="20"/>
          <w:szCs w:val="20"/>
          <w:b w:val="1"/>
          <w:bCs w:val="1"/>
          <w:color w:val="auto"/>
        </w:rPr>
      </w:pPr>
    </w:p>
    <w:p>
      <w:pPr>
        <w:ind w:left="1500" w:hanging="643"/>
        <w:spacing w:after="0"/>
        <w:tabs>
          <w:tab w:leader="none" w:pos="1500" w:val="left"/>
        </w:tabs>
        <w:numPr>
          <w:ilvl w:val="0"/>
          <w:numId w:val="9"/>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G</w:t>
      </w:r>
      <w:r>
        <w:rPr>
          <w:rFonts w:ascii="Times New Roman" w:cs="Times New Roman" w:eastAsia="Times New Roman" w:hAnsi="Times New Roman"/>
          <w:sz w:val="13"/>
          <w:szCs w:val="13"/>
          <w:b w:val="1"/>
          <w:bCs w:val="1"/>
          <w:color w:val="auto"/>
        </w:rPr>
        <w:t>eneral</w:t>
      </w:r>
      <w:r>
        <w:rPr>
          <w:rFonts w:ascii="Times New Roman" w:cs="Times New Roman" w:eastAsia="Times New Roman" w:hAnsi="Times New Roman"/>
          <w:sz w:val="20"/>
          <w:szCs w:val="20"/>
          <w:b w:val="1"/>
          <w:bCs w:val="1"/>
          <w:color w:val="auto"/>
        </w:rPr>
        <w:t>.</w:t>
      </w:r>
    </w:p>
    <w:p>
      <w:pPr>
        <w:spacing w:after="0" w:line="215" w:lineRule="exact"/>
        <w:rPr>
          <w:rFonts w:ascii="Times New Roman" w:cs="Times New Roman" w:eastAsia="Times New Roman" w:hAnsi="Times New Roman"/>
          <w:sz w:val="20"/>
          <w:szCs w:val="20"/>
          <w:b w:val="1"/>
          <w:bCs w:val="1"/>
          <w:color w:val="auto"/>
        </w:rPr>
      </w:pPr>
    </w:p>
    <w:p>
      <w:pPr>
        <w:jc w:val="both"/>
        <w:ind w:left="200" w:right="219" w:firstLine="1305"/>
        <w:spacing w:after="0" w:line="250" w:lineRule="auto"/>
        <w:tabs>
          <w:tab w:leader="none" w:pos="2144" w:val="left"/>
        </w:tabs>
        <w:numPr>
          <w:ilvl w:val="1"/>
          <w:numId w:val="9"/>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Severability. </w:t>
      </w:r>
      <w:r>
        <w:rPr>
          <w:rFonts w:ascii="Times New Roman" w:cs="Times New Roman" w:eastAsia="Times New Roman" w:hAnsi="Times New Roman"/>
          <w:sz w:val="20"/>
          <w:szCs w:val="20"/>
          <w:color w:val="auto"/>
        </w:rPr>
        <w:t>Employee agrees that if one or more provisions of this Agreement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are held to be unenforceable under applicable law, such provisions shall be excluded from this Agreement and the balance of the Agreement shall be interpreted as if such provision were so excluded and shall be enforceable in accordance with its terms.</w:t>
      </w: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E</w:t>
      </w:r>
      <w:r>
        <w:rPr>
          <w:rFonts w:ascii="Arial" w:cs="Arial" w:eastAsia="Arial" w:hAnsi="Arial"/>
          <w:sz w:val="9"/>
          <w:szCs w:val="9"/>
          <w:color w:val="auto"/>
        </w:rPr>
        <w:t>xhibit</w:t>
      </w:r>
      <w:r>
        <w:rPr>
          <w:rFonts w:ascii="Arial" w:cs="Arial" w:eastAsia="Arial" w:hAnsi="Arial"/>
          <w:sz w:val="14"/>
          <w:szCs w:val="14"/>
          <w:color w:val="auto"/>
        </w:rPr>
        <w:t xml:space="preserve"> A - 5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529590</wp:posOffset>
            </wp:positionV>
            <wp:extent cx="5452110" cy="260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1125" w:right="1440" w:bottom="1440" w:gutter="0" w:footer="0" w:header="0"/>
        </w:sectPr>
      </w:pPr>
    </w:p>
    <w:bookmarkStart w:id="13" w:name="page14"/>
    <w:bookmarkEnd w:id="13"/>
    <w:p>
      <w:pPr>
        <w:jc w:val="both"/>
        <w:ind w:left="200" w:right="219" w:firstLine="1305"/>
        <w:spacing w:after="0" w:line="256" w:lineRule="auto"/>
        <w:tabs>
          <w:tab w:leader="none" w:pos="2144" w:val="left"/>
        </w:tabs>
        <w:numPr>
          <w:ilvl w:val="0"/>
          <w:numId w:val="10"/>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Authorization to Notify New Employer. </w:t>
      </w:r>
      <w:r>
        <w:rPr>
          <w:rFonts w:ascii="Times New Roman" w:cs="Times New Roman" w:eastAsia="Times New Roman" w:hAnsi="Times New Roman"/>
          <w:sz w:val="20"/>
          <w:szCs w:val="20"/>
          <w:color w:val="auto"/>
        </w:rPr>
        <w:t>Employee hereby authorizes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Company to notify Employee’s new employer about Employee’s rights and obligations under this Agreement following the termination of Employee’s employment with the Company.</w:t>
      </w:r>
    </w:p>
    <w:p>
      <w:pPr>
        <w:spacing w:after="0" w:line="168" w:lineRule="exact"/>
        <w:rPr>
          <w:rFonts w:ascii="Times New Roman" w:cs="Times New Roman" w:eastAsia="Times New Roman" w:hAnsi="Times New Roman"/>
          <w:sz w:val="20"/>
          <w:szCs w:val="20"/>
          <w:b w:val="1"/>
          <w:bCs w:val="1"/>
          <w:color w:val="auto"/>
        </w:rPr>
      </w:pPr>
    </w:p>
    <w:p>
      <w:pPr>
        <w:jc w:val="both"/>
        <w:ind w:left="200" w:right="219" w:firstLine="1305"/>
        <w:spacing w:after="0" w:line="243" w:lineRule="auto"/>
        <w:tabs>
          <w:tab w:leader="none" w:pos="2144" w:val="left"/>
        </w:tabs>
        <w:numPr>
          <w:ilvl w:val="0"/>
          <w:numId w:val="10"/>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Entire Agreement. </w:t>
      </w:r>
      <w:r>
        <w:rPr>
          <w:rFonts w:ascii="Times New Roman" w:cs="Times New Roman" w:eastAsia="Times New Roman" w:hAnsi="Times New Roman"/>
          <w:sz w:val="20"/>
          <w:szCs w:val="20"/>
          <w:color w:val="auto"/>
        </w:rPr>
        <w:t>This Agreement sets forth the entire agreement and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understanding between the Company and Employee relating to the subject matter herein and supersedes all prior discussions between them and any and all statements made by any officer, employee or representative of the Company regarding the Company’s financial condition or future prospects. Employee understands and acknowledges that, except as set forth in this Agreement and in the offer letter from the Company to Employee, (i) no other representation or inducement has been made to Employee, (ii) Employee has relied on Employee’s own judgment and investigation in accepting Employee’s employment with the Company, and (iii) Employee has not relied on any representation or inducement made by any officer, employee or representative of the Company.</w:t>
      </w:r>
    </w:p>
    <w:p>
      <w:pPr>
        <w:spacing w:after="0" w:line="185" w:lineRule="exact"/>
        <w:rPr>
          <w:rFonts w:ascii="Times New Roman" w:cs="Times New Roman" w:eastAsia="Times New Roman" w:hAnsi="Times New Roman"/>
          <w:sz w:val="20"/>
          <w:szCs w:val="20"/>
          <w:b w:val="1"/>
          <w:bCs w:val="1"/>
          <w:color w:val="auto"/>
        </w:rPr>
      </w:pPr>
    </w:p>
    <w:p>
      <w:pPr>
        <w:jc w:val="both"/>
        <w:ind w:left="200" w:right="219" w:firstLine="1305"/>
        <w:spacing w:after="0" w:line="250" w:lineRule="auto"/>
        <w:tabs>
          <w:tab w:leader="none" w:pos="2144" w:val="left"/>
        </w:tabs>
        <w:numPr>
          <w:ilvl w:val="0"/>
          <w:numId w:val="10"/>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Amendment. </w:t>
      </w:r>
      <w:r>
        <w:rPr>
          <w:rFonts w:ascii="Times New Roman" w:cs="Times New Roman" w:eastAsia="Times New Roman" w:hAnsi="Times New Roman"/>
          <w:sz w:val="20"/>
          <w:szCs w:val="20"/>
          <w:color w:val="auto"/>
        </w:rPr>
        <w:t>No modification of or amendment to this Agreement nor any waiver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of any rights under this Agreement shall be effective unless in a writing signed by the President of the Company and Employee. Employee understands and agrees that any subsequent change or changes in Employee’s duties, salary or compensation shall not affect the validity or scope of this Agreement.</w:t>
      </w:r>
    </w:p>
    <w:p>
      <w:pPr>
        <w:spacing w:after="0" w:line="175" w:lineRule="exact"/>
        <w:rPr>
          <w:rFonts w:ascii="Times New Roman" w:cs="Times New Roman" w:eastAsia="Times New Roman" w:hAnsi="Times New Roman"/>
          <w:sz w:val="20"/>
          <w:szCs w:val="20"/>
          <w:b w:val="1"/>
          <w:bCs w:val="1"/>
          <w:color w:val="auto"/>
        </w:rPr>
      </w:pPr>
    </w:p>
    <w:p>
      <w:pPr>
        <w:jc w:val="both"/>
        <w:ind w:left="200" w:right="219" w:firstLine="1305"/>
        <w:spacing w:after="0" w:line="250" w:lineRule="auto"/>
        <w:tabs>
          <w:tab w:leader="none" w:pos="2144" w:val="left"/>
        </w:tabs>
        <w:numPr>
          <w:ilvl w:val="0"/>
          <w:numId w:val="10"/>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Effective Date and Binding Effect. </w:t>
      </w:r>
      <w:r>
        <w:rPr>
          <w:rFonts w:ascii="Times New Roman" w:cs="Times New Roman" w:eastAsia="Times New Roman" w:hAnsi="Times New Roman"/>
          <w:sz w:val="20"/>
          <w:szCs w:val="20"/>
          <w:color w:val="auto"/>
        </w:rPr>
        <w:t>This Agreement shall be effective as of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first day of Employee’s employment with the Company and shall be binding upon Employee, Employee’s heirs, executor, assigns and administrators and shall inure to the benefit of the Company, its subsidiaries, successors and assigns.</w:t>
      </w:r>
    </w:p>
    <w:p>
      <w:pPr>
        <w:spacing w:after="0" w:line="175" w:lineRule="exact"/>
        <w:rPr>
          <w:rFonts w:ascii="Times New Roman" w:cs="Times New Roman" w:eastAsia="Times New Roman" w:hAnsi="Times New Roman"/>
          <w:sz w:val="20"/>
          <w:szCs w:val="20"/>
          <w:b w:val="1"/>
          <w:bCs w:val="1"/>
          <w:color w:val="auto"/>
        </w:rPr>
      </w:pPr>
    </w:p>
    <w:p>
      <w:pPr>
        <w:jc w:val="both"/>
        <w:ind w:left="200" w:right="219" w:firstLine="1305"/>
        <w:spacing w:after="0" w:line="242" w:lineRule="auto"/>
        <w:tabs>
          <w:tab w:leader="none" w:pos="2144" w:val="left"/>
        </w:tabs>
        <w:numPr>
          <w:ilvl w:val="0"/>
          <w:numId w:val="10"/>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Governing Law; Consent to Jurisdiction, Waiver of Jury Trial. </w:t>
      </w:r>
      <w:r>
        <w:rPr>
          <w:rFonts w:ascii="Times New Roman" w:cs="Times New Roman" w:eastAsia="Times New Roman" w:hAnsi="Times New Roman"/>
          <w:sz w:val="20"/>
          <w:szCs w:val="20"/>
          <w:color w:val="auto"/>
        </w:rPr>
        <w:t>This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Agreement shall be governed by and construed in accordance with the internal laws of the Commonwealth of Pennsylvania, without regard to its principles of conflicts of laws. Each of the parties hereto irrevocably submits to the exclusive jurisdiction of the courts of the Commonwealth of Pennsylvania located and United States District Courts in the Commonwealth of Pennsylvania for the purpose of any suit, action, proceeding or judgment relating to or arising out of this Agreement and the transactions contemplated hereby. Service of process in connection with any such suit, action or proceeding may be served on each party hereto anywhere in the world by the same methods as are specified for the giving of notices under this Agreement. Each of the parties hereto irrevocably consents to the jurisdiction of any such court in any such suit, action or proceeding and to the laying of venue in such court. Each party hereto irrevocably waives any objection to the laying of venue of any such suit, action or proceeding brought in such courts and irrevocably waives any claim that any such suit, action or proceeding brought in any such court has been brought in an inconvenient forum.</w:t>
      </w:r>
    </w:p>
    <w:p>
      <w:pPr>
        <w:spacing w:after="0" w:line="189" w:lineRule="exact"/>
        <w:rPr>
          <w:sz w:val="20"/>
          <w:szCs w:val="20"/>
          <w:color w:val="auto"/>
        </w:rPr>
      </w:pPr>
    </w:p>
    <w:p>
      <w:pPr>
        <w:jc w:val="both"/>
        <w:ind w:left="200" w:right="219"/>
        <w:spacing w:after="0" w:line="246" w:lineRule="auto"/>
        <w:rPr>
          <w:sz w:val="20"/>
          <w:szCs w:val="20"/>
          <w:color w:val="auto"/>
        </w:rPr>
      </w:pPr>
      <w:r>
        <w:rPr>
          <w:rFonts w:ascii="Times New Roman" w:cs="Times New Roman" w:eastAsia="Times New Roman" w:hAnsi="Times New Roman"/>
          <w:sz w:val="20"/>
          <w:szCs w:val="20"/>
          <w:color w:val="auto"/>
        </w:rPr>
        <w:t>EMPLOYEE HAS READ THIS AGREEMENT CAREFULLY AND UNDERSTANDS AND ACCEPTS THE OBLIGATIONS WHICH IT IMPOSES UPON EMPLOYEE WITHOUT RESERVATION. NO PROMISES OR REPRESENTATIONS HAVE BEEN MADE TO EMPLOYEE TO INDUCE EMPLOYEE TO SIGN THIS AGREEMENT. EMPLOYEE SIGNS THIS AGREEMENT VOLUNTARILY AND FREELY.</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E</w:t>
      </w:r>
      <w:r>
        <w:rPr>
          <w:rFonts w:ascii="Arial" w:cs="Arial" w:eastAsia="Arial" w:hAnsi="Arial"/>
          <w:sz w:val="9"/>
          <w:szCs w:val="9"/>
          <w:color w:val="auto"/>
        </w:rPr>
        <w:t>xhibit</w:t>
      </w:r>
      <w:r>
        <w:rPr>
          <w:rFonts w:ascii="Arial" w:cs="Arial" w:eastAsia="Arial" w:hAnsi="Arial"/>
          <w:sz w:val="14"/>
          <w:szCs w:val="14"/>
          <w:color w:val="auto"/>
        </w:rPr>
        <w:t xml:space="preserve"> A - 6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529590</wp:posOffset>
            </wp:positionV>
            <wp:extent cx="5452110" cy="260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1125" w:right="1440" w:bottom="1440" w:gutter="0" w:footer="0" w:header="0"/>
        </w:sectPr>
      </w:pPr>
    </w:p>
    <w:bookmarkStart w:id="14" w:name="page15"/>
    <w:bookmarkEnd w:id="14"/>
    <w:tbl>
      <w:tblPr>
        <w:tblLayout w:type="fixed"/>
        <w:tblInd w:w="300" w:type="dxa"/>
        <w:tblCellMar>
          <w:top w:w="0" w:type="dxa"/>
          <w:left w:w="0" w:type="dxa"/>
          <w:bottom w:w="0" w:type="dxa"/>
          <w:right w:w="0" w:type="dxa"/>
        </w:tblCellMar>
      </w:tblPr>
      <w:tr>
        <w:trPr>
          <w:trHeight w:val="262"/>
        </w:trPr>
        <w:tc>
          <w:tcPr>
            <w:tcW w:w="4400" w:type="dxa"/>
            <w:vAlign w:val="bottom"/>
            <w:gridSpan w:val="3"/>
          </w:tcPr>
          <w:p>
            <w:pPr>
              <w:spacing w:after="0"/>
              <w:rPr>
                <w:sz w:val="20"/>
                <w:szCs w:val="20"/>
                <w:color w:val="auto"/>
              </w:rPr>
            </w:pPr>
            <w:r>
              <w:rPr>
                <w:rFonts w:ascii="Times New Roman" w:cs="Times New Roman" w:eastAsia="Times New Roman" w:hAnsi="Times New Roman"/>
                <w:sz w:val="20"/>
                <w:szCs w:val="20"/>
                <w:b w:val="1"/>
                <w:bCs w:val="1"/>
                <w:color w:val="auto"/>
              </w:rPr>
              <w:t>THE COMPANY:</w:t>
            </w:r>
          </w:p>
        </w:tc>
        <w:tc>
          <w:tcPr>
            <w:tcW w:w="420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EMPLOYEE:</w:t>
            </w:r>
          </w:p>
        </w:tc>
        <w:tc>
          <w:tcPr>
            <w:tcW w:w="0" w:type="dxa"/>
            <w:vAlign w:val="bottom"/>
          </w:tcPr>
          <w:p>
            <w:pPr>
              <w:spacing w:after="0"/>
              <w:rPr>
                <w:sz w:val="1"/>
                <w:szCs w:val="1"/>
                <w:color w:val="auto"/>
              </w:rPr>
            </w:pPr>
          </w:p>
        </w:tc>
      </w:tr>
      <w:tr>
        <w:trPr>
          <w:trHeight w:val="459"/>
        </w:trPr>
        <w:tc>
          <w:tcPr>
            <w:tcW w:w="440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SOLANA C</w:t>
            </w:r>
            <w:r>
              <w:rPr>
                <w:rFonts w:ascii="Times New Roman" w:cs="Times New Roman" w:eastAsia="Times New Roman" w:hAnsi="Times New Roman"/>
                <w:sz w:val="13"/>
                <w:szCs w:val="13"/>
                <w:color w:val="auto"/>
              </w:rPr>
              <w:t>ompany</w:t>
            </w:r>
          </w:p>
        </w:tc>
        <w:tc>
          <w:tcPr>
            <w:tcW w:w="4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42"/>
        </w:trPr>
        <w:tc>
          <w:tcPr>
            <w:tcW w:w="440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By:/S/ Joseph Chee</w:t>
            </w:r>
          </w:p>
        </w:tc>
        <w:tc>
          <w:tcPr>
            <w:tcW w:w="4200" w:type="dxa"/>
            <w:vAlign w:val="bottom"/>
          </w:tcPr>
          <w:p>
            <w:pPr>
              <w:spacing w:after="0"/>
              <w:rPr>
                <w:sz w:val="20"/>
                <w:szCs w:val="20"/>
                <w:color w:val="auto"/>
              </w:rPr>
            </w:pPr>
            <w:r>
              <w:rPr>
                <w:rFonts w:ascii="Times New Roman" w:cs="Times New Roman" w:eastAsia="Times New Roman" w:hAnsi="Times New Roman"/>
                <w:sz w:val="20"/>
                <w:szCs w:val="20"/>
                <w:color w:val="auto"/>
              </w:rPr>
              <w:t>/S/ AGUSTINA GANI TJANDRASUWITA</w:t>
            </w: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358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
        </w:trPr>
        <w:tc>
          <w:tcPr>
            <w:tcW w:w="4400" w:type="dxa"/>
            <w:vAlign w:val="bottom"/>
            <w:gridSpan w:val="3"/>
            <w:vMerge w:val="restart"/>
          </w:tcPr>
          <w:p>
            <w:pPr>
              <w:spacing w:after="0"/>
              <w:rPr>
                <w:sz w:val="20"/>
                <w:szCs w:val="20"/>
                <w:color w:val="auto"/>
              </w:rPr>
            </w:pPr>
            <w:r>
              <w:rPr>
                <w:rFonts w:ascii="Times New Roman" w:cs="Times New Roman" w:eastAsia="Times New Roman" w:hAnsi="Times New Roman"/>
                <w:sz w:val="20"/>
                <w:szCs w:val="20"/>
                <w:color w:val="auto"/>
              </w:rPr>
              <w:t>Name: Joseph Chee   (Choon Wee)</w:t>
            </w:r>
          </w:p>
        </w:tc>
        <w:tc>
          <w:tcPr>
            <w:tcW w:w="4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5"/>
        </w:trPr>
        <w:tc>
          <w:tcPr>
            <w:tcW w:w="4400" w:type="dxa"/>
            <w:vAlign w:val="bottom"/>
            <w:gridSpan w:val="3"/>
            <w:vMerge w:val="continue"/>
          </w:tcPr>
          <w:p>
            <w:pPr>
              <w:spacing w:after="0"/>
              <w:rPr>
                <w:sz w:val="16"/>
                <w:szCs w:val="16"/>
                <w:color w:val="auto"/>
              </w:rPr>
            </w:pPr>
          </w:p>
        </w:tc>
        <w:tc>
          <w:tcPr>
            <w:tcW w:w="4200" w:type="dxa"/>
            <w:vAlign w:val="bottom"/>
          </w:tcPr>
          <w:p>
            <w:pPr>
              <w:spacing w:after="0" w:line="195" w:lineRule="exact"/>
              <w:rPr>
                <w:sz w:val="20"/>
                <w:szCs w:val="20"/>
                <w:color w:val="auto"/>
              </w:rPr>
            </w:pPr>
            <w:r>
              <w:rPr>
                <w:rFonts w:ascii="Times New Roman" w:cs="Times New Roman" w:eastAsia="Times New Roman" w:hAnsi="Times New Roman"/>
                <w:sz w:val="20"/>
                <w:szCs w:val="20"/>
                <w:color w:val="auto"/>
              </w:rPr>
              <w:t>Print Name: A</w:t>
            </w:r>
            <w:r>
              <w:rPr>
                <w:rFonts w:ascii="Times New Roman" w:cs="Times New Roman" w:eastAsia="Times New Roman" w:hAnsi="Times New Roman"/>
                <w:sz w:val="13"/>
                <w:szCs w:val="13"/>
                <w:color w:val="auto"/>
              </w:rPr>
              <w:t>gustina</w:t>
            </w:r>
            <w:r>
              <w:rPr>
                <w:rFonts w:ascii="Times New Roman" w:cs="Times New Roman" w:eastAsia="Times New Roman" w:hAnsi="Times New Roman"/>
                <w:sz w:val="20"/>
                <w:szCs w:val="20"/>
                <w:color w:val="auto"/>
              </w:rPr>
              <w:t xml:space="preserve"> G</w:t>
            </w:r>
            <w:r>
              <w:rPr>
                <w:rFonts w:ascii="Times New Roman" w:cs="Times New Roman" w:eastAsia="Times New Roman" w:hAnsi="Times New Roman"/>
                <w:sz w:val="13"/>
                <w:szCs w:val="13"/>
                <w:color w:val="auto"/>
              </w:rPr>
              <w:t>ani</w:t>
            </w:r>
            <w:r>
              <w:rPr>
                <w:rFonts w:ascii="Times New Roman" w:cs="Times New Roman" w:eastAsia="Times New Roman" w:hAnsi="Times New Roman"/>
                <w:sz w:val="20"/>
                <w:szCs w:val="20"/>
                <w:color w:val="auto"/>
              </w:rPr>
              <w:t xml:space="preserve"> T</w:t>
            </w:r>
            <w:r>
              <w:rPr>
                <w:rFonts w:ascii="Times New Roman" w:cs="Times New Roman" w:eastAsia="Times New Roman" w:hAnsi="Times New Roman"/>
                <w:sz w:val="13"/>
                <w:szCs w:val="13"/>
                <w:color w:val="auto"/>
              </w:rPr>
              <w:t>jandrasuwita</w:t>
            </w:r>
          </w:p>
        </w:tc>
        <w:tc>
          <w:tcPr>
            <w:tcW w:w="0" w:type="dxa"/>
            <w:vAlign w:val="bottom"/>
          </w:tcPr>
          <w:p>
            <w:pPr>
              <w:spacing w:after="0"/>
              <w:rPr>
                <w:sz w:val="1"/>
                <w:szCs w:val="1"/>
                <w:color w:val="auto"/>
              </w:rPr>
            </w:pPr>
          </w:p>
        </w:tc>
      </w:tr>
    </w:tbl>
    <w:p>
      <w:pPr>
        <w:ind w:left="300"/>
        <w:spacing w:after="0"/>
        <w:tabs>
          <w:tab w:leader="none" w:pos="900" w:val="left"/>
        </w:tabs>
        <w:rPr>
          <w:sz w:val="20"/>
          <w:szCs w:val="20"/>
          <w:color w:val="auto"/>
        </w:rPr>
      </w:pPr>
      <w:r>
        <w:rPr>
          <w:rFonts w:ascii="Times New Roman" w:cs="Times New Roman" w:eastAsia="Times New Roman" w:hAnsi="Times New Roman"/>
          <w:sz w:val="20"/>
          <w:szCs w:val="20"/>
          <w:color w:val="auto"/>
        </w:rPr>
        <w:t>Title:</w:t>
      </w:r>
      <w:r>
        <w:rPr>
          <w:sz w:val="20"/>
          <w:szCs w:val="20"/>
          <w:color w:val="auto"/>
        </w:rPr>
        <w:tab/>
      </w:r>
      <w:r>
        <w:rPr>
          <w:rFonts w:ascii="Times New Roman" w:cs="Times New Roman" w:eastAsia="Times New Roman" w:hAnsi="Times New Roman"/>
          <w:sz w:val="19"/>
          <w:szCs w:val="19"/>
          <w:color w:val="auto"/>
        </w:rPr>
        <w:t>Executive Chairman</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color w:val="auto"/>
        </w:rPr>
        <w:t>Date: March 13, 2026</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E</w:t>
      </w:r>
      <w:r>
        <w:rPr>
          <w:rFonts w:ascii="Arial" w:cs="Arial" w:eastAsia="Arial" w:hAnsi="Arial"/>
          <w:sz w:val="9"/>
          <w:szCs w:val="9"/>
          <w:color w:val="auto"/>
        </w:rPr>
        <w:t>xhibit</w:t>
      </w:r>
      <w:r>
        <w:rPr>
          <w:rFonts w:ascii="Arial" w:cs="Arial" w:eastAsia="Arial" w:hAnsi="Arial"/>
          <w:sz w:val="14"/>
          <w:szCs w:val="14"/>
          <w:color w:val="auto"/>
        </w:rPr>
        <w:t xml:space="preserve"> A - 7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529590</wp:posOffset>
            </wp:positionV>
            <wp:extent cx="5452110" cy="254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125" w:right="1440" w:bottom="1440" w:gutter="0" w:footer="0" w:header="0"/>
        </w:sectPr>
      </w:pPr>
    </w:p>
    <w:bookmarkStart w:id="15" w:name="page16"/>
    <w:bookmarkEnd w:id="15"/>
    <w:p>
      <w:pPr>
        <w:ind w:left="4120"/>
        <w:spacing w:after="0"/>
        <w:rPr>
          <w:sz w:val="20"/>
          <w:szCs w:val="20"/>
          <w:color w:val="auto"/>
        </w:rPr>
      </w:pPr>
      <w:r>
        <w:rPr>
          <w:rFonts w:ascii="Times New Roman" w:cs="Times New Roman" w:eastAsia="Times New Roman" w:hAnsi="Times New Roman"/>
          <w:sz w:val="20"/>
          <w:szCs w:val="20"/>
          <w:b w:val="1"/>
          <w:bCs w:val="1"/>
          <w:u w:val="single" w:color="auto"/>
          <w:color w:val="auto"/>
        </w:rPr>
        <w:drawing>
          <wp:anchor simplePos="0" relativeHeight="251657728" behindDoc="1" locked="0" layoutInCell="0" allowOverlap="1">
            <wp:simplePos x="0" y="0"/>
            <wp:positionH relativeFrom="page">
              <wp:posOffset>4357370</wp:posOffset>
            </wp:positionH>
            <wp:positionV relativeFrom="page">
              <wp:posOffset>363220</wp:posOffset>
            </wp:positionV>
            <wp:extent cx="1928495" cy="3003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clrChange>
                        <a:clrFrom>
                          <a:srgbClr val="FFFFFF"/>
                        </a:clrFrom>
                        <a:clrTo>
                          <a:srgbClr val="FFFFFF">
                            <a:alpha val="0"/>
                          </a:srgbClr>
                        </a:clrTo>
                      </a:clrChange>
                      <a:extLst>
                        <a:ext uri="{28A0092B-C50C-407E-A947-70E740481C1C}"/>
                      </a:extLst>
                    </a:blip>
                    <a:srcRect/>
                    <a:stretch>
                      <a:fillRect/>
                    </a:stretch>
                  </pic:blipFill>
                  <pic:spPr bwMode="auto">
                    <a:xfrm>
                      <a:off x="0" y="0"/>
                      <a:ext cx="1928495" cy="300355"/>
                    </a:xfrm>
                    <a:prstGeom prst="rect">
                      <a:avLst/>
                    </a:prstGeom>
                    <a:noFill/>
                  </pic:spPr>
                </pic:pic>
              </a:graphicData>
            </a:graphic>
          </wp:anchor>
        </w:drawing>
        <w:t>E</w:t>
      </w:r>
      <w:r>
        <w:rPr>
          <w:rFonts w:ascii="Times New Roman" w:cs="Times New Roman" w:eastAsia="Times New Roman" w:hAnsi="Times New Roman"/>
          <w:sz w:val="13"/>
          <w:szCs w:val="13"/>
          <w:b w:val="1"/>
          <w:bCs w:val="1"/>
          <w:u w:val="single" w:color="auto"/>
          <w:color w:val="auto"/>
        </w:rPr>
        <w:t>xhibit</w:t>
      </w:r>
      <w:r>
        <w:rPr>
          <w:rFonts w:ascii="Times New Roman" w:cs="Times New Roman" w:eastAsia="Times New Roman" w:hAnsi="Times New Roman"/>
          <w:sz w:val="20"/>
          <w:szCs w:val="20"/>
          <w:b w:val="1"/>
          <w:bCs w:val="1"/>
          <w:u w:val="single" w:color="auto"/>
          <w:color w:val="auto"/>
        </w:rPr>
        <w:t xml:space="preserve"> 1</w:t>
      </w:r>
    </w:p>
    <w:p>
      <w:pPr>
        <w:spacing w:after="0" w:line="220" w:lineRule="exact"/>
        <w:rPr>
          <w:sz w:val="20"/>
          <w:szCs w:val="20"/>
          <w:color w:val="auto"/>
        </w:rPr>
      </w:pPr>
    </w:p>
    <w:p>
      <w:pPr>
        <w:ind w:left="540" w:right="779" w:firstLine="648"/>
        <w:spacing w:after="0" w:line="245" w:lineRule="auto"/>
        <w:rPr>
          <w:sz w:val="20"/>
          <w:szCs w:val="20"/>
          <w:color w:val="auto"/>
        </w:rPr>
      </w:pPr>
      <w:r>
        <w:rPr>
          <w:rFonts w:ascii="Times New Roman" w:cs="Times New Roman" w:eastAsia="Times New Roman" w:hAnsi="Times New Roman"/>
          <w:sz w:val="20"/>
          <w:szCs w:val="20"/>
          <w:color w:val="auto"/>
        </w:rPr>
        <w:t>The following is a complete list of all Inventions or improvements relevant to the subject matter of Employee’s employment by the Company that have been made or discovered or conceived or first reduced to practice by Employee either alone or jointly with others prior to Employee’s employment by the Company that Employee desires to remove from the operation of the Company’s Employee Proprietary Information, Inventions Assignment and Non-Competition Agreement:</w:t>
      </w:r>
    </w:p>
    <w:p>
      <w:pPr>
        <w:spacing w:after="0" w:line="188" w:lineRule="exact"/>
        <w:rPr>
          <w:sz w:val="20"/>
          <w:szCs w:val="20"/>
          <w:color w:val="auto"/>
        </w:rPr>
      </w:pPr>
    </w:p>
    <w:p>
      <w:pPr>
        <w:ind w:left="1180" w:hanging="640"/>
        <w:spacing w:after="0"/>
        <w:tabs>
          <w:tab w:leader="none" w:pos="1180" w:val="left"/>
        </w:tabs>
        <w:numPr>
          <w:ilvl w:val="0"/>
          <w:numId w:val="11"/>
        </w:numPr>
        <w:rPr>
          <w:rFonts w:ascii="Arial" w:cs="Arial" w:eastAsia="Arial" w:hAnsi="Arial"/>
          <w:sz w:val="20"/>
          <w:szCs w:val="20"/>
          <w:color w:val="auto"/>
        </w:rPr>
      </w:pPr>
      <w:r>
        <w:rPr>
          <w:rFonts w:ascii="Times New Roman" w:cs="Times New Roman" w:eastAsia="Times New Roman" w:hAnsi="Times New Roman"/>
          <w:sz w:val="20"/>
          <w:szCs w:val="20"/>
          <w:color w:val="auto"/>
        </w:rPr>
        <w:t>No Inventions or improvements.</w:t>
      </w:r>
    </w:p>
    <w:p>
      <w:pPr>
        <w:spacing w:after="0" w:line="191" w:lineRule="exact"/>
        <w:rPr>
          <w:sz w:val="20"/>
          <w:szCs w:val="20"/>
          <w:color w:val="auto"/>
        </w:rPr>
      </w:pPr>
    </w:p>
    <w:p>
      <w:pPr>
        <w:ind w:left="1180" w:hanging="640"/>
        <w:spacing w:after="0"/>
        <w:tabs>
          <w:tab w:leader="none" w:pos="1180" w:val="left"/>
        </w:tabs>
        <w:numPr>
          <w:ilvl w:val="0"/>
          <w:numId w:val="12"/>
        </w:numPr>
        <w:rPr>
          <w:rFonts w:ascii="Arial" w:cs="Arial" w:eastAsia="Arial" w:hAnsi="Arial"/>
          <w:sz w:val="20"/>
          <w:szCs w:val="20"/>
          <w:color w:val="auto"/>
        </w:rPr>
      </w:pPr>
      <w:r>
        <w:rPr>
          <w:rFonts w:ascii="Times New Roman" w:cs="Times New Roman" w:eastAsia="Times New Roman" w:hAnsi="Times New Roman"/>
          <w:sz w:val="20"/>
          <w:szCs w:val="20"/>
          <w:color w:val="auto"/>
        </w:rPr>
        <w:t>See below: Any and all Inventions regarding:</w:t>
      </w:r>
    </w:p>
    <w:p>
      <w:pPr>
        <w:spacing w:after="0" w:line="191" w:lineRule="exact"/>
        <w:rPr>
          <w:rFonts w:ascii="Arial" w:cs="Arial" w:eastAsia="Arial" w:hAnsi="Arial"/>
          <w:sz w:val="20"/>
          <w:szCs w:val="20"/>
          <w:color w:val="auto"/>
        </w:rPr>
      </w:pPr>
    </w:p>
    <w:p>
      <w:pPr>
        <w:ind w:left="1180" w:hanging="640"/>
        <w:spacing w:after="0"/>
        <w:tabs>
          <w:tab w:leader="none" w:pos="1180" w:val="left"/>
        </w:tabs>
        <w:numPr>
          <w:ilvl w:val="0"/>
          <w:numId w:val="12"/>
        </w:numPr>
        <w:rPr>
          <w:rFonts w:ascii="Arial" w:cs="Arial" w:eastAsia="Arial" w:hAnsi="Arial"/>
          <w:sz w:val="20"/>
          <w:szCs w:val="20"/>
          <w:color w:val="auto"/>
        </w:rPr>
      </w:pPr>
      <w:r>
        <w:rPr>
          <w:rFonts w:ascii="Times New Roman" w:cs="Times New Roman" w:eastAsia="Times New Roman" w:hAnsi="Times New Roman"/>
          <w:sz w:val="20"/>
          <w:szCs w:val="20"/>
          <w:color w:val="auto"/>
        </w:rPr>
        <w:t>Additional sheets attached.</w:t>
      </w:r>
    </w:p>
    <w:p>
      <w:pPr>
        <w:spacing w:after="0" w:line="214" w:lineRule="exact"/>
        <w:rPr>
          <w:sz w:val="20"/>
          <w:szCs w:val="20"/>
          <w:color w:val="auto"/>
        </w:rPr>
      </w:pPr>
    </w:p>
    <w:p>
      <w:pPr>
        <w:ind w:left="540" w:right="1159" w:firstLine="648"/>
        <w:spacing w:after="0" w:line="269" w:lineRule="auto"/>
        <w:rPr>
          <w:sz w:val="20"/>
          <w:szCs w:val="20"/>
          <w:color w:val="auto"/>
        </w:rPr>
      </w:pPr>
      <w:r>
        <w:rPr>
          <w:rFonts w:ascii="Times New Roman" w:cs="Times New Roman" w:eastAsia="Times New Roman" w:hAnsi="Times New Roman"/>
          <w:sz w:val="20"/>
          <w:szCs w:val="20"/>
          <w:color w:val="auto"/>
        </w:rPr>
        <w:t>Employee proposes to bring to Employee’s employment the following materials and documents of a former employer:</w:t>
      </w:r>
    </w:p>
    <w:p>
      <w:pPr>
        <w:spacing w:after="0" w:line="163" w:lineRule="exact"/>
        <w:rPr>
          <w:sz w:val="20"/>
          <w:szCs w:val="20"/>
          <w:color w:val="auto"/>
        </w:rPr>
      </w:pPr>
    </w:p>
    <w:p>
      <w:pPr>
        <w:ind w:left="1180" w:hanging="640"/>
        <w:spacing w:after="0"/>
        <w:tabs>
          <w:tab w:leader="none" w:pos="1180" w:val="left"/>
        </w:tabs>
        <w:numPr>
          <w:ilvl w:val="0"/>
          <w:numId w:val="13"/>
        </w:numPr>
        <w:rPr>
          <w:rFonts w:ascii="Arial" w:cs="Arial" w:eastAsia="Arial" w:hAnsi="Arial"/>
          <w:sz w:val="20"/>
          <w:szCs w:val="20"/>
          <w:color w:val="auto"/>
        </w:rPr>
      </w:pPr>
      <w:r>
        <w:rPr>
          <w:rFonts w:ascii="Times New Roman" w:cs="Times New Roman" w:eastAsia="Times New Roman" w:hAnsi="Times New Roman"/>
          <w:sz w:val="20"/>
          <w:szCs w:val="20"/>
          <w:color w:val="auto"/>
        </w:rPr>
        <w:t>No materials or documents</w:t>
      </w:r>
    </w:p>
    <w:p>
      <w:pPr>
        <w:spacing w:after="0" w:line="191" w:lineRule="exact"/>
        <w:rPr>
          <w:sz w:val="20"/>
          <w:szCs w:val="20"/>
          <w:color w:val="auto"/>
        </w:rPr>
      </w:pPr>
    </w:p>
    <w:p>
      <w:pPr>
        <w:ind w:left="1180" w:hanging="640"/>
        <w:spacing w:after="0"/>
        <w:tabs>
          <w:tab w:leader="none" w:pos="1180" w:val="left"/>
        </w:tabs>
        <w:numPr>
          <w:ilvl w:val="0"/>
          <w:numId w:val="14"/>
        </w:numPr>
        <w:rPr>
          <w:rFonts w:ascii="Arial" w:cs="Arial" w:eastAsia="Arial" w:hAnsi="Arial"/>
          <w:sz w:val="20"/>
          <w:szCs w:val="20"/>
          <w:color w:val="auto"/>
        </w:rPr>
      </w:pPr>
      <w:r>
        <w:rPr>
          <w:rFonts w:ascii="Times New Roman" w:cs="Times New Roman" w:eastAsia="Times New Roman" w:hAnsi="Times New Roman"/>
          <w:sz w:val="20"/>
          <w:szCs w:val="20"/>
          <w:color w:val="auto"/>
        </w:rPr>
        <w:t>See below:</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tbl>
      <w:tblPr>
        <w:tblLayout w:type="fixed"/>
        <w:tblInd w:w="540" w:type="dxa"/>
        <w:tblCellMar>
          <w:top w:w="0" w:type="dxa"/>
          <w:left w:w="0" w:type="dxa"/>
          <w:bottom w:w="0" w:type="dxa"/>
          <w:right w:w="0" w:type="dxa"/>
        </w:tblCellMar>
      </w:tblPr>
      <w:tr>
        <w:trPr>
          <w:trHeight w:val="230"/>
        </w:trPr>
        <w:tc>
          <w:tcPr>
            <w:tcW w:w="32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Date: 03/16/2026</w:t>
            </w:r>
          </w:p>
        </w:tc>
        <w:tc>
          <w:tcPr>
            <w:tcW w:w="4700" w:type="dxa"/>
            <w:vAlign w:val="bottom"/>
          </w:tcPr>
          <w:p>
            <w:pPr>
              <w:ind w:left="640"/>
              <w:spacing w:after="0"/>
              <w:rPr>
                <w:sz w:val="20"/>
                <w:szCs w:val="20"/>
                <w:color w:val="auto"/>
              </w:rPr>
            </w:pPr>
            <w:r>
              <w:rPr>
                <w:rFonts w:ascii="Times New Roman" w:cs="Times New Roman" w:eastAsia="Times New Roman" w:hAnsi="Times New Roman"/>
                <w:sz w:val="20"/>
                <w:szCs w:val="20"/>
                <w:color w:val="auto"/>
              </w:rPr>
              <w:t>/S/ AGUSTINA GANI TJANDRASUWITA</w:t>
            </w:r>
          </w:p>
        </w:tc>
        <w:tc>
          <w:tcPr>
            <w:tcW w:w="0" w:type="dxa"/>
            <w:vAlign w:val="bottom"/>
          </w:tcPr>
          <w:p>
            <w:pPr>
              <w:spacing w:after="0"/>
              <w:rPr>
                <w:sz w:val="1"/>
                <w:szCs w:val="1"/>
                <w:color w:val="auto"/>
              </w:rPr>
            </w:pPr>
          </w:p>
        </w:tc>
      </w:tr>
      <w:tr>
        <w:trPr>
          <w:trHeight w:val="210"/>
        </w:trPr>
        <w:tc>
          <w:tcPr>
            <w:tcW w:w="420" w:type="dxa"/>
            <w:vAlign w:val="bottom"/>
            <w:tcBorders>
              <w:bottom w:val="single" w:sz="8" w:color="auto"/>
            </w:tcBorders>
          </w:tcPr>
          <w:p>
            <w:pPr>
              <w:spacing w:after="0" w:line="209" w:lineRule="exact"/>
              <w:rPr>
                <w:sz w:val="20"/>
                <w:szCs w:val="20"/>
                <w:color w:val="auto"/>
              </w:rPr>
            </w:pPr>
            <w:r>
              <w:rPr>
                <w:rFonts w:ascii="Times New Roman" w:cs="Times New Roman" w:eastAsia="Times New Roman" w:hAnsi="Times New Roman"/>
                <w:sz w:val="20"/>
                <w:szCs w:val="20"/>
                <w:color w:val="auto"/>
              </w:rPr>
              <w:t>​</w:t>
            </w:r>
          </w:p>
        </w:tc>
        <w:tc>
          <w:tcPr>
            <w:tcW w:w="2820" w:type="dxa"/>
            <w:vAlign w:val="bottom"/>
            <w:tcBorders>
              <w:top w:val="single" w:sz="8" w:color="auto"/>
              <w:bottom w:val="single" w:sz="8" w:color="auto"/>
            </w:tcBorders>
          </w:tcPr>
          <w:p>
            <w:pPr>
              <w:spacing w:after="0"/>
              <w:rPr>
                <w:sz w:val="18"/>
                <w:szCs w:val="18"/>
                <w:color w:val="auto"/>
              </w:rPr>
            </w:pPr>
          </w:p>
        </w:tc>
        <w:tc>
          <w:tcPr>
            <w:tcW w:w="4700" w:type="dxa"/>
            <w:vAlign w:val="bottom"/>
            <w:vMerge w:val="restart"/>
          </w:tcPr>
          <w:p>
            <w:pPr>
              <w:ind w:left="640"/>
              <w:spacing w:after="0"/>
              <w:rPr>
                <w:sz w:val="20"/>
                <w:szCs w:val="20"/>
                <w:color w:val="auto"/>
              </w:rPr>
            </w:pPr>
            <w:r>
              <w:rPr>
                <w:rFonts w:ascii="Times New Roman" w:cs="Times New Roman" w:eastAsia="Times New Roman" w:hAnsi="Times New Roman"/>
                <w:sz w:val="20"/>
                <w:szCs w:val="20"/>
                <w:color w:val="auto"/>
              </w:rPr>
              <w:t>E</w:t>
            </w:r>
            <w:r>
              <w:rPr>
                <w:rFonts w:ascii="Times New Roman" w:cs="Times New Roman" w:eastAsia="Times New Roman" w:hAnsi="Times New Roman"/>
                <w:sz w:val="13"/>
                <w:szCs w:val="13"/>
                <w:color w:val="auto"/>
              </w:rPr>
              <w:t>mployee</w:t>
            </w:r>
            <w:r>
              <w:rPr>
                <w:rFonts w:ascii="Times New Roman" w:cs="Times New Roman" w:eastAsia="Times New Roman" w:hAnsi="Times New Roman"/>
                <w:sz w:val="20"/>
                <w:szCs w:val="20"/>
                <w:color w:val="auto"/>
              </w:rPr>
              <w:t xml:space="preserve"> S</w:t>
            </w:r>
            <w:r>
              <w:rPr>
                <w:rFonts w:ascii="Times New Roman" w:cs="Times New Roman" w:eastAsia="Times New Roman" w:hAnsi="Times New Roman"/>
                <w:sz w:val="13"/>
                <w:szCs w:val="13"/>
                <w:color w:val="auto"/>
              </w:rPr>
              <w:t>ignature</w:t>
            </w:r>
          </w:p>
        </w:tc>
        <w:tc>
          <w:tcPr>
            <w:tcW w:w="0" w:type="dxa"/>
            <w:vAlign w:val="bottom"/>
          </w:tcPr>
          <w:p>
            <w:pPr>
              <w:spacing w:after="0"/>
              <w:rPr>
                <w:sz w:val="1"/>
                <w:szCs w:val="1"/>
                <w:color w:val="auto"/>
              </w:rPr>
            </w:pPr>
          </w:p>
        </w:tc>
      </w:tr>
      <w:tr>
        <w:trPr>
          <w:trHeight w:val="256"/>
        </w:trPr>
        <w:tc>
          <w:tcPr>
            <w:tcW w:w="420" w:type="dxa"/>
            <w:vAlign w:val="bottom"/>
          </w:tcPr>
          <w:p>
            <w:pPr>
              <w:spacing w:after="0"/>
              <w:rPr>
                <w:sz w:val="22"/>
                <w:szCs w:val="22"/>
                <w:color w:val="auto"/>
              </w:rPr>
            </w:pPr>
          </w:p>
        </w:tc>
        <w:tc>
          <w:tcPr>
            <w:tcW w:w="2820" w:type="dxa"/>
            <w:vAlign w:val="bottom"/>
          </w:tcPr>
          <w:p>
            <w:pPr>
              <w:spacing w:after="0"/>
              <w:rPr>
                <w:sz w:val="22"/>
                <w:szCs w:val="22"/>
                <w:color w:val="auto"/>
              </w:rPr>
            </w:pPr>
          </w:p>
        </w:tc>
        <w:tc>
          <w:tcPr>
            <w:tcW w:w="470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348"/>
        </w:trPr>
        <w:tc>
          <w:tcPr>
            <w:tcW w:w="42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4700" w:type="dxa"/>
            <w:vAlign w:val="bottom"/>
          </w:tcPr>
          <w:p>
            <w:pPr>
              <w:ind w:left="260"/>
              <w:spacing w:after="0"/>
              <w:rPr>
                <w:sz w:val="20"/>
                <w:szCs w:val="20"/>
                <w:color w:val="auto"/>
              </w:rPr>
            </w:pPr>
            <w:r>
              <w:rPr>
                <w:rFonts w:ascii="Arial" w:cs="Arial" w:eastAsia="Arial" w:hAnsi="Arial"/>
                <w:sz w:val="14"/>
                <w:szCs w:val="14"/>
                <w:color w:val="auto"/>
              </w:rPr>
              <w:t>E</w:t>
            </w:r>
            <w:r>
              <w:rPr>
                <w:rFonts w:ascii="Arial" w:cs="Arial" w:eastAsia="Arial" w:hAnsi="Arial"/>
                <w:sz w:val="9"/>
                <w:szCs w:val="9"/>
                <w:color w:val="auto"/>
              </w:rPr>
              <w:t>xhibit</w:t>
            </w:r>
            <w:r>
              <w:rPr>
                <w:rFonts w:ascii="Arial" w:cs="Arial" w:eastAsia="Arial" w:hAnsi="Arial"/>
                <w:sz w:val="14"/>
                <w:szCs w:val="14"/>
                <w:color w:val="auto"/>
              </w:rPr>
              <w:t xml:space="preserve"> A - 8</w:t>
            </w:r>
          </w:p>
        </w:tc>
        <w:tc>
          <w:tcPr>
            <w:tcW w:w="0" w:type="dxa"/>
            <w:vAlign w:val="bottom"/>
          </w:tcPr>
          <w:p>
            <w:pPr>
              <w:spacing w:after="0"/>
              <w:rPr>
                <w:sz w:val="1"/>
                <w:szCs w:val="1"/>
                <w:color w:val="auto"/>
              </w:rPr>
            </w:pPr>
          </w:p>
        </w:tc>
      </w:tr>
      <w:tr>
        <w:trPr>
          <w:trHeight w:val="855"/>
        </w:trPr>
        <w:tc>
          <w:tcPr>
            <w:tcW w:w="420" w:type="dxa"/>
            <w:vAlign w:val="bottom"/>
            <w:tcBorders>
              <w:bottom w:val="single" w:sz="8" w:color="auto"/>
            </w:tcBorders>
          </w:tcPr>
          <w:p>
            <w:pPr>
              <w:spacing w:after="0"/>
              <w:rPr>
                <w:sz w:val="24"/>
                <w:szCs w:val="24"/>
                <w:color w:val="auto"/>
              </w:rPr>
            </w:pPr>
          </w:p>
        </w:tc>
        <w:tc>
          <w:tcPr>
            <w:tcW w:w="2820" w:type="dxa"/>
            <w:vAlign w:val="bottom"/>
            <w:tcBorders>
              <w:bottom w:val="single" w:sz="8" w:color="auto"/>
            </w:tcBorders>
          </w:tcPr>
          <w:p>
            <w:pPr>
              <w:spacing w:after="0"/>
              <w:rPr>
                <w:sz w:val="24"/>
                <w:szCs w:val="24"/>
                <w:color w:val="auto"/>
              </w:rPr>
            </w:pPr>
          </w:p>
        </w:tc>
        <w:tc>
          <w:tcPr>
            <w:tcW w:w="47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1017" w:right="1440" w:bottom="1440" w:gutter="0" w:footer="0" w:header="0"/>
        </w:sectPr>
      </w:pPr>
    </w:p>
    <w:bookmarkStart w:id="16" w:name="page17"/>
    <w:bookmarkEnd w:id="16"/>
    <w:p>
      <w:pPr>
        <w:jc w:val="right"/>
        <w:ind w:right="219"/>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3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FOR IMMEDIATE RELEASE</w:t>
      </w:r>
    </w:p>
    <w:p>
      <w:pPr>
        <w:spacing w:after="0" w:line="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SOLANA COMPANY – HSDT</w:t>
      </w:r>
    </w:p>
    <w:p>
      <w:pPr>
        <w:spacing w:after="0" w:line="203" w:lineRule="exact"/>
        <w:rPr>
          <w:sz w:val="20"/>
          <w:szCs w:val="20"/>
          <w:color w:val="auto"/>
        </w:rPr>
      </w:pPr>
    </w:p>
    <w:p>
      <w:pPr>
        <w:jc w:val="center"/>
        <w:ind w:left="1660" w:right="60"/>
        <w:spacing w:after="0" w:line="286" w:lineRule="auto"/>
        <w:rPr>
          <w:sz w:val="20"/>
          <w:szCs w:val="20"/>
          <w:color w:val="auto"/>
        </w:rPr>
      </w:pPr>
      <w:r>
        <w:rPr>
          <w:rFonts w:ascii="Times New Roman" w:cs="Times New Roman" w:eastAsia="Times New Roman" w:hAnsi="Times New Roman"/>
          <w:sz w:val="18"/>
          <w:szCs w:val="18"/>
          <w:b w:val="1"/>
          <w:bCs w:val="1"/>
          <w:color w:val="auto"/>
        </w:rPr>
        <w:t>Solana Company (NASDAQ: HSDT) Appoints Madelene Gani as Chief Operating Officer and Deputy CFO to Lead Next Phase of Growth</w:t>
      </w:r>
    </w:p>
    <w:p>
      <w:pPr>
        <w:spacing w:after="0" w:line="157" w:lineRule="exact"/>
        <w:rPr>
          <w:sz w:val="20"/>
          <w:szCs w:val="20"/>
          <w:color w:val="auto"/>
        </w:rPr>
      </w:pPr>
    </w:p>
    <w:p>
      <w:pPr>
        <w:ind w:left="200" w:right="879"/>
        <w:spacing w:after="0" w:line="267" w:lineRule="auto"/>
        <w:rPr>
          <w:sz w:val="20"/>
          <w:szCs w:val="20"/>
          <w:color w:val="auto"/>
        </w:rPr>
      </w:pPr>
      <w:r>
        <w:rPr>
          <w:rFonts w:ascii="Times New Roman" w:cs="Times New Roman" w:eastAsia="Times New Roman" w:hAnsi="Times New Roman"/>
          <w:sz w:val="18"/>
          <w:szCs w:val="18"/>
          <w:i w:val="1"/>
          <w:iCs w:val="1"/>
          <w:color w:val="auto"/>
        </w:rPr>
        <w:t>A veteran architect of Gemini’s Asia Pacific expansion, Ms. Gani joins to lead institutional buildout as Solana Company executes on its strategy to drive yield expansion, enhance revenue generation, advance business diversification, and institutionalize the Solana ecosystem.</w:t>
      </w:r>
    </w:p>
    <w:p>
      <w:pPr>
        <w:spacing w:after="0" w:line="175" w:lineRule="exact"/>
        <w:rPr>
          <w:sz w:val="20"/>
          <w:szCs w:val="20"/>
          <w:color w:val="auto"/>
        </w:rPr>
      </w:pPr>
    </w:p>
    <w:p>
      <w:pPr>
        <w:ind w:left="860" w:right="319" w:hanging="327"/>
        <w:spacing w:after="0" w:line="282" w:lineRule="auto"/>
        <w:tabs>
          <w:tab w:leader="none" w:pos="8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Gani is a proven transformation leader with track record at Hedera Hashgraph, Aptos, Gemini Space Station, and JUUL Labs. She joins to accelerate Solana Company’s next phase of growth.</w:t>
      </w:r>
    </w:p>
    <w:p>
      <w:pPr>
        <w:spacing w:after="0" w:line="161" w:lineRule="exact"/>
        <w:rPr>
          <w:rFonts w:ascii="Times New Roman" w:cs="Times New Roman" w:eastAsia="Times New Roman" w:hAnsi="Times New Roman"/>
          <w:sz w:val="18"/>
          <w:szCs w:val="18"/>
          <w:color w:val="auto"/>
        </w:rPr>
      </w:pPr>
    </w:p>
    <w:p>
      <w:pPr>
        <w:ind w:left="860" w:right="399" w:hanging="327"/>
        <w:spacing w:after="0" w:line="266" w:lineRule="auto"/>
        <w:tabs>
          <w:tab w:leader="none" w:pos="8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Gani brings deep financial and operational expertise in public companies, global financial infrastructure buildout, and operational scaling that has driven hundreds of millions in value creation across hyper-growth companies.</w:t>
      </w:r>
    </w:p>
    <w:p>
      <w:pPr>
        <w:spacing w:after="0" w:line="175" w:lineRule="exact"/>
        <w:rPr>
          <w:rFonts w:ascii="Times New Roman" w:cs="Times New Roman" w:eastAsia="Times New Roman" w:hAnsi="Times New Roman"/>
          <w:sz w:val="18"/>
          <w:szCs w:val="18"/>
          <w:color w:val="auto"/>
        </w:rPr>
      </w:pPr>
    </w:p>
    <w:p>
      <w:pPr>
        <w:ind w:left="860" w:right="259" w:hanging="327"/>
        <w:spacing w:after="0" w:line="282" w:lineRule="auto"/>
        <w:tabs>
          <w:tab w:leader="none" w:pos="8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Strategic hire signals Solana Company’s commitment to institutional-grade operations as it expands its digital asset treasury and infrastructure globally.</w:t>
      </w:r>
    </w:p>
    <w:p>
      <w:pPr>
        <w:spacing w:after="0" w:line="158" w:lineRule="exact"/>
        <w:rPr>
          <w:sz w:val="20"/>
          <w:szCs w:val="20"/>
          <w:color w:val="auto"/>
        </w:rPr>
      </w:pPr>
    </w:p>
    <w:p>
      <w:pPr>
        <w:ind w:left="200" w:right="219"/>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Newtown, PA, April 9, 2026 </w:t>
      </w:r>
      <w:r>
        <w:rPr>
          <w:rFonts w:ascii="Times New Roman" w:cs="Times New Roman" w:eastAsia="Times New Roman" w:hAnsi="Times New Roman"/>
          <w:sz w:val="18"/>
          <w:szCs w:val="18"/>
          <w:color w:val="auto"/>
        </w:rPr>
        <w:t>– Solana Company (NASDAQ: HSDT or the “Company”) today announced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appointment of Madelene Gani, CPA, as Chief Operating Officer and Deputy Chief Financial Officer, effective April 6, 2026. A battle-tested global finance executive with over 25 years of experience scaling some of the most consequential companies in crypto, fintech, and public markets, Gani represents a landmark hire. She joins at a pivotal moment as the Company started its transition from strategic planning into active execution and business development, positioning itself at the center of Solana’s next super cycle.</w:t>
      </w:r>
    </w:p>
    <w:p>
      <w:pPr>
        <w:spacing w:after="0" w:line="182" w:lineRule="exact"/>
        <w:rPr>
          <w:sz w:val="20"/>
          <w:szCs w:val="20"/>
          <w:color w:val="auto"/>
        </w:rPr>
      </w:pPr>
    </w:p>
    <w:p>
      <w:pPr>
        <w:ind w:left="200" w:right="259"/>
        <w:spacing w:after="0" w:line="257" w:lineRule="auto"/>
        <w:rPr>
          <w:sz w:val="20"/>
          <w:szCs w:val="20"/>
          <w:color w:val="auto"/>
        </w:rPr>
      </w:pPr>
      <w:r>
        <w:rPr>
          <w:rFonts w:ascii="Times New Roman" w:cs="Times New Roman" w:eastAsia="Times New Roman" w:hAnsi="Times New Roman"/>
          <w:sz w:val="18"/>
          <w:szCs w:val="18"/>
          <w:color w:val="auto"/>
        </w:rPr>
        <w:t xml:space="preserve">“Madelene is not just an operational and financial executive – she is a transformative expert,” </w:t>
      </w:r>
      <w:r>
        <w:rPr>
          <w:rFonts w:ascii="Times New Roman" w:cs="Times New Roman" w:eastAsia="Times New Roman" w:hAnsi="Times New Roman"/>
          <w:sz w:val="18"/>
          <w:szCs w:val="18"/>
          <w:b w:val="1"/>
          <w:bCs w:val="1"/>
          <w:color w:val="auto"/>
        </w:rPr>
        <w:t>said Joseph Chee,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Executive Chairman of Solana Company (HSDT). </w:t>
      </w:r>
      <w:r>
        <w:rPr>
          <w:rFonts w:ascii="Times New Roman" w:cs="Times New Roman" w:eastAsia="Times New Roman" w:hAnsi="Times New Roman"/>
          <w:sz w:val="18"/>
          <w:szCs w:val="18"/>
          <w:color w:val="auto"/>
        </w:rPr>
        <w:t>“She has been at the center of some of the most ambitious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buildouts in Web3, taking organizations from early stage to global scale at breathtaking speed. Her ability to instill financial discipline, drive and diversify revenue growth, and architect operational infrastructure at institutional scale is exactly what we need as we build for Solana’s next super cycle and position this company as the premier listed vehicle for SOL exposure.”</w:t>
      </w:r>
    </w:p>
    <w:p>
      <w:pPr>
        <w:spacing w:after="0" w:line="18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A Track Record of Transformational Impact</w:t>
      </w:r>
    </w:p>
    <w:p>
      <w:pPr>
        <w:spacing w:after="0" w:line="31" w:lineRule="exact"/>
        <w:rPr>
          <w:sz w:val="20"/>
          <w:szCs w:val="20"/>
          <w:color w:val="auto"/>
        </w:rPr>
      </w:pPr>
    </w:p>
    <w:p>
      <w:pPr>
        <w:ind w:left="200" w:right="359"/>
        <w:spacing w:after="0" w:line="253" w:lineRule="auto"/>
        <w:rPr>
          <w:sz w:val="20"/>
          <w:szCs w:val="20"/>
          <w:color w:val="auto"/>
        </w:rPr>
      </w:pPr>
      <w:r>
        <w:rPr>
          <w:rFonts w:ascii="Times New Roman" w:cs="Times New Roman" w:eastAsia="Times New Roman" w:hAnsi="Times New Roman"/>
          <w:sz w:val="18"/>
          <w:szCs w:val="18"/>
          <w:color w:val="auto"/>
        </w:rPr>
        <w:t>Gani’s career reads as a masterclass in high-stakes financial transformation. Most recently, as CFO and COO of Hedera Hashgraph, she executed business-wide transformation initiatives – spanning treasury and yield optimization, leading an algorithmic trading firm, emerging technology deployment, and operational restructuring – that delivered millions in annualized savings while simultaneously driving revenue diversification and growth, and long-term financial sustainability.</w:t>
      </w:r>
    </w:p>
    <w:p>
      <w:pPr>
        <w:spacing w:after="0" w:line="187" w:lineRule="exact"/>
        <w:rPr>
          <w:sz w:val="20"/>
          <w:szCs w:val="20"/>
          <w:color w:val="auto"/>
        </w:rPr>
      </w:pPr>
    </w:p>
    <w:p>
      <w:pPr>
        <w:jc w:val="both"/>
        <w:ind w:left="200" w:right="319"/>
        <w:spacing w:after="0" w:line="261" w:lineRule="auto"/>
        <w:rPr>
          <w:sz w:val="20"/>
          <w:szCs w:val="20"/>
          <w:color w:val="auto"/>
        </w:rPr>
      </w:pPr>
      <w:r>
        <w:rPr>
          <w:rFonts w:ascii="Times New Roman" w:cs="Times New Roman" w:eastAsia="Times New Roman" w:hAnsi="Times New Roman"/>
          <w:sz w:val="18"/>
          <w:szCs w:val="18"/>
          <w:color w:val="auto"/>
        </w:rPr>
        <w:t>Prior to Hedera, Gani served as Head of Finance at Aptos Labs, where she was recruited as the company’s first senior finance executive, playing a pivotal role in the Initial Coin Offering (ICO) and establishment of the Aptos Foundation while building the financial infrastructure required to scale the business for institutional partnerships and stakeholder reporting, besides capital, treasury and revenue diversification.</w:t>
      </w:r>
    </w:p>
    <w:p>
      <w:pPr>
        <w:spacing w:after="0" w:line="180" w:lineRule="exact"/>
        <w:rPr>
          <w:sz w:val="20"/>
          <w:szCs w:val="20"/>
          <w:color w:val="auto"/>
        </w:rPr>
      </w:pPr>
    </w:p>
    <w:p>
      <w:pPr>
        <w:ind w:left="200" w:right="319"/>
        <w:spacing w:after="0" w:line="258" w:lineRule="auto"/>
        <w:rPr>
          <w:sz w:val="20"/>
          <w:szCs w:val="20"/>
          <w:color w:val="auto"/>
        </w:rPr>
      </w:pPr>
      <w:r>
        <w:rPr>
          <w:rFonts w:ascii="Times New Roman" w:cs="Times New Roman" w:eastAsia="Times New Roman" w:hAnsi="Times New Roman"/>
          <w:sz w:val="18"/>
          <w:szCs w:val="18"/>
          <w:color w:val="auto"/>
        </w:rPr>
        <w:t>At Gemini, Gani led a sweeping business transformation during a period of explosive crypto growth in 2021, building out the global financial operations for a business valued at $7.1 billion. She played a critical leadership role in diversification of their global revenue stream (DeFi, NFT, trading, stablecoin, custody, credit card, derivatives, and staking) in the U.S and expansion to Asia Pacific region and Europe, besides the first external capital raise of $400 million for GEMI.</w:t>
      </w:r>
    </w:p>
    <w:p>
      <w:pPr>
        <w:spacing w:after="0" w:line="183" w:lineRule="exact"/>
        <w:rPr>
          <w:sz w:val="20"/>
          <w:szCs w:val="20"/>
          <w:color w:val="auto"/>
        </w:rPr>
      </w:pPr>
    </w:p>
    <w:p>
      <w:pPr>
        <w:ind w:left="200" w:right="399"/>
        <w:spacing w:after="0" w:line="266" w:lineRule="auto"/>
        <w:rPr>
          <w:sz w:val="20"/>
          <w:szCs w:val="20"/>
          <w:color w:val="auto"/>
        </w:rPr>
      </w:pPr>
      <w:r>
        <w:rPr>
          <w:rFonts w:ascii="Times New Roman" w:cs="Times New Roman" w:eastAsia="Times New Roman" w:hAnsi="Times New Roman"/>
          <w:sz w:val="18"/>
          <w:szCs w:val="18"/>
          <w:color w:val="auto"/>
        </w:rPr>
        <w:t>At JUUL Labs, Gani served in senior global leadership roles during a period of unprecedented hypergrowth. She led the company through IPO readiness, global expansion, encompassing four acquisitions, three capital raises, and multiple debt restructurings.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328930</wp:posOffset>
            </wp:positionV>
            <wp:extent cx="5452110" cy="260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17" w:name="page18"/>
    <w:bookmarkEnd w:id="17"/>
    <w:p>
      <w:pPr>
        <w:jc w:val="both"/>
        <w:ind w:left="200" w:right="379"/>
        <w:spacing w:after="0" w:line="266" w:lineRule="auto"/>
        <w:rPr>
          <w:sz w:val="20"/>
          <w:szCs w:val="20"/>
          <w:color w:val="auto"/>
        </w:rPr>
      </w:pPr>
      <w:r>
        <w:rPr>
          <w:rFonts w:ascii="Times New Roman" w:cs="Times New Roman" w:eastAsia="Times New Roman" w:hAnsi="Times New Roman"/>
          <w:sz w:val="18"/>
          <w:szCs w:val="18"/>
          <w:color w:val="auto"/>
        </w:rPr>
        <w:t>Gani’s earlier career includes senior financial roles at publicly traded global manufacturing and retail companies, and she began her career at Ernst &amp; Young – giving her a rare combination of Big Four rigor, public company discipline, and startup agility.</w:t>
      </w:r>
    </w:p>
    <w:p>
      <w:pPr>
        <w:spacing w:after="0" w:line="176" w:lineRule="exact"/>
        <w:rPr>
          <w:sz w:val="20"/>
          <w:szCs w:val="20"/>
          <w:color w:val="auto"/>
        </w:rPr>
      </w:pPr>
    </w:p>
    <w:p>
      <w:pPr>
        <w:ind w:left="200" w:right="259"/>
        <w:spacing w:after="0" w:line="255" w:lineRule="auto"/>
        <w:rPr>
          <w:sz w:val="20"/>
          <w:szCs w:val="20"/>
          <w:color w:val="auto"/>
        </w:rPr>
      </w:pPr>
      <w:r>
        <w:rPr>
          <w:rFonts w:ascii="Times New Roman" w:cs="Times New Roman" w:eastAsia="Times New Roman" w:hAnsi="Times New Roman"/>
          <w:sz w:val="18"/>
          <w:szCs w:val="18"/>
          <w:color w:val="auto"/>
        </w:rPr>
        <w:t xml:space="preserve">“I have spent my career building the financial and operational foundations that allow visionary companies to scale without limits,” </w:t>
      </w:r>
      <w:r>
        <w:rPr>
          <w:rFonts w:ascii="Times New Roman" w:cs="Times New Roman" w:eastAsia="Times New Roman" w:hAnsi="Times New Roman"/>
          <w:sz w:val="18"/>
          <w:szCs w:val="18"/>
          <w:b w:val="1"/>
          <w:bCs w:val="1"/>
          <w:color w:val="auto"/>
        </w:rPr>
        <w:t>said Madelene Gani.</w:t>
      </w:r>
      <w:r>
        <w:rPr>
          <w:rFonts w:ascii="Times New Roman" w:cs="Times New Roman" w:eastAsia="Times New Roman" w:hAnsi="Times New Roman"/>
          <w:sz w:val="18"/>
          <w:szCs w:val="18"/>
          <w:color w:val="auto"/>
        </w:rPr>
        <w:t xml:space="preserve"> “Solana Company is at an extraordinary inflection point, and I am energized by the opportunity to bring the full weight of my experience to bear – driving operational excellence, optimizing our treasury and yield strategy, diversifying our revenue, and building the institutional-grade infrastructure that we believe will define the next era of digital asset treasury companies. The Pacific Backbone is precisely the kind of initiative I've been preparing for: complex, multi-jurisdictional, institutional-grade infrastructure that must be built fast and built right. I've done this before. Now we do it for Solana Company."</w:t>
      </w:r>
    </w:p>
    <w:p>
      <w:pPr>
        <w:spacing w:after="0" w:line="18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About Madelene Gani</w:t>
      </w:r>
    </w:p>
    <w:p>
      <w:pPr>
        <w:spacing w:after="0" w:line="31" w:lineRule="exact"/>
        <w:rPr>
          <w:sz w:val="20"/>
          <w:szCs w:val="20"/>
          <w:color w:val="auto"/>
        </w:rPr>
      </w:pPr>
    </w:p>
    <w:p>
      <w:pPr>
        <w:ind w:left="200" w:right="439"/>
        <w:spacing w:after="0" w:line="253" w:lineRule="auto"/>
        <w:rPr>
          <w:sz w:val="20"/>
          <w:szCs w:val="20"/>
          <w:color w:val="auto"/>
        </w:rPr>
      </w:pPr>
      <w:r>
        <w:rPr>
          <w:rFonts w:ascii="Times New Roman" w:cs="Times New Roman" w:eastAsia="Times New Roman" w:hAnsi="Times New Roman"/>
          <w:sz w:val="18"/>
          <w:szCs w:val="18"/>
          <w:color w:val="auto"/>
        </w:rPr>
        <w:t>Madelene Gani is a globally recognized finance operations leader and Certified Public Accountant (AICPA, Active) with a career spanning public companies, hyper-growth startups, and the most prominent names in Web3. Her expertise encompasses SEC financial reporting, global treasury and tax strategy, IPO readiness, M&amp;A, business intelligence and data analytics, cybersecurity risk mitigation, and enterprise-wide digital transformation. She holds a Bachelor of Business Administration from the University of San Diego.</w:t>
      </w:r>
    </w:p>
    <w:p>
      <w:pPr>
        <w:spacing w:after="0" w:line="18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Forward Looking Statements</w:t>
      </w:r>
    </w:p>
    <w:p>
      <w:pPr>
        <w:spacing w:after="0" w:line="31" w:lineRule="exact"/>
        <w:rPr>
          <w:sz w:val="20"/>
          <w:szCs w:val="20"/>
          <w:color w:val="auto"/>
        </w:rPr>
      </w:pPr>
    </w:p>
    <w:p>
      <w:pPr>
        <w:ind w:left="200" w:right="259"/>
        <w:spacing w:after="0" w:line="251" w:lineRule="auto"/>
        <w:rPr>
          <w:sz w:val="20"/>
          <w:szCs w:val="20"/>
          <w:color w:val="auto"/>
        </w:rPr>
      </w:pPr>
      <w:r>
        <w:rPr>
          <w:rFonts w:ascii="Times New Roman" w:cs="Times New Roman" w:eastAsia="Times New Roman" w:hAnsi="Times New Roman"/>
          <w:sz w:val="18"/>
          <w:szCs w:val="18"/>
          <w:color w:val="auto"/>
        </w:rPr>
        <w:t>This press release contains statements that constitute “forward-looking statements” within the meaning of the U.S. federal securities laws. In some cases, you can identify forward-looking statements by terminology such as “may”, “will”, “should”, “expect”, “plan”, “intend”, “anticipate”, “believe”, “estimate”, “predict”, “potential” or “continue”, the negative of such terms or other comparable terminology. There can be no assurance that such statements will prove to be accurate and actual results and future events could differ materially from those expressed or implied by such statements. Forward-looking statements may include, among others, the Company’s expectations for its executive leadership; the implementation of the Company’s digital asset treasury strategy; and the timing and execution of the Company’s planned infrastructure buildout.</w:t>
      </w:r>
    </w:p>
    <w:p>
      <w:pPr>
        <w:spacing w:after="0" w:line="194" w:lineRule="exact"/>
        <w:rPr>
          <w:sz w:val="20"/>
          <w:szCs w:val="20"/>
          <w:color w:val="auto"/>
        </w:rPr>
      </w:pPr>
    </w:p>
    <w:p>
      <w:pPr>
        <w:ind w:left="200" w:right="259"/>
        <w:spacing w:after="0" w:line="252" w:lineRule="auto"/>
        <w:rPr>
          <w:sz w:val="20"/>
          <w:szCs w:val="20"/>
          <w:color w:val="auto"/>
        </w:rPr>
      </w:pPr>
      <w:r>
        <w:rPr>
          <w:rFonts w:ascii="Times New Roman" w:cs="Times New Roman" w:eastAsia="Times New Roman" w:hAnsi="Times New Roman"/>
          <w:sz w:val="18"/>
          <w:szCs w:val="18"/>
          <w:color w:val="auto"/>
        </w:rPr>
        <w:t>These forward-looking statements are based on current expectations, estimates, assumptions, and projections, and involve known and unknown risks, uncertainties, and other factors-many of which are beyond the Company’s control-that may cause actual results, performance, or achievements to differ materially from those expressed or implied by such statements. Important factors that may affect actual results include, among others, capital requirements to achieve the Company’s business objectives; expected benefits and implementation of the Company’s digital asset treasury strategy, expected staking, yield and broader opportunities across the Solana ecosystem; the Company’s expected token treasury growth, the impact on the Company of global macroeconomic conditions including effects from supply chain constraints, including risks related to manufacturing delays, logistics challenges, labor shortages, disruptions in the banking system and financial markets; high levels of inflation and high interest rates on the Company’s ability to operate its business and access capital markets; the success of the Company’s business plan; the Company’s operating costs and use of cash; the Company’s ability to achieve significant revenues; and other risks and uncertainties described under “Risk Factors” in the Company’s Annual Report on Form 10-K for the year ended December 31, 2025, and in other subsequent filings with the Securities and Exchange Commission. These filings are available at www.sec.gov. The Company undertakes no obligation to update or revise any forward-looking statements, whether as a result of new information, future events, or otherwise, except as required by law.</w:t>
      </w:r>
    </w:p>
    <w:p>
      <w:pPr>
        <w:spacing w:after="0" w:line="19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About Solana Company</w:t>
      </w:r>
    </w:p>
    <w:p>
      <w:pPr>
        <w:spacing w:after="0" w:line="3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Solana Company (NASDAQ: HSDT) is a listed digital asset treasury dedicated to acquiring Solana (SOL), created in</w:t>
      </w:r>
    </w:p>
    <w:p>
      <w:pPr>
        <w:spacing w:after="0" w:line="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partnership with Pantera and Summer Capital. Focused on maximizing SOL per share by leveraging capital markets</w:t>
      </w:r>
    </w:p>
    <w:p>
      <w:pPr>
        <w:spacing w:after="0" w:line="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opportunities and on-chain activity, Solana Company offers public market investors optimal exposure to Solana’s</w:t>
      </w:r>
    </w:p>
    <w:p>
      <w:pPr>
        <w:spacing w:after="0" w:line="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secular growth.</w:t>
      </w:r>
    </w:p>
    <w:p>
      <w:pPr>
        <w:spacing w:after="0" w:line="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https://www.solanacompany.co/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485775</wp:posOffset>
            </wp:positionV>
            <wp:extent cx="5452110" cy="260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18" w:name="page19"/>
    <w:bookmarkEnd w:id="18"/>
    <w:p>
      <w:pPr>
        <w:ind w:left="200"/>
        <w:spacing w:after="0"/>
        <w:rPr>
          <w:sz w:val="20"/>
          <w:szCs w:val="20"/>
          <w:color w:val="auto"/>
        </w:rPr>
      </w:pPr>
      <w:r>
        <w:rPr>
          <w:rFonts w:ascii="Times New Roman" w:cs="Times New Roman" w:eastAsia="Times New Roman" w:hAnsi="Times New Roman"/>
          <w:sz w:val="18"/>
          <w:szCs w:val="18"/>
          <w:b w:val="1"/>
          <w:bCs w:val="1"/>
          <w:color w:val="auto"/>
        </w:rPr>
        <w:t>MEDIA CONTACT:</w:t>
      </w:r>
    </w:p>
    <w:p>
      <w:pPr>
        <w:spacing w:after="0" w:line="3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John Collins, Collins Strategy Group</w:t>
      </w:r>
    </w:p>
    <w:p>
      <w:pPr>
        <w:spacing w:after="0" w:line="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john@CollinsSG.com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348615</wp:posOffset>
            </wp:positionV>
            <wp:extent cx="5452110" cy="260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sectPr>
      <w:pgSz w:w="11900" w:h="16838" w:orient="portrait"/>
      <w:cols w:equalWidth="0" w:num="1">
        <w:col w:w="9019"/>
      </w:cols>
      <w:pgMar w:left="1440" w:top="11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81"/>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545E146"/>
    <w:multiLevelType w:val="hybridMultilevel"/>
    <w:lvl w:ilvl="0">
      <w:lvlJc w:val="left"/>
      <w:lvlText w:val="☐"/>
      <w:numFmt w:val="bullet"/>
      <w:start w:val="1"/>
    </w:lvl>
  </w:abstractNum>
  <w:abstractNum w:abstractNumId="1">
    <w:nsid w:val="515F007C"/>
    <w:multiLevelType w:val="hybridMultilevel"/>
    <w:lvl w:ilvl="0">
      <w:lvlJc w:val="left"/>
      <w:lvlText w:val="%1"/>
      <w:numFmt w:val="decimal"/>
      <w:start w:val="104"/>
    </w:lvl>
  </w:abstractNum>
  <w:abstractNum w:abstractNumId="2">
    <w:nsid w:val="5BD062C2"/>
    <w:multiLevelType w:val="hybridMultilevel"/>
    <w:lvl w:ilvl="0">
      <w:lvlJc w:val="left"/>
      <w:lvlText w:val="%1."/>
      <w:numFmt w:val="decimal"/>
      <w:start w:val="1"/>
    </w:lvl>
    <w:lvl w:ilvl="1">
      <w:lvlJc w:val="left"/>
      <w:lvlText w:val="(%2)"/>
      <w:numFmt w:val="lowerLetter"/>
      <w:start w:val="1"/>
    </w:lvl>
  </w:abstractNum>
  <w:abstractNum w:abstractNumId="3">
    <w:nsid w:val="12200854"/>
    <w:multiLevelType w:val="hybridMultilevel"/>
    <w:lvl w:ilvl="0">
      <w:lvlJc w:val="left"/>
      <w:lvlText w:val="%1"/>
      <w:numFmt w:val="lowerLetter"/>
      <w:start w:val="1"/>
    </w:lvl>
    <w:lvl w:ilvl="1">
      <w:lvlJc w:val="left"/>
      <w:lvlText w:val="(%2)"/>
      <w:numFmt w:val="lowerLetter"/>
      <w:start w:val="2"/>
    </w:lvl>
  </w:abstractNum>
  <w:abstractNum w:abstractNumId="4">
    <w:nsid w:val="4DB127F8"/>
    <w:multiLevelType w:val="hybridMultilevel"/>
    <w:lvl w:ilvl="0">
      <w:lvlJc w:val="left"/>
      <w:lvlText w:val="(%1)"/>
      <w:numFmt w:val="lowerLetter"/>
      <w:start w:val="61"/>
    </w:lvl>
    <w:lvl w:ilvl="1">
      <w:lvlJc w:val="left"/>
      <w:lvlText w:val="(%2)"/>
      <w:numFmt w:val="lowerLetter"/>
      <w:start w:val="4"/>
    </w:lvl>
  </w:abstractNum>
  <w:abstractNum w:abstractNumId="5">
    <w:nsid w:val="216231B"/>
    <w:multiLevelType w:val="hybridMultilevel"/>
    <w:lvl w:ilvl="0">
      <w:lvlJc w:val="left"/>
      <w:lvlText w:val="%1."/>
      <w:numFmt w:val="decimal"/>
      <w:start w:val="3"/>
    </w:lvl>
    <w:lvl w:ilvl="1">
      <w:lvlJc w:val="left"/>
      <w:lvlText w:val="(%2)"/>
      <w:numFmt w:val="lowerLetter"/>
      <w:start w:val="1"/>
    </w:lvl>
  </w:abstractNum>
  <w:abstractNum w:abstractNumId="6">
    <w:nsid w:val="1F16E9E8"/>
    <w:multiLevelType w:val="hybridMultilevel"/>
    <w:lvl w:ilvl="0">
      <w:lvlJc w:val="left"/>
      <w:lvlText w:val="(%1)"/>
      <w:numFmt w:val="lowerLetter"/>
      <w:start w:val="5"/>
    </w:lvl>
    <w:lvl w:ilvl="1">
      <w:lvlJc w:val="left"/>
      <w:lvlText w:val="(%2)"/>
      <w:numFmt w:val="lowerRoman"/>
      <w:start w:val="1"/>
    </w:lvl>
  </w:abstractNum>
  <w:abstractNum w:abstractNumId="7">
    <w:nsid w:val="1190CDE7"/>
    <w:multiLevelType w:val="hybridMultilevel"/>
    <w:lvl w:ilvl="0">
      <w:lvlJc w:val="left"/>
      <w:lvlText w:val="%1."/>
      <w:numFmt w:val="decimal"/>
      <w:start w:val="4"/>
    </w:lvl>
  </w:abstractNum>
  <w:abstractNum w:abstractNumId="8">
    <w:nsid w:val="66EF438D"/>
    <w:multiLevelType w:val="hybridMultilevel"/>
    <w:lvl w:ilvl="0">
      <w:lvlJc w:val="left"/>
      <w:lvlText w:val="%1."/>
      <w:numFmt w:val="decimal"/>
      <w:start w:val="5"/>
    </w:lvl>
    <w:lvl w:ilvl="1">
      <w:lvlJc w:val="left"/>
      <w:lvlText w:val="(%2)"/>
      <w:numFmt w:val="lowerLetter"/>
      <w:start w:val="1"/>
    </w:lvl>
  </w:abstractNum>
  <w:abstractNum w:abstractNumId="9">
    <w:nsid w:val="140E0F76"/>
    <w:multiLevelType w:val="hybridMultilevel"/>
    <w:lvl w:ilvl="0">
      <w:lvlJc w:val="left"/>
      <w:lvlText w:val="(%1)"/>
      <w:numFmt w:val="lowerLetter"/>
      <w:start w:val="2"/>
    </w:lvl>
  </w:abstractNum>
  <w:abstractNum w:abstractNumId="10">
    <w:nsid w:val="3352255A"/>
    <w:multiLevelType w:val="hybridMultilevel"/>
    <w:lvl w:ilvl="0">
      <w:lvlJc w:val="left"/>
      <w:lvlText w:val="⌧"/>
      <w:numFmt w:val="bullet"/>
      <w:start w:val="1"/>
    </w:lvl>
  </w:abstractNum>
  <w:abstractNum w:abstractNumId="11">
    <w:nsid w:val="109CF92E"/>
    <w:multiLevelType w:val="hybridMultilevel"/>
    <w:lvl w:ilvl="0">
      <w:lvlJc w:val="left"/>
      <w:lvlText w:val="☐"/>
      <w:numFmt w:val="bullet"/>
      <w:start w:val="1"/>
    </w:lvl>
  </w:abstractNum>
  <w:abstractNum w:abstractNumId="12">
    <w:nsid w:val="DED7263"/>
    <w:multiLevelType w:val="hybridMultilevel"/>
    <w:lvl w:ilvl="0">
      <w:lvlJc w:val="left"/>
      <w:lvlText w:val="⌧"/>
      <w:numFmt w:val="bullet"/>
      <w:start w:val="1"/>
    </w:lvl>
  </w:abstractNum>
  <w:abstractNum w:abstractNumId="13">
    <w:nsid w:val="7FDCC233"/>
    <w:multiLevelType w:val="hybridMultilevel"/>
    <w:lvl w:ilvl="0">
      <w:lvlJc w:val="left"/>
      <w:lvlText w:val="☐"/>
      <w:numFmt w:val="bullet"/>
      <w:start w:val="1"/>
    </w:lvl>
  </w:abstractNum>
  <w:abstractNum w:abstractNumId="14">
    <w:nsid w:val="1BEFD79F"/>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jpe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2026-04-09T16:21:10Z</dcterms:created>
  <dcterms:modified xsi:type="dcterms:W3CDTF">2026-04-09T16:21:10Z</dcterms:modified>
</cp:coreProperties>
</file>