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223-2_4seq1.xml.htm"/>
      <w:bookmarkStart w:id="1" w:name="kstm2620223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Summer Wisdom Holdings Ltd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SOLANA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642 NEWTOWN YARDLEY ROAD, SUITE #100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Solana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HSDT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36"/>
        <w:gridCol w:w="900"/>
        <w:gridCol w:w="771"/>
        <w:gridCol w:w="597"/>
        <w:gridCol w:w="339"/>
        <w:gridCol w:w="1134"/>
        <w:gridCol w:w="430"/>
        <w:gridCol w:w="695"/>
        <w:gridCol w:w="1246"/>
        <w:gridCol w:w="967"/>
        <w:gridCol w:w="99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1,453,277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5,377,125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Fusion Summer Limited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pro-rata distribution-in-kind of Class A Common Stock by Fusion Summer Limited to one of its members for no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Summer Wisdom Holdings Limited ("Summer Wisdom") holds the sole Ordinary Share and the sole Class B Participating Share of Fusion Summer Limited ("Fusion Summer"). As the sole owner of Fusion Summer, Summer Wisdom may be deemed to beneficially own the securities held directly by Fusion Summer.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Choon Wee Chee, Director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4177" TargetMode="External"/><Relationship Id="rId5" Type="http://schemas.openxmlformats.org/officeDocument/2006/relationships/hyperlink" Target="http://www.sec.gov/cgi-bin/browse-edgar?action=getcompany&amp;CIK=00016108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3458</Characters>
  <CharactersWithSpaces>4036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