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hsdt-20230630x10q.htm"/>
        <w:bookmarkStart w:id="1" w:name="kshsdt2023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pBdr>
        <w:bidi w:val="0"/>
        <w:spacing w:before="0" w:after="0"/>
        <w:ind w:left="0" w:right="0" w:hanging="0"/>
        <w:jc w:val="center"/>
        <w:rPr/>
      </w:pPr>
      <w:r>
        <w:rPr/>
        <w:t>​</w:t>
      </w:r>
    </w:p>
    <w:p>
      <w:pPr>
        <w:pStyle w:val="TextBody"/>
        <w:pBdr>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Hlk107881731"/>
      <w:bookmarkStart w:id="3" w:name="_8630e8f6_9863_4810_93d2_07ff4f2bd6c6"/>
      <w:bookmarkEnd w:id="2"/>
      <w:bookmarkEnd w:id="3"/>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60"/>
        <w:ind w:left="0" w:right="0" w:hanging="0"/>
        <w:jc w:val="left"/>
        <w:rPr/>
      </w:pPr>
      <w:r>
        <w:rPr/>
        <w:t>​</w:t>
      </w:r>
    </w:p>
    <w:p>
      <w:pPr>
        <w:pStyle w:val="Normal"/>
        <w:bidi w:val="0"/>
        <w:spacing w:before="0" w:after="0"/>
        <w:jc w:val="left"/>
        <w:rPr>
          <w:sz w:val="4"/>
          <w:szCs w:val="4"/>
        </w:rPr>
      </w:pPr>
      <w:r>
        <w:rPr>
          <w:sz w:val="4"/>
          <w:szCs w:val="4"/>
        </w:rPr>
      </w:r>
      <w:bookmarkStart w:id="4" w:name="Tc_hLvIKiq_zU--k_hxlqE5Zw_1_1"/>
      <w:bookmarkStart w:id="5" w:name="_729391a9_f110_4b4b_b425_6a3a17cca1bc"/>
      <w:bookmarkStart w:id="6" w:name="Tc_hLvIKiq_zU--k_hxlqE5Zw_1_1"/>
      <w:bookmarkStart w:id="7" w:name="_729391a9_f110_4b4b_b425_6a3a17cca1bc"/>
      <w:bookmarkEnd w:id="6"/>
      <w:bookmarkEnd w:id="7"/>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June 30, 2023</w:t>
      </w:r>
    </w:p>
    <w:p>
      <w:pPr>
        <w:pStyle w:val="TextBody"/>
        <w:bidi w:val="0"/>
        <w:spacing w:before="0" w:after="120"/>
        <w:ind w:left="0" w:right="0" w:hanging="0"/>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or</w:t>
      </w:r>
    </w:p>
    <w:p>
      <w:pPr>
        <w:pStyle w:val="Normal"/>
        <w:bidi w:val="0"/>
        <w:spacing w:before="0" w:after="0"/>
        <w:jc w:val="left"/>
        <w:rPr>
          <w:sz w:val="4"/>
          <w:szCs w:val="4"/>
        </w:rPr>
      </w:pPr>
      <w:r>
        <w:rPr>
          <w:sz w:val="4"/>
          <w:szCs w:val="4"/>
        </w:rPr>
      </w:r>
      <w:bookmarkStart w:id="8" w:name="Tc_C2KS6g9Duk-eRvo_K-XzCA_1_1"/>
      <w:bookmarkStart w:id="9" w:name="_9f9e2559_491d_42ce_898c_0eb64dc41123"/>
      <w:bookmarkStart w:id="10" w:name="Tc_C2KS6g9Duk-eRvo_K-XzCA_1_1"/>
      <w:bookmarkStart w:id="11" w:name="_9f9e2559_491d_42ce_898c_0eb64dc41123"/>
      <w:bookmarkEnd w:id="10"/>
      <w:bookmarkEnd w:id="11"/>
    </w:p>
    <w:tbl>
      <w:tblPr>
        <w:tblW w:w="9752" w:type="dxa"/>
        <w:jc w:val="left"/>
        <w:tblInd w:w="0" w:type="dxa"/>
        <w:tblLayout w:type="fixed"/>
        <w:tblCellMar>
          <w:top w:w="0" w:type="dxa"/>
          <w:left w:w="0" w:type="dxa"/>
          <w:bottom w:w="0" w:type="dxa"/>
          <w:right w:w="0" w:type="dxa"/>
        </w:tblCellMar>
      </w:tblPr>
      <w:tblGrid>
        <w:gridCol w:w="331"/>
        <w:gridCol w:w="9421"/>
      </w:tblGrid>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421"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to</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No. 001-38445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HELIUS MEDICAL TECHNOLOGIES, INC.</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12" w:name="Tc_BsjpjGGVckC7vkgk360LAg_2_2"/>
      <w:bookmarkStart w:id="13" w:name="Tc_vc0--XubCk623Ral7dSOlA_2_0"/>
      <w:bookmarkStart w:id="14" w:name="_7edaf331_1936_4209_9799_46c13f470a82"/>
      <w:bookmarkStart w:id="15" w:name="Tc_BsjpjGGVckC7vkgk360LAg_2_2"/>
      <w:bookmarkStart w:id="16" w:name="Tc_vc0--XubCk623Ral7dSOlA_2_0"/>
      <w:bookmarkStart w:id="17" w:name="_7edaf331_1936_4209_9799_46c13f470a82"/>
      <w:bookmarkEnd w:id="15"/>
      <w:bookmarkEnd w:id="16"/>
      <w:bookmarkEnd w:id="17"/>
    </w:p>
    <w:tbl>
      <w:tblPr>
        <w:tblW w:w="4033" w:type="dxa"/>
        <w:jc w:val="left"/>
        <w:tblInd w:w="0" w:type="dxa"/>
        <w:tblLayout w:type="fixed"/>
        <w:tblCellMar>
          <w:top w:w="0" w:type="dxa"/>
          <w:left w:w="0" w:type="dxa"/>
          <w:bottom w:w="0" w:type="dxa"/>
          <w:right w:w="0" w:type="dxa"/>
        </w:tblCellMar>
      </w:tblPr>
      <w:tblGrid>
        <w:gridCol w:w="2461"/>
        <w:gridCol w:w="326"/>
        <w:gridCol w:w="1246"/>
      </w:tblGrid>
      <w:tr>
        <w:trPr/>
        <w:tc>
          <w:tcPr>
            <w:tcW w:w="2461"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Delaware</w:t>
            </w:r>
          </w:p>
        </w:tc>
        <w:tc>
          <w:tcPr>
            <w:tcW w:w="326" w:type="dxa"/>
            <w:tcBorders/>
            <w:vAlign w:val="center"/>
          </w:tcPr>
          <w:p>
            <w:pPr>
              <w:pStyle w:val="TableContents"/>
              <w:bidi w:val="0"/>
              <w:spacing w:before="0" w:after="0"/>
              <w:ind w:left="0" w:right="0" w:hanging="0"/>
              <w:jc w:val="center"/>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36-4787690</w:t>
            </w:r>
          </w:p>
        </w:tc>
      </w:tr>
      <w:tr>
        <w:trPr/>
        <w:tc>
          <w:tcPr>
            <w:tcW w:w="2461" w:type="dxa"/>
            <w:tcBorders/>
            <w:vAlign w:val="center"/>
          </w:tcPr>
          <w:p>
            <w:pPr>
              <w:pStyle w:val="TableContents"/>
              <w:bidi w:val="0"/>
              <w:spacing w:before="0" w:after="240"/>
              <w:ind w:left="0" w:right="0" w:hanging="0"/>
              <w:jc w:val="center"/>
              <w:rPr/>
            </w:pPr>
            <w:r>
              <w:rPr/>
              <w:t>​</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240"/>
              <w:ind w:left="0" w:right="0" w:hanging="0"/>
              <w:jc w:val="center"/>
              <w:rPr/>
            </w:pPr>
            <w:r>
              <w:rPr/>
              <w:t>​</w:t>
            </w:r>
          </w:p>
        </w:tc>
      </w:tr>
      <w:tr>
        <w:trPr/>
        <w:tc>
          <w:tcPr>
            <w:tcW w:w="2461"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(State or other jurisdiction of</w:t>
            </w:r>
            <w:r>
              <w:rPr>
                <w:rFonts w:ascii="Times New Roman;Times;serif" w:hAnsi="Times New Roman;Times;serif"/>
                <w:sz w:val="14"/>
              </w:rPr>
              <w:br/>
            </w:r>
            <w:r>
              <w:rPr>
                <w:rFonts w:ascii="Times New Roman;Times;serif" w:hAnsi="Times New Roman;Times;serif"/>
                <w:b/>
                <w:sz w:val="14"/>
              </w:rPr>
              <w:t>incorporation or organization)</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642 Newtown Yardley Road, Suite 100</w:t>
            </w:r>
            <w:r>
              <w:rPr>
                <w:rFonts w:ascii="Times New Roman;Times;serif" w:hAnsi="Times New Roman;Times;serif"/>
                <w:sz w:val="14"/>
              </w:rPr>
              <w:br/>
            </w:r>
            <w:r>
              <w:rPr>
                <w:rFonts w:ascii="Times New Roman;Times;serif" w:hAnsi="Times New Roman;Times;serif"/>
                <w:b/>
                <w:sz w:val="14"/>
              </w:rPr>
              <w:t>Newtown, Pennsylvania</w:t>
            </w:r>
            <w:r>
              <w:rPr>
                <w:rFonts w:ascii="Times New Roman;Times;serif" w:hAnsi="Times New Roman;Times;serif"/>
                <w:sz w:val="14"/>
              </w:rPr>
              <w:br/>
            </w:r>
            <w:r>
              <w:rPr>
                <w:rFonts w:ascii="Times New Roman;Times;serif" w:hAnsi="Times New Roman;Times;serif"/>
                <w:b/>
                <w:sz w:val="14"/>
              </w:rPr>
              <w:t xml:space="preserve">(Address of principal executive offices) </w:t>
            </w:r>
          </w:p>
        </w:tc>
        <w:tc>
          <w:tcPr>
            <w:tcW w:w="326" w:type="dxa"/>
            <w:tcBorders/>
            <w:vAlign w:val="center"/>
          </w:tcPr>
          <w:p>
            <w:pPr>
              <w:pStyle w:val="TableContents"/>
              <w:bidi w:val="0"/>
              <w:spacing w:before="0" w:after="240"/>
              <w:ind w:left="0" w:right="0" w:hanging="0"/>
              <w:jc w:val="center"/>
              <w:rPr/>
            </w:pPr>
            <w:r>
              <w:rPr/>
              <w:t>​</w:t>
            </w:r>
          </w:p>
        </w:tc>
        <w:tc>
          <w:tcPr>
            <w:tcW w:w="1246" w:type="dxa"/>
            <w:tcBorders/>
            <w:vAlign w:val="center"/>
          </w:tcPr>
          <w:p>
            <w:pPr>
              <w:pStyle w:val="TableContents"/>
              <w:bidi w:val="0"/>
              <w:spacing w:before="0" w:after="160"/>
              <w:ind w:left="0" w:right="0" w:hanging="0"/>
              <w:jc w:val="center"/>
              <w:rPr>
                <w:rFonts w:ascii="Times New Roman;Times;serif" w:hAnsi="Times New Roman;Times;serif"/>
                <w:sz w:val="14"/>
              </w:rPr>
            </w:pPr>
            <w:r>
              <w:rPr>
                <w:rFonts w:ascii="Times New Roman;Times;serif" w:hAnsi="Times New Roman;Times;serif"/>
                <w:b/>
                <w:sz w:val="14"/>
              </w:rPr>
              <w:t>(I.R.S. Employer</w:t>
            </w:r>
            <w:r>
              <w:rPr>
                <w:rFonts w:ascii="Times New Roman;Times;serif" w:hAnsi="Times New Roman;Times;serif"/>
                <w:sz w:val="14"/>
              </w:rPr>
              <w:br/>
            </w:r>
            <w:r>
              <w:rPr>
                <w:rFonts w:ascii="Times New Roman;Times;serif" w:hAnsi="Times New Roman;Times;serif"/>
                <w:b/>
                <w:sz w:val="14"/>
              </w:rPr>
              <w:t>Identification No.)</w:t>
            </w:r>
          </w:p>
          <w:p>
            <w:pPr>
              <w:pStyle w:val="TableContents"/>
              <w:bidi w:val="0"/>
              <w:spacing w:before="0" w:after="160"/>
              <w:ind w:left="0" w:right="0" w:hanging="0"/>
              <w:jc w:val="center"/>
              <w:rPr>
                <w:rFonts w:ascii="Times New Roman;Times;serif" w:hAnsi="Times New Roman;Times;serif"/>
                <w:b/>
                <w:sz w:val="14"/>
              </w:rPr>
            </w:pPr>
            <w:r>
              <w:rPr>
                <w:rFonts w:ascii="Times New Roman;Times;serif" w:hAnsi="Times New Roman;Times;serif"/>
                <w:b/>
                <w:sz w:val="14"/>
              </w:rPr>
              <w:t>18940</w:t>
            </w:r>
          </w:p>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(215)</w:t>
      </w:r>
      <w:r>
        <w:rPr>
          <w:rFonts w:ascii="Times New Roman;Times;serif" w:hAnsi="Times New Roman;Times;serif"/>
          <w:sz w:val="20"/>
        </w:rPr>
        <w:t xml:space="preserve"> </w:t>
      </w:r>
      <w:r>
        <w:rPr>
          <w:rFonts w:ascii="Times New Roman;Times;serif" w:hAnsi="Times New Roman;Times;serif"/>
          <w:b/>
          <w:sz w:val="14"/>
        </w:rPr>
        <w:t>944-6100</w:t>
      </w:r>
    </w:p>
    <w:p>
      <w:pPr>
        <w:pStyle w:val="TextBody"/>
        <w:bidi w:val="0"/>
        <w:spacing w:before="0" w:after="120"/>
        <w:ind w:left="0" w:right="0" w:hanging="0"/>
        <w:jc w:val="center"/>
        <w:rPr>
          <w:rFonts w:ascii="Times New Roman;Times;serif" w:hAnsi="Times New Roman;Times;serif"/>
          <w:b/>
          <w:sz w:val="14"/>
        </w:rPr>
      </w:pPr>
      <w:r>
        <w:rPr>
          <w:rFonts w:ascii="Times New Roman;Times;serif" w:hAnsi="Times New Roman;Times;serif"/>
          <w:b/>
          <w:sz w:val="14"/>
        </w:rPr>
        <w:t>(Registrant’s telephone number, including area code)</w:t>
      </w:r>
    </w:p>
    <w:p>
      <w:pPr>
        <w:pStyle w:val="TextBody"/>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Normal"/>
        <w:bidi w:val="0"/>
        <w:spacing w:before="0" w:after="0"/>
        <w:jc w:val="left"/>
        <w:rPr>
          <w:sz w:val="4"/>
          <w:szCs w:val="4"/>
        </w:rPr>
      </w:pPr>
      <w:r>
        <w:rPr>
          <w:sz w:val="4"/>
          <w:szCs w:val="4"/>
        </w:rPr>
      </w:r>
      <w:bookmarkStart w:id="18" w:name="Tc_rZqJtXLdxUeb4HMiQkQSxg_2_4"/>
      <w:bookmarkStart w:id="19" w:name="Tc_TVfujJL8o0WCgYDqF79iPQ_2_2"/>
      <w:bookmarkStart w:id="20" w:name="Tc_8XiPtzoQe0C76-M_S0Ocfg_2_0"/>
      <w:bookmarkStart w:id="21" w:name="_7877f930_cae4_4c13_8ffe_69656bfdece0"/>
      <w:bookmarkStart w:id="22" w:name="Tc_rZqJtXLdxUeb4HMiQkQSxg_2_4"/>
      <w:bookmarkStart w:id="23" w:name="Tc_TVfujJL8o0WCgYDqF79iPQ_2_2"/>
      <w:bookmarkStart w:id="24" w:name="Tc_8XiPtzoQe0C76-M_S0Ocfg_2_0"/>
      <w:bookmarkStart w:id="25" w:name="_7877f930_cae4_4c13_8ffe_69656bfdece0"/>
      <w:bookmarkEnd w:id="22"/>
      <w:bookmarkEnd w:id="23"/>
      <w:bookmarkEnd w:id="24"/>
      <w:bookmarkEnd w:id="25"/>
    </w:p>
    <w:tbl>
      <w:tblPr>
        <w:tblW w:w="9385" w:type="dxa"/>
        <w:jc w:val="left"/>
        <w:tblInd w:w="0" w:type="dxa"/>
        <w:tblLayout w:type="fixed"/>
        <w:tblCellMar>
          <w:top w:w="0" w:type="dxa"/>
          <w:left w:w="0" w:type="dxa"/>
          <w:bottom w:w="0" w:type="dxa"/>
          <w:right w:w="0" w:type="dxa"/>
        </w:tblCellMar>
      </w:tblPr>
      <w:tblGrid>
        <w:gridCol w:w="3811"/>
        <w:gridCol w:w="266"/>
        <w:gridCol w:w="1561"/>
        <w:gridCol w:w="266"/>
        <w:gridCol w:w="3481"/>
      </w:tblGrid>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w:t>
            </w:r>
          </w:p>
        </w:tc>
        <w:tc>
          <w:tcPr>
            <w:tcW w:w="3481" w:type="dxa"/>
            <w:tcBorders/>
            <w:vAlign w:val="center"/>
          </w:tcPr>
          <w:p>
            <w:pPr>
              <w:pStyle w:val="TableContents"/>
              <w:bidi w:val="0"/>
              <w:spacing w:before="0" w:after="0"/>
              <w:ind w:left="0" w:right="0" w:hanging="0"/>
              <w:jc w:val="left"/>
              <w:rPr/>
            </w:pPr>
            <w:r>
              <w:rPr/>
              <w:t>​</w:t>
            </w:r>
          </w:p>
        </w:tc>
      </w:tr>
      <w:tr>
        <w:trPr/>
        <w:tc>
          <w:tcPr>
            <w:tcW w:w="3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Title of each class</w:t>
            </w:r>
          </w:p>
        </w:tc>
        <w:tc>
          <w:tcPr>
            <w:tcW w:w="26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Trading Symbol(s)</w:t>
            </w:r>
          </w:p>
        </w:tc>
        <w:tc>
          <w:tcPr>
            <w:tcW w:w="266" w:type="dxa"/>
            <w:tcBorders/>
            <w:vAlign w:val="center"/>
          </w:tcPr>
          <w:p>
            <w:pPr>
              <w:pStyle w:val="TableContents"/>
              <w:bidi w:val="0"/>
              <w:spacing w:before="0" w:after="0"/>
              <w:ind w:left="0" w:right="0" w:hanging="0"/>
              <w:jc w:val="center"/>
              <w:rPr/>
            </w:pPr>
            <w:r>
              <w:rPr/>
              <w:t>   </w:t>
            </w:r>
          </w:p>
        </w:tc>
        <w:tc>
          <w:tcPr>
            <w:tcW w:w="34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Name of each exchange on which registered</w:t>
            </w:r>
          </w:p>
        </w:tc>
      </w:tr>
      <w:tr>
        <w:trPr/>
        <w:tc>
          <w:tcPr>
            <w:tcW w:w="38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$0.001 par value per share</w:t>
            </w:r>
          </w:p>
        </w:tc>
        <w:tc>
          <w:tcPr>
            <w:tcW w:w="266" w:type="dxa"/>
            <w:tcBorders/>
            <w:vAlign w:val="center"/>
          </w:tcPr>
          <w:p>
            <w:pPr>
              <w:pStyle w:val="TableContents"/>
              <w:bidi w:val="0"/>
              <w:spacing w:before="0" w:after="0"/>
              <w:ind w:left="0" w:right="0" w:hanging="0"/>
              <w:jc w:val="center"/>
              <w:rPr/>
            </w:pPr>
            <w:r>
              <w:rPr/>
              <w:t>​</w:t>
            </w:r>
          </w:p>
        </w:tc>
        <w:tc>
          <w:tcPr>
            <w:tcW w:w="1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HSDT</w:t>
            </w:r>
          </w:p>
        </w:tc>
        <w:tc>
          <w:tcPr>
            <w:tcW w:w="266" w:type="dxa"/>
            <w:tcBorders/>
            <w:vAlign w:val="center"/>
          </w:tcPr>
          <w:p>
            <w:pPr>
              <w:pStyle w:val="TableContents"/>
              <w:bidi w:val="0"/>
              <w:spacing w:before="0" w:after="0"/>
              <w:ind w:left="0" w:right="0" w:hanging="0"/>
              <w:jc w:val="center"/>
              <w:rPr/>
            </w:pPr>
            <w:r>
              <w:rPr/>
              <w:t>​</w:t>
            </w:r>
          </w:p>
        </w:tc>
        <w:tc>
          <w:tcPr>
            <w:tcW w:w="348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The Nasdaq Stock Market LLC</w:t>
            </w:r>
          </w:p>
        </w:tc>
      </w:tr>
    </w:tbl>
    <w:p>
      <w:pPr>
        <w:pStyle w:val="TextBody"/>
        <w:bidi w:val="0"/>
        <w:spacing w:before="0" w:after="0"/>
        <w:ind w:left="0" w:right="0" w:hanging="0"/>
        <w:jc w:val="left"/>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120"/>
        <w:ind w:left="0" w:right="0" w:hanging="0"/>
        <w:jc w:val="both"/>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26" w:name="Tc_SXfQ8Z5GsESGpl8hrkyYHg_4_0"/>
      <w:bookmarkStart w:id="27" w:name="Tc_NxXksbHnskSpRtG4DaE1Dg_3_2"/>
      <w:bookmarkStart w:id="28" w:name="Tc_MQjaFFNN0UqORux4vWHssw_3_1"/>
      <w:bookmarkStart w:id="29" w:name="Tc_sS2ye7OvhkiEXMaaYxv4Zw_2_3"/>
      <w:bookmarkStart w:id="30" w:name="Tc_x8--oGQMsESN2THcGhY8iQ_2_2"/>
      <w:bookmarkStart w:id="31" w:name="Tc_HhTf3__xIk2PUwIskZ0qIw_2_1"/>
      <w:bookmarkStart w:id="32" w:name="Tc_UVn-2BH8EkyvXl0z7iLlzA_2_0"/>
      <w:bookmarkStart w:id="33" w:name="_7d256f44_76a3_4314_a5c5_72bde4cb671c"/>
      <w:bookmarkStart w:id="34" w:name="Tc_SXfQ8Z5GsESGpl8hrkyYHg_4_0"/>
      <w:bookmarkStart w:id="35" w:name="Tc_NxXksbHnskSpRtG4DaE1Dg_3_2"/>
      <w:bookmarkStart w:id="36" w:name="Tc_MQjaFFNN0UqORux4vWHssw_3_1"/>
      <w:bookmarkStart w:id="37" w:name="Tc_sS2ye7OvhkiEXMaaYxv4Zw_2_3"/>
      <w:bookmarkStart w:id="38" w:name="Tc_x8--oGQMsESN2THcGhY8iQ_2_2"/>
      <w:bookmarkStart w:id="39" w:name="Tc_HhTf3__xIk2PUwIskZ0qIw_2_1"/>
      <w:bookmarkStart w:id="40" w:name="Tc_UVn-2BH8EkyvXl0z7iLlzA_2_0"/>
      <w:bookmarkStart w:id="41" w:name="_7d256f44_76a3_4314_a5c5_72bde4cb671c"/>
      <w:bookmarkEnd w:id="34"/>
      <w:bookmarkEnd w:id="35"/>
      <w:bookmarkEnd w:id="36"/>
      <w:bookmarkEnd w:id="37"/>
      <w:bookmarkEnd w:id="38"/>
      <w:bookmarkEnd w:id="39"/>
      <w:bookmarkEnd w:id="40"/>
      <w:bookmarkEnd w:id="41"/>
    </w:p>
    <w:tbl>
      <w:tblPr>
        <w:tblW w:w="4759" w:type="dxa"/>
        <w:jc w:val="left"/>
        <w:tblInd w:w="0" w:type="dxa"/>
        <w:tblLayout w:type="fixed"/>
        <w:tblCellMar>
          <w:top w:w="0" w:type="dxa"/>
          <w:left w:w="0" w:type="dxa"/>
          <w:bottom w:w="0" w:type="dxa"/>
          <w:right w:w="0" w:type="dxa"/>
        </w:tblCellMar>
      </w:tblPr>
      <w:tblGrid>
        <w:gridCol w:w="2056"/>
        <w:gridCol w:w="316"/>
        <w:gridCol w:w="2026"/>
        <w:gridCol w:w="361"/>
      </w:tblGrid>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As of August 3, 2023, the registrant had 28,298,446 shares of Class A common stock, $0.001 par value per share, outstanding.</w:t>
      </w:r>
    </w:p>
    <w:p>
      <w:pPr>
        <w:pStyle w:val="TextBody"/>
        <w:bidi w:val="0"/>
        <w:spacing w:before="0" w:after="24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 w:name="_34c3c877_722e_4d63_92dd_630c76ab3f63"/>
      <w:bookmarkEnd w:id="42"/>
      <w:r>
        <w:rPr>
          <w:rFonts w:ascii="Times New Roman;Times;serif" w:hAnsi="Times New Roman;Times;serif"/>
          <w:b/>
          <w:sz w:val="20"/>
        </w:rPr>
        <w:t>HELIUS MEDICAL TECHNOLOGIES, INC.</w:t>
      </w:r>
    </w:p>
    <w:p>
      <w:pPr>
        <w:pStyle w:val="TextBody"/>
        <w:bidi w:val="0"/>
        <w:spacing w:before="0" w:after="240"/>
        <w:ind w:left="0" w:right="0" w:hanging="0"/>
        <w:jc w:val="center"/>
        <w:rPr>
          <w:rFonts w:ascii="Times New Roman;Times;serif" w:hAnsi="Times New Roman;Times;serif"/>
          <w:b/>
          <w:sz w:val="20"/>
        </w:rPr>
      </w:pPr>
      <w:bookmarkStart w:id="43" w:name="TOC"/>
      <w:bookmarkEnd w:id="43"/>
      <w:r>
        <w:rPr>
          <w:rFonts w:ascii="Times New Roman;Times;serif" w:hAnsi="Times New Roman;Times;serif"/>
          <w:b/>
          <w:sz w:val="20"/>
        </w:rPr>
        <w:t>INDEX</w:t>
      </w:r>
    </w:p>
    <w:tbl>
      <w:tblPr>
        <w:tblW w:w="10205" w:type="dxa"/>
        <w:jc w:val="left"/>
        <w:tblInd w:w="0" w:type="dxa"/>
        <w:tblLayout w:type="fixed"/>
        <w:tblCellMar>
          <w:top w:w="0" w:type="dxa"/>
          <w:left w:w="0" w:type="dxa"/>
          <w:bottom w:w="0" w:type="dxa"/>
          <w:right w:w="0" w:type="dxa"/>
        </w:tblCellMar>
      </w:tblPr>
      <w:tblGrid>
        <w:gridCol w:w="976"/>
        <w:gridCol w:w="8868"/>
        <w:gridCol w:w="361"/>
      </w:tblGrid>
      <w:tr>
        <w:trPr/>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19760" cy="175260"/>
                      <wp:effectExtent l="0" t="0" r="0" b="0"/>
                      <wp:wrapNone/>
                      <wp:docPr id="1" name="Frame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31180" cy="175260"/>
                      <wp:effectExtent l="0" t="0" r="0" b="0"/>
                      <wp:wrapNone/>
                      <wp:docPr id="2" name="Frame2"/>
                      <a:graphic xmlns:a="http://schemas.openxmlformats.org/drawingml/2006/main">
                        <a:graphicData uri="http://schemas.microsoft.com/office/word/2010/wordprocessingShape">
                          <wps:wsp>
                            <wps:cNvSpPr txBox="1"/>
                            <wps:spPr>
                              <a:xfrm>
                                <a:off x="0" y="0"/>
                                <a:ext cx="5631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29235" cy="175260"/>
                      <wp:effectExtent l="0" t="0" r="0" b="0"/>
                      <wp:wrapNone/>
                      <wp:docPr id="3" name="Frame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 I.</w:t>
            </w:r>
          </w:p>
        </w:tc>
        <w:tc>
          <w:tcPr>
            <w:tcW w:w="886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Information</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86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Condensed Consolidated Financial Statements</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UnauditedCondensedConsolidatedBalance">
              <w:r>
                <w:rPr>
                  <w:rStyle w:val="InternetLink"/>
                  <w:rFonts w:ascii="Times New Roman;Times;serif" w:hAnsi="Times New Roman;Times;serif"/>
                  <w:b w:val="false"/>
                  <w:i w:val="false"/>
                  <w:caps w:val="false"/>
                  <w:smallCaps w:val="false"/>
                  <w:sz w:val="20"/>
                </w:rPr>
                <w:t>Unaudited Condensed Consolidated Balance Sheets as of June 30, 2023 and December 31,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OperationsandComprehensi">
              <w:r>
                <w:rPr>
                  <w:rStyle w:val="InternetLink"/>
                  <w:rFonts w:ascii="Times New Roman;Times;serif" w:hAnsi="Times New Roman;Times;serif"/>
                  <w:b w:val="false"/>
                  <w:i w:val="false"/>
                  <w:caps w:val="false"/>
                  <w:smallCaps w:val="false"/>
                  <w:sz w:val="20"/>
                </w:rPr>
                <w:t>Unaudited Condensed Consolidated Statements of Operations and Comprehensive Loss for the three and six months ended June 30,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StatementsofStockholdersEquity">
              <w:r>
                <w:rPr>
                  <w:rStyle w:val="InternetLink"/>
                  <w:rFonts w:ascii="Times New Roman;Times;serif" w:hAnsi="Times New Roman;Times;serif"/>
                  <w:b w:val="false"/>
                  <w:i w:val="false"/>
                  <w:caps w:val="false"/>
                  <w:smallCaps w:val="false"/>
                  <w:sz w:val="20"/>
                </w:rPr>
                <w:t>Unaudited Condensed Consolidated Statements of Stockholders’ Equity for the three and six months ended June 30,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ConsolidatedStatementsofCashFlows">
              <w:r>
                <w:rPr>
                  <w:rStyle w:val="InternetLink"/>
                  <w:rFonts w:ascii="Times New Roman;Times;serif" w:hAnsi="Times New Roman;Times;serif"/>
                  <w:b w:val="false"/>
                  <w:i w:val="false"/>
                  <w:caps w:val="false"/>
                  <w:smallCaps w:val="false"/>
                  <w:sz w:val="20"/>
                </w:rPr>
                <w:t>Unaudited Condensed Consolidated Statements of Cash Flows for the six months ended June 30, 2023 and 2022</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ControlsandProcedures_561590">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Part II.</w:t>
              </w:r>
            </w:hyperlink>
          </w:p>
        </w:tc>
        <w:tc>
          <w:tcPr>
            <w:tcW w:w="8868" w:type="dxa"/>
            <w:tcBorders/>
            <w:vAlign w:val="center"/>
          </w:tcPr>
          <w:p>
            <w:pPr>
              <w:pStyle w:val="TableContents"/>
              <w:bidi w:val="0"/>
              <w:spacing w:before="0" w:after="0"/>
              <w:ind w:left="0" w:right="0" w:hanging="0"/>
              <w:jc w:val="left"/>
              <w:rPr/>
            </w:pPr>
            <w:hyperlink w:anchor="PARTIIOTHERINFORMATION_747688">
              <w:r>
                <w:rPr>
                  <w:rStyle w:val="InternetLink"/>
                  <w:rFonts w:ascii="Times New Roman;Times;serif" w:hAnsi="Times New Roman;Times;serif"/>
                  <w:b/>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Item 1.</w:t>
              </w:r>
            </w:hyperlink>
          </w:p>
        </w:tc>
        <w:tc>
          <w:tcPr>
            <w:tcW w:w="8868" w:type="dxa"/>
            <w:tcBorders/>
            <w:vAlign w:val="center"/>
          </w:tcPr>
          <w:p>
            <w:pPr>
              <w:pStyle w:val="TableContents"/>
              <w:bidi w:val="0"/>
              <w:spacing w:before="0" w:after="0"/>
              <w:ind w:left="0" w:right="0" w:hanging="0"/>
              <w:jc w:val="left"/>
              <w:rPr/>
            </w:pPr>
            <w:hyperlink w:anchor="Item1LegalProceedings_648425">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Item 1A.</w:t>
              </w:r>
            </w:hyperlink>
          </w:p>
        </w:tc>
        <w:tc>
          <w:tcPr>
            <w:tcW w:w="8868" w:type="dxa"/>
            <w:tcBorders/>
            <w:vAlign w:val="center"/>
          </w:tcPr>
          <w:p>
            <w:pPr>
              <w:pStyle w:val="TableContents"/>
              <w:bidi w:val="0"/>
              <w:spacing w:before="0" w:after="0"/>
              <w:ind w:left="0" w:right="0" w:hanging="0"/>
              <w:jc w:val="left"/>
              <w:rPr/>
            </w:pPr>
            <w:hyperlink w:anchor="Item1ARiskFactors_328583">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868"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Item 3.</w:t>
              </w:r>
            </w:hyperlink>
          </w:p>
        </w:tc>
        <w:tc>
          <w:tcPr>
            <w:tcW w:w="8868" w:type="dxa"/>
            <w:tcBorders/>
            <w:vAlign w:val="center"/>
          </w:tcPr>
          <w:p>
            <w:pPr>
              <w:pStyle w:val="TableContents"/>
              <w:bidi w:val="0"/>
              <w:spacing w:before="0" w:after="0"/>
              <w:ind w:left="0" w:right="0" w:hanging="0"/>
              <w:jc w:val="left"/>
              <w:rPr/>
            </w:pPr>
            <w:hyperlink w:anchor="Item3DefaultsuponSeniorSecurities_357636">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Item 4.</w:t>
              </w:r>
            </w:hyperlink>
          </w:p>
        </w:tc>
        <w:tc>
          <w:tcPr>
            <w:tcW w:w="8868" w:type="dxa"/>
            <w:tcBorders/>
            <w:vAlign w:val="center"/>
          </w:tcPr>
          <w:p>
            <w:pPr>
              <w:pStyle w:val="TableContents"/>
              <w:bidi w:val="0"/>
              <w:spacing w:before="0" w:after="0"/>
              <w:ind w:left="0" w:right="0" w:hanging="0"/>
              <w:jc w:val="left"/>
              <w:rPr/>
            </w:pPr>
            <w:hyperlink w:anchor="Item4MineSafetyDisclosures_501310">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Item 5.</w:t>
              </w:r>
            </w:hyperlink>
          </w:p>
        </w:tc>
        <w:tc>
          <w:tcPr>
            <w:tcW w:w="8868" w:type="dxa"/>
            <w:tcBorders/>
            <w:vAlign w:val="center"/>
          </w:tcPr>
          <w:p>
            <w:pPr>
              <w:pStyle w:val="TableContents"/>
              <w:bidi w:val="0"/>
              <w:spacing w:before="0" w:after="0"/>
              <w:ind w:left="0" w:right="0" w:hanging="0"/>
              <w:jc w:val="left"/>
              <w:rPr/>
            </w:pPr>
            <w:hyperlink w:anchor="Item5OtherInformation_487176">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Item 6.</w:t>
              </w:r>
            </w:hyperlink>
          </w:p>
        </w:tc>
        <w:tc>
          <w:tcPr>
            <w:tcW w:w="8868" w:type="dxa"/>
            <w:tcBorders/>
            <w:vAlign w:val="center"/>
          </w:tcPr>
          <w:p>
            <w:pPr>
              <w:pStyle w:val="TableContents"/>
              <w:bidi w:val="0"/>
              <w:spacing w:before="0" w:after="0"/>
              <w:ind w:left="0" w:right="0" w:hanging="0"/>
              <w:jc w:val="left"/>
              <w:rPr/>
            </w:pPr>
            <w:hyperlink w:anchor="Item6Exhibits_175156">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976" w:type="dxa"/>
            <w:tcBorders/>
            <w:vAlign w:val="center"/>
          </w:tcPr>
          <w:p>
            <w:pPr>
              <w:pStyle w:val="TableContents"/>
              <w:bidi w:val="0"/>
              <w:spacing w:before="0" w:after="0"/>
              <w:ind w:left="0" w:right="0" w:hanging="0"/>
              <w:jc w:val="left"/>
              <w:rPr/>
            </w:pPr>
            <w:r>
              <w:rPr/>
              <w:t>​</w:t>
            </w:r>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pPr>
            <w:r>
              <w:rPr/>
              <w:t>​</w:t>
            </w:r>
          </w:p>
        </w:tc>
      </w:tr>
      <w:tr>
        <w:trPr/>
        <w:tc>
          <w:tcPr>
            <w:tcW w:w="976" w:type="dxa"/>
            <w:tcBorders/>
            <w:vAlign w:val="center"/>
          </w:tcPr>
          <w:p>
            <w:pPr>
              <w:pStyle w:val="TableContents"/>
              <w:pBdr/>
              <w:bidi w:val="0"/>
              <w:spacing w:before="0" w:after="0"/>
              <w:ind w:left="0" w:right="0" w:hanging="0"/>
              <w:jc w:val="left"/>
              <w:rPr/>
            </w:pPr>
            <w:hyperlink w:anchor="SIGNATURES_395744">
              <w:r>
                <w:rPr>
                  <w:rStyle w:val="InternetLink"/>
                  <w:rFonts w:ascii="Times New Roman;Times;serif" w:hAnsi="Times New Roman;Times;serif"/>
                  <w:b w:val="false"/>
                  <w:i w:val="false"/>
                  <w:caps w:val="false"/>
                  <w:smallCaps w:val="false"/>
                  <w:sz w:val="20"/>
                </w:rPr>
                <w:t>Signatures</w:t>
              </w:r>
            </w:hyperlink>
          </w:p>
        </w:tc>
        <w:tc>
          <w:tcPr>
            <w:tcW w:w="8868"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44" w:name="_1abe5da3_e496_4673_b291_3f908fa2a72c"/>
      <w:bookmarkEnd w:id="44"/>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45" w:name="UnauditedCondensedConsolidatedBalance"/>
      <w:bookmarkEnd w:id="45"/>
      <w:r>
        <w:rPr>
          <w:rFonts w:ascii="Times New Roman;Times;serif" w:hAnsi="Times New Roman;Times;serif"/>
          <w:b/>
          <w:sz w:val="20"/>
        </w:rPr>
        <w:t>Unaudited Condensed Consolidated Balance Sheets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6" w:name="Tc_XgWFmnzvAk6P9IFO_TOVMg_32_5"/>
      <w:bookmarkStart w:id="47" w:name="Tc_SobQKnGiEE6zobzKs-2bhw_32_2"/>
      <w:bookmarkStart w:id="48" w:name="Tc_dobTztzOUEeWaOkXjc8ZOg_32_0"/>
      <w:bookmarkStart w:id="49" w:name="Tc_qAbbrB45SEKKhRBWtVyn3w_31_0"/>
      <w:bookmarkStart w:id="50" w:name="Tc_lPTi_2f4JkCUVyYjdpzf1Q_30_0"/>
      <w:bookmarkStart w:id="51" w:name="Tc_CnfxqsunS0qaYua8bweoRQ_29_0"/>
      <w:bookmarkStart w:id="52" w:name="Tc_QCWTyJX5Kk-GWPYx9inpqA_28_0"/>
      <w:bookmarkStart w:id="53" w:name="Tc_3-hZgVLhLUSERR13ucaPeg_27_0"/>
      <w:bookmarkStart w:id="54" w:name="Tc_D4NIBH2mPkuX9KwNiIOpCw_26_0"/>
      <w:bookmarkStart w:id="55" w:name="Tc_4Mw-z-yDVUewfvHaeEG3MQ_25_0"/>
      <w:bookmarkStart w:id="56" w:name="Tc_citC-abYckyhSqD8yaZhAg_24_0"/>
      <w:bookmarkStart w:id="57" w:name="Tc_cVtrGRgY60C7dVonMZaZWQ_23_0"/>
      <w:bookmarkStart w:id="58" w:name="Tc_hGC8lkMop0CCAIl6n7ME_w_22_0"/>
      <w:bookmarkStart w:id="59" w:name="Tc_8XIFsvikREic8KS_rtuKWA_21_0"/>
      <w:bookmarkStart w:id="60" w:name="Tc_KRKFs5ue6UOPR1ko_dgabA_20_0"/>
      <w:bookmarkStart w:id="61" w:name="Tc_wGzPkD39L02UQ_KV7e_GlQ_19_0"/>
      <w:bookmarkStart w:id="62" w:name="Tc_HH8tHMIhmkSZYuuWh_ltRA_18_0"/>
      <w:bookmarkStart w:id="63" w:name="Tc_FAcGsGilgU6zPVwyUd7jpA_17_0"/>
      <w:bookmarkStart w:id="64" w:name="Tc_ATRJgX3lv0ieJY3-rCJweg_16_5"/>
      <w:bookmarkStart w:id="65" w:name="Tc_7uJ1kIUKGUKtZcbZlJ8l5A_16_2"/>
      <w:bookmarkStart w:id="66" w:name="Tc_RzrATkyVlUOpPIX7GpaOAw_16_0"/>
      <w:bookmarkStart w:id="67" w:name="Tc_FlJhyUKglUC3y2fuJbMDnA_15_0"/>
      <w:bookmarkStart w:id="68" w:name="Tc_xqnvSJulyUO3kAlnuP5chg_14_0"/>
      <w:bookmarkStart w:id="69" w:name="Tc_HC_EpiA2aUqm-e4in5P_Ug_13_5"/>
      <w:bookmarkStart w:id="70" w:name="Tc_W2Gi23MbzUCLdujdEMBgqw_13_2"/>
      <w:bookmarkStart w:id="71" w:name="Tc_p4e0Q1BP7UOfUnAM2NUlpw_13_0"/>
      <w:bookmarkStart w:id="72" w:name="Tc_2miGyX6WM0WeSIzRYgGCfQ_12_0"/>
      <w:bookmarkStart w:id="73" w:name="Tc_ot31Xzs_L0SqkC0lom1Aeg_11_0"/>
      <w:bookmarkStart w:id="74" w:name="Tc_TzCQ092T90aWvqAg35wB8Q_10_0"/>
      <w:bookmarkStart w:id="75" w:name="Tc_DOErkpDu00yA2ba_huu0xg_9_0"/>
      <w:bookmarkStart w:id="76" w:name="Tc_qgWqQ--KxE6gQAmu866bJA_8_0"/>
      <w:bookmarkStart w:id="77" w:name="Tc_eRUNLR4tgUyS2t4Au9rakQ_7_0"/>
      <w:bookmarkStart w:id="78" w:name="Tc_zrfDKeuK30qmyYvtWVv4XQ_6_0"/>
      <w:bookmarkStart w:id="79" w:name="Tc_WetkPrnpIUOdmgxPmiMITQ_5_0"/>
      <w:bookmarkStart w:id="80" w:name="Tc_zVdpp-3dpkyYKN9WUmFs2g_4_5"/>
      <w:bookmarkStart w:id="81" w:name="Tc_IL3l74Dp7k-IpEVKEOALiQ_4_2"/>
      <w:bookmarkStart w:id="82" w:name="Tc_LvOW21vLmE2XDH6QAEDK8A_4_0"/>
      <w:bookmarkStart w:id="83" w:name="Tc_bQS3ljsHK0yuyaYhYYXi9Q_3_0"/>
      <w:bookmarkStart w:id="84" w:name="Tc_sln0Y19rHUe8ia-ir9FXQw_2_0"/>
      <w:bookmarkStart w:id="85" w:name="Tc_Py6FpAZ0s0GUKMZdzi0aZA_1_5"/>
      <w:bookmarkStart w:id="86" w:name="Tc_8yGqPzRSTk-7rj6EIlrkDw_1_2"/>
      <w:bookmarkStart w:id="87" w:name="_e48f6a30_a86c_46ed_89c7_8ba36391284f"/>
      <w:bookmarkStart w:id="88" w:name="Tc_XgWFmnzvAk6P9IFO_TOVMg_32_5"/>
      <w:bookmarkStart w:id="89" w:name="Tc_SobQKnGiEE6zobzKs-2bhw_32_2"/>
      <w:bookmarkStart w:id="90" w:name="Tc_dobTztzOUEeWaOkXjc8ZOg_32_0"/>
      <w:bookmarkStart w:id="91" w:name="Tc_qAbbrB45SEKKhRBWtVyn3w_31_0"/>
      <w:bookmarkStart w:id="92" w:name="Tc_lPTi_2f4JkCUVyYjdpzf1Q_30_0"/>
      <w:bookmarkStart w:id="93" w:name="Tc_CnfxqsunS0qaYua8bweoRQ_29_0"/>
      <w:bookmarkStart w:id="94" w:name="Tc_QCWTyJX5Kk-GWPYx9inpqA_28_0"/>
      <w:bookmarkStart w:id="95" w:name="Tc_3-hZgVLhLUSERR13ucaPeg_27_0"/>
      <w:bookmarkStart w:id="96" w:name="Tc_D4NIBH2mPkuX9KwNiIOpCw_26_0"/>
      <w:bookmarkStart w:id="97" w:name="Tc_4Mw-z-yDVUewfvHaeEG3MQ_25_0"/>
      <w:bookmarkStart w:id="98" w:name="Tc_citC-abYckyhSqD8yaZhAg_24_0"/>
      <w:bookmarkStart w:id="99" w:name="Tc_cVtrGRgY60C7dVonMZaZWQ_23_0"/>
      <w:bookmarkStart w:id="100" w:name="Tc_hGC8lkMop0CCAIl6n7ME_w_22_0"/>
      <w:bookmarkStart w:id="101" w:name="Tc_8XIFsvikREic8KS_rtuKWA_21_0"/>
      <w:bookmarkStart w:id="102" w:name="Tc_KRKFs5ue6UOPR1ko_dgabA_20_0"/>
      <w:bookmarkStart w:id="103" w:name="Tc_wGzPkD39L02UQ_KV7e_GlQ_19_0"/>
      <w:bookmarkStart w:id="104" w:name="Tc_HH8tHMIhmkSZYuuWh_ltRA_18_0"/>
      <w:bookmarkStart w:id="105" w:name="Tc_FAcGsGilgU6zPVwyUd7jpA_17_0"/>
      <w:bookmarkStart w:id="106" w:name="Tc_ATRJgX3lv0ieJY3-rCJweg_16_5"/>
      <w:bookmarkStart w:id="107" w:name="Tc_7uJ1kIUKGUKtZcbZlJ8l5A_16_2"/>
      <w:bookmarkStart w:id="108" w:name="Tc_RzrATkyVlUOpPIX7GpaOAw_16_0"/>
      <w:bookmarkStart w:id="109" w:name="Tc_FlJhyUKglUC3y2fuJbMDnA_15_0"/>
      <w:bookmarkStart w:id="110" w:name="Tc_xqnvSJulyUO3kAlnuP5chg_14_0"/>
      <w:bookmarkStart w:id="111" w:name="Tc_HC_EpiA2aUqm-e4in5P_Ug_13_5"/>
      <w:bookmarkStart w:id="112" w:name="Tc_W2Gi23MbzUCLdujdEMBgqw_13_2"/>
      <w:bookmarkStart w:id="113" w:name="Tc_p4e0Q1BP7UOfUnAM2NUlpw_13_0"/>
      <w:bookmarkStart w:id="114" w:name="Tc_2miGyX6WM0WeSIzRYgGCfQ_12_0"/>
      <w:bookmarkStart w:id="115" w:name="Tc_ot31Xzs_L0SqkC0lom1Aeg_11_0"/>
      <w:bookmarkStart w:id="116" w:name="Tc_TzCQ092T90aWvqAg35wB8Q_10_0"/>
      <w:bookmarkStart w:id="117" w:name="Tc_DOErkpDu00yA2ba_huu0xg_9_0"/>
      <w:bookmarkStart w:id="118" w:name="Tc_qgWqQ--KxE6gQAmu866bJA_8_0"/>
      <w:bookmarkStart w:id="119" w:name="Tc_eRUNLR4tgUyS2t4Au9rakQ_7_0"/>
      <w:bookmarkStart w:id="120" w:name="Tc_zrfDKeuK30qmyYvtWVv4XQ_6_0"/>
      <w:bookmarkStart w:id="121" w:name="Tc_WetkPrnpIUOdmgxPmiMITQ_5_0"/>
      <w:bookmarkStart w:id="122" w:name="Tc_zVdpp-3dpkyYKN9WUmFs2g_4_5"/>
      <w:bookmarkStart w:id="123" w:name="Tc_IL3l74Dp7k-IpEVKEOALiQ_4_2"/>
      <w:bookmarkStart w:id="124" w:name="Tc_LvOW21vLmE2XDH6QAEDK8A_4_0"/>
      <w:bookmarkStart w:id="125" w:name="Tc_bQS3ljsHK0yuyaYhYYXi9Q_3_0"/>
      <w:bookmarkStart w:id="126" w:name="Tc_sln0Y19rHUe8ia-ir9FXQw_2_0"/>
      <w:bookmarkStart w:id="127" w:name="Tc_Py6FpAZ0s0GUKMZdzi0aZA_1_5"/>
      <w:bookmarkStart w:id="128" w:name="Tc_8yGqPzRSTk-7rj6EIlrkDw_1_2"/>
      <w:bookmarkStart w:id="129" w:name="_e48f6a30_a86c_46ed_89c7_8ba36391284f"/>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tbl>
      <w:tblPr>
        <w:tblW w:w="10205" w:type="dxa"/>
        <w:jc w:val="left"/>
        <w:tblInd w:w="0" w:type="dxa"/>
        <w:tblLayout w:type="fixed"/>
        <w:tblCellMar>
          <w:top w:w="0" w:type="dxa"/>
          <w:left w:w="0" w:type="dxa"/>
          <w:bottom w:w="0" w:type="dxa"/>
          <w:right w:w="0" w:type="dxa"/>
        </w:tblCellMar>
      </w:tblPr>
      <w:tblGrid>
        <w:gridCol w:w="6881"/>
        <w:gridCol w:w="326"/>
        <w:gridCol w:w="225"/>
        <w:gridCol w:w="901"/>
        <w:gridCol w:w="326"/>
        <w:gridCol w:w="297"/>
        <w:gridCol w:w="1249"/>
      </w:tblGrid>
      <w:tr>
        <w:trPr/>
        <w:tc>
          <w:tcPr>
            <w:tcW w:w="6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369435" cy="175260"/>
                      <wp:effectExtent l="0" t="0" r="0" b="0"/>
                      <wp:wrapNone/>
                      <wp:docPr id="4" name="Frame4"/>
                      <a:graphic xmlns:a="http://schemas.openxmlformats.org/drawingml/2006/main">
                        <a:graphicData uri="http://schemas.microsoft.com/office/word/2010/wordprocessingShape">
                          <wps:wsp>
                            <wps:cNvSpPr txBox="1"/>
                            <wps:spPr>
                              <a:xfrm>
                                <a:off x="0" y="0"/>
                                <a:ext cx="4369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875" cy="175260"/>
                      <wp:effectExtent l="0" t="0" r="0" b="0"/>
                      <wp:wrapNone/>
                      <wp:docPr id="6" name="Frame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2135" cy="175260"/>
                      <wp:effectExtent l="0" t="0" r="0" b="0"/>
                      <wp:wrapNone/>
                      <wp:docPr id="7" name="Frame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88595" cy="175260"/>
                      <wp:effectExtent l="0" t="0" r="0" b="0"/>
                      <wp:wrapNone/>
                      <wp:docPr id="9" name="Frame9"/>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93115" cy="175260"/>
                      <wp:effectExtent l="0" t="0" r="0" b="0"/>
                      <wp:wrapNone/>
                      <wp:docPr id="10" name="Frame10"/>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68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right"/>
              <w:rPr/>
            </w:pPr>
            <w:r>
              <w:rPr/>
              <w:t>  </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vAlign w:val="center"/>
          </w:tcPr>
          <w:p>
            <w:pPr>
              <w:pStyle w:val="TableContents"/>
              <w:bidi w:val="0"/>
              <w:spacing w:before="0" w:after="0"/>
              <w:ind w:left="0" w:right="0" w:hanging="0"/>
              <w:jc w:val="left"/>
              <w:rPr/>
            </w:pPr>
            <w:r>
              <w:rPr/>
              <w:t> </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right"/>
              <w:rPr/>
            </w:pPr>
            <w:r>
              <w:rPr/>
              <w:t>  </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Accounts receivable, net </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10,265</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16,697</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 net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10,753</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17,287</w:t>
            </w:r>
          </w:p>
        </w:tc>
      </w:tr>
      <w:tr>
        <w:trPr/>
        <w:tc>
          <w:tcPr>
            <w:tcW w:w="6881"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1,280</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1,524</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Derivative liability</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4,473</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6,917</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9,136</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9)</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pPr>
            <w:r>
              <w:rPr/>
              <w:t>​</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pPr>
            <w:r>
              <w:rPr/>
              <w:t>​</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Class A common stock, $0.001 par value; 150,000,000 shares authorized; 28,270,762 and 28,207,330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June 30, 2023 and December 31, 2022, respectively</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160,443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159,618</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(155,249)</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68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26" w:type="dxa"/>
            <w:tcBorders/>
            <w:vAlign w:val="center"/>
          </w:tcPr>
          <w:p>
            <w:pPr>
              <w:pStyle w:val="TableContents"/>
              <w:bidi w:val="0"/>
              <w:spacing w:before="0" w:after="0"/>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4,572</w:t>
            </w:r>
          </w:p>
        </w:tc>
        <w:tc>
          <w:tcPr>
            <w:tcW w:w="326" w:type="dxa"/>
            <w:tcBorders/>
            <w:vAlign w:val="center"/>
          </w:tcPr>
          <w:p>
            <w:pPr>
              <w:pStyle w:val="TableContents"/>
              <w:bidi w:val="0"/>
              <w:spacing w:before="0" w:after="0"/>
              <w:ind w:left="0" w:right="0" w:hanging="0"/>
              <w:jc w:val="left"/>
              <w:rPr/>
            </w:pPr>
            <w:r>
              <w:rPr/>
              <w:t>​</w:t>
            </w:r>
          </w:p>
        </w:tc>
        <w:tc>
          <w:tcPr>
            <w:tcW w:w="29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68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10,753</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17,287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0" w:name="_a673d958_8fc2_4458_ae7b_f9804966c858"/>
      <w:bookmarkEnd w:id="130"/>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131" w:name="StatementsofOperationsandComprehensi"/>
      <w:bookmarkEnd w:id="131"/>
      <w:r>
        <w:rPr>
          <w:rFonts w:ascii="Times New Roman;Times;serif" w:hAnsi="Times New Roman;Times;serif"/>
          <w:b/>
          <w:sz w:val="20"/>
        </w:rPr>
        <w:t>Unaudited Condensed Consolidated Statements of Operations and Comprehensive Loss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32" w:name="Tc_rMr5oZrpD0SNZq9qmyL8bA_34_0"/>
      <w:bookmarkStart w:id="133" w:name="Tc_RdOh5zMn_EGBJl-Xgaa8hw_33_0"/>
      <w:bookmarkStart w:id="134" w:name="Tc_loNfu2cSvUOeGUdTIcdDyQ_32_0"/>
      <w:bookmarkStart w:id="135" w:name="Tc_XpgCpRo5iEqIY0niMXmIiQ_31_11"/>
      <w:bookmarkStart w:id="136" w:name="Tc_OyGvHDXkuEew8q5PsYe65Q_31_8"/>
      <w:bookmarkStart w:id="137" w:name="Tc_6YJxQcNZ0UeNxoRwwI-u2g_31_5"/>
      <w:bookmarkStart w:id="138" w:name="Tc_dOo1E0C5uUSsVz2w9Mp4Dw_31_2"/>
      <w:bookmarkStart w:id="139" w:name="Tc_sHz9uRO-tU2YA9oaeLDzrA_31_0"/>
      <w:bookmarkStart w:id="140" w:name="Tc_rbyGtt9vLU6qd5x-gI1RWg_30_11"/>
      <w:bookmarkStart w:id="141" w:name="Tc_1wKyHaXLlE-yCkzdgQHyKw_30_8"/>
      <w:bookmarkStart w:id="142" w:name="Tc_0q-rsa1tUEaBIBPx7bQ4-A_30_5"/>
      <w:bookmarkStart w:id="143" w:name="Tc_edqGLbGTLEKpRIq0pMVzsg_30_2"/>
      <w:bookmarkStart w:id="144" w:name="Tc_1MYR1a4WFkqV0vcEDBQxNw_30_0"/>
      <w:bookmarkStart w:id="145" w:name="Tc_zIwwzHA9N0eV0sI8vSWLlg_29_0"/>
      <w:bookmarkStart w:id="146" w:name="Tc_rJBgJUwIv0mmVsBAVnraXA_28_11"/>
      <w:bookmarkStart w:id="147" w:name="Tc_JnBglWZ270ujAl5n0icvCg_28_8"/>
      <w:bookmarkStart w:id="148" w:name="Tc_40mSE1xk7EufWTMtltzofw_28_5"/>
      <w:bookmarkStart w:id="149" w:name="Tc_W7sjeKoOAESXaHDYxgzpwA_28_2"/>
      <w:bookmarkStart w:id="150" w:name="Tc_vglqRA5A8Uu9PS179WROCQ_28_0"/>
      <w:bookmarkStart w:id="151" w:name="Tc_809KKUzcVEuqlDGyqV0ExA_27_0"/>
      <w:bookmarkStart w:id="152" w:name="Tc_MdRwFLDNY0OkkeI_u7M3Uw_26_0"/>
      <w:bookmarkStart w:id="153" w:name="Tc_GvZrGzDyZ0Knm-xD3jRfrg_25_0"/>
      <w:bookmarkStart w:id="154" w:name="Tc_-SUVkeKynk-yTrxjXhob2w_24_0"/>
      <w:bookmarkStart w:id="155" w:name="Tc_cU3jrJJ0SUeSLKWPng9QiQ_23_0"/>
      <w:bookmarkStart w:id="156" w:name="Tc_9yU5Y1bqQkySvbwQJ01ErQ_22_0"/>
      <w:bookmarkStart w:id="157" w:name="Tc_R1Zxgq_qNU67uSUuGlSgwQ_21_9"/>
      <w:bookmarkStart w:id="158" w:name="Tc_fy65oVRhTUqZKdzuqeC0KA_21_6"/>
      <w:bookmarkStart w:id="159" w:name="Tc_nVBVd7GDXUOVdWRqUVEdlw_21_3"/>
      <w:bookmarkStart w:id="160" w:name="Tc_kt2YhI94gEO5HA-3JwBOkw_21_0"/>
      <w:bookmarkStart w:id="161" w:name="Tc_jWQNjwjWcEC0p6b5dkIjzQ_20_0"/>
      <w:bookmarkStart w:id="162" w:name="Tc_c58KQVo73EeKLCQhNmxk2A_19_12"/>
      <w:bookmarkStart w:id="163" w:name="Tc_gSm-YBkqsUuXlRGrZfZKXw_19_6"/>
      <w:bookmarkStart w:id="164" w:name="Tc_og0ZjSLi-EKhC7ESgoMaig_19_0"/>
      <w:bookmarkStart w:id="165" w:name="Tc_Kf2SoQEx8UWOO3ZJleSayQ_18_12"/>
      <w:bookmarkStart w:id="166" w:name="Tc_XMSvrb_t8k65hhp6ccA4MQ_18_6"/>
      <w:bookmarkStart w:id="167" w:name="Tc_wxB8JyP7mESifr_t1TOwIA_18_0"/>
      <w:bookmarkStart w:id="168" w:name="Tc_UuTtJJJTME6g37ucQcXUKA_17_0"/>
      <w:bookmarkStart w:id="169" w:name="Tc_pfwFy_zKb0iLBWOWTi3gTA_16_0"/>
      <w:bookmarkStart w:id="170" w:name="Tc_M6ZEvSwzVkiPVZSyWg_lJg_15_0"/>
      <w:bookmarkStart w:id="171" w:name="Tc_WB7sXziZe0Owz8JjIt5CTw_14_0"/>
      <w:bookmarkStart w:id="172" w:name="Tc_E9jNampQik-6rju-_YVGPQ_13_0"/>
      <w:bookmarkStart w:id="173" w:name="Tc_5CyRovodw0eLVwHR036yCA_12_0"/>
      <w:bookmarkStart w:id="174" w:name="Tc_crZJxBUa0kW7JtBpcMAGug_11_0"/>
      <w:bookmarkStart w:id="175" w:name="Tc_SDd4h7IRVkmKxM7PczARiQ_10_0"/>
      <w:bookmarkStart w:id="176" w:name="Tc_lE3GYnMcMkKtxo_Odv4RrQ_8_0"/>
      <w:bookmarkStart w:id="177" w:name="Tc_lJkssQH3Uk-rwEpC9ZDf-A_7_6"/>
      <w:bookmarkStart w:id="178" w:name="Tc_9hU8_aXxKUeTjJF4vKpE8A_7_0"/>
      <w:bookmarkStart w:id="179" w:name="Tc_U3WluT-IxkW31x3ABDS47g_6_11"/>
      <w:bookmarkStart w:id="180" w:name="Tc_iUVaEYobpUq8fatgyNoL_A_6_8"/>
      <w:bookmarkStart w:id="181" w:name="Tc_GYFU7SoOGUew7glJU3WUPA_6_5"/>
      <w:bookmarkStart w:id="182" w:name="Tc_NwwaVLfgTku7YZe8DVswQg_6_2"/>
      <w:bookmarkStart w:id="183" w:name="Tc_6jeyVS34H02AZyeKQeWFOw_5_0"/>
      <w:bookmarkStart w:id="184" w:name="Tc_43V1WpDRb0C0-m2rTPlDmw_3_11"/>
      <w:bookmarkStart w:id="185" w:name="Tc_LVDCZYsPXUOJpsMsIiL7Qw_3_8"/>
      <w:bookmarkStart w:id="186" w:name="Tc__LmUkLPzYkacU_0eYCZ9-g_3_5"/>
      <w:bookmarkStart w:id="187" w:name="Tc_4U4TH0fMD0WAAed84E1IBA_3_2"/>
      <w:bookmarkStart w:id="188" w:name="Tc_Bg7UcU-KbkK0ZRAedhvubA_2_8"/>
      <w:bookmarkStart w:id="189" w:name="Tc_Bi56-b-TXEeerDhPCvV-sQ_2_2"/>
      <w:bookmarkStart w:id="190" w:name="Tc_in5KBeCNwUiJuVpxisxogg_1_8"/>
      <w:bookmarkStart w:id="191" w:name="Tc_MV6s_dmaDUeLbWAbxnSiOg_1_2"/>
      <w:bookmarkStart w:id="192" w:name="_c0fb68e0_bef2_477c_8aff_5e73db344d49"/>
      <w:bookmarkStart w:id="193" w:name="Tc_rMr5oZrpD0SNZq9qmyL8bA_34_0"/>
      <w:bookmarkStart w:id="194" w:name="Tc_RdOh5zMn_EGBJl-Xgaa8hw_33_0"/>
      <w:bookmarkStart w:id="195" w:name="Tc_loNfu2cSvUOeGUdTIcdDyQ_32_0"/>
      <w:bookmarkStart w:id="196" w:name="Tc_XpgCpRo5iEqIY0niMXmIiQ_31_11"/>
      <w:bookmarkStart w:id="197" w:name="Tc_OyGvHDXkuEew8q5PsYe65Q_31_8"/>
      <w:bookmarkStart w:id="198" w:name="Tc_6YJxQcNZ0UeNxoRwwI-u2g_31_5"/>
      <w:bookmarkStart w:id="199" w:name="Tc_dOo1E0C5uUSsVz2w9Mp4Dw_31_2"/>
      <w:bookmarkStart w:id="200" w:name="Tc_sHz9uRO-tU2YA9oaeLDzrA_31_0"/>
      <w:bookmarkStart w:id="201" w:name="Tc_rbyGtt9vLU6qd5x-gI1RWg_30_11"/>
      <w:bookmarkStart w:id="202" w:name="Tc_1wKyHaXLlE-yCkzdgQHyKw_30_8"/>
      <w:bookmarkStart w:id="203" w:name="Tc_0q-rsa1tUEaBIBPx7bQ4-A_30_5"/>
      <w:bookmarkStart w:id="204" w:name="Tc_edqGLbGTLEKpRIq0pMVzsg_30_2"/>
      <w:bookmarkStart w:id="205" w:name="Tc_1MYR1a4WFkqV0vcEDBQxNw_30_0"/>
      <w:bookmarkStart w:id="206" w:name="Tc_zIwwzHA9N0eV0sI8vSWLlg_29_0"/>
      <w:bookmarkStart w:id="207" w:name="Tc_rJBgJUwIv0mmVsBAVnraXA_28_11"/>
      <w:bookmarkStart w:id="208" w:name="Tc_JnBglWZ270ujAl5n0icvCg_28_8"/>
      <w:bookmarkStart w:id="209" w:name="Tc_40mSE1xk7EufWTMtltzofw_28_5"/>
      <w:bookmarkStart w:id="210" w:name="Tc_W7sjeKoOAESXaHDYxgzpwA_28_2"/>
      <w:bookmarkStart w:id="211" w:name="Tc_vglqRA5A8Uu9PS179WROCQ_28_0"/>
      <w:bookmarkStart w:id="212" w:name="Tc_809KKUzcVEuqlDGyqV0ExA_27_0"/>
      <w:bookmarkStart w:id="213" w:name="Tc_MdRwFLDNY0OkkeI_u7M3Uw_26_0"/>
      <w:bookmarkStart w:id="214" w:name="Tc_GvZrGzDyZ0Knm-xD3jRfrg_25_0"/>
      <w:bookmarkStart w:id="215" w:name="Tc_-SUVkeKynk-yTrxjXhob2w_24_0"/>
      <w:bookmarkStart w:id="216" w:name="Tc_cU3jrJJ0SUeSLKWPng9QiQ_23_0"/>
      <w:bookmarkStart w:id="217" w:name="Tc_9yU5Y1bqQkySvbwQJ01ErQ_22_0"/>
      <w:bookmarkStart w:id="218" w:name="Tc_R1Zxgq_qNU67uSUuGlSgwQ_21_9"/>
      <w:bookmarkStart w:id="219" w:name="Tc_fy65oVRhTUqZKdzuqeC0KA_21_6"/>
      <w:bookmarkStart w:id="220" w:name="Tc_nVBVd7GDXUOVdWRqUVEdlw_21_3"/>
      <w:bookmarkStart w:id="221" w:name="Tc_kt2YhI94gEO5HA-3JwBOkw_21_0"/>
      <w:bookmarkStart w:id="222" w:name="Tc_jWQNjwjWcEC0p6b5dkIjzQ_20_0"/>
      <w:bookmarkStart w:id="223" w:name="Tc_c58KQVo73EeKLCQhNmxk2A_19_12"/>
      <w:bookmarkStart w:id="224" w:name="Tc_gSm-YBkqsUuXlRGrZfZKXw_19_6"/>
      <w:bookmarkStart w:id="225" w:name="Tc_og0ZjSLi-EKhC7ESgoMaig_19_0"/>
      <w:bookmarkStart w:id="226" w:name="Tc_Kf2SoQEx8UWOO3ZJleSayQ_18_12"/>
      <w:bookmarkStart w:id="227" w:name="Tc_XMSvrb_t8k65hhp6ccA4MQ_18_6"/>
      <w:bookmarkStart w:id="228" w:name="Tc_wxB8JyP7mESifr_t1TOwIA_18_0"/>
      <w:bookmarkStart w:id="229" w:name="Tc_UuTtJJJTME6g37ucQcXUKA_17_0"/>
      <w:bookmarkStart w:id="230" w:name="Tc_pfwFy_zKb0iLBWOWTi3gTA_16_0"/>
      <w:bookmarkStart w:id="231" w:name="Tc_M6ZEvSwzVkiPVZSyWg_lJg_15_0"/>
      <w:bookmarkStart w:id="232" w:name="Tc_WB7sXziZe0Owz8JjIt5CTw_14_0"/>
      <w:bookmarkStart w:id="233" w:name="Tc_E9jNampQik-6rju-_YVGPQ_13_0"/>
      <w:bookmarkStart w:id="234" w:name="Tc_5CyRovodw0eLVwHR036yCA_12_0"/>
      <w:bookmarkStart w:id="235" w:name="Tc_crZJxBUa0kW7JtBpcMAGug_11_0"/>
      <w:bookmarkStart w:id="236" w:name="Tc_SDd4h7IRVkmKxM7PczARiQ_10_0"/>
      <w:bookmarkStart w:id="237" w:name="Tc_lE3GYnMcMkKtxo_Odv4RrQ_8_0"/>
      <w:bookmarkStart w:id="238" w:name="Tc_lJkssQH3Uk-rwEpC9ZDf-A_7_6"/>
      <w:bookmarkStart w:id="239" w:name="Tc_9hU8_aXxKUeTjJF4vKpE8A_7_0"/>
      <w:bookmarkStart w:id="240" w:name="Tc_U3WluT-IxkW31x3ABDS47g_6_11"/>
      <w:bookmarkStart w:id="241" w:name="Tc_iUVaEYobpUq8fatgyNoL_A_6_8"/>
      <w:bookmarkStart w:id="242" w:name="Tc_GYFU7SoOGUew7glJU3WUPA_6_5"/>
      <w:bookmarkStart w:id="243" w:name="Tc_NwwaVLfgTku7YZe8DVswQg_6_2"/>
      <w:bookmarkStart w:id="244" w:name="Tc_6jeyVS34H02AZyeKQeWFOw_5_0"/>
      <w:bookmarkStart w:id="245" w:name="Tc_43V1WpDRb0C0-m2rTPlDmw_3_11"/>
      <w:bookmarkStart w:id="246" w:name="Tc_LVDCZYsPXUOJpsMsIiL7Qw_3_8"/>
      <w:bookmarkStart w:id="247" w:name="Tc__LmUkLPzYkacU_0eYCZ9-g_3_5"/>
      <w:bookmarkStart w:id="248" w:name="Tc_4U4TH0fMD0WAAed84E1IBA_3_2"/>
      <w:bookmarkStart w:id="249" w:name="Tc_Bg7UcU-KbkK0ZRAedhvubA_2_8"/>
      <w:bookmarkStart w:id="250" w:name="Tc_Bi56-b-TXEeerDhPCvV-sQ_2_2"/>
      <w:bookmarkStart w:id="251" w:name="Tc_in5KBeCNwUiJuVpxisxogg_1_8"/>
      <w:bookmarkStart w:id="252" w:name="Tc_MV6s_dmaDUeLbWAbxnSiOg_1_2"/>
      <w:bookmarkStart w:id="253" w:name="_c0fb68e0_bef2_477c_8aff_5e73db344d49"/>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tbl>
      <w:tblPr>
        <w:tblW w:w="10205" w:type="dxa"/>
        <w:jc w:val="left"/>
        <w:tblInd w:w="0" w:type="dxa"/>
        <w:tblLayout w:type="fixed"/>
        <w:tblCellMar>
          <w:top w:w="0" w:type="dxa"/>
          <w:left w:w="0" w:type="dxa"/>
          <w:bottom w:w="0" w:type="dxa"/>
          <w:right w:w="0" w:type="dxa"/>
        </w:tblCellMar>
      </w:tblPr>
      <w:tblGrid>
        <w:gridCol w:w="4018"/>
        <w:gridCol w:w="326"/>
        <w:gridCol w:w="211"/>
        <w:gridCol w:w="1036"/>
        <w:gridCol w:w="326"/>
        <w:gridCol w:w="211"/>
        <w:gridCol w:w="931"/>
        <w:gridCol w:w="326"/>
        <w:gridCol w:w="211"/>
        <w:gridCol w:w="1036"/>
        <w:gridCol w:w="326"/>
        <w:gridCol w:w="211"/>
        <w:gridCol w:w="1036"/>
      </w:tblGrid>
      <w:tr>
        <w:trPr/>
        <w:tc>
          <w:tcPr>
            <w:tcW w:w="40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51430" cy="175260"/>
                      <wp:effectExtent l="0" t="0" r="0" b="0"/>
                      <wp:wrapNone/>
                      <wp:docPr id="11" name="Frame11"/>
                      <a:graphic xmlns:a="http://schemas.openxmlformats.org/drawingml/2006/main">
                        <a:graphicData uri="http://schemas.microsoft.com/office/word/2010/wordprocessingShape">
                          <wps:wsp>
                            <wps:cNvSpPr txBox="1"/>
                            <wps:spPr>
                              <a:xfrm>
                                <a:off x="0" y="0"/>
                                <a:ext cx="2551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57860" cy="175260"/>
                      <wp:effectExtent l="0" t="0" r="0" b="0"/>
                      <wp:wrapNone/>
                      <wp:docPr id="14" name="Frame1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91185" cy="175260"/>
                      <wp:effectExtent l="0" t="0" r="0" b="0"/>
                      <wp:wrapNone/>
                      <wp:docPr id="17" name="Frame1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57860" cy="175260"/>
                      <wp:effectExtent l="0" t="0" r="0" b="0"/>
                      <wp:wrapNone/>
                      <wp:docPr id="20" name="Frame2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57860" cy="175260"/>
                      <wp:effectExtent l="0" t="0" r="0" b="0"/>
                      <wp:wrapNone/>
                      <wp:docPr id="23" name="Frame2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0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5,280</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8,091</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(8,007)</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 average number of common shares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0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28,219,824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3,928,704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28,216,641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3,858,676</w:t>
            </w:r>
          </w:p>
        </w:tc>
      </w:tr>
      <w:tr>
        <w:trPr/>
        <w:tc>
          <w:tcPr>
            <w:tcW w:w="40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28,219,824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3,928,704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28,216,641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3,858,676</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54" w:name="_e16c5d1f_76f8_4dbc_8f4c_51d4d72f47ca"/>
      <w:bookmarkEnd w:id="254"/>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255" w:name="StatementsofStockholdersEquity"/>
      <w:bookmarkEnd w:id="255"/>
      <w:r>
        <w:rPr>
          <w:rFonts w:ascii="Times New Roman;Times;serif" w:hAnsi="Times New Roman;Times;serif"/>
          <w:b/>
          <w:sz w:val="20"/>
        </w:rPr>
        <w:t xml:space="preserve">Unaudited Condensed Consolidated Statements of Stockholders’ Equity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6" w:name="Tc_fS8Bn2sehkSEV_gBLOo1wA_10_16"/>
      <w:bookmarkStart w:id="257" w:name="Tc_5tet3seYpUm33j6qt8t-YA_10_13"/>
      <w:bookmarkStart w:id="258" w:name="Tc_ObRpD4McWUmecIwz-qNdJA_10_10"/>
      <w:bookmarkStart w:id="259" w:name="Tc_DH3piwWFzk2i4QnL9dXSmw_10_7"/>
      <w:bookmarkStart w:id="260" w:name="Tc_pDQgzaR9pEqCRF6XSLyAJg_10_4"/>
      <w:bookmarkStart w:id="261" w:name="Tc_d5pMZOWTZkaf27YKs75BLQ_10_0"/>
      <w:bookmarkStart w:id="262" w:name="Tc_OAPBfIda402N4vgHkiTr0A_9_14"/>
      <w:bookmarkStart w:id="263" w:name="Tc_tfsbYzgr20eBZyI3kkIJ2Q_9_8"/>
      <w:bookmarkStart w:id="264" w:name="Tc_DbPyzbuhWkGH8BYIXB_I6A_9_5"/>
      <w:bookmarkStart w:id="265" w:name="Tc__kG9DOogzE-dLYkrAFrrog_9_2"/>
      <w:bookmarkStart w:id="266" w:name="Tc_fZyJKIgG3EiMrURGR-P2MQ_9_0"/>
      <w:bookmarkStart w:id="267" w:name="Tc_3R5awSoKEUOetZwn_13xAA_8_11"/>
      <w:bookmarkStart w:id="268" w:name="Tc_tYmOZc5LdEa7qYiGxAvx4w_8_8"/>
      <w:bookmarkStart w:id="269" w:name="Tc_PnphYqvit0uVQfBD4mKs1A_8_5"/>
      <w:bookmarkStart w:id="270" w:name="Tc_DYVhEBnUf0SRF0nFRZB71A_8_2"/>
      <w:bookmarkStart w:id="271" w:name="Tc_iFrYUEJfh06Qx3w3poFxGA_8_0"/>
      <w:bookmarkStart w:id="272" w:name="Tc_FFtVELbbt0GVEauhW6j5Bg_7_14"/>
      <w:bookmarkStart w:id="273" w:name="Tc_Bb-5mPW03kKYsYt4Osl4ww_7_11"/>
      <w:bookmarkStart w:id="274" w:name="Tc_kTeXRW1ERkmafno-6Ix0OA_7_5"/>
      <w:bookmarkStart w:id="275" w:name="Tc_mppiH5VlK0uXcwllQ0U1nw_7_2"/>
      <w:bookmarkStart w:id="276" w:name="Tc_KGSN4nev20SffEq3rnHXeA_7_0"/>
      <w:bookmarkStart w:id="277" w:name="Tc_57HjoQCaqUOX0Kvy-qmr-Q_6_17"/>
      <w:bookmarkStart w:id="278" w:name="Tc_-SiEV-xmO0CyuoM4mIONtg_6_14"/>
      <w:bookmarkStart w:id="279" w:name="Tc_7Jmj1Rt4zUSWGEOGg5i--A_6_11"/>
      <w:bookmarkStart w:id="280" w:name="Tc_P1GDts7sV0GHnDY3BdQeCQ_6_8"/>
      <w:bookmarkStart w:id="281" w:name="Tc_E-n6rWzjzkKkbdgXgyRjEg_6_5"/>
      <w:bookmarkStart w:id="282" w:name="Tc_dLB1K38bv0Oj3fFCudy1og_6_0"/>
      <w:bookmarkStart w:id="283" w:name="Tc_U0wc-m7ewE-wxef83o8SGQ_5_16"/>
      <w:bookmarkStart w:id="284" w:name="Tc_qaEE7nxz2UeNMvndmOzwDQ_5_13"/>
      <w:bookmarkStart w:id="285" w:name="Tc_kpMpFsHqrEaSBNPPG89BOw_5_10"/>
      <w:bookmarkStart w:id="286" w:name="Tc_yAovsGxhvk6oiLrCl5jTvg_5_7"/>
      <w:bookmarkStart w:id="287" w:name="Tc_jMrDvhiq7kKCXLuD6MgGcw_5_4"/>
      <w:bookmarkStart w:id="288" w:name="Tc_nO2QwAYrQ0aht_aXRZG-vA_5_0"/>
      <w:bookmarkStart w:id="289" w:name="Tc_IdjWOVY-VUaVCTrtHCaomQ_4_16"/>
      <w:bookmarkStart w:id="290" w:name="Tc_176t5Xiba0OZ6TJrrrm72Q_4_13"/>
      <w:bookmarkStart w:id="291" w:name="Tc_yc6M1E4pUU6pYW1s5Z25Uw_4_10"/>
      <w:bookmarkStart w:id="292" w:name="Tc_OhROxxoML0yuZNhr7kacLA_4_7"/>
      <w:bookmarkStart w:id="293" w:name="Tc_k8FJ8JF6AEKbsuPuurqvyw_4_4"/>
      <w:bookmarkStart w:id="294" w:name="Tc_Agfbhnjx8kuZo8iun7o9Pw_4_2"/>
      <w:bookmarkStart w:id="295" w:name="Tc_gce9VtIlMEWqxXmwx7UCMg_3_13"/>
      <w:bookmarkStart w:id="296" w:name="Tc_IFOCY_c5e0WUy2rudq1Cxg_3_10"/>
      <w:bookmarkStart w:id="297" w:name="Tc_z2qopbkz0ESxLDSggFTQLg_3_7"/>
      <w:bookmarkStart w:id="298" w:name="Tc_sTeb-eY4MUqOjnAobwA_Eg_3_2"/>
      <w:bookmarkStart w:id="299" w:name="Tc_U0eIrWrp8kOuoUmG68e9iw_2_13"/>
      <w:bookmarkStart w:id="300" w:name="Tc_4X27dRgYhUWZtvpyFVqJeQ_2_7"/>
      <w:bookmarkStart w:id="301" w:name="Tc_0Woa0EoxrEiguVBo9l3qGg_1_13"/>
      <w:bookmarkStart w:id="302" w:name="_55cfef70_f04f_4376_b6a5_561902094a70"/>
      <w:bookmarkStart w:id="303" w:name="Tc_fS8Bn2sehkSEV_gBLOo1wA_10_16"/>
      <w:bookmarkStart w:id="304" w:name="Tc_5tet3seYpUm33j6qt8t-YA_10_13"/>
      <w:bookmarkStart w:id="305" w:name="Tc_ObRpD4McWUmecIwz-qNdJA_10_10"/>
      <w:bookmarkStart w:id="306" w:name="Tc_DH3piwWFzk2i4QnL9dXSmw_10_7"/>
      <w:bookmarkStart w:id="307" w:name="Tc_pDQgzaR9pEqCRF6XSLyAJg_10_4"/>
      <w:bookmarkStart w:id="308" w:name="Tc_d5pMZOWTZkaf27YKs75BLQ_10_0"/>
      <w:bookmarkStart w:id="309" w:name="Tc_OAPBfIda402N4vgHkiTr0A_9_14"/>
      <w:bookmarkStart w:id="310" w:name="Tc_tfsbYzgr20eBZyI3kkIJ2Q_9_8"/>
      <w:bookmarkStart w:id="311" w:name="Tc_DbPyzbuhWkGH8BYIXB_I6A_9_5"/>
      <w:bookmarkStart w:id="312" w:name="Tc__kG9DOogzE-dLYkrAFrrog_9_2"/>
      <w:bookmarkStart w:id="313" w:name="Tc_fZyJKIgG3EiMrURGR-P2MQ_9_0"/>
      <w:bookmarkStart w:id="314" w:name="Tc_3R5awSoKEUOetZwn_13xAA_8_11"/>
      <w:bookmarkStart w:id="315" w:name="Tc_tYmOZc5LdEa7qYiGxAvx4w_8_8"/>
      <w:bookmarkStart w:id="316" w:name="Tc_PnphYqvit0uVQfBD4mKs1A_8_5"/>
      <w:bookmarkStart w:id="317" w:name="Tc_DYVhEBnUf0SRF0nFRZB71A_8_2"/>
      <w:bookmarkStart w:id="318" w:name="Tc_iFrYUEJfh06Qx3w3poFxGA_8_0"/>
      <w:bookmarkStart w:id="319" w:name="Tc_FFtVELbbt0GVEauhW6j5Bg_7_14"/>
      <w:bookmarkStart w:id="320" w:name="Tc_Bb-5mPW03kKYsYt4Osl4ww_7_11"/>
      <w:bookmarkStart w:id="321" w:name="Tc_kTeXRW1ERkmafno-6Ix0OA_7_5"/>
      <w:bookmarkStart w:id="322" w:name="Tc_mppiH5VlK0uXcwllQ0U1nw_7_2"/>
      <w:bookmarkStart w:id="323" w:name="Tc_KGSN4nev20SffEq3rnHXeA_7_0"/>
      <w:bookmarkStart w:id="324" w:name="Tc_57HjoQCaqUOX0Kvy-qmr-Q_6_17"/>
      <w:bookmarkStart w:id="325" w:name="Tc_-SiEV-xmO0CyuoM4mIONtg_6_14"/>
      <w:bookmarkStart w:id="326" w:name="Tc_7Jmj1Rt4zUSWGEOGg5i--A_6_11"/>
      <w:bookmarkStart w:id="327" w:name="Tc_P1GDts7sV0GHnDY3BdQeCQ_6_8"/>
      <w:bookmarkStart w:id="328" w:name="Tc_E-n6rWzjzkKkbdgXgyRjEg_6_5"/>
      <w:bookmarkStart w:id="329" w:name="Tc_dLB1K38bv0Oj3fFCudy1og_6_0"/>
      <w:bookmarkStart w:id="330" w:name="Tc_U0wc-m7ewE-wxef83o8SGQ_5_16"/>
      <w:bookmarkStart w:id="331" w:name="Tc_qaEE7nxz2UeNMvndmOzwDQ_5_13"/>
      <w:bookmarkStart w:id="332" w:name="Tc_kpMpFsHqrEaSBNPPG89BOw_5_10"/>
      <w:bookmarkStart w:id="333" w:name="Tc_yAovsGxhvk6oiLrCl5jTvg_5_7"/>
      <w:bookmarkStart w:id="334" w:name="Tc_jMrDvhiq7kKCXLuD6MgGcw_5_4"/>
      <w:bookmarkStart w:id="335" w:name="Tc_nO2QwAYrQ0aht_aXRZG-vA_5_0"/>
      <w:bookmarkStart w:id="336" w:name="Tc_IdjWOVY-VUaVCTrtHCaomQ_4_16"/>
      <w:bookmarkStart w:id="337" w:name="Tc_176t5Xiba0OZ6TJrrrm72Q_4_13"/>
      <w:bookmarkStart w:id="338" w:name="Tc_yc6M1E4pUU6pYW1s5Z25Uw_4_10"/>
      <w:bookmarkStart w:id="339" w:name="Tc_OhROxxoML0yuZNhr7kacLA_4_7"/>
      <w:bookmarkStart w:id="340" w:name="Tc_k8FJ8JF6AEKbsuPuurqvyw_4_4"/>
      <w:bookmarkStart w:id="341" w:name="Tc_Agfbhnjx8kuZo8iun7o9Pw_4_2"/>
      <w:bookmarkStart w:id="342" w:name="Tc_gce9VtIlMEWqxXmwx7UCMg_3_13"/>
      <w:bookmarkStart w:id="343" w:name="Tc_IFOCY_c5e0WUy2rudq1Cxg_3_10"/>
      <w:bookmarkStart w:id="344" w:name="Tc_z2qopbkz0ESxLDSggFTQLg_3_7"/>
      <w:bookmarkStart w:id="345" w:name="Tc_sTeb-eY4MUqOjnAobwA_Eg_3_2"/>
      <w:bookmarkStart w:id="346" w:name="Tc_U0eIrWrp8kOuoUmG68e9iw_2_13"/>
      <w:bookmarkStart w:id="347" w:name="Tc_4X27dRgYhUWZtvpyFVqJeQ_2_7"/>
      <w:bookmarkStart w:id="348" w:name="Tc_0Woa0EoxrEiguVBo9l3qGg_1_13"/>
      <w:bookmarkStart w:id="349" w:name="_55cfef70_f04f_4376_b6a5_561902094a70"/>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tbl>
      <w:tblPr>
        <w:tblW w:w="10205" w:type="dxa"/>
        <w:jc w:val="left"/>
        <w:tblInd w:w="0" w:type="dxa"/>
        <w:tblLayout w:type="fixed"/>
        <w:tblCellMar>
          <w:top w:w="0" w:type="dxa"/>
          <w:left w:w="0" w:type="dxa"/>
          <w:bottom w:w="0" w:type="dxa"/>
          <w:right w:w="0" w:type="dxa"/>
        </w:tblCellMar>
      </w:tblPr>
      <w:tblGrid>
        <w:gridCol w:w="2302"/>
        <w:gridCol w:w="326"/>
        <w:gridCol w:w="1036"/>
        <w:gridCol w:w="326"/>
        <w:gridCol w:w="261"/>
        <w:gridCol w:w="430"/>
        <w:gridCol w:w="326"/>
        <w:gridCol w:w="211"/>
        <w:gridCol w:w="781"/>
        <w:gridCol w:w="326"/>
        <w:gridCol w:w="211"/>
        <w:gridCol w:w="877"/>
        <w:gridCol w:w="326"/>
        <w:gridCol w:w="370"/>
        <w:gridCol w:w="846"/>
        <w:gridCol w:w="326"/>
        <w:gridCol w:w="211"/>
        <w:gridCol w:w="713"/>
      </w:tblGrid>
      <w:tr>
        <w:trPr/>
        <w:tc>
          <w:tcPr>
            <w:tcW w:w="2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461770" cy="175260"/>
                      <wp:effectExtent l="0" t="0" r="0" b="0"/>
                      <wp:wrapNone/>
                      <wp:docPr id="24" name="Frame24"/>
                      <a:graphic xmlns:a="http://schemas.openxmlformats.org/drawingml/2006/main">
                        <a:graphicData uri="http://schemas.microsoft.com/office/word/2010/wordprocessingShape">
                          <wps:wsp>
                            <wps:cNvSpPr txBox="1"/>
                            <wps:spPr>
                              <a:xfrm>
                                <a:off x="0" y="0"/>
                                <a:ext cx="1461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57860" cy="175260"/>
                      <wp:effectExtent l="0" t="0" r="0" b="0"/>
                      <wp:wrapNone/>
                      <wp:docPr id="26" name="Frame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65735" cy="175260"/>
                      <wp:effectExtent l="0" t="0" r="0" b="0"/>
                      <wp:wrapNone/>
                      <wp:docPr id="28" name="Frame28"/>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73050" cy="175260"/>
                      <wp:effectExtent l="0" t="0" r="0" b="0"/>
                      <wp:wrapNone/>
                      <wp:docPr id="29" name="Frame29"/>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95935" cy="175260"/>
                      <wp:effectExtent l="0" t="0" r="0" b="0"/>
                      <wp:wrapNone/>
                      <wp:docPr id="32" name="Frame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556895" cy="175260"/>
                      <wp:effectExtent l="0" t="0" r="0" b="0"/>
                      <wp:wrapNone/>
                      <wp:docPr id="35" name="Frame35"/>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34950" cy="175260"/>
                      <wp:effectExtent l="0" t="0" r="0" b="0"/>
                      <wp:wrapNone/>
                      <wp:docPr id="37" name="Frame37"/>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537210" cy="175260"/>
                      <wp:effectExtent l="0" t="0" r="0" b="0"/>
                      <wp:wrapNone/>
                      <wp:docPr id="38" name="Frame38"/>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33985" cy="175260"/>
                      <wp:effectExtent l="0" t="0" r="0" b="0"/>
                      <wp:wrapNone/>
                      <wp:docPr id="40" name="Frame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52755" cy="175260"/>
                      <wp:effectExtent l="0" t="0" r="0" b="0"/>
                      <wp:wrapNone/>
                      <wp:docPr id="41" name="Frame41"/>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r>
      <w:tr>
        <w:trPr/>
        <w:tc>
          <w:tcPr>
            <w:tcW w:w="23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r>
      <w:tr>
        <w:trPr/>
        <w:tc>
          <w:tcPr>
            <w:tcW w:w="23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88"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center"/>
              <w:rPr/>
            </w:pPr>
            <w:r>
              <w:rPr/>
              <w:t>​</w:t>
            </w:r>
          </w:p>
        </w:tc>
      </w:tr>
      <w:tr>
        <w:trPr/>
        <w:tc>
          <w:tcPr>
            <w:tcW w:w="230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1"/>
              <w:ind w:left="0" w:right="0" w:hanging="0"/>
              <w:jc w:val="left"/>
              <w:rPr/>
            </w:pPr>
            <w:r>
              <w:rPr/>
              <w:t>    </w:t>
            </w:r>
          </w:p>
        </w:tc>
        <w:tc>
          <w:tcPr>
            <w:tcW w:w="9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April 1, 2023</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28,213,378</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(153,601)</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6,067</w:t>
            </w:r>
          </w:p>
        </w:tc>
      </w:tr>
      <w:tr>
        <w:trPr/>
        <w:tc>
          <w:tcPr>
            <w:tcW w:w="2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57,384</w:t>
            </w:r>
          </w:p>
        </w:tc>
        <w:tc>
          <w:tcPr>
            <w:tcW w:w="32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pPr>
            <w:r>
              <w:rPr/>
              <w:t>—</w:t>
            </w:r>
          </w:p>
        </w:tc>
      </w:tr>
      <w:tr>
        <w:trPr/>
        <w:tc>
          <w:tcPr>
            <w:tcW w:w="2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shd w:fill="CCEEFF" w:val="clear"/>
            <w:vAlign w:val="center"/>
          </w:tcPr>
          <w:p>
            <w:pPr>
              <w:pStyle w:val="TableContents"/>
              <w:bidi w:val="0"/>
              <w:spacing w:before="0" w:after="1"/>
              <w:ind w:left="0" w:right="0" w:hanging="0"/>
              <w:jc w:val="left"/>
              <w:rPr/>
            </w:pPr>
            <w:r>
              <w:rPr/>
              <w:t>​</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r>
      <w:tr>
        <w:trPr/>
        <w:tc>
          <w:tcPr>
            <w:tcW w:w="230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70" w:type="dxa"/>
            <w:tcBorders/>
            <w:vAlign w:val="center"/>
          </w:tcPr>
          <w:p>
            <w:pPr>
              <w:pStyle w:val="TableContents"/>
              <w:bidi w:val="0"/>
              <w:spacing w:before="0" w:after="1"/>
              <w:ind w:left="0" w:right="0" w:hanging="0"/>
              <w:jc w:val="left"/>
              <w:rPr/>
            </w:pPr>
            <w:r>
              <w:rPr/>
              <w:t>​</w:t>
            </w:r>
          </w:p>
        </w:tc>
        <w:tc>
          <w:tcPr>
            <w:tcW w:w="8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1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230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c>
          <w:tcPr>
            <w:tcW w:w="326" w:type="dxa"/>
            <w:tcBorders/>
            <w:shd w:fill="CCEEFF" w:val="clear"/>
            <w:vAlign w:val="center"/>
          </w:tcPr>
          <w:p>
            <w:pPr>
              <w:pStyle w:val="TableContents"/>
              <w:bidi w:val="0"/>
              <w:spacing w:before="0" w:after="1"/>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r>
      <w:tr>
        <w:trPr/>
        <w:tc>
          <w:tcPr>
            <w:tcW w:w="230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2023</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28,270,762</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160,443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(155,249)</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4,572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50" w:name="Tc_QZn2ESmoLkqgPfs52_waow_12_16"/>
      <w:bookmarkStart w:id="351" w:name="Tc_9Trau7UoAUSnRkForytEFA_12_13"/>
      <w:bookmarkStart w:id="352" w:name="Tc_iYrbM9_YY0uKGVpIvqq4fQ_12_10"/>
      <w:bookmarkStart w:id="353" w:name="Tc_82tZSIgccECJuj8scXyHzA_12_7"/>
      <w:bookmarkStart w:id="354" w:name="Tc_xkWSS8Qxmk-1ewYdSPvCnQ_12_4"/>
      <w:bookmarkStart w:id="355" w:name="Tc_h8Z-uLsrYUuHBAu0ft8VbQ_12_0"/>
      <w:bookmarkStart w:id="356" w:name="Tc_LBsjO15eB0WM5GbPAHMy_w_11_14"/>
      <w:bookmarkStart w:id="357" w:name="Tc_hc0XAREQIkaFy4onc7seCw_11_8"/>
      <w:bookmarkStart w:id="358" w:name="Tc_0_0-HfzzF0i9ZANQprxHOA_11_5"/>
      <w:bookmarkStart w:id="359" w:name="Tc_NRvVcEFjUE2wfiDny-lieQ_11_2"/>
      <w:bookmarkStart w:id="360" w:name="Tc_MojrnTcc50qG3sTSNoNCLA_11_0"/>
      <w:bookmarkStart w:id="361" w:name="Tc_DtF1OFXgOEyqHjeb_LTadg_10_11"/>
      <w:bookmarkStart w:id="362" w:name="Tc_40htgpXUIkaU8_tY2Fbtmw_10_8"/>
      <w:bookmarkStart w:id="363" w:name="Tc_dCllwYcW90mFZJHEewSXgQ_10_5"/>
      <w:bookmarkStart w:id="364" w:name="Tc_jjJTSWST2EmvZAkp4B55jg_10_2"/>
      <w:bookmarkStart w:id="365" w:name="Tc_CpZdKSZZUEu-d4oP54NlRg_10_0"/>
      <w:bookmarkStart w:id="366" w:name="Tc_kY9TpBg77EuCS0abJw4IOQ_9_14"/>
      <w:bookmarkStart w:id="367" w:name="Tc_2d0pmGHLmEynjQO7rYdpOQ_9_11"/>
      <w:bookmarkStart w:id="368" w:name="Tc_MgEHWO7WAEW1_Xb95aVD3g_9_5"/>
      <w:bookmarkStart w:id="369" w:name="Tc_9kAq6rYz_0Gvewnkv313BA_9_2"/>
      <w:bookmarkStart w:id="370" w:name="Tc_5sB9ATd1CkyFiGmOjH8l4g_9_0"/>
      <w:bookmarkStart w:id="371" w:name="Tc_r7A90S4sMkaYEaLLqp59cg_8_14"/>
      <w:bookmarkStart w:id="372" w:name="Tc_q2tE8gdzAESVi-e5Zri5oQ_8_11"/>
      <w:bookmarkStart w:id="373" w:name="Tc_PedqqqEMQ0SNmB3HATUybw_8_5"/>
      <w:bookmarkStart w:id="374" w:name="Tc_ew0yXr9ygkCD0Kjq806lLQ_8_0"/>
      <w:bookmarkStart w:id="375" w:name="Tc_nIoJPIXwh0WKjIRxsA9tFQ_7_17"/>
      <w:bookmarkStart w:id="376" w:name="Tc_JRFc2BhvRkqOB20dF7r2MA_7_14"/>
      <w:bookmarkStart w:id="377" w:name="Tc_dZV8DLC0mEegaeWO9zyVIw_7_11"/>
      <w:bookmarkStart w:id="378" w:name="Tc_psrqylhbjEuLu1BLJ2eD5Q_7_8"/>
      <w:bookmarkStart w:id="379" w:name="Tc_cSLFrzjn_0idMg_lDsCQQw_7_5"/>
      <w:bookmarkStart w:id="380" w:name="Tc_JNCODjYzcUmxxJhNYjiL1A_7_0"/>
      <w:bookmarkStart w:id="381" w:name="Tc_EIhOYyBM4EyD15uRhYE66A_6_14"/>
      <w:bookmarkStart w:id="382" w:name="Tc_bvzD3IopdUKxKwWaSpcetg_6_11"/>
      <w:bookmarkStart w:id="383" w:name="Tc_BtNeI1UF5UWCgnffWDTtnA_6_5"/>
      <w:bookmarkStart w:id="384" w:name="Tc_9l3KWKY95EWiWLGArLxA0w_6_0"/>
      <w:bookmarkStart w:id="385" w:name="Tc_3VJnLoDkm0a70mDkEAKR5g_5_16"/>
      <w:bookmarkStart w:id="386" w:name="Tc_0TG9g6OWY0aK5YZYD6-SnA_5_13"/>
      <w:bookmarkStart w:id="387" w:name="Tc_5z1A_tkWtUmxTYXoi9FIXg_5_10"/>
      <w:bookmarkStart w:id="388" w:name="Tc_aDkpE8ECD0GUmGxSd5SfVA_5_7"/>
      <w:bookmarkStart w:id="389" w:name="Tc_tYKEoN9Ts0Ocrr_3neVRDA_5_4"/>
      <w:bookmarkStart w:id="390" w:name="Tc_hbiVciMq9UCJjgursz0xjA_5_0"/>
      <w:bookmarkStart w:id="391" w:name="Tc_T4L2ft8yIUGyTfmlM7JX9A_4_16"/>
      <w:bookmarkStart w:id="392" w:name="Tc_vL19LuRihU6g6s4yLmJGcA_4_13"/>
      <w:bookmarkStart w:id="393" w:name="Tc_G5ft82fx60aHVmewG8y18Q_4_10"/>
      <w:bookmarkStart w:id="394" w:name="Tc_B00dfd9F-USdQ6RK_8z8Yw_4_7"/>
      <w:bookmarkStart w:id="395" w:name="Tc_SiaG9u9ueUSZj0t7Rxcbaw_4_4"/>
      <w:bookmarkStart w:id="396" w:name="Tc_yuvAsO4a-UKdBgKoUfi4Qg_4_2"/>
      <w:bookmarkStart w:id="397" w:name="Tc_GBsQZDb_XUyebTWGs12IEw_3_13"/>
      <w:bookmarkStart w:id="398" w:name="Tc_v5FBdtGKOEaxChC0IbF9AA_3_10"/>
      <w:bookmarkStart w:id="399" w:name="Tc_dpJvXldbukanGm0785vVrw_3_7"/>
      <w:bookmarkStart w:id="400" w:name="Tc_PCoaPWUTH0uJHUfIfgzkGA_3_2"/>
      <w:bookmarkStart w:id="401" w:name="Tc_0S1LC0I80E-GHDhQAnzYDw_2_13"/>
      <w:bookmarkStart w:id="402" w:name="Tc_mZtH5PhD9UWoX9cJ1SSing_2_7"/>
      <w:bookmarkStart w:id="403" w:name="Tc_NTQdXcIaCka4FjngaHgOvg_1_13"/>
      <w:bookmarkStart w:id="404" w:name="_c71e2b04_2655_4ad4_a966_f4f3bbc494a4"/>
      <w:bookmarkStart w:id="405" w:name="Tc_QZn2ESmoLkqgPfs52_waow_12_16"/>
      <w:bookmarkStart w:id="406" w:name="Tc_9Trau7UoAUSnRkForytEFA_12_13"/>
      <w:bookmarkStart w:id="407" w:name="Tc_iYrbM9_YY0uKGVpIvqq4fQ_12_10"/>
      <w:bookmarkStart w:id="408" w:name="Tc_82tZSIgccECJuj8scXyHzA_12_7"/>
      <w:bookmarkStart w:id="409" w:name="Tc_xkWSS8Qxmk-1ewYdSPvCnQ_12_4"/>
      <w:bookmarkStart w:id="410" w:name="Tc_h8Z-uLsrYUuHBAu0ft8VbQ_12_0"/>
      <w:bookmarkStart w:id="411" w:name="Tc_LBsjO15eB0WM5GbPAHMy_w_11_14"/>
      <w:bookmarkStart w:id="412" w:name="Tc_hc0XAREQIkaFy4onc7seCw_11_8"/>
      <w:bookmarkStart w:id="413" w:name="Tc_0_0-HfzzF0i9ZANQprxHOA_11_5"/>
      <w:bookmarkStart w:id="414" w:name="Tc_NRvVcEFjUE2wfiDny-lieQ_11_2"/>
      <w:bookmarkStart w:id="415" w:name="Tc_MojrnTcc50qG3sTSNoNCLA_11_0"/>
      <w:bookmarkStart w:id="416" w:name="Tc_DtF1OFXgOEyqHjeb_LTadg_10_11"/>
      <w:bookmarkStart w:id="417" w:name="Tc_40htgpXUIkaU8_tY2Fbtmw_10_8"/>
      <w:bookmarkStart w:id="418" w:name="Tc_dCllwYcW90mFZJHEewSXgQ_10_5"/>
      <w:bookmarkStart w:id="419" w:name="Tc_jjJTSWST2EmvZAkp4B55jg_10_2"/>
      <w:bookmarkStart w:id="420" w:name="Tc_CpZdKSZZUEu-d4oP54NlRg_10_0"/>
      <w:bookmarkStart w:id="421" w:name="Tc_kY9TpBg77EuCS0abJw4IOQ_9_14"/>
      <w:bookmarkStart w:id="422" w:name="Tc_2d0pmGHLmEynjQO7rYdpOQ_9_11"/>
      <w:bookmarkStart w:id="423" w:name="Tc_MgEHWO7WAEW1_Xb95aVD3g_9_5"/>
      <w:bookmarkStart w:id="424" w:name="Tc_9kAq6rYz_0Gvewnkv313BA_9_2"/>
      <w:bookmarkStart w:id="425" w:name="Tc_5sB9ATd1CkyFiGmOjH8l4g_9_0"/>
      <w:bookmarkStart w:id="426" w:name="Tc_r7A90S4sMkaYEaLLqp59cg_8_14"/>
      <w:bookmarkStart w:id="427" w:name="Tc_q2tE8gdzAESVi-e5Zri5oQ_8_11"/>
      <w:bookmarkStart w:id="428" w:name="Tc_PedqqqEMQ0SNmB3HATUybw_8_5"/>
      <w:bookmarkStart w:id="429" w:name="Tc_ew0yXr9ygkCD0Kjq806lLQ_8_0"/>
      <w:bookmarkStart w:id="430" w:name="Tc_nIoJPIXwh0WKjIRxsA9tFQ_7_17"/>
      <w:bookmarkStart w:id="431" w:name="Tc_JRFc2BhvRkqOB20dF7r2MA_7_14"/>
      <w:bookmarkStart w:id="432" w:name="Tc_dZV8DLC0mEegaeWO9zyVIw_7_11"/>
      <w:bookmarkStart w:id="433" w:name="Tc_psrqylhbjEuLu1BLJ2eD5Q_7_8"/>
      <w:bookmarkStart w:id="434" w:name="Tc_cSLFrzjn_0idMg_lDsCQQw_7_5"/>
      <w:bookmarkStart w:id="435" w:name="Tc_JNCODjYzcUmxxJhNYjiL1A_7_0"/>
      <w:bookmarkStart w:id="436" w:name="Tc_EIhOYyBM4EyD15uRhYE66A_6_14"/>
      <w:bookmarkStart w:id="437" w:name="Tc_bvzD3IopdUKxKwWaSpcetg_6_11"/>
      <w:bookmarkStart w:id="438" w:name="Tc_BtNeI1UF5UWCgnffWDTtnA_6_5"/>
      <w:bookmarkStart w:id="439" w:name="Tc_9l3KWKY95EWiWLGArLxA0w_6_0"/>
      <w:bookmarkStart w:id="440" w:name="Tc_3VJnLoDkm0a70mDkEAKR5g_5_16"/>
      <w:bookmarkStart w:id="441" w:name="Tc_0TG9g6OWY0aK5YZYD6-SnA_5_13"/>
      <w:bookmarkStart w:id="442" w:name="Tc_5z1A_tkWtUmxTYXoi9FIXg_5_10"/>
      <w:bookmarkStart w:id="443" w:name="Tc_aDkpE8ECD0GUmGxSd5SfVA_5_7"/>
      <w:bookmarkStart w:id="444" w:name="Tc_tYKEoN9Ts0Ocrr_3neVRDA_5_4"/>
      <w:bookmarkStart w:id="445" w:name="Tc_hbiVciMq9UCJjgursz0xjA_5_0"/>
      <w:bookmarkStart w:id="446" w:name="Tc_T4L2ft8yIUGyTfmlM7JX9A_4_16"/>
      <w:bookmarkStart w:id="447" w:name="Tc_vL19LuRihU6g6s4yLmJGcA_4_13"/>
      <w:bookmarkStart w:id="448" w:name="Tc_G5ft82fx60aHVmewG8y18Q_4_10"/>
      <w:bookmarkStart w:id="449" w:name="Tc_B00dfd9F-USdQ6RK_8z8Yw_4_7"/>
      <w:bookmarkStart w:id="450" w:name="Tc_SiaG9u9ueUSZj0t7Rxcbaw_4_4"/>
      <w:bookmarkStart w:id="451" w:name="Tc_yuvAsO4a-UKdBgKoUfi4Qg_4_2"/>
      <w:bookmarkStart w:id="452" w:name="Tc_GBsQZDb_XUyebTWGs12IEw_3_13"/>
      <w:bookmarkStart w:id="453" w:name="Tc_v5FBdtGKOEaxChC0IbF9AA_3_10"/>
      <w:bookmarkStart w:id="454" w:name="Tc_dpJvXldbukanGm0785vVrw_3_7"/>
      <w:bookmarkStart w:id="455" w:name="Tc_PCoaPWUTH0uJHUfIfgzkGA_3_2"/>
      <w:bookmarkStart w:id="456" w:name="Tc_0S1LC0I80E-GHDhQAnzYDw_2_13"/>
      <w:bookmarkStart w:id="457" w:name="Tc_mZtH5PhD9UWoX9cJ1SSing_2_7"/>
      <w:bookmarkStart w:id="458" w:name="Tc_NTQdXcIaCka4FjngaHgOvg_1_13"/>
      <w:bookmarkStart w:id="459" w:name="_c71e2b04_2655_4ad4_a966_f4f3bbc494a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tbl>
      <w:tblPr>
        <w:tblW w:w="10205" w:type="dxa"/>
        <w:jc w:val="left"/>
        <w:tblInd w:w="0" w:type="dxa"/>
        <w:tblLayout w:type="fixed"/>
        <w:tblCellMar>
          <w:top w:w="0" w:type="dxa"/>
          <w:left w:w="0" w:type="dxa"/>
          <w:bottom w:w="0" w:type="dxa"/>
          <w:right w:w="0" w:type="dxa"/>
        </w:tblCellMar>
      </w:tblPr>
      <w:tblGrid>
        <w:gridCol w:w="2432"/>
        <w:gridCol w:w="326"/>
        <w:gridCol w:w="931"/>
        <w:gridCol w:w="326"/>
        <w:gridCol w:w="261"/>
        <w:gridCol w:w="430"/>
        <w:gridCol w:w="326"/>
        <w:gridCol w:w="211"/>
        <w:gridCol w:w="781"/>
        <w:gridCol w:w="326"/>
        <w:gridCol w:w="211"/>
        <w:gridCol w:w="864"/>
        <w:gridCol w:w="326"/>
        <w:gridCol w:w="304"/>
        <w:gridCol w:w="912"/>
        <w:gridCol w:w="326"/>
        <w:gridCol w:w="211"/>
        <w:gridCol w:w="701"/>
      </w:tblGrid>
      <w:tr>
        <w:trPr/>
        <w:tc>
          <w:tcPr>
            <w:tcW w:w="24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544320" cy="175260"/>
                      <wp:effectExtent l="0" t="0" r="0" b="0"/>
                      <wp:wrapNone/>
                      <wp:docPr id="42" name="Frame42"/>
                      <a:graphic xmlns:a="http://schemas.openxmlformats.org/drawingml/2006/main">
                        <a:graphicData uri="http://schemas.microsoft.com/office/word/2010/wordprocessingShape">
                          <wps:wsp>
                            <wps:cNvSpPr txBox="1"/>
                            <wps:spPr>
                              <a:xfrm>
                                <a:off x="0" y="0"/>
                                <a:ext cx="1544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91185" cy="175260"/>
                      <wp:effectExtent l="0" t="0" r="0" b="0"/>
                      <wp:wrapNone/>
                      <wp:docPr id="44" name="Frame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65735" cy="175260"/>
                      <wp:effectExtent l="0" t="0" r="0" b="0"/>
                      <wp:wrapNone/>
                      <wp:docPr id="46" name="Frame46"/>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73050" cy="175260"/>
                      <wp:effectExtent l="0" t="0" r="0" b="0"/>
                      <wp:wrapNone/>
                      <wp:docPr id="47" name="Frame47"/>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33985" cy="175260"/>
                      <wp:effectExtent l="0" t="0" r="0" b="0"/>
                      <wp:wrapNone/>
                      <wp:docPr id="49" name="Frame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95935" cy="175260"/>
                      <wp:effectExtent l="0" t="0" r="0" b="0"/>
                      <wp:wrapNone/>
                      <wp:docPr id="50" name="Frame5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548640" cy="175260"/>
                      <wp:effectExtent l="0" t="0" r="0" b="0"/>
                      <wp:wrapNone/>
                      <wp:docPr id="53" name="Frame53"/>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93040" cy="175260"/>
                      <wp:effectExtent l="0" t="0" r="0" b="0"/>
                      <wp:wrapNone/>
                      <wp:docPr id="55" name="Frame55"/>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79120" cy="175260"/>
                      <wp:effectExtent l="0" t="0" r="0" b="0"/>
                      <wp:wrapNone/>
                      <wp:docPr id="56" name="Frame56"/>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45135" cy="175260"/>
                      <wp:effectExtent l="0" t="0" r="0" b="0"/>
                      <wp:wrapNone/>
                      <wp:docPr id="59" name="Frame59"/>
                      <a:graphic xmlns:a="http://schemas.openxmlformats.org/drawingml/2006/main">
                        <a:graphicData uri="http://schemas.microsoft.com/office/word/2010/wordprocessingShape">
                          <wps:wsp>
                            <wps:cNvSpPr txBox="1"/>
                            <wps:spPr>
                              <a:xfrm>
                                <a:off x="0" y="0"/>
                                <a:ext cx="44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center"/>
              <w:rPr/>
            </w:pPr>
            <w:r>
              <w:rPr/>
              <w:t>​</w:t>
            </w:r>
          </w:p>
        </w:tc>
      </w:tr>
      <w:tr>
        <w:trPr/>
        <w:tc>
          <w:tcPr>
            <w:tcW w:w="24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8" w:type="dxa"/>
            <w:gridSpan w:val="4"/>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center"/>
              <w:rPr/>
            </w:pPr>
            <w:r>
              <w:rPr/>
              <w:t>​</w:t>
            </w:r>
          </w:p>
        </w:tc>
      </w:tr>
      <w:tr>
        <w:trPr/>
        <w:tc>
          <w:tcPr>
            <w:tcW w:w="24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48"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left"/>
              <w:rPr/>
            </w:pPr>
            <w:r>
              <w:rPr/>
              <w:t>​</w:t>
            </w:r>
          </w:p>
        </w:tc>
        <w:tc>
          <w:tcPr>
            <w:tcW w:w="10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center"/>
              <w:rPr/>
            </w:pPr>
            <w:r>
              <w:rPr/>
              <w:t>​</w:t>
            </w:r>
          </w:p>
        </w:tc>
      </w:tr>
      <w:tr>
        <w:trPr/>
        <w:tc>
          <w:tcPr>
            <w:tcW w:w="243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1"/>
              <w:ind w:left="0" w:right="0" w:hanging="0"/>
              <w:jc w:val="left"/>
              <w:rPr/>
            </w:pPr>
            <w:r>
              <w:rPr/>
              <w:t>    </w:t>
            </w:r>
          </w:p>
        </w:tc>
        <w:tc>
          <w:tcPr>
            <w:tcW w:w="91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April 1, 2022</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3,794,797</w:t>
            </w:r>
          </w:p>
        </w:tc>
        <w:tc>
          <w:tcPr>
            <w:tcW w:w="32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149,834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(141,381)</w:t>
            </w:r>
          </w:p>
        </w:tc>
        <w:tc>
          <w:tcPr>
            <w:tcW w:w="326" w:type="dxa"/>
            <w:tcBorders/>
            <w:shd w:fill="CCEEFF" w:val="clear"/>
            <w:vAlign w:val="center"/>
          </w:tcPr>
          <w:p>
            <w:pPr>
              <w:pStyle w:val="TableContents"/>
              <w:bidi w:val="0"/>
              <w:spacing w:before="0" w:after="1"/>
              <w:ind w:left="0" w:right="0" w:hanging="0"/>
              <w:jc w:val="left"/>
              <w:rPr/>
            </w:pPr>
            <w:r>
              <w:rPr/>
              <w:t>​</w:t>
            </w:r>
          </w:p>
        </w:tc>
        <w:tc>
          <w:tcPr>
            <w:tcW w:w="30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7,130</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issued under equity line of credit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391,363</w:t>
            </w:r>
          </w:p>
        </w:tc>
        <w:tc>
          <w:tcPr>
            <w:tcW w:w="32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0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4,690</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pPr>
            <w:r>
              <w:rPr/>
              <w:t>—</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4,263</w:t>
            </w:r>
          </w:p>
        </w:tc>
        <w:tc>
          <w:tcPr>
            <w:tcW w:w="32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43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86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shd w:fill="CCEEFF" w:val="clear"/>
            <w:vAlign w:val="center"/>
          </w:tcPr>
          <w:p>
            <w:pPr>
              <w:pStyle w:val="TableContents"/>
              <w:bidi w:val="0"/>
              <w:spacing w:before="0" w:after="1"/>
              <w:ind w:left="0" w:right="0" w:hanging="0"/>
              <w:jc w:val="left"/>
              <w:rPr/>
            </w:pPr>
            <w:r>
              <w:rPr/>
              <w:t>​</w:t>
            </w:r>
          </w:p>
        </w:tc>
        <w:tc>
          <w:tcPr>
            <w:tcW w:w="91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43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86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304" w:type="dxa"/>
            <w:tcBorders/>
            <w:vAlign w:val="center"/>
          </w:tcPr>
          <w:p>
            <w:pPr>
              <w:pStyle w:val="TableContents"/>
              <w:bidi w:val="0"/>
              <w:spacing w:before="0" w:after="1"/>
              <w:ind w:left="0" w:right="0" w:hanging="0"/>
              <w:jc w:val="left"/>
              <w:rPr/>
            </w:pPr>
            <w:r>
              <w:rPr/>
              <w:t>​</w:t>
            </w:r>
          </w:p>
        </w:tc>
        <w:tc>
          <w:tcPr>
            <w:tcW w:w="91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24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1"/>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r>
      <w:tr>
        <w:trPr/>
        <w:tc>
          <w:tcPr>
            <w:tcW w:w="24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as of June 30, 2022</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4,195,113</w:t>
            </w:r>
          </w:p>
        </w:tc>
        <w:tc>
          <w:tcPr>
            <w:tcW w:w="326" w:type="dxa"/>
            <w:tcBorders/>
            <w:vAlign w:val="center"/>
          </w:tcPr>
          <w:p>
            <w:pPr>
              <w:pStyle w:val="TableContents"/>
              <w:bidi w:val="0"/>
              <w:spacing w:before="0" w:after="1"/>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150,665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(145,191)</w:t>
            </w:r>
          </w:p>
        </w:tc>
        <w:tc>
          <w:tcPr>
            <w:tcW w:w="326" w:type="dxa"/>
            <w:tcBorders/>
            <w:vAlign w:val="center"/>
          </w:tcPr>
          <w:p>
            <w:pPr>
              <w:pStyle w:val="TableContents"/>
              <w:bidi w:val="0"/>
              <w:spacing w:before="0" w:after="1"/>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4,502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Unaudited Condensed Consolidated Statements of Stockholders’ Equity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60" w:name="Tc_f7T3N0XLOkSBaKh1AAGARw_10_16"/>
      <w:bookmarkStart w:id="461" w:name="Tc_Tl2NTPN5qE2KTVTUukQxBA_10_13"/>
      <w:bookmarkStart w:id="462" w:name="Tc_s31jyeLFTU-zN3lnzW3AAA_10_10"/>
      <w:bookmarkStart w:id="463" w:name="Tc_OmhBoM6vxEO3DuNiByF8qQ_10_7"/>
      <w:bookmarkStart w:id="464" w:name="Tc_1yQm7Se1UkOPEE0RYf2cgQ_10_4"/>
      <w:bookmarkStart w:id="465" w:name="Tc_CW_Y7NmZFUSXCpz08KQtRg_10_0"/>
      <w:bookmarkStart w:id="466" w:name="Tc_qmk3mUGnnEWlsEXduKrmDg_9_14"/>
      <w:bookmarkStart w:id="467" w:name="Tc_NiAgWaGciU2zG3mITIg4jg_9_8"/>
      <w:bookmarkStart w:id="468" w:name="Tc_j1MGZaDA8UCgXtgvZ6hoNw_9_5"/>
      <w:bookmarkStart w:id="469" w:name="Tc_oOgHSUUYO0qI9L96-co_ig_9_2"/>
      <w:bookmarkStart w:id="470" w:name="Tc_7qtZSXbbI0O3ml7jqNJ6oA_9_0"/>
      <w:bookmarkStart w:id="471" w:name="Tc_W8xiQp8UkUSFxqX7los14Q_8_11"/>
      <w:bookmarkStart w:id="472" w:name="Tc_4L-Fj075ekGk-ZcZeloOqg_8_8"/>
      <w:bookmarkStart w:id="473" w:name="Tc_7kwOhe-F40KVXQKNX9pRiQ_8_5"/>
      <w:bookmarkStart w:id="474" w:name="Tc_CfAdOS_k40eFZE0h3fxBSQ_8_2"/>
      <w:bookmarkStart w:id="475" w:name="Tc_h2RISs1hKUiOHkei48jQbA_8_0"/>
      <w:bookmarkStart w:id="476" w:name="Tc_dYuG2m_yKEqwLMNoAeXkQA_7_14"/>
      <w:bookmarkStart w:id="477" w:name="Tc_iaxzJRL52k2xBjmqpb0SPQ_7_11"/>
      <w:bookmarkStart w:id="478" w:name="Tc_KOaqkwIR-k--rcruFpeypA_7_5"/>
      <w:bookmarkStart w:id="479" w:name="Tc_6qHz1mG_oUCgk6WNthpBNw_7_2"/>
      <w:bookmarkStart w:id="480" w:name="Tc_Ko9vDgSA9kum9Y1pTP3lig_7_0"/>
      <w:bookmarkStart w:id="481" w:name="Tc_tZS8_GViKEa_p__yH46FXQ_6_17"/>
      <w:bookmarkStart w:id="482" w:name="Tc_NdDPqA4YN0GotRpH_TSEDQ_6_14"/>
      <w:bookmarkStart w:id="483" w:name="Tc_PIs3RdiMdUmKJ1tAekE2cw_6_11"/>
      <w:bookmarkStart w:id="484" w:name="Tc_kj27ntkn8EytAk711tw5ZQ_6_8"/>
      <w:bookmarkStart w:id="485" w:name="Tc_53Y11j5-SEu2CC5QIglrWw_6_5"/>
      <w:bookmarkStart w:id="486" w:name="Tc_StOI0NxCCUGcNJq0HARWSQ_6_0"/>
      <w:bookmarkStart w:id="487" w:name="Tc_r1WFvgkA1UG8qstRn-YvKg_5_16"/>
      <w:bookmarkStart w:id="488" w:name="Tc_8HZ9k1uc-EOgh5K-AFofVg_5_13"/>
      <w:bookmarkStart w:id="489" w:name="Tc_K1zuueEre02T5mbYjyg7sA_5_10"/>
      <w:bookmarkStart w:id="490" w:name="Tc_xach4LLU7UeIZCFp-bQFIw_5_7"/>
      <w:bookmarkStart w:id="491" w:name="Tc_vzE3SZkhJUuchIvBmas46Q_5_4"/>
      <w:bookmarkStart w:id="492" w:name="Tc_85xKM4SMHE28u4FQDqtvtA_5_0"/>
      <w:bookmarkStart w:id="493" w:name="Tc_1g_xCDRPf0y5cHQd5RiicA_4_16"/>
      <w:bookmarkStart w:id="494" w:name="Tc_QtXIqq1LgUm37bVc51ctnA_4_13"/>
      <w:bookmarkStart w:id="495" w:name="Tc_3ls3Wt-tYkmsPkb3c2LEYg_4_10"/>
      <w:bookmarkStart w:id="496" w:name="Tc_JEpyzZfsFUKrYilbN95khA_4_7"/>
      <w:bookmarkStart w:id="497" w:name="Tc_zMuSv27zEE238gzd5m2QsQ_4_4"/>
      <w:bookmarkStart w:id="498" w:name="Tc_4rhqEHsEfUq91BdvehdJ5A_4_2"/>
      <w:bookmarkStart w:id="499" w:name="Tc_r9OlqdO1yEGw_sSRSs2CpQ_3_13"/>
      <w:bookmarkStart w:id="500" w:name="Tc_WjB3-xLYyE-NSnyOQOt77w_3_10"/>
      <w:bookmarkStart w:id="501" w:name="Tc_N_6_ANx4dU2dNM2rbsgcXA_3_7"/>
      <w:bookmarkStart w:id="502" w:name="Tc_SSyl9ZiRmUOd0AKywBiWDA_3_2"/>
      <w:bookmarkStart w:id="503" w:name="Tc_Ym_FHvJK7Uu4PPX1tPaVBw_2_13"/>
      <w:bookmarkStart w:id="504" w:name="Tc_kz-ns44C40mChtvSWXj0LQ_2_7"/>
      <w:bookmarkStart w:id="505" w:name="Tc_LmnCcN-HsESTcyOL2Q8U0w_1_13"/>
      <w:bookmarkStart w:id="506" w:name="_89d3c19a_cc74_46b4_8f11_afd5eb750fe7"/>
      <w:bookmarkStart w:id="507" w:name="Tc_f7T3N0XLOkSBaKh1AAGARw_10_16"/>
      <w:bookmarkStart w:id="508" w:name="Tc_Tl2NTPN5qE2KTVTUukQxBA_10_13"/>
      <w:bookmarkStart w:id="509" w:name="Tc_s31jyeLFTU-zN3lnzW3AAA_10_10"/>
      <w:bookmarkStart w:id="510" w:name="Tc_OmhBoM6vxEO3DuNiByF8qQ_10_7"/>
      <w:bookmarkStart w:id="511" w:name="Tc_1yQm7Se1UkOPEE0RYf2cgQ_10_4"/>
      <w:bookmarkStart w:id="512" w:name="Tc_CW_Y7NmZFUSXCpz08KQtRg_10_0"/>
      <w:bookmarkStart w:id="513" w:name="Tc_qmk3mUGnnEWlsEXduKrmDg_9_14"/>
      <w:bookmarkStart w:id="514" w:name="Tc_NiAgWaGciU2zG3mITIg4jg_9_8"/>
      <w:bookmarkStart w:id="515" w:name="Tc_j1MGZaDA8UCgXtgvZ6hoNw_9_5"/>
      <w:bookmarkStart w:id="516" w:name="Tc_oOgHSUUYO0qI9L96-co_ig_9_2"/>
      <w:bookmarkStart w:id="517" w:name="Tc_7qtZSXbbI0O3ml7jqNJ6oA_9_0"/>
      <w:bookmarkStart w:id="518" w:name="Tc_W8xiQp8UkUSFxqX7los14Q_8_11"/>
      <w:bookmarkStart w:id="519" w:name="Tc_4L-Fj075ekGk-ZcZeloOqg_8_8"/>
      <w:bookmarkStart w:id="520" w:name="Tc_7kwOhe-F40KVXQKNX9pRiQ_8_5"/>
      <w:bookmarkStart w:id="521" w:name="Tc_CfAdOS_k40eFZE0h3fxBSQ_8_2"/>
      <w:bookmarkStart w:id="522" w:name="Tc_h2RISs1hKUiOHkei48jQbA_8_0"/>
      <w:bookmarkStart w:id="523" w:name="Tc_dYuG2m_yKEqwLMNoAeXkQA_7_14"/>
      <w:bookmarkStart w:id="524" w:name="Tc_iaxzJRL52k2xBjmqpb0SPQ_7_11"/>
      <w:bookmarkStart w:id="525" w:name="Tc_KOaqkwIR-k--rcruFpeypA_7_5"/>
      <w:bookmarkStart w:id="526" w:name="Tc_6qHz1mG_oUCgk6WNthpBNw_7_2"/>
      <w:bookmarkStart w:id="527" w:name="Tc_Ko9vDgSA9kum9Y1pTP3lig_7_0"/>
      <w:bookmarkStart w:id="528" w:name="Tc_tZS8_GViKEa_p__yH46FXQ_6_17"/>
      <w:bookmarkStart w:id="529" w:name="Tc_NdDPqA4YN0GotRpH_TSEDQ_6_14"/>
      <w:bookmarkStart w:id="530" w:name="Tc_PIs3RdiMdUmKJ1tAekE2cw_6_11"/>
      <w:bookmarkStart w:id="531" w:name="Tc_kj27ntkn8EytAk711tw5ZQ_6_8"/>
      <w:bookmarkStart w:id="532" w:name="Tc_53Y11j5-SEu2CC5QIglrWw_6_5"/>
      <w:bookmarkStart w:id="533" w:name="Tc_StOI0NxCCUGcNJq0HARWSQ_6_0"/>
      <w:bookmarkStart w:id="534" w:name="Tc_r1WFvgkA1UG8qstRn-YvKg_5_16"/>
      <w:bookmarkStart w:id="535" w:name="Tc_8HZ9k1uc-EOgh5K-AFofVg_5_13"/>
      <w:bookmarkStart w:id="536" w:name="Tc_K1zuueEre02T5mbYjyg7sA_5_10"/>
      <w:bookmarkStart w:id="537" w:name="Tc_xach4LLU7UeIZCFp-bQFIw_5_7"/>
      <w:bookmarkStart w:id="538" w:name="Tc_vzE3SZkhJUuchIvBmas46Q_5_4"/>
      <w:bookmarkStart w:id="539" w:name="Tc_85xKM4SMHE28u4FQDqtvtA_5_0"/>
      <w:bookmarkStart w:id="540" w:name="Tc_1g_xCDRPf0y5cHQd5RiicA_4_16"/>
      <w:bookmarkStart w:id="541" w:name="Tc_QtXIqq1LgUm37bVc51ctnA_4_13"/>
      <w:bookmarkStart w:id="542" w:name="Tc_3ls3Wt-tYkmsPkb3c2LEYg_4_10"/>
      <w:bookmarkStart w:id="543" w:name="Tc_JEpyzZfsFUKrYilbN95khA_4_7"/>
      <w:bookmarkStart w:id="544" w:name="Tc_zMuSv27zEE238gzd5m2QsQ_4_4"/>
      <w:bookmarkStart w:id="545" w:name="Tc_4rhqEHsEfUq91BdvehdJ5A_4_2"/>
      <w:bookmarkStart w:id="546" w:name="Tc_r9OlqdO1yEGw_sSRSs2CpQ_3_13"/>
      <w:bookmarkStart w:id="547" w:name="Tc_WjB3-xLYyE-NSnyOQOt77w_3_10"/>
      <w:bookmarkStart w:id="548" w:name="Tc_N_6_ANx4dU2dNM2rbsgcXA_3_7"/>
      <w:bookmarkStart w:id="549" w:name="Tc_SSyl9ZiRmUOd0AKywBiWDA_3_2"/>
      <w:bookmarkStart w:id="550" w:name="Tc_Ym_FHvJK7Uu4PPX1tPaVBw_2_13"/>
      <w:bookmarkStart w:id="551" w:name="Tc_kz-ns44C40mChtvSWXj0LQ_2_7"/>
      <w:bookmarkStart w:id="552" w:name="Tc_LmnCcN-HsESTcyOL2Q8U0w_1_13"/>
      <w:bookmarkStart w:id="553" w:name="_89d3c19a_cc74_46b4_8f11_afd5eb750fe7"/>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tbl>
      <w:tblPr>
        <w:tblW w:w="10205" w:type="dxa"/>
        <w:jc w:val="left"/>
        <w:tblInd w:w="0" w:type="dxa"/>
        <w:tblLayout w:type="fixed"/>
        <w:tblCellMar>
          <w:top w:w="0" w:type="dxa"/>
          <w:left w:w="0" w:type="dxa"/>
          <w:bottom w:w="0" w:type="dxa"/>
          <w:right w:w="0" w:type="dxa"/>
        </w:tblCellMar>
      </w:tblPr>
      <w:tblGrid>
        <w:gridCol w:w="2302"/>
        <w:gridCol w:w="326"/>
        <w:gridCol w:w="1036"/>
        <w:gridCol w:w="326"/>
        <w:gridCol w:w="261"/>
        <w:gridCol w:w="430"/>
        <w:gridCol w:w="326"/>
        <w:gridCol w:w="211"/>
        <w:gridCol w:w="781"/>
        <w:gridCol w:w="326"/>
        <w:gridCol w:w="211"/>
        <w:gridCol w:w="877"/>
        <w:gridCol w:w="326"/>
        <w:gridCol w:w="370"/>
        <w:gridCol w:w="846"/>
        <w:gridCol w:w="326"/>
        <w:gridCol w:w="211"/>
        <w:gridCol w:w="713"/>
      </w:tblGrid>
      <w:tr>
        <w:trPr/>
        <w:tc>
          <w:tcPr>
            <w:tcW w:w="23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61770" cy="175260"/>
                      <wp:effectExtent l="0" t="0" r="0" b="0"/>
                      <wp:wrapNone/>
                      <wp:docPr id="60" name="Frame60"/>
                      <a:graphic xmlns:a="http://schemas.openxmlformats.org/drawingml/2006/main">
                        <a:graphicData uri="http://schemas.microsoft.com/office/word/2010/wordprocessingShape">
                          <wps:wsp>
                            <wps:cNvSpPr txBox="1"/>
                            <wps:spPr>
                              <a:xfrm>
                                <a:off x="0" y="0"/>
                                <a:ext cx="14617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57860" cy="175260"/>
                      <wp:effectExtent l="0" t="0" r="0" b="0"/>
                      <wp:wrapNone/>
                      <wp:docPr id="62" name="Frame6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65735" cy="175260"/>
                      <wp:effectExtent l="0" t="0" r="0" b="0"/>
                      <wp:wrapNone/>
                      <wp:docPr id="64" name="Frame6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73050" cy="175260"/>
                      <wp:effectExtent l="0" t="0" r="0" b="0"/>
                      <wp:wrapNone/>
                      <wp:docPr id="65" name="Frame65"/>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95935" cy="175260"/>
                      <wp:effectExtent l="0" t="0" r="0" b="0"/>
                      <wp:wrapNone/>
                      <wp:docPr id="68" name="Frame6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56895" cy="175260"/>
                      <wp:effectExtent l="0" t="0" r="0" b="0"/>
                      <wp:wrapNone/>
                      <wp:docPr id="71" name="Frame71"/>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34950" cy="175260"/>
                      <wp:effectExtent l="0" t="0" r="0" b="0"/>
                      <wp:wrapNone/>
                      <wp:docPr id="73" name="Frame73"/>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37210" cy="175260"/>
                      <wp:effectExtent l="0" t="0" r="0" b="0"/>
                      <wp:wrapNone/>
                      <wp:docPr id="74" name="Frame74"/>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6"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52755" cy="175260"/>
                      <wp:effectExtent l="0" t="0" r="0" b="0"/>
                      <wp:wrapNone/>
                      <wp:docPr id="77" name="Frame77"/>
                      <a:graphic xmlns:a="http://schemas.openxmlformats.org/drawingml/2006/main">
                        <a:graphicData uri="http://schemas.microsoft.com/office/word/2010/wordprocessingShape">
                          <wps:wsp>
                            <wps:cNvSpPr txBox="1"/>
                            <wps:spPr>
                              <a:xfrm>
                                <a:off x="0" y="0"/>
                                <a:ext cx="452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center"/>
              <w:rPr/>
            </w:pPr>
            <w:r>
              <w:rPr/>
              <w:t>​</w:t>
            </w:r>
          </w:p>
        </w:tc>
      </w:tr>
      <w:tr>
        <w:trPr/>
        <w:tc>
          <w:tcPr>
            <w:tcW w:w="2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center"/>
              <w:rPr/>
            </w:pPr>
            <w:r>
              <w:rPr/>
              <w:t>​</w:t>
            </w:r>
          </w:p>
        </w:tc>
      </w:tr>
      <w:tr>
        <w:trPr/>
        <w:tc>
          <w:tcPr>
            <w:tcW w:w="2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8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center"/>
              <w:rPr/>
            </w:pPr>
            <w:r>
              <w:rPr/>
              <w:t>​</w:t>
            </w:r>
          </w:p>
        </w:tc>
      </w:tr>
      <w:tr>
        <w:trPr/>
        <w:tc>
          <w:tcPr>
            <w:tcW w:w="230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0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28,207,330</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(151,107)</w:t>
            </w:r>
          </w:p>
        </w:tc>
        <w:tc>
          <w:tcPr>
            <w:tcW w:w="326" w:type="dxa"/>
            <w:tcBorders/>
            <w:shd w:fill="CCEEFF" w:val="clear"/>
            <w:vAlign w:val="center"/>
          </w:tcPr>
          <w:p>
            <w:pPr>
              <w:pStyle w:val="TableContents"/>
              <w:bidi w:val="0"/>
              <w:spacing w:before="0" w:after="0"/>
              <w:ind w:left="0" w:right="0" w:hanging="0"/>
              <w:jc w:val="left"/>
              <w:rPr/>
            </w:pPr>
            <w:r>
              <w:rPr/>
              <w:t>​</w:t>
            </w:r>
          </w:p>
        </w:tc>
        <w:tc>
          <w:tcPr>
            <w:tcW w:w="3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8,151</w:t>
            </w:r>
          </w:p>
        </w:tc>
      </w:tr>
      <w:tr>
        <w:trPr/>
        <w:tc>
          <w:tcPr>
            <w:tcW w:w="2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63,432</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pPr>
            <w:r>
              <w:rPr/>
              <w:t>—</w:t>
            </w:r>
          </w:p>
        </w:tc>
      </w:tr>
      <w:tr>
        <w:trPr/>
        <w:tc>
          <w:tcPr>
            <w:tcW w:w="2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7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shd w:fill="CCEEFF" w:val="clear"/>
            <w:vAlign w:val="center"/>
          </w:tcPr>
          <w:p>
            <w:pPr>
              <w:pStyle w:val="TableContents"/>
              <w:bidi w:val="0"/>
              <w:spacing w:before="0" w:after="0"/>
              <w:ind w:left="0" w:right="0" w:hanging="0"/>
              <w:jc w:val="left"/>
              <w:rPr/>
            </w:pPr>
            <w:r>
              <w:rPr/>
              <w:t>​</w:t>
            </w:r>
          </w:p>
        </w:tc>
        <w:tc>
          <w:tcPr>
            <w:tcW w:w="8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1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r>
      <w:tr>
        <w:trPr/>
        <w:tc>
          <w:tcPr>
            <w:tcW w:w="23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7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70" w:type="dxa"/>
            <w:tcBorders/>
            <w:vAlign w:val="center"/>
          </w:tcPr>
          <w:p>
            <w:pPr>
              <w:pStyle w:val="TableContents"/>
              <w:bidi w:val="0"/>
              <w:spacing w:before="0" w:after="0"/>
              <w:ind w:left="0" w:right="0" w:hanging="0"/>
              <w:jc w:val="left"/>
              <w:rPr/>
            </w:pPr>
            <w:r>
              <w:rPr/>
              <w:t>​</w:t>
            </w:r>
          </w:p>
        </w:tc>
        <w:tc>
          <w:tcPr>
            <w:tcW w:w="8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1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w:t>
            </w:r>
          </w:p>
        </w:tc>
      </w:tr>
      <w:tr>
        <w:trPr/>
        <w:tc>
          <w:tcPr>
            <w:tcW w:w="230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shd w:fill="CCEEFF" w:val="clear"/>
            <w:vAlign w:val="center"/>
          </w:tcPr>
          <w:p>
            <w:pPr>
              <w:pStyle w:val="TableContents"/>
              <w:bidi w:val="0"/>
              <w:spacing w:before="0" w:after="0"/>
              <w:ind w:left="0" w:right="0" w:hanging="0"/>
              <w:jc w:val="left"/>
              <w:rPr/>
            </w:pPr>
            <w:r>
              <w:rPr/>
              <w:t> </w:t>
            </w:r>
          </w:p>
        </w:tc>
        <w:tc>
          <w:tcPr>
            <w:tcW w:w="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r>
      <w:tr>
        <w:trPr/>
        <w:tc>
          <w:tcPr>
            <w:tcW w:w="230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2023</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28,270,762</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(155,249)</w:t>
            </w:r>
          </w:p>
        </w:tc>
        <w:tc>
          <w:tcPr>
            <w:tcW w:w="326" w:type="dxa"/>
            <w:tcBorders/>
            <w:vAlign w:val="center"/>
          </w:tcPr>
          <w:p>
            <w:pPr>
              <w:pStyle w:val="TableContents"/>
              <w:bidi w:val="0"/>
              <w:spacing w:before="0" w:after="0"/>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4,572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54" w:name="Tc_4PWTf6u6PE-gpaLn_Vlgtg_12_16"/>
      <w:bookmarkStart w:id="555" w:name="Tc_PZMxie66ckGWL9TD1dvZCg_12_13"/>
      <w:bookmarkStart w:id="556" w:name="Tc_escbCLOFE0qnRJyfV9wchw_12_10"/>
      <w:bookmarkStart w:id="557" w:name="Tc_S4QIV0CFFEuI5CrB8UBdcw_12_7"/>
      <w:bookmarkStart w:id="558" w:name="Tc_DfqIIzL-sUeTc7xF_ElWGw_12_4"/>
      <w:bookmarkStart w:id="559" w:name="Tc_rz8j4B_0FU2druIqNbIFIQ_12_0"/>
      <w:bookmarkStart w:id="560" w:name="Tc_vR0w0vjA-0-ct-ua8b7OfA_11_14"/>
      <w:bookmarkStart w:id="561" w:name="Tc_87GVuvj4nUen_Qd8GsPF2Q_11_8"/>
      <w:bookmarkStart w:id="562" w:name="Tc_QPedc3j9QUmk83HgfnpYNg_11_5"/>
      <w:bookmarkStart w:id="563" w:name="Tc_MWmSts3uH0WcLtshbSrUKQ_11_2"/>
      <w:bookmarkStart w:id="564" w:name="Tc_ryGQQVJMv0mEMbtHC6TGng_11_0"/>
      <w:bookmarkStart w:id="565" w:name="Tc_2gGCqIv2CUCKgEYs4RjjkA_10_11"/>
      <w:bookmarkStart w:id="566" w:name="Tc_Ebzfv2fGGUeNu-q_rOEHxA_10_8"/>
      <w:bookmarkStart w:id="567" w:name="Tc_SQamh4KiikWErywa5ubQ-Q_10_5"/>
      <w:bookmarkStart w:id="568" w:name="Tc_Dd3_h38l8Uqd8xhhTKaMZQ_10_2"/>
      <w:bookmarkStart w:id="569" w:name="Tc_9-j3JWTEkE6PLHXX6kT_Jw_10_0"/>
      <w:bookmarkStart w:id="570" w:name="Tc_VzCGB7n8EkG12TWKNvitgg_9_14"/>
      <w:bookmarkStart w:id="571" w:name="Tc_FlSMkfh1U064bp1bt3xqRw_9_11"/>
      <w:bookmarkStart w:id="572" w:name="Tc_2Y0Yk1PYLEmOHmBFQqxgMg_9_5"/>
      <w:bookmarkStart w:id="573" w:name="Tc_seASO3vGHkaWuJ_b-fti3w_9_0"/>
      <w:bookmarkStart w:id="574" w:name="Tc_AM0n09VasE2G8X4rinlgfw_8_14"/>
      <w:bookmarkStart w:id="575" w:name="Tc_um4eLVUiu0yLc3oHNPV3uw_8_11"/>
      <w:bookmarkStart w:id="576" w:name="Tc_IbHuYaTyjkO7nINWJv6mOA_8_5"/>
      <w:bookmarkStart w:id="577" w:name="Tc_Wtw15SFFwk-SIjSXG2jKDw_8_0"/>
      <w:bookmarkStart w:id="578" w:name="Tc_WGD4NBj9h0SplOODF0oWkQ_7_17"/>
      <w:bookmarkStart w:id="579" w:name="Tc_aTE1hEM_gUOb2CrEinpfBQ_7_14"/>
      <w:bookmarkStart w:id="580" w:name="Tc_W9nBDcxdn06TWM3kKE6GXQ_7_11"/>
      <w:bookmarkStart w:id="581" w:name="Tc_dlWxT54lLE-4w09vep-YNA_7_8"/>
      <w:bookmarkStart w:id="582" w:name="Tc_DRdWSMsz7kOtaKDa4wK4fw_7_5"/>
      <w:bookmarkStart w:id="583" w:name="Tc_3VfMfnEfJEemb4dRlxJSfQ_7_0"/>
      <w:bookmarkStart w:id="584" w:name="Tc__ZZlQ0ovtEWL7CHTu-GwIA_6_14"/>
      <w:bookmarkStart w:id="585" w:name="Tc_TgCOGbGsGUyvG8a5m6f-kA_6_11"/>
      <w:bookmarkStart w:id="586" w:name="Tc_HEgpUBzZNEWYOAhei7Dzzw_6_5"/>
      <w:bookmarkStart w:id="587" w:name="Tc_ISRCMl39o0eeI1m1rGk1dQ_6_0"/>
      <w:bookmarkStart w:id="588" w:name="Tc_OarfpRvisEmSS8DPpE7s8Q_5_16"/>
      <w:bookmarkStart w:id="589" w:name="Tc_H5IJEG52lEWHKUbICP-gfg_5_13"/>
      <w:bookmarkStart w:id="590" w:name="Tc_uThofJx1S0iJvCwIX_Ihyw_5_10"/>
      <w:bookmarkStart w:id="591" w:name="Tc_wQ72ZSBJH0Cid_12otlziQ_5_7"/>
      <w:bookmarkStart w:id="592" w:name="Tc_oZ5L80a3C0WPy3fNe6cEfg_5_4"/>
      <w:bookmarkStart w:id="593" w:name="Tc_rcg6g3inD0qcc6vCMDFi-A_5_0"/>
      <w:bookmarkStart w:id="594" w:name="Tc_faRG9sCi7EG2sVAnrEW6jw_4_16"/>
      <w:bookmarkStart w:id="595" w:name="Tc_qIOxiWLpyESrG4HLNHOm-g_4_13"/>
      <w:bookmarkStart w:id="596" w:name="Tc_B1h3J5P-Z0yUhGUGLYpAfg_4_10"/>
      <w:bookmarkStart w:id="597" w:name="Tc_mHSaCehogE2H8Y17gZzwGA_4_7"/>
      <w:bookmarkStart w:id="598" w:name="Tc_lflGQuE2vU27RhBdjbB5YA_4_4"/>
      <w:bookmarkStart w:id="599" w:name="Tc_Mik30uQ25kixLuoL_PkiSw_4_2"/>
      <w:bookmarkStart w:id="600" w:name="Tc_yPPiyLcsBUmD0etxOaEZVg_3_13"/>
      <w:bookmarkStart w:id="601" w:name="Tc_N4I8wtS6UUShfh08IPLMRA_3_10"/>
      <w:bookmarkStart w:id="602" w:name="Tc_rUXUSbGKA0i8l91y6_r9tw_3_7"/>
      <w:bookmarkStart w:id="603" w:name="Tc_crWUJxYadkGbPGYFZOcJqw_3_2"/>
      <w:bookmarkStart w:id="604" w:name="Tc_Psizn0utakKqp-Mr2F707g_2_13"/>
      <w:bookmarkStart w:id="605" w:name="Tc_-N7ywGK5bkee2F7wZaj-vQ_2_7"/>
      <w:bookmarkStart w:id="606" w:name="Tc_T8zxWy4t10at1AVMcwW4KA_1_13"/>
      <w:bookmarkStart w:id="607" w:name="_ad37c6c9_f3b7_4124_b8e6_bc294e84dc30"/>
      <w:bookmarkStart w:id="608" w:name="Tc_4PWTf6u6PE-gpaLn_Vlgtg_12_16"/>
      <w:bookmarkStart w:id="609" w:name="Tc_PZMxie66ckGWL9TD1dvZCg_12_13"/>
      <w:bookmarkStart w:id="610" w:name="Tc_escbCLOFE0qnRJyfV9wchw_12_10"/>
      <w:bookmarkStart w:id="611" w:name="Tc_S4QIV0CFFEuI5CrB8UBdcw_12_7"/>
      <w:bookmarkStart w:id="612" w:name="Tc_DfqIIzL-sUeTc7xF_ElWGw_12_4"/>
      <w:bookmarkStart w:id="613" w:name="Tc_rz8j4B_0FU2druIqNbIFIQ_12_0"/>
      <w:bookmarkStart w:id="614" w:name="Tc_vR0w0vjA-0-ct-ua8b7OfA_11_14"/>
      <w:bookmarkStart w:id="615" w:name="Tc_87GVuvj4nUen_Qd8GsPF2Q_11_8"/>
      <w:bookmarkStart w:id="616" w:name="Tc_QPedc3j9QUmk83HgfnpYNg_11_5"/>
      <w:bookmarkStart w:id="617" w:name="Tc_MWmSts3uH0WcLtshbSrUKQ_11_2"/>
      <w:bookmarkStart w:id="618" w:name="Tc_ryGQQVJMv0mEMbtHC6TGng_11_0"/>
      <w:bookmarkStart w:id="619" w:name="Tc_2gGCqIv2CUCKgEYs4RjjkA_10_11"/>
      <w:bookmarkStart w:id="620" w:name="Tc_Ebzfv2fGGUeNu-q_rOEHxA_10_8"/>
      <w:bookmarkStart w:id="621" w:name="Tc_SQamh4KiikWErywa5ubQ-Q_10_5"/>
      <w:bookmarkStart w:id="622" w:name="Tc_Dd3_h38l8Uqd8xhhTKaMZQ_10_2"/>
      <w:bookmarkStart w:id="623" w:name="Tc_9-j3JWTEkE6PLHXX6kT_Jw_10_0"/>
      <w:bookmarkStart w:id="624" w:name="Tc_VzCGB7n8EkG12TWKNvitgg_9_14"/>
      <w:bookmarkStart w:id="625" w:name="Tc_FlSMkfh1U064bp1bt3xqRw_9_11"/>
      <w:bookmarkStart w:id="626" w:name="Tc_2Y0Yk1PYLEmOHmBFQqxgMg_9_5"/>
      <w:bookmarkStart w:id="627" w:name="Tc_seASO3vGHkaWuJ_b-fti3w_9_0"/>
      <w:bookmarkStart w:id="628" w:name="Tc_AM0n09VasE2G8X4rinlgfw_8_14"/>
      <w:bookmarkStart w:id="629" w:name="Tc_um4eLVUiu0yLc3oHNPV3uw_8_11"/>
      <w:bookmarkStart w:id="630" w:name="Tc_IbHuYaTyjkO7nINWJv6mOA_8_5"/>
      <w:bookmarkStart w:id="631" w:name="Tc_Wtw15SFFwk-SIjSXG2jKDw_8_0"/>
      <w:bookmarkStart w:id="632" w:name="Tc_WGD4NBj9h0SplOODF0oWkQ_7_17"/>
      <w:bookmarkStart w:id="633" w:name="Tc_aTE1hEM_gUOb2CrEinpfBQ_7_14"/>
      <w:bookmarkStart w:id="634" w:name="Tc_W9nBDcxdn06TWM3kKE6GXQ_7_11"/>
      <w:bookmarkStart w:id="635" w:name="Tc_dlWxT54lLE-4w09vep-YNA_7_8"/>
      <w:bookmarkStart w:id="636" w:name="Tc_DRdWSMsz7kOtaKDa4wK4fw_7_5"/>
      <w:bookmarkStart w:id="637" w:name="Tc_3VfMfnEfJEemb4dRlxJSfQ_7_0"/>
      <w:bookmarkStart w:id="638" w:name="Tc__ZZlQ0ovtEWL7CHTu-GwIA_6_14"/>
      <w:bookmarkStart w:id="639" w:name="Tc_TgCOGbGsGUyvG8a5m6f-kA_6_11"/>
      <w:bookmarkStart w:id="640" w:name="Tc_HEgpUBzZNEWYOAhei7Dzzw_6_5"/>
      <w:bookmarkStart w:id="641" w:name="Tc_ISRCMl39o0eeI1m1rGk1dQ_6_0"/>
      <w:bookmarkStart w:id="642" w:name="Tc_OarfpRvisEmSS8DPpE7s8Q_5_16"/>
      <w:bookmarkStart w:id="643" w:name="Tc_H5IJEG52lEWHKUbICP-gfg_5_13"/>
      <w:bookmarkStart w:id="644" w:name="Tc_uThofJx1S0iJvCwIX_Ihyw_5_10"/>
      <w:bookmarkStart w:id="645" w:name="Tc_wQ72ZSBJH0Cid_12otlziQ_5_7"/>
      <w:bookmarkStart w:id="646" w:name="Tc_oZ5L80a3C0WPy3fNe6cEfg_5_4"/>
      <w:bookmarkStart w:id="647" w:name="Tc_rcg6g3inD0qcc6vCMDFi-A_5_0"/>
      <w:bookmarkStart w:id="648" w:name="Tc_faRG9sCi7EG2sVAnrEW6jw_4_16"/>
      <w:bookmarkStart w:id="649" w:name="Tc_qIOxiWLpyESrG4HLNHOm-g_4_13"/>
      <w:bookmarkStart w:id="650" w:name="Tc_B1h3J5P-Z0yUhGUGLYpAfg_4_10"/>
      <w:bookmarkStart w:id="651" w:name="Tc_mHSaCehogE2H8Y17gZzwGA_4_7"/>
      <w:bookmarkStart w:id="652" w:name="Tc_lflGQuE2vU27RhBdjbB5YA_4_4"/>
      <w:bookmarkStart w:id="653" w:name="Tc_Mik30uQ25kixLuoL_PkiSw_4_2"/>
      <w:bookmarkStart w:id="654" w:name="Tc_yPPiyLcsBUmD0etxOaEZVg_3_13"/>
      <w:bookmarkStart w:id="655" w:name="Tc_N4I8wtS6UUShfh08IPLMRA_3_10"/>
      <w:bookmarkStart w:id="656" w:name="Tc_rUXUSbGKA0i8l91y6_r9tw_3_7"/>
      <w:bookmarkStart w:id="657" w:name="Tc_crWUJxYadkGbPGYFZOcJqw_3_2"/>
      <w:bookmarkStart w:id="658" w:name="Tc_Psizn0utakKqp-Mr2F707g_2_13"/>
      <w:bookmarkStart w:id="659" w:name="Tc_-N7ywGK5bkee2F7wZaj-vQ_2_7"/>
      <w:bookmarkStart w:id="660" w:name="Tc_T8zxWy4t10at1AVMcwW4KA_1_13"/>
      <w:bookmarkStart w:id="661" w:name="_ad37c6c9_f3b7_4124_b8e6_bc294e84dc30"/>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tbl>
      <w:tblPr>
        <w:tblW w:w="10205" w:type="dxa"/>
        <w:jc w:val="left"/>
        <w:tblInd w:w="0" w:type="dxa"/>
        <w:tblLayout w:type="fixed"/>
        <w:tblCellMar>
          <w:top w:w="0" w:type="dxa"/>
          <w:left w:w="0" w:type="dxa"/>
          <w:bottom w:w="0" w:type="dxa"/>
          <w:right w:w="0" w:type="dxa"/>
        </w:tblCellMar>
      </w:tblPr>
      <w:tblGrid>
        <w:gridCol w:w="2405"/>
        <w:gridCol w:w="326"/>
        <w:gridCol w:w="931"/>
        <w:gridCol w:w="326"/>
        <w:gridCol w:w="261"/>
        <w:gridCol w:w="430"/>
        <w:gridCol w:w="326"/>
        <w:gridCol w:w="211"/>
        <w:gridCol w:w="781"/>
        <w:gridCol w:w="326"/>
        <w:gridCol w:w="211"/>
        <w:gridCol w:w="864"/>
        <w:gridCol w:w="326"/>
        <w:gridCol w:w="304"/>
        <w:gridCol w:w="912"/>
        <w:gridCol w:w="326"/>
        <w:gridCol w:w="211"/>
        <w:gridCol w:w="728"/>
      </w:tblGrid>
      <w:tr>
        <w:trPr/>
        <w:tc>
          <w:tcPr>
            <w:tcW w:w="2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27175" cy="175260"/>
                      <wp:effectExtent l="0" t="0" r="0" b="0"/>
                      <wp:wrapNone/>
                      <wp:docPr id="78" name="Frame78"/>
                      <a:graphic xmlns:a="http://schemas.openxmlformats.org/drawingml/2006/main">
                        <a:graphicData uri="http://schemas.microsoft.com/office/word/2010/wordprocessingShape">
                          <wps:wsp>
                            <wps:cNvSpPr txBox="1"/>
                            <wps:spPr>
                              <a:xfrm>
                                <a:off x="0" y="0"/>
                                <a:ext cx="152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91185" cy="175260"/>
                      <wp:effectExtent l="0" t="0" r="0" b="0"/>
                      <wp:wrapNone/>
                      <wp:docPr id="80" name="Frame8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1" name="Frame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65735" cy="175260"/>
                      <wp:effectExtent l="0" t="0" r="0" b="0"/>
                      <wp:wrapNone/>
                      <wp:docPr id="82" name="Frame82"/>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73050" cy="175260"/>
                      <wp:effectExtent l="0" t="0" r="0" b="0"/>
                      <wp:wrapNone/>
                      <wp:docPr id="83" name="Frame83"/>
                      <a:graphic xmlns:a="http://schemas.openxmlformats.org/drawingml/2006/main">
                        <a:graphicData uri="http://schemas.microsoft.com/office/word/2010/wordprocessingShape">
                          <wps:wsp>
                            <wps:cNvSpPr txBox="1"/>
                            <wps:spPr>
                              <a:xfrm>
                                <a:off x="0" y="0"/>
                                <a:ext cx="273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4" name="Frame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495935" cy="175260"/>
                      <wp:effectExtent l="0" t="0" r="0" b="0"/>
                      <wp:wrapNone/>
                      <wp:docPr id="86"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07010" cy="175260"/>
                      <wp:effectExtent l="0" t="0" r="0" b="0"/>
                      <wp:wrapNone/>
                      <wp:docPr id="87" name="Frame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8" name="Frame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48640" cy="175260"/>
                      <wp:effectExtent l="0" t="0" r="0" b="0"/>
                      <wp:wrapNone/>
                      <wp:docPr id="89" name="Frame89"/>
                      <a:graphic xmlns:a="http://schemas.openxmlformats.org/drawingml/2006/main">
                        <a:graphicData uri="http://schemas.microsoft.com/office/word/2010/wordprocessingShape">
                          <wps:wsp>
                            <wps:cNvSpPr txBox="1"/>
                            <wps:spPr>
                              <a:xfrm>
                                <a:off x="0" y="0"/>
                                <a:ext cx="548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93040" cy="175260"/>
                      <wp:effectExtent l="0" t="0" r="0" b="0"/>
                      <wp:wrapNone/>
                      <wp:docPr id="91" name="Frame91"/>
                      <a:graphic xmlns:a="http://schemas.openxmlformats.org/drawingml/2006/main">
                        <a:graphicData uri="http://schemas.microsoft.com/office/word/2010/wordprocessingShape">
                          <wps:wsp>
                            <wps:cNvSpPr txBox="1"/>
                            <wps:spPr>
                              <a:xfrm>
                                <a:off x="0" y="0"/>
                                <a:ext cx="193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579120" cy="175260"/>
                      <wp:effectExtent l="0" t="0" r="0" b="0"/>
                      <wp:wrapNone/>
                      <wp:docPr id="92" name="Frame92"/>
                      <a:graphic xmlns:a="http://schemas.openxmlformats.org/drawingml/2006/main">
                        <a:graphicData uri="http://schemas.microsoft.com/office/word/2010/wordprocessingShape">
                          <wps:wsp>
                            <wps:cNvSpPr txBox="1"/>
                            <wps:spPr>
                              <a:xfrm>
                                <a:off x="0" y="0"/>
                                <a:ext cx="579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3985" cy="175260"/>
                      <wp:effectExtent l="0" t="0" r="0" b="0"/>
                      <wp:wrapNone/>
                      <wp:docPr id="94" name="Frame9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62280" cy="175260"/>
                      <wp:effectExtent l="0" t="0" r="0" b="0"/>
                      <wp:wrapNone/>
                      <wp:docPr id="95" name="Frame95"/>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center"/>
              <w:rPr/>
            </w:pPr>
            <w:r>
              <w:rPr/>
              <w:t>​</w:t>
            </w:r>
          </w:p>
        </w:tc>
      </w:tr>
      <w:tr>
        <w:trPr/>
        <w:tc>
          <w:tcPr>
            <w:tcW w:w="24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center"/>
              <w:rPr/>
            </w:pPr>
            <w:r>
              <w:rPr/>
              <w:t>​</w:t>
            </w:r>
          </w:p>
        </w:tc>
      </w:tr>
      <w:tr>
        <w:trPr/>
        <w:tc>
          <w:tcPr>
            <w:tcW w:w="24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4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Common Stock</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center"/>
              <w:rPr/>
            </w:pPr>
            <w:r>
              <w:rPr/>
              <w:t>​</w:t>
            </w:r>
          </w:p>
        </w:tc>
      </w:tr>
      <w:tr>
        <w:trPr/>
        <w:tc>
          <w:tcPr>
            <w:tcW w:w="240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9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January 1, 2022</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3,780,674</w:t>
            </w:r>
          </w:p>
        </w:tc>
        <w:tc>
          <w:tcPr>
            <w:tcW w:w="326" w:type="dxa"/>
            <w:tcBorders/>
            <w:shd w:fill="CCEEFF" w:val="clear"/>
            <w:vAlign w:val="center"/>
          </w:tcPr>
          <w:p>
            <w:pPr>
              <w:pStyle w:val="TableContents"/>
              <w:bidi w:val="0"/>
              <w:spacing w:before="0" w:after="0"/>
              <w:ind w:left="0" w:right="0" w:hanging="0"/>
              <w:jc w:val="left"/>
              <w:rPr/>
            </w:pPr>
            <w:r>
              <w:rPr/>
              <w:t>​</w:t>
            </w:r>
          </w:p>
        </w:tc>
        <w:tc>
          <w:tcPr>
            <w:tcW w:w="2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(137,035)</w:t>
            </w:r>
          </w:p>
        </w:tc>
        <w:tc>
          <w:tcPr>
            <w:tcW w:w="326"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11,256</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under equity line of credit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391,363</w:t>
            </w:r>
          </w:p>
        </w:tc>
        <w:tc>
          <w:tcPr>
            <w:tcW w:w="326" w:type="dxa"/>
            <w:tcBorders/>
            <w:vAlign w:val="center"/>
          </w:tcPr>
          <w:p>
            <w:pPr>
              <w:pStyle w:val="TableContents"/>
              <w:bidi w:val="0"/>
              <w:spacing w:before="0" w:after="0"/>
              <w:ind w:left="0" w:right="0" w:hanging="0"/>
              <w:jc w:val="left"/>
              <w:rPr/>
            </w:pPr>
            <w:r>
              <w:rPr/>
              <w:t>​</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 of restricted stock units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pPr>
            <w:r>
              <w:rPr/>
              <w:t>—</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8,791</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8,011</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w:t>
            </w:r>
          </w:p>
        </w:tc>
        <w:tc>
          <w:tcPr>
            <w:tcW w:w="43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shd w:fill="CCEEFF" w:val="clear"/>
            <w:vAlign w:val="center"/>
          </w:tcPr>
          <w:p>
            <w:pPr>
              <w:pStyle w:val="TableContents"/>
              <w:bidi w:val="0"/>
              <w:spacing w:before="0" w:after="0"/>
              <w:ind w:left="0" w:right="0" w:hanging="0"/>
              <w:jc w:val="left"/>
              <w:rPr/>
            </w:pPr>
            <w:r>
              <w:rPr/>
              <w:t>​</w:t>
            </w:r>
          </w:p>
        </w:tc>
        <w:tc>
          <w:tcPr>
            <w:tcW w:w="91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pPr>
            <w:r>
              <w:rPr/>
              <w:t>​</w:t>
            </w:r>
          </w:p>
        </w:tc>
        <w:tc>
          <w:tcPr>
            <w:tcW w:w="43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pPr>
            <w:r>
              <w:rPr/>
              <w:t>​</w:t>
            </w:r>
          </w:p>
        </w:tc>
        <w:tc>
          <w:tcPr>
            <w:tcW w:w="91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c>
          <w:tcPr>
            <w:tcW w:w="326" w:type="dxa"/>
            <w:tcBorders/>
            <w:shd w:fill="CCEEFF" w:val="clear"/>
            <w:vAlign w:val="center"/>
          </w:tcPr>
          <w:p>
            <w:pPr>
              <w:pStyle w:val="TableContents"/>
              <w:bidi w:val="0"/>
              <w:spacing w:before="0" w:after="0"/>
              <w:ind w:left="0" w:right="0" w:hanging="0"/>
              <w:jc w:val="left"/>
              <w:rPr/>
            </w:pPr>
            <w:r>
              <w:rPr/>
              <w:t> </w:t>
            </w:r>
          </w:p>
        </w:tc>
        <w:tc>
          <w:tcPr>
            <w:tcW w:w="3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as of June 30, 2022</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4,195,113</w:t>
            </w:r>
          </w:p>
        </w:tc>
        <w:tc>
          <w:tcPr>
            <w:tcW w:w="326" w:type="dxa"/>
            <w:tcBorders/>
            <w:vAlign w:val="center"/>
          </w:tcPr>
          <w:p>
            <w:pPr>
              <w:pStyle w:val="TableContents"/>
              <w:bidi w:val="0"/>
              <w:spacing w:before="0" w:after="0"/>
              <w:ind w:left="0" w:right="0" w:hanging="0"/>
              <w:jc w:val="left"/>
              <w:rPr/>
            </w:pPr>
            <w:r>
              <w:rPr/>
              <w:t>​</w:t>
            </w:r>
          </w:p>
        </w:tc>
        <w:tc>
          <w:tcPr>
            <w:tcW w:w="26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3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150,665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(145,191)</w:t>
            </w:r>
          </w:p>
        </w:tc>
        <w:tc>
          <w:tcPr>
            <w:tcW w:w="326" w:type="dxa"/>
            <w:tcBorders/>
            <w:vAlign w:val="center"/>
          </w:tcPr>
          <w:p>
            <w:pPr>
              <w:pStyle w:val="TableContents"/>
              <w:bidi w:val="0"/>
              <w:spacing w:before="0" w:after="0"/>
              <w:ind w:left="0" w:right="0" w:hanging="0"/>
              <w:jc w:val="left"/>
              <w:rPr/>
            </w:pPr>
            <w:r>
              <w:rPr/>
              <w:t>​</w:t>
            </w:r>
          </w:p>
        </w:tc>
        <w:tc>
          <w:tcPr>
            <w:tcW w:w="30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4,502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662" w:name="_41485e31_609f_4ec2_b4b0_d3cc758af205"/>
      <w:bookmarkEnd w:id="662"/>
      <w:r>
        <w:rPr>
          <w:rFonts w:ascii="Times New Roman;Times;serif" w:hAnsi="Times New Roman;Times;serif"/>
          <w:b/>
          <w:sz w:val="20"/>
        </w:rPr>
        <w:t>Helius Medical Technologies, Inc.</w:t>
      </w:r>
    </w:p>
    <w:p>
      <w:pPr>
        <w:pStyle w:val="TextBody"/>
        <w:bidi w:val="0"/>
        <w:spacing w:before="0" w:after="0"/>
        <w:ind w:left="0" w:right="0" w:hanging="0"/>
        <w:jc w:val="left"/>
        <w:rPr>
          <w:rFonts w:ascii="Times New Roman;Times;serif" w:hAnsi="Times New Roman;Times;serif"/>
          <w:b/>
          <w:sz w:val="20"/>
        </w:rPr>
      </w:pPr>
      <w:bookmarkStart w:id="663" w:name="ConsolidatedStatementsofCashFlows"/>
      <w:bookmarkEnd w:id="663"/>
      <w:r>
        <w:rPr>
          <w:rFonts w:ascii="Times New Roman;Times;serif" w:hAnsi="Times New Roman;Times;serif"/>
          <w:b/>
          <w:sz w:val="20"/>
        </w:rPr>
        <w:t>Unaudited Condensed Consolidated Statements of 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664" w:name="Tc_L33jEJE1bEGfg8aY3BDhOQ_40_5"/>
      <w:bookmarkStart w:id="665" w:name="Tc_TktZ2Ufu9UWDVRRRbO0LqQ_40_3"/>
      <w:bookmarkStart w:id="666" w:name="Tc_wZvxrNoXtUK7lfelNcAy2Q_40_2"/>
      <w:bookmarkStart w:id="667" w:name="Tc_UubVA_miSUaw6QfaSwzCIw_40_0"/>
      <w:bookmarkStart w:id="668" w:name="Tc_FmR-6wvNn0WdWl73Go9dtA_39_0"/>
      <w:bookmarkStart w:id="669" w:name="Tc_YqvxIYVbNUWFc_J_M5iBNQ_38_0"/>
      <w:bookmarkStart w:id="670" w:name="Tc_qf0IqXoZeEejuHdedctfkA_37_5"/>
      <w:bookmarkStart w:id="671" w:name="Tc_J-w2IiiBfE2RiaceRDnc1w_37_2"/>
      <w:bookmarkStart w:id="672" w:name="Tc_QujWk_GS80ysPQfzRkMcGQ_37_0"/>
      <w:bookmarkStart w:id="673" w:name="Tc_004sJ6rrnEmeMDNshy8R4w_36_0"/>
      <w:bookmarkStart w:id="674" w:name="Tc_gG_HIGvZ50Kyr5mEg5QvWg_35_0"/>
      <w:bookmarkStart w:id="675" w:name="Tc_qoHmlxPT0kKNt88J-S_2aw_34_0"/>
      <w:bookmarkStart w:id="676" w:name="Tc_HvfLjZ9Kz0yAyc-QQSVXRA_33_3"/>
      <w:bookmarkStart w:id="677" w:name="Tc_hn5I31ZWRE2O-ZUXQz1sbw_33_0"/>
      <w:bookmarkStart w:id="678" w:name="Tc_gadYD41G7UacZrtU47O0DA_32_3"/>
      <w:bookmarkStart w:id="679" w:name="Tc_Pw53IKUalkSuo-RGCV66pA_32_0"/>
      <w:bookmarkStart w:id="680" w:name="Tc_8PIquEt2Tky8pPw6Di3qtg_31_3"/>
      <w:bookmarkStart w:id="681" w:name="Tc_IFThXcfqQken2nX1FTfBNQ_31_0"/>
      <w:bookmarkStart w:id="682" w:name="Tc_ZoZcGi3G9kC4dqegUedrcw_30_0"/>
      <w:bookmarkStart w:id="683" w:name="Tc_ZM6wuagm20OLw9fgzdzb-Q_29_0"/>
      <w:bookmarkStart w:id="684" w:name="Tc_b-6GIIGQ-kaCYBZGMaYt6Q_28_3"/>
      <w:bookmarkStart w:id="685" w:name="Tc_44ZX41sIDkWfB7QXLyGKog_28_0"/>
      <w:bookmarkStart w:id="686" w:name="Tc_L99ZDWHUrU2agAQqbut8DQ_27_0"/>
      <w:bookmarkStart w:id="687" w:name="Tc_SJJWZdP-6kWkwRhmljlrSw_26_0"/>
      <w:bookmarkStart w:id="688" w:name="Tc_6-vrjqqW3UOWNAApm69-jQ_25_0"/>
      <w:bookmarkStart w:id="689" w:name="Tc_KXwEcUG0Qka88dyBJKa82A_24_0"/>
      <w:bookmarkStart w:id="690" w:name="Tc_tUOijmd3H0SFTkRHdAg6tw_23_0"/>
      <w:bookmarkStart w:id="691" w:name="Tc_WYgxmRajykOKCAXMq7BS_w_22_0"/>
      <w:bookmarkStart w:id="692" w:name="Tc_S8XHK5ktzUqYUXeXINp32A_21_0"/>
      <w:bookmarkStart w:id="693" w:name="Tc_Ifi_3gWV9kK951JuAuSaFw_20_0"/>
      <w:bookmarkStart w:id="694" w:name="Tc_X8-rYeysA0GITCMwr5vchA_19_0"/>
      <w:bookmarkStart w:id="695" w:name="Tc_bJaym6XpR0ix8FRX7C0r2g_18_0"/>
      <w:bookmarkStart w:id="696" w:name="Tc_-5IlIWrdFk-cTYctaeVjUg_17_0"/>
      <w:bookmarkStart w:id="697" w:name="Tc_RWYGrWLf5kGHxCK2wvvY5g_16_0"/>
      <w:bookmarkStart w:id="698" w:name="Tc_eqCK8ckOJEqJPjQ88h4YoA_15_0"/>
      <w:bookmarkStart w:id="699" w:name="Tc_slMY6R8020ugJpvqNqbQ5g_14_0"/>
      <w:bookmarkStart w:id="700" w:name="Tc_KoKP4iPbJEefluldKgeWNQ_13_0"/>
      <w:bookmarkStart w:id="701" w:name="Tc_tJFlC2xaoU2WDV5H2WFr1g_12_0"/>
      <w:bookmarkStart w:id="702" w:name="Tc_FUMinox6O0qg71tuFdgrTg_11_0"/>
      <w:bookmarkStart w:id="703" w:name="Tc_mQhK5J1JXk6-VT4LFc8jkA_10_3"/>
      <w:bookmarkStart w:id="704" w:name="Tc_tf7OjbLKikCAVIcbk4uCNQ_10_0"/>
      <w:bookmarkStart w:id="705" w:name="Tc_IgasT0OuYkS5FsIBze98CQ_9_0"/>
      <w:bookmarkStart w:id="706" w:name="Tc_noZHIgWT4UiMmoPQgffYeA_8_6"/>
      <w:bookmarkStart w:id="707" w:name="Tc_VPEUHMGomkG9NDFOQeHZQg_8_0"/>
      <w:bookmarkStart w:id="708" w:name="Tc_cPC6yxjafEC4X478Aa011A_7_0"/>
      <w:bookmarkStart w:id="709" w:name="Tc_mJXx18KcZ0WWjNIOEo07Sw_6_5"/>
      <w:bookmarkStart w:id="710" w:name="Tc_oWGX8ytLqk2uzf9WgnjLGQ_6_2"/>
      <w:bookmarkStart w:id="711" w:name="Tc_g83-2o_WK0asJ8WgPl4diQ_6_0"/>
      <w:bookmarkStart w:id="712" w:name="Tc_RRibmBcnVk6eu9RULQxdGw_5_0"/>
      <w:bookmarkStart w:id="713" w:name="Tc_lgS4IeW1-0mvslkOv9x1Ug_3_5"/>
      <w:bookmarkStart w:id="714" w:name="Tc_zi3A1rjmlkOavVke8j3LQQ_3_2"/>
      <w:bookmarkStart w:id="715" w:name="Tc_wO9mJAZTFUqob2zA6SbD9w_2_2"/>
      <w:bookmarkStart w:id="716" w:name="Tc_UKfkCRTnEEmI-1NVxkgjIA_1_2"/>
      <w:bookmarkStart w:id="717" w:name="_f39bc365_c84b_477c_930f_0427cc694de1"/>
      <w:bookmarkStart w:id="718" w:name="Tc_L33jEJE1bEGfg8aY3BDhOQ_40_5"/>
      <w:bookmarkStart w:id="719" w:name="Tc_TktZ2Ufu9UWDVRRRbO0LqQ_40_3"/>
      <w:bookmarkStart w:id="720" w:name="Tc_wZvxrNoXtUK7lfelNcAy2Q_40_2"/>
      <w:bookmarkStart w:id="721" w:name="Tc_UubVA_miSUaw6QfaSwzCIw_40_0"/>
      <w:bookmarkStart w:id="722" w:name="Tc_FmR-6wvNn0WdWl73Go9dtA_39_0"/>
      <w:bookmarkStart w:id="723" w:name="Tc_YqvxIYVbNUWFc_J_M5iBNQ_38_0"/>
      <w:bookmarkStart w:id="724" w:name="Tc_qf0IqXoZeEejuHdedctfkA_37_5"/>
      <w:bookmarkStart w:id="725" w:name="Tc_J-w2IiiBfE2RiaceRDnc1w_37_2"/>
      <w:bookmarkStart w:id="726" w:name="Tc_QujWk_GS80ysPQfzRkMcGQ_37_0"/>
      <w:bookmarkStart w:id="727" w:name="Tc_004sJ6rrnEmeMDNshy8R4w_36_0"/>
      <w:bookmarkStart w:id="728" w:name="Tc_gG_HIGvZ50Kyr5mEg5QvWg_35_0"/>
      <w:bookmarkStart w:id="729" w:name="Tc_qoHmlxPT0kKNt88J-S_2aw_34_0"/>
      <w:bookmarkStart w:id="730" w:name="Tc_HvfLjZ9Kz0yAyc-QQSVXRA_33_3"/>
      <w:bookmarkStart w:id="731" w:name="Tc_hn5I31ZWRE2O-ZUXQz1sbw_33_0"/>
      <w:bookmarkStart w:id="732" w:name="Tc_gadYD41G7UacZrtU47O0DA_32_3"/>
      <w:bookmarkStart w:id="733" w:name="Tc_Pw53IKUalkSuo-RGCV66pA_32_0"/>
      <w:bookmarkStart w:id="734" w:name="Tc_8PIquEt2Tky8pPw6Di3qtg_31_3"/>
      <w:bookmarkStart w:id="735" w:name="Tc_IFThXcfqQken2nX1FTfBNQ_31_0"/>
      <w:bookmarkStart w:id="736" w:name="Tc_ZoZcGi3G9kC4dqegUedrcw_30_0"/>
      <w:bookmarkStart w:id="737" w:name="Tc_ZM6wuagm20OLw9fgzdzb-Q_29_0"/>
      <w:bookmarkStart w:id="738" w:name="Tc_b-6GIIGQ-kaCYBZGMaYt6Q_28_3"/>
      <w:bookmarkStart w:id="739" w:name="Tc_44ZX41sIDkWfB7QXLyGKog_28_0"/>
      <w:bookmarkStart w:id="740" w:name="Tc_L99ZDWHUrU2agAQqbut8DQ_27_0"/>
      <w:bookmarkStart w:id="741" w:name="Tc_SJJWZdP-6kWkwRhmljlrSw_26_0"/>
      <w:bookmarkStart w:id="742" w:name="Tc_6-vrjqqW3UOWNAApm69-jQ_25_0"/>
      <w:bookmarkStart w:id="743" w:name="Tc_KXwEcUG0Qka88dyBJKa82A_24_0"/>
      <w:bookmarkStart w:id="744" w:name="Tc_tUOijmd3H0SFTkRHdAg6tw_23_0"/>
      <w:bookmarkStart w:id="745" w:name="Tc_WYgxmRajykOKCAXMq7BS_w_22_0"/>
      <w:bookmarkStart w:id="746" w:name="Tc_S8XHK5ktzUqYUXeXINp32A_21_0"/>
      <w:bookmarkStart w:id="747" w:name="Tc_Ifi_3gWV9kK951JuAuSaFw_20_0"/>
      <w:bookmarkStart w:id="748" w:name="Tc_X8-rYeysA0GITCMwr5vchA_19_0"/>
      <w:bookmarkStart w:id="749" w:name="Tc_bJaym6XpR0ix8FRX7C0r2g_18_0"/>
      <w:bookmarkStart w:id="750" w:name="Tc_-5IlIWrdFk-cTYctaeVjUg_17_0"/>
      <w:bookmarkStart w:id="751" w:name="Tc_RWYGrWLf5kGHxCK2wvvY5g_16_0"/>
      <w:bookmarkStart w:id="752" w:name="Tc_eqCK8ckOJEqJPjQ88h4YoA_15_0"/>
      <w:bookmarkStart w:id="753" w:name="Tc_slMY6R8020ugJpvqNqbQ5g_14_0"/>
      <w:bookmarkStart w:id="754" w:name="Tc_KoKP4iPbJEefluldKgeWNQ_13_0"/>
      <w:bookmarkStart w:id="755" w:name="Tc_tJFlC2xaoU2WDV5H2WFr1g_12_0"/>
      <w:bookmarkStart w:id="756" w:name="Tc_FUMinox6O0qg71tuFdgrTg_11_0"/>
      <w:bookmarkStart w:id="757" w:name="Tc_mQhK5J1JXk6-VT4LFc8jkA_10_3"/>
      <w:bookmarkStart w:id="758" w:name="Tc_tf7OjbLKikCAVIcbk4uCNQ_10_0"/>
      <w:bookmarkStart w:id="759" w:name="Tc_IgasT0OuYkS5FsIBze98CQ_9_0"/>
      <w:bookmarkStart w:id="760" w:name="Tc_noZHIgWT4UiMmoPQgffYeA_8_6"/>
      <w:bookmarkStart w:id="761" w:name="Tc_VPEUHMGomkG9NDFOQeHZQg_8_0"/>
      <w:bookmarkStart w:id="762" w:name="Tc_cPC6yxjafEC4X478Aa011A_7_0"/>
      <w:bookmarkStart w:id="763" w:name="Tc_mJXx18KcZ0WWjNIOEo07Sw_6_5"/>
      <w:bookmarkStart w:id="764" w:name="Tc_oWGX8ytLqk2uzf9WgnjLGQ_6_2"/>
      <w:bookmarkStart w:id="765" w:name="Tc_g83-2o_WK0asJ8WgPl4diQ_6_0"/>
      <w:bookmarkStart w:id="766" w:name="Tc_RRibmBcnVk6eu9RULQxdGw_5_0"/>
      <w:bookmarkStart w:id="767" w:name="Tc_lgS4IeW1-0mvslkOv9x1Ug_3_5"/>
      <w:bookmarkStart w:id="768" w:name="Tc_zi3A1rjmlkOavVke8j3LQQ_3_2"/>
      <w:bookmarkStart w:id="769" w:name="Tc_wO9mJAZTFUqob2zA6SbD9w_2_2"/>
      <w:bookmarkStart w:id="770" w:name="Tc_UKfkCRTnEEmI-1NVxkgjIA_1_2"/>
      <w:bookmarkStart w:id="771" w:name="_f39bc365_c84b_477c_930f_0427cc694de1"/>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tbl>
      <w:tblPr>
        <w:tblW w:w="8532" w:type="dxa"/>
        <w:jc w:val="left"/>
        <w:tblInd w:w="0" w:type="dxa"/>
        <w:tblLayout w:type="fixed"/>
        <w:tblCellMar>
          <w:top w:w="0" w:type="dxa"/>
          <w:left w:w="0" w:type="dxa"/>
          <w:bottom w:w="0" w:type="dxa"/>
          <w:right w:w="0" w:type="dxa"/>
        </w:tblCellMar>
      </w:tblPr>
      <w:tblGrid>
        <w:gridCol w:w="6031"/>
        <w:gridCol w:w="326"/>
        <w:gridCol w:w="211"/>
        <w:gridCol w:w="691"/>
        <w:gridCol w:w="326"/>
        <w:gridCol w:w="211"/>
        <w:gridCol w:w="736"/>
      </w:tblGrid>
      <w:tr>
        <w:trPr/>
        <w:tc>
          <w:tcPr>
            <w:tcW w:w="6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829685" cy="175260"/>
                      <wp:effectExtent l="0" t="0" r="0" b="0"/>
                      <wp:wrapNone/>
                      <wp:docPr id="96" name="Frame96"/>
                      <a:graphic xmlns:a="http://schemas.openxmlformats.org/drawingml/2006/main">
                        <a:graphicData uri="http://schemas.microsoft.com/office/word/2010/wordprocessingShape">
                          <wps:wsp>
                            <wps:cNvSpPr txBox="1"/>
                            <wps:spPr>
                              <a:xfrm>
                                <a:off x="0" y="0"/>
                                <a:ext cx="3829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38785" cy="175260"/>
                      <wp:effectExtent l="0" t="0" r="0" b="0"/>
                      <wp:wrapNone/>
                      <wp:docPr id="99" name="Frame9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67360" cy="175260"/>
                      <wp:effectExtent l="0" t="0" r="0" b="0"/>
                      <wp:wrapNone/>
                      <wp:docPr id="102" name="Frame10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issued for services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(reversal of) inventory reserve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 and other current assets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other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issuances of common stock</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issuance costs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currency exchange rate changes on cash and cash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period</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11,005</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3,273</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cash flow information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60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investing and financing transactions: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60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151</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72" w:name="_df73379a_7cab_463a_a349_591f260c56c0"/>
      <w:bookmarkEnd w:id="772"/>
      <w:r>
        <w:rPr>
          <w:rFonts w:ascii="Times New Roman;Times;serif" w:hAnsi="Times New Roman;Times;serif"/>
          <w:b/>
          <w:sz w:val="20"/>
        </w:rPr>
        <w:t>Helius Medical Technologies, Inc.</w:t>
      </w:r>
    </w:p>
    <w:p>
      <w:pPr>
        <w:pStyle w:val="TextBody"/>
        <w:bidi w:val="0"/>
        <w:spacing w:before="0" w:after="240"/>
        <w:ind w:left="0" w:right="0" w:hanging="0"/>
        <w:jc w:val="left"/>
        <w:rPr>
          <w:rFonts w:ascii="Times New Roman;Times;serif" w:hAnsi="Times New Roman;Times;serif"/>
          <w:b/>
          <w:sz w:val="20"/>
        </w:rPr>
      </w:pPr>
      <w:bookmarkStart w:id="773" w:name="NotestoUnauditedCondensedConsolidatedFin"/>
      <w:bookmarkEnd w:id="773"/>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BASIS OF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2022 that was filed with the Securities and Exchange Commission on March 9, 2023 (“2022 10-K”). Certain information and footnote disclosures normally included in financial statements prepared in accordance with generally accepted accounting principles in the United States of America ("GAAP") have been condensed or omitted.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from those described in the 2022 10-K. Certain prior period amounts have been reclassified to conform to the current period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21, 2023, the Company filed a definitive proxy statement seeking stockholder approval for a reverse stock split of our outstanding Class A common stock at a ratio in the range of 1-for-</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to 1-for-</w:t>
      </w:r>
      <w:r>
        <w:rPr>
          <w:rFonts w:ascii="Times New Roman;Times;serif" w:hAnsi="Times New Roman;Times;serif"/>
          <w:b w:val="false"/>
          <w:i w:val="false"/>
          <w:caps w:val="false"/>
          <w:smallCaps w:val="false"/>
          <w:sz w:val="20"/>
        </w:rPr>
        <w:t>80</w:t>
      </w:r>
      <w:r>
        <w:rPr>
          <w:rFonts w:ascii="Times New Roman;Times;serif" w:hAnsi="Times New Roman;Times;serif"/>
          <w:sz w:val="20"/>
        </w:rPr>
        <w:t xml:space="preserve"> to be determined at the discretion of the Company’s Board of Directors. At the annual meeting of stockholders on May 24, 2023, our stockholders voted to approve the reverse stock split. Refer to Note 6 for additional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in the financial statements. Actual results could differ from those estimates.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Going Concern Uncertainty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June 30, 2023, the Company had cash and cash equivalents of $8.6 million. For the six months ended June 30, 2023, the Company had an operating loss of $7.0 million, and as of June 30, 2023, its accumulated deficit was $155.2 million. For the six months ended June 30, 2023, the Company had $0.4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Global Economic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Generally, worldwide economic conditions remain uncertain, particularly due to the conflict between Russia and Ukraine, disruptions in the banking system and financial markets, lingering effects of the COVID-19 pandemic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COVID-19 pandemic that began in late 2019 introduced significant volatility to the global economy, disrupted supply chains and had a widespread adverse effect on the financial markets. Additionally, the Company’s operating results could be materially impacted by changes in the overall macroeconomic environment and other economic factors. Changes in economic conditions, supply chain constraints, logistics challenges, labor shortages, the conflict in Ukraine, disruptions in the banking system and financial markets, and steps taken by governments and central banks, particularly in response to the COVID-19 pandemic as well as other stimulus and spending programs, have led to high inflation, which has increased costs and has caused changes in fiscal and monetary policy, including an increase in interest rates. Although the Company may take measures to mitigate these impacts, if these measures are not effective, the Company’s business, financial condition, results of operations, and liquidity could be materially adversely affected.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June 2016, the Financial Accounting Standards Board issued Accounting Standards Update 2016</w:t>
      </w:r>
      <w:r>
        <w:rPr>
          <w:rFonts w:ascii="Times New Roman;Times;serif" w:hAnsi="Times New Roman;Times;serif"/>
          <w:b/>
          <w:sz w:val="20"/>
        </w:rPr>
        <w:t>-</w:t>
      </w:r>
      <w:r>
        <w:rPr>
          <w:rFonts w:ascii="Times New Roman;Times;serif" w:hAnsi="Times New Roman;Times;serif"/>
          <w:sz w:val="20"/>
        </w:rPr>
        <w:t xml:space="preserve">13, </w:t>
      </w:r>
      <w:r>
        <w:rPr>
          <w:rFonts w:ascii="Times New Roman;Times;serif" w:hAnsi="Times New Roman;Times;serif"/>
          <w:i/>
          <w:sz w:val="20"/>
        </w:rPr>
        <w:t>Financial Instruments – Credit Losses (Topic 326): Measurement of Credit Losses on Financial Instruments</w:t>
      </w:r>
      <w:r>
        <w:rPr>
          <w:rFonts w:ascii="Times New Roman;Times;serif" w:hAnsi="Times New Roman;Times;serif"/>
          <w:b/>
          <w:sz w:val="20"/>
        </w:rPr>
        <w:t xml:space="preserve">, </w:t>
      </w:r>
      <w:r>
        <w:rPr>
          <w:rFonts w:ascii="Times New Roman;Times;serif" w:hAnsi="Times New Roman;Times;serif"/>
          <w:sz w:val="20"/>
        </w:rPr>
        <w:t>which requires measurement and recognition of expected credit losses for financial assets held and requires enhanced disclosures regarding significant estimates and judgments used in estimating credit losses</w:t>
      </w:r>
      <w:r>
        <w:rPr>
          <w:rFonts w:ascii="Times New Roman;Times;serif" w:hAnsi="Times New Roman;Times;serif"/>
          <w:b/>
          <w:sz w:val="20"/>
        </w:rPr>
        <w:t>.</w:t>
      </w:r>
      <w:r>
        <w:rPr>
          <w:rFonts w:ascii="Times New Roman;Times;serif" w:hAnsi="Times New Roman;Times;serif"/>
          <w:sz w:val="20"/>
        </w:rPr>
        <w:t xml:space="preserve"> As the Company meets the SEC definition of a Smaller Reporting Company filer, the guidance was effective for fiscal years beginning after December 15, 2022. The adoption of this guidance on January 1, 2023 did not have a material impact on the Company's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74" w:name="Tc_N9WtpIPIgku-oeroeAoTLQ_8_5"/>
      <w:bookmarkStart w:id="775" w:name="Tc_C1B28XqlhESlCvzZ0c5ysg_8_2"/>
      <w:bookmarkStart w:id="776" w:name="Tc_2sNT08ZmCkS_8g90HWyUtQ_8_0"/>
      <w:bookmarkStart w:id="777" w:name="Tc_mQgCJ13cWEOQne02zHmOZg_7_0"/>
      <w:bookmarkStart w:id="778" w:name="Tc_y9uZrxMO-0SjKGQPGv-A3Q_6_0"/>
      <w:bookmarkStart w:id="779" w:name="Tc_1ZPL6P6ANEardXPNychMLg_5_0"/>
      <w:bookmarkStart w:id="780" w:name="Tc_wXIoh_USSU6wbpIDbSx97A_4_0"/>
      <w:bookmarkStart w:id="781" w:name="Tc__74CRb9M5E6V-4DfO5OzjA_3_5"/>
      <w:bookmarkStart w:id="782" w:name="Tc_vQ65IGv8YkK2SyNhK-pjNg_3_2"/>
      <w:bookmarkStart w:id="783" w:name="Tc_7Z2r-2kZqUW2zeBVb143Rg_3_0"/>
      <w:bookmarkStart w:id="784" w:name="Tc_zDl3j5vvPEiieweV-p9Zog_2_5"/>
      <w:bookmarkStart w:id="785" w:name="Tc_h9vbY7IIPU-uB8itzG1DdQ_2_2"/>
      <w:bookmarkStart w:id="786" w:name="Tc_jlzqCX0tPUuqcNK9AgUPfw_1_5"/>
      <w:bookmarkStart w:id="787" w:name="Tc_2P9tPpkyKkK8qI-GadfMvw_1_2"/>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r>
        <w:rPr>
          <w:rFonts w:ascii="Times New Roman;Times;serif" w:hAnsi="Times New Roman;Times;serif"/>
          <w:b/>
          <w:sz w:val="20"/>
        </w:rPr>
        <w:t>3.    SUPPLEMENTAL BALANCE SHEET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Components of selected captions in the unaudited condensed consolidated balance sheets consisted of the following:</w:t>
      </w:r>
    </w:p>
    <w:p>
      <w:pPr>
        <w:pStyle w:val="TextBody"/>
        <w:bidi w:val="0"/>
        <w:spacing w:before="0" w:after="24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Accounts receivable, net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Accounts receivable from product sales are net of allowance for credit losses of less than $1 thousand as of both June 30, 2023 and December 31, 2022.</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Inventory, net (in thousands) </w:t>
      </w:r>
    </w:p>
    <w:p>
      <w:pPr>
        <w:pStyle w:val="TextBody"/>
        <w:bidi w:val="0"/>
        <w:spacing w:before="0" w:after="0"/>
        <w:ind w:left="0" w:right="0" w:hanging="0"/>
        <w:jc w:val="left"/>
        <w:rPr/>
      </w:pPr>
      <w:r>
        <w:rPr/>
        <w:t>​</w:t>
      </w:r>
    </w:p>
    <w:tbl>
      <w:tblPr>
        <w:tblW w:w="4133" w:type="dxa"/>
        <w:jc w:val="left"/>
        <w:tblInd w:w="0" w:type="dxa"/>
        <w:tblLayout w:type="fixed"/>
        <w:tblCellMar>
          <w:top w:w="0" w:type="dxa"/>
          <w:left w:w="0" w:type="dxa"/>
          <w:bottom w:w="0" w:type="dxa"/>
          <w:right w:w="0" w:type="dxa"/>
        </w:tblCellMar>
      </w:tblPr>
      <w:tblGrid>
        <w:gridCol w:w="1531"/>
        <w:gridCol w:w="326"/>
        <w:gridCol w:w="254"/>
        <w:gridCol w:w="511"/>
        <w:gridCol w:w="326"/>
        <w:gridCol w:w="338"/>
        <w:gridCol w:w="847"/>
      </w:tblGrid>
      <w:tr>
        <w:trPr/>
        <w:tc>
          <w:tcPr>
            <w:tcW w:w="15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72185" cy="175260"/>
                      <wp:effectExtent l="0" t="0" r="0" b="0"/>
                      <wp:wrapNone/>
                      <wp:docPr id="103" name="Frame103"/>
                      <a:graphic xmlns:a="http://schemas.openxmlformats.org/drawingml/2006/main">
                        <a:graphicData uri="http://schemas.microsoft.com/office/word/2010/wordprocessingShape">
                          <wps:wsp>
                            <wps:cNvSpPr txBox="1"/>
                            <wps:spPr>
                              <a:xfrm>
                                <a:off x="0" y="0"/>
                                <a:ext cx="972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1290" cy="175260"/>
                      <wp:effectExtent l="0" t="0" r="0" b="0"/>
                      <wp:wrapNone/>
                      <wp:docPr id="105" name="Frame105"/>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324485" cy="175260"/>
                      <wp:effectExtent l="0" t="0" r="0" b="0"/>
                      <wp:wrapNone/>
                      <wp:docPr id="106" name="Frame10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4630" cy="175260"/>
                      <wp:effectExtent l="0" t="0" r="0" b="0"/>
                      <wp:wrapNone/>
                      <wp:docPr id="108" name="Frame108"/>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37845" cy="175260"/>
                      <wp:effectExtent l="0" t="0" r="0" b="0"/>
                      <wp:wrapNone/>
                      <wp:docPr id="109" name="Frame109"/>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Work-in-process</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gross</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667</w:t>
            </w:r>
          </w:p>
        </w:tc>
      </w:tr>
      <w:tr>
        <w:trPr/>
        <w:tc>
          <w:tcPr>
            <w:tcW w:w="15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reserve</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r>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Inventory, net </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w:t>
            </w:r>
          </w:p>
        </w:tc>
        <w:tc>
          <w:tcPr>
            <w:tcW w:w="326" w:type="dxa"/>
            <w:tcBorders/>
            <w:vAlign w:val="center"/>
          </w:tcPr>
          <w:p>
            <w:pPr>
              <w:pStyle w:val="TableContents"/>
              <w:bidi w:val="0"/>
              <w:spacing w:before="0" w:after="0"/>
              <w:ind w:left="0" w:right="0" w:hanging="0"/>
              <w:jc w:val="left"/>
              <w:rPr/>
            </w:pPr>
            <w:r>
              <w:rPr/>
              <w:t>​</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$14 thousand of inventory was written off to the inventory reserve.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788" w:name="Tc_Jq6lLHMiN0qCA3kQqqem1A_7_5"/>
      <w:bookmarkStart w:id="789" w:name="Tc_g7WqCN32ekmqDUO0Eryw3g_7_2"/>
      <w:bookmarkStart w:id="790" w:name="Tc_buD3D6yYDEKTQt6lbytLKg_7_0"/>
      <w:bookmarkStart w:id="791" w:name="Tc_7WBOarUEuEmxDHHsoFqNCA_6_0"/>
      <w:bookmarkStart w:id="792" w:name="Tc_tgQ7M2u2l0uaXOpleIeI3A_5_0"/>
      <w:bookmarkStart w:id="793" w:name="Tc_E3QKU4po3UCOvF6S-LwCww_4_0"/>
      <w:bookmarkStart w:id="794" w:name="Tc_gNfSvy7uXk6BWTcJurrh2A_3_5"/>
      <w:bookmarkStart w:id="795" w:name="Tc_pq_QK7oGEkCkPcqGos7Bag_3_2"/>
      <w:bookmarkStart w:id="796" w:name="Tc_ZKiUox0sg0azq393MjsisQ_3_0"/>
      <w:bookmarkStart w:id="797" w:name="Tc_k2prbm4rPkud_Fxbq2GpoQ_2_5"/>
      <w:bookmarkStart w:id="798" w:name="Tc_sv16V1pdWUywdDVv1gPiuQ_2_2"/>
      <w:bookmarkStart w:id="799" w:name="Tc_WEZU9N9GpESDZfwVtFydvg_1_5"/>
      <w:bookmarkStart w:id="800" w:name="Tc_HKKLFJEkf0aqgEfew7AU2g_1_2"/>
      <w:bookmarkStart w:id="801" w:name="Tc_K-jZDYR-QkqQg8kbqGUxjQ_5_5"/>
      <w:bookmarkStart w:id="802" w:name="Tc_Gr6UOCXA2kC_lsGCpLn3JA_5_2"/>
      <w:bookmarkStart w:id="803" w:name="Tc_FDqa-_dH2kSygQT_J47j_Q_5_0"/>
      <w:bookmarkStart w:id="804" w:name="Tc__DJ5JcgMcES9tfZMWv0YuA_4_0"/>
      <w:bookmarkStart w:id="805" w:name="Tc_lJJMjuhtKESeWG-dSPjuVw_3_5"/>
      <w:bookmarkStart w:id="806" w:name="Tc_DAelBHQH4025p3zL9x4Row_3_2"/>
      <w:bookmarkStart w:id="807" w:name="Tc_MfXbbSZC_Ui8CUljDmHfog_3_0"/>
      <w:bookmarkStart w:id="808" w:name="Tc_3FUWaHpcXk-5kPIJiaM1gA_2_5"/>
      <w:bookmarkStart w:id="809" w:name="Tc_uJFAopt0-EiKjhjvncdzNg_2_2"/>
      <w:bookmarkStart w:id="810" w:name="Tc_-VwEpHFas0OHlVLSPetbnA_1_5"/>
      <w:bookmarkStart w:id="811" w:name="Tc_MH0AzCx-GEC2kTRMnlg2mQ_1_2"/>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r>
        <w:rPr>
          <w:rFonts w:ascii="Times New Roman;Times;serif" w:hAnsi="Times New Roman;Times;serif"/>
          <w:b/>
          <w:sz w:val="20"/>
        </w:rPr>
        <w:t>Prepaid expenses and other current assets (in thousands)</w:t>
      </w:r>
    </w:p>
    <w:p>
      <w:pPr>
        <w:pStyle w:val="TextBody"/>
        <w:bidi w:val="0"/>
        <w:spacing w:before="0" w:after="0"/>
        <w:ind w:left="0" w:right="0" w:hanging="0"/>
        <w:jc w:val="left"/>
        <w:rPr/>
      </w:pPr>
      <w:r>
        <w:rPr/>
        <w:t>​</w:t>
      </w:r>
    </w:p>
    <w:tbl>
      <w:tblPr>
        <w:tblW w:w="6533" w:type="dxa"/>
        <w:jc w:val="left"/>
        <w:tblInd w:w="0" w:type="dxa"/>
        <w:tblLayout w:type="fixed"/>
        <w:tblCellMar>
          <w:top w:w="0" w:type="dxa"/>
          <w:left w:w="0" w:type="dxa"/>
          <w:bottom w:w="0" w:type="dxa"/>
          <w:right w:w="0" w:type="dxa"/>
        </w:tblCellMar>
      </w:tblPr>
      <w:tblGrid>
        <w:gridCol w:w="3931"/>
        <w:gridCol w:w="326"/>
        <w:gridCol w:w="254"/>
        <w:gridCol w:w="511"/>
        <w:gridCol w:w="326"/>
        <w:gridCol w:w="281"/>
        <w:gridCol w:w="904"/>
      </w:tblGrid>
      <w:tr>
        <w:trPr/>
        <w:tc>
          <w:tcPr>
            <w:tcW w:w="3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496185" cy="175260"/>
                      <wp:effectExtent l="0" t="0" r="0" b="0"/>
                      <wp:wrapNone/>
                      <wp:docPr id="110" name="Frame110"/>
                      <a:graphic xmlns:a="http://schemas.openxmlformats.org/drawingml/2006/main">
                        <a:graphicData uri="http://schemas.microsoft.com/office/word/2010/wordprocessingShape">
                          <wps:wsp>
                            <wps:cNvSpPr txBox="1"/>
                            <wps:spPr>
                              <a:xfrm>
                                <a:off x="0" y="0"/>
                                <a:ext cx="2496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61290" cy="175260"/>
                      <wp:effectExtent l="0" t="0" r="0" b="0"/>
                      <wp:wrapNone/>
                      <wp:docPr id="112" name="Frame112"/>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324485" cy="175260"/>
                      <wp:effectExtent l="0" t="0" r="0" b="0"/>
                      <wp:wrapNone/>
                      <wp:docPr id="113" name="Frame1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78435" cy="175260"/>
                      <wp:effectExtent l="0" t="0" r="0" b="0"/>
                      <wp:wrapNone/>
                      <wp:docPr id="115" name="Frame115"/>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74040" cy="175260"/>
                      <wp:effectExtent l="0" t="0" r="0" b="0"/>
                      <wp:wrapNone/>
                      <wp:docPr id="116" name="Frame116"/>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 related</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399</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1,216</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b/>
          <w:sz w:val="20"/>
        </w:rPr>
      </w:pPr>
      <w:r>
        <w:rPr>
          <w:rFonts w:ascii="Times New Roman;Times;serif" w:hAnsi="Times New Roman;Times;serif"/>
          <w:b/>
          <w:sz w:val="20"/>
        </w:rPr>
        <w:t>Accrued and other current liabilities (in thousands)</w:t>
      </w:r>
    </w:p>
    <w:p>
      <w:pPr>
        <w:pStyle w:val="TextBody"/>
        <w:bidi w:val="0"/>
        <w:spacing w:before="0" w:after="0"/>
        <w:ind w:left="0" w:right="0" w:hanging="0"/>
        <w:jc w:val="left"/>
        <w:rPr/>
      </w:pPr>
      <w:r>
        <w:rPr/>
        <w:t>​</w:t>
      </w:r>
    </w:p>
    <w:tbl>
      <w:tblPr>
        <w:tblW w:w="6083" w:type="dxa"/>
        <w:jc w:val="left"/>
        <w:tblInd w:w="0" w:type="dxa"/>
        <w:tblLayout w:type="fixed"/>
        <w:tblCellMar>
          <w:top w:w="0" w:type="dxa"/>
          <w:left w:w="0" w:type="dxa"/>
          <w:bottom w:w="0" w:type="dxa"/>
          <w:right w:w="0" w:type="dxa"/>
        </w:tblCellMar>
      </w:tblPr>
      <w:tblGrid>
        <w:gridCol w:w="3481"/>
        <w:gridCol w:w="326"/>
        <w:gridCol w:w="254"/>
        <w:gridCol w:w="511"/>
        <w:gridCol w:w="326"/>
        <w:gridCol w:w="281"/>
        <w:gridCol w:w="904"/>
      </w:tblGrid>
      <w:tr>
        <w:trPr/>
        <w:tc>
          <w:tcPr>
            <w:tcW w:w="3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210435" cy="175260"/>
                      <wp:effectExtent l="0" t="0" r="0" b="0"/>
                      <wp:wrapNone/>
                      <wp:docPr id="117" name="Frame117"/>
                      <a:graphic xmlns:a="http://schemas.openxmlformats.org/drawingml/2006/main">
                        <a:graphicData uri="http://schemas.microsoft.com/office/word/2010/wordprocessingShape">
                          <wps:wsp>
                            <wps:cNvSpPr txBox="1"/>
                            <wps:spPr>
                              <a:xfrm>
                                <a:off x="0" y="0"/>
                                <a:ext cx="2210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1290" cy="175260"/>
                      <wp:effectExtent l="0" t="0" r="0" b="0"/>
                      <wp:wrapNone/>
                      <wp:docPr id="119" name="Frame119"/>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324485" cy="175260"/>
                      <wp:effectExtent l="0" t="0" r="0" b="0"/>
                      <wp:wrapNone/>
                      <wp:docPr id="120" name="Frame120"/>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78435" cy="175260"/>
                      <wp:effectExtent l="0" t="0" r="0" b="0"/>
                      <wp:wrapNone/>
                      <wp:docPr id="122" name="Frame12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74040" cy="175260"/>
                      <wp:effectExtent l="0" t="0" r="0" b="0"/>
                      <wp:wrapNone/>
                      <wp:docPr id="123" name="Frame123"/>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Insurance payable</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Employees benefits</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439</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pPr>
            <w:r>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1"/>
              <w:ind w:left="0" w:right="0" w:hanging="0"/>
              <w:jc w:val="left"/>
              <w:rPr/>
            </w:pPr>
            <w:r>
              <w:rPr/>
              <w:t>​</w:t>
            </w:r>
          </w:p>
        </w:tc>
        <w:tc>
          <w:tcPr>
            <w:tcW w:w="254"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vAlign w:val="center"/>
          </w:tcPr>
          <w:p>
            <w:pPr>
              <w:pStyle w:val="TableContents"/>
              <w:bidi w:val="0"/>
              <w:spacing w:before="0" w:after="1"/>
              <w:ind w:left="0" w:right="0" w:hanging="0"/>
              <w:jc w:val="left"/>
              <w:rPr/>
            </w:pPr>
            <w:r>
              <w:rPr/>
              <w:t>​</w:t>
            </w:r>
          </w:p>
        </w:tc>
        <w:tc>
          <w:tcPr>
            <w:tcW w:w="281" w:type="dxa"/>
            <w:tcBorders/>
            <w:vAlign w:val="center"/>
          </w:tcPr>
          <w:p>
            <w:pPr>
              <w:pStyle w:val="TableContents"/>
              <w:bidi w:val="0"/>
              <w:spacing w:before="0" w:after="1"/>
              <w:ind w:left="0" w:right="0" w:hanging="0"/>
              <w:jc w:val="left"/>
              <w:rPr/>
            </w:pPr>
            <w:r>
              <w:rPr/>
              <w:t> </w:t>
            </w:r>
          </w:p>
        </w:tc>
        <w:tc>
          <w:tcPr>
            <w:tcW w:w="90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4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bidi w:val="0"/>
              <w:spacing w:before="0" w:after="1"/>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shd w:fill="CCEEFF" w:val="clear"/>
            <w:vAlign w:val="center"/>
          </w:tcPr>
          <w:p>
            <w:pPr>
              <w:pStyle w:val="TableContents"/>
              <w:bidi w:val="0"/>
              <w:spacing w:before="0" w:after="1"/>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34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and other current liabilities</w:t>
            </w:r>
          </w:p>
        </w:tc>
        <w:tc>
          <w:tcPr>
            <w:tcW w:w="326" w:type="dxa"/>
            <w:tcBorders/>
            <w:vAlign w:val="center"/>
          </w:tcPr>
          <w:p>
            <w:pPr>
              <w:pStyle w:val="TableContents"/>
              <w:bidi w:val="0"/>
              <w:spacing w:before="0" w:after="1"/>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326" w:type="dxa"/>
            <w:tcBorders/>
            <w:vAlign w:val="center"/>
          </w:tcPr>
          <w:p>
            <w:pPr>
              <w:pStyle w:val="TableContents"/>
              <w:bidi w:val="0"/>
              <w:spacing w:before="0" w:after="1"/>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1,280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Deferred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Exclusive Distribution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 Agreement. The initial term of the Exclusivity Agreement expires on December 31, 2027, and is renewable by HTC for one additional five-year term upon sixty days’ written notice to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Deferred revenue as of both June 30, 2023 and December 31, 2022 is comprised of the remaining unamortized amount under these agreements. Revenue recognized is included in other revenue in the Unaudited Condensed Consolidated Statements of Operations and Comprehensive Loss.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two operating leases for office space with lease terms expiring in January 2024 and March 2025. The leases do not contain any </w:t>
      </w:r>
      <w:r>
        <w:rPr>
          <w:rFonts w:ascii="Times New Roman;Times;serif" w:hAnsi="Times New Roman;Times;serif"/>
          <w:b w:val="false"/>
          <w:i w:val="false"/>
          <w:caps w:val="false"/>
          <w:smallCaps w:val="false"/>
          <w:sz w:val="20"/>
        </w:rPr>
        <w:t>options to extend</w:t>
      </w:r>
      <w:r>
        <w:rPr>
          <w:rFonts w:ascii="Times New Roman;Times;serif" w:hAnsi="Times New Roman;Times;serif"/>
          <w:sz w:val="20"/>
        </w:rPr>
        <w:t>. Operating lease costs for the three and six months ended June 30, 2023 and 2022 were $13 thousand $27 thousand, $14 thousand and $29 thousand,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12" w:name="Tc_qXL5th-oEE2Xf5oNF1oJCA_6_2"/>
      <w:bookmarkStart w:id="813" w:name="Tc_Wbi1BZzv40GTodrLk3TI0w_6_0"/>
      <w:bookmarkStart w:id="814" w:name="Tc_lSvrgtHjhUOBLynd2_g4dw_5_0"/>
      <w:bookmarkStart w:id="815" w:name="Tc_w_HDjm9DykeDlOFbZ9vZYQ_4_0"/>
      <w:bookmarkStart w:id="816" w:name="Tc_vo3on6kU4EiNrr6fXBrMNw_3_0"/>
      <w:bookmarkStart w:id="817" w:name="Tc_nENtrXwQGkK7yV6VDrdaDw_2_0"/>
      <w:bookmarkStart w:id="818" w:name="Tc_QZNMaw6RtUen46M0AbFCcA_1_2"/>
      <w:bookmarkStart w:id="819" w:name="Tc_yI-68sSvQUuPfGixUl0DhA_1_0"/>
      <w:bookmarkEnd w:id="812"/>
      <w:bookmarkEnd w:id="813"/>
      <w:bookmarkEnd w:id="814"/>
      <w:bookmarkEnd w:id="815"/>
      <w:bookmarkEnd w:id="816"/>
      <w:bookmarkEnd w:id="817"/>
      <w:bookmarkEnd w:id="818"/>
      <w:bookmarkEnd w:id="819"/>
      <w:r>
        <w:rPr>
          <w:rFonts w:ascii="Times New Roman;Times;serif" w:hAnsi="Times New Roman;Times;serif"/>
          <w:sz w:val="20"/>
        </w:rPr>
        <w:t>Maturities of operating lease liabilities as of June 30, 2023 were as follows (in thousands):</w:t>
      </w:r>
    </w:p>
    <w:p>
      <w:pPr>
        <w:pStyle w:val="TextBody"/>
        <w:bidi w:val="0"/>
        <w:spacing w:before="0" w:after="0"/>
        <w:ind w:left="0" w:right="0" w:hanging="0"/>
        <w:jc w:val="left"/>
        <w:rPr/>
      </w:pPr>
      <w:r>
        <w:rPr/>
        <w:t>​</w:t>
      </w:r>
    </w:p>
    <w:tbl>
      <w:tblPr>
        <w:tblW w:w="2647" w:type="dxa"/>
        <w:jc w:val="left"/>
        <w:tblInd w:w="0" w:type="dxa"/>
        <w:tblLayout w:type="fixed"/>
        <w:tblCellMar>
          <w:top w:w="0" w:type="dxa"/>
          <w:left w:w="0" w:type="dxa"/>
          <w:bottom w:w="0" w:type="dxa"/>
          <w:right w:w="0" w:type="dxa"/>
        </w:tblCellMar>
      </w:tblPr>
      <w:tblGrid>
        <w:gridCol w:w="1906"/>
        <w:gridCol w:w="109"/>
        <w:gridCol w:w="211"/>
        <w:gridCol w:w="42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10310" cy="175260"/>
                      <wp:effectExtent l="0" t="0" r="0" b="0"/>
                      <wp:wrapNone/>
                      <wp:docPr id="124" name="Frame124"/>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67335" cy="175260"/>
                      <wp:effectExtent l="0" t="0" r="0" b="0"/>
                      <wp:wrapNone/>
                      <wp:docPr id="127" name="Frame127"/>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 (remaining)</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1 – Quoted market prices in active markets for identical assets or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2 – Inputs, other than quoted prices in active markets, that are observable, either directly or indirectly.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Level 3 – Unobservable inputs that are not corroborated by market data.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Unaudited Condensed Consolidated Financial Statements include financial instruments for which the fair market value of such instruments may differ from amounts reflected on a historical cost basis. Financial instruments of the Company consist of cash equivalents, which were comprised of deposits of excess cash in an unrestricted money market savings account and a certificate of deposit as of both June 30, 2023 and December 31, 2022. The carrying value of cash equivalents generally approximates fair value due to their short-term 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Company’s derivative liability as of June 30, 2023 and December 31, 2022 is comprised of warrants issued in connection with the registered public offering completed in August 2022 (“August 2022 Public Offering”) discussed in Note 6. The derivative liability is classified as Level 3 within the fair value hierarchy and is required to be recorded at fair value on a recurring basis. See Note 6 for further information on the fair value of the derivative liability.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COMMON STOCK, PREFERRED STOCK AND WARRANTS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At-The-Market Offering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23, 2023, the Company entered into a Sales Agreement (the “Sales Agreement”) with Roth Capital Partners, LLC (“Roth”) to create an at-the-market offering program (“ATM”) under which the Company may offer and sell shares having an aggregate offering price of up to $2.0 million. Roth is entitled to a commission at a fixed commission rate equal to up to 3% of the gross proceeds pursuant to the Sales Agreement. As of June 30, 2023, no issuances of securities have occurred in connection with the ATM.</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Series B Preferred Stock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23, 2023, the Board of Directors declared a dividend of one </w:t>
      </w:r>
      <w:r>
        <w:rPr>
          <w:rFonts w:ascii="Times New Roman;Times;serif" w:hAnsi="Times New Roman;Times;serif"/>
          <w:b w:val="false"/>
          <w:i w:val="false"/>
          <w:caps w:val="false"/>
          <w:smallCaps w:val="false"/>
          <w:sz w:val="20"/>
        </w:rPr>
        <w:t>one</w:t>
      </w:r>
      <w:r>
        <w:rPr>
          <w:rFonts w:ascii="Times New Roman;Times;serif" w:hAnsi="Times New Roman;Times;serif"/>
          <w:sz w:val="20"/>
        </w:rPr>
        <w:t>-thousandth of a share of Series B Preferred Stock (“Series B Preferred Stock”) for each outstanding share of Class A common stock held of record on April 3, 2023. The value of the Series B Preferred Stock issued in connection with the stock dividend was immaterial.</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outstanding shares of Series B Preferred Stock will vote together with the outstanding shares of the Company’s Class A common stock, as a single class, exclusively with respect to a proposal giving the Board of Directors the authority, as it determines appropriate, to implement a reverse stock split within twelve months following the approval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such proposal by the Company’s stockholders (the “Reverse Stock Split Proposal”), as well as any proposal to adjourn any meeting of stockholders called for the purpose of voting on the foregoing matters (the “Adjournment Proposal”).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shares of Series B Preferred Stock may be transferred by the holder except in connection with a transfer by such holder of any shares of Class A common stock held by such holder.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Each share of Series B Preferred Stock will entitle the holder to 1,000,000 votes per share and each fraction of a share of Series B Preferred Stock will have a ratable number of votes. The holder of Series B Preferred Stock, as such, will not be entitled to receive dividends.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shares of Series B Preferred Stock that are not present in person or by proxy at any meeting of stockholders held to vote on the Reverse Stock Split Proposal and the Adjournment Proposal as of immediately prior to the opening of the polls at such meeting (the “Initial Redemption Time”) will automatically be redeemed in whole, but not in part, by the Company at the Initial Redemption Time without further action on the part of the Company or the holder of shares of Series B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Series B Preferred Stock is not convertible into, or exchangeable for, shares of any other class or series of stock or other securities of the Company. The Series B Preferred Stock has no stated maturity and is not subject to any sinking fund. The Series B Preferred Stock is not subject to any restriction on the redemption or repurchase of shares by the Company while there is any arrearage in the payment of dividends or sinking fund installments.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Certificate of Designation was filed with the Delaware Secretary of State and became effective on March 24,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the annual meeting of stockholders of the Company held on May 24, 2023, the Company’s stockholders approved an amendment to the Company’s Certificate of Incorporation to effect a reverse stock split of its outstanding Class A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June 30, 2023, no shareholders of Series B Preferred Stock have requested such redemption. As of the filing date, the Company’s Board of Directors has not declared a reverse stock split.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Warrants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issued warrants to purchase an aggregate of 36,000,000 shares of Class A common stock (“Public Warrants”) in connection with the August 2022 Public Offering, as more fully described in the 2022 10-K. The Public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Accordingly, the Public Warrants are being accounted for as a derivative liability instrument. The fair value of the derivative liability as of June 30, 2023 and December 31, 2022 was $4.5</w:t>
      </w:r>
      <w:r>
        <w:rPr>
          <w:rFonts w:ascii="Times New Roman;Times;serif" w:hAnsi="Times New Roman;Times;serif"/>
          <w:color w:val="FF0000"/>
          <w:sz w:val="20"/>
        </w:rPr>
        <w:t xml:space="preserve"> </w:t>
      </w:r>
      <w:r>
        <w:rPr>
          <w:rFonts w:ascii="Times New Roman;Times;serif" w:hAnsi="Times New Roman;Times;serif"/>
          <w:sz w:val="20"/>
        </w:rPr>
        <w:t>million and $6.9 million, respectively. The change in the fair value of the derivative liability was recognized as a component of nonoperating income (expense) in the Company’s Unaudited Condensed Consolidated Statements of Operations and Comprehensive Loss.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20" w:name="Tc_1WpwmGgsn0mD3-QCnNoMPw_7_7"/>
      <w:bookmarkStart w:id="821" w:name="Tc_gDKFu15gtkSUJxedbAoj-A_7_4"/>
      <w:bookmarkStart w:id="822" w:name="Tc_BE6e1qZfwkS7pMoSjhqPJg_7_0"/>
      <w:bookmarkStart w:id="823" w:name="Tc_zCokTzLmyk-cnaBZQyU9hQ_6_7"/>
      <w:bookmarkStart w:id="824" w:name="Tc_C4smMWAgjU2v8N5qarHYqQ_6_4"/>
      <w:bookmarkStart w:id="825" w:name="Tc_sqtaLbl3QkS6WhzTIspoeA_6_0"/>
      <w:bookmarkStart w:id="826" w:name="Tc_X2QmqT2HLUa1RJTfPpzEzw_5_7"/>
      <w:bookmarkStart w:id="827" w:name="Tc_gxkkfSHrYUuBDAOE2U_RLw_5_4"/>
      <w:bookmarkStart w:id="828" w:name="Tc_TX1ACzSVZkKDG9Np3oUzcA_5_0"/>
      <w:bookmarkStart w:id="829" w:name="Tc_XHrZVmMesE2gO15ZMGXSuA_4_0"/>
      <w:bookmarkStart w:id="830" w:name="Tc_maF2YEM6nEuIETbgtqfmvQ_3_5"/>
      <w:bookmarkStart w:id="831" w:name="Tc_IQ3CmNBdMUKlfazcj82JuQ_3_2"/>
      <w:bookmarkStart w:id="832" w:name="Tc_R2IpfMkq1U-3JrKzGKpBpg_3_0"/>
      <w:bookmarkStart w:id="833" w:name="Tc_tjJaC5hSCEOZJPj2g7Dnag_2_5"/>
      <w:bookmarkStart w:id="834" w:name="Tc_gO7RSiSLWkaMFPKjMv72Ag_2_2"/>
      <w:bookmarkStart w:id="835" w:name="Tc_Bq8L7eGosEKwHZz1FvYyoQ_1_5"/>
      <w:bookmarkStart w:id="836" w:name="Tc_HYbhTx-ffE2ABXaOwNTxmA_1_2"/>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r>
        <w:rPr>
          <w:rFonts w:ascii="Times New Roman;Times;serif" w:hAnsi="Times New Roman;Times;serif"/>
          <w:sz w:val="20"/>
        </w:rPr>
        <w:t>The fair value of the Public Warrants as of June 30, 2023 and December 31, 2022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pStyle w:val="TextBody"/>
        <w:bidi w:val="0"/>
        <w:spacing w:before="0" w:after="0"/>
        <w:ind w:left="0" w:right="0" w:hanging="0"/>
        <w:jc w:val="left"/>
        <w:rPr/>
      </w:pPr>
      <w:r>
        <w:rPr/>
        <w:t>​</w:t>
      </w:r>
    </w:p>
    <w:tbl>
      <w:tblPr>
        <w:tblW w:w="4801" w:type="dxa"/>
        <w:jc w:val="left"/>
        <w:tblInd w:w="0" w:type="dxa"/>
        <w:tblLayout w:type="fixed"/>
        <w:tblCellMar>
          <w:top w:w="0" w:type="dxa"/>
          <w:left w:w="0" w:type="dxa"/>
          <w:bottom w:w="0" w:type="dxa"/>
          <w:right w:w="0" w:type="dxa"/>
        </w:tblCellMar>
      </w:tblPr>
      <w:tblGrid>
        <w:gridCol w:w="1966"/>
        <w:gridCol w:w="326"/>
        <w:gridCol w:w="211"/>
        <w:gridCol w:w="571"/>
        <w:gridCol w:w="271"/>
        <w:gridCol w:w="307"/>
        <w:gridCol w:w="833"/>
        <w:gridCol w:w="316"/>
      </w:tblGrid>
      <w:tr>
        <w:trPr/>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248410" cy="175260"/>
                      <wp:effectExtent l="0" t="0" r="0" b="0"/>
                      <wp:wrapNone/>
                      <wp:docPr id="128" name="Frame128"/>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62585" cy="175260"/>
                      <wp:effectExtent l="0" t="0" r="0" b="0"/>
                      <wp:wrapNone/>
                      <wp:docPr id="131" name="Frame1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72085" cy="175260"/>
                      <wp:effectExtent l="0" t="0" r="0" b="0"/>
                      <wp:wrapNone/>
                      <wp:docPr id="132" name="Frame132"/>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94945" cy="175260"/>
                      <wp:effectExtent l="0" t="0" r="0" b="0"/>
                      <wp:wrapNone/>
                      <wp:docPr id="133" name="Frame133"/>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28955" cy="175260"/>
                      <wp:effectExtent l="0" t="0" r="0" b="0"/>
                      <wp:wrapNone/>
                      <wp:docPr id="134" name="Frame134"/>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0660" cy="175260"/>
                      <wp:effectExtent l="0" t="0" r="0" b="0"/>
                      <wp:wrapNone/>
                      <wp:docPr id="135" name="Frame13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71" w:type="dxa"/>
            <w:tcBorders/>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Stock price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271" w:type="dxa"/>
            <w:tcBorders/>
            <w:shd w:fill="CCEEFF" w:val="clear"/>
            <w:vAlign w:val="center"/>
          </w:tcPr>
          <w:p>
            <w:pPr>
              <w:pStyle w:val="TableContents"/>
              <w:bidi w:val="0"/>
              <w:spacing w:before="0" w:after="1"/>
              <w:ind w:left="0" w:right="0" w:hanging="0"/>
              <w:jc w:val="left"/>
              <w:rPr/>
            </w:pPr>
            <w:r>
              <w:rPr/>
              <w:t>​</w:t>
            </w:r>
          </w:p>
        </w:tc>
        <w:tc>
          <w:tcPr>
            <w:tcW w:w="30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term (in years)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271" w:type="dxa"/>
            <w:tcBorders/>
            <w:vAlign w:val="center"/>
          </w:tcPr>
          <w:p>
            <w:pPr>
              <w:pStyle w:val="TableContents"/>
              <w:bidi w:val="0"/>
              <w:spacing w:before="0" w:after="1"/>
              <w:ind w:left="0" w:right="0" w:hanging="0"/>
              <w:jc w:val="left"/>
              <w:rPr/>
            </w:pPr>
            <w:r>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316" w:type="dxa"/>
            <w:tcBorders/>
            <w:vAlign w:val="center"/>
          </w:tcPr>
          <w:p>
            <w:pPr>
              <w:pStyle w:val="TableContents"/>
              <w:bidi w:val="0"/>
              <w:spacing w:before="0" w:after="1"/>
              <w:ind w:left="0" w:right="0" w:hanging="0"/>
              <w:jc w:val="left"/>
              <w:rPr/>
            </w:pPr>
            <w:r>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86.02</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80.90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4.29</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vAlign w:val="center"/>
          </w:tcPr>
          <w:p>
            <w:pPr>
              <w:pStyle w:val="TableContents"/>
              <w:bidi w:val="0"/>
              <w:spacing w:before="0" w:after="1"/>
              <w:ind w:left="0" w:right="0" w:hanging="0"/>
              <w:jc w:val="left"/>
              <w:rPr/>
            </w:pPr>
            <w:r>
              <w:rPr/>
              <w:t> </w:t>
            </w:r>
          </w:p>
        </w:tc>
        <w:tc>
          <w:tcPr>
            <w:tcW w:w="83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Dividend rate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7" w:type="dxa"/>
            <w:tcBorders/>
            <w:shd w:fill="CCEEFF" w:val="clear"/>
            <w:vAlign w:val="center"/>
          </w:tcPr>
          <w:p>
            <w:pPr>
              <w:pStyle w:val="TableContents"/>
              <w:bidi w:val="0"/>
              <w:spacing w:before="0" w:after="1"/>
              <w:ind w:left="0" w:right="0" w:hanging="0"/>
              <w:jc w:val="left"/>
              <w:rPr/>
            </w:pPr>
            <w:r>
              <w:rPr/>
              <w:t> </w:t>
            </w:r>
          </w:p>
        </w:tc>
        <w:tc>
          <w:tcPr>
            <w:tcW w:w="8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 xml:space="preserve">The 36,000,000 outstanding liability classified Public Warrants have an exercise price of $0.75 per share, are exercisable upon issuance and will expire five years following the date of issuance. No Public Warrants were exercised or </w:t>
      </w:r>
      <w:r>
        <w:rPr>
          <w:rFonts w:ascii="Times New Roman;Times;serif" w:hAnsi="Times New Roman;Times;serif"/>
          <w:b w:val="false"/>
          <w:i w:val="false"/>
          <w:caps w:val="false"/>
          <w:smallCaps w:val="false"/>
          <w:sz w:val="20"/>
        </w:rPr>
        <w:t>cancelled</w:t>
      </w:r>
      <w:r>
        <w:rPr>
          <w:rFonts w:ascii="Times New Roman;Times;serif" w:hAnsi="Times New Roman;Times;serif"/>
          <w:sz w:val="20"/>
        </w:rPr>
        <w:t xml:space="preserve"> during the six months ended June 30,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Company has outstanding equity-classified warrants to purchase 593,924 shares of Class A common stock at a weighted average exercise price of $16.32, with expiration dates ranging from October 2023 to February 2026. During the six months ended June 30, 2023, no warrants were </w:t>
      </w:r>
      <w:r>
        <w:rPr>
          <w:rFonts w:ascii="Times New Roman;Times;serif" w:hAnsi="Times New Roman;Times;serif"/>
          <w:b w:val="false"/>
          <w:i w:val="false"/>
          <w:caps w:val="false"/>
          <w:smallCaps w:val="false"/>
          <w:sz w:val="20"/>
        </w:rPr>
        <w:t>exercised</w:t>
      </w:r>
      <w:r>
        <w:rPr>
          <w:rFonts w:ascii="Times New Roman;Times;serif" w:hAnsi="Times New Roman;Times;serif"/>
          <w:sz w:val="20"/>
        </w:rPr>
        <w:t xml:space="preserve"> or cancelled.</w:t>
      </w:r>
    </w:p>
    <w:p>
      <w:pPr>
        <w:pStyle w:val="TextBody"/>
        <w:bidi w:val="0"/>
        <w:spacing w:before="0" w:after="240"/>
        <w:ind w:left="0" w:right="0" w:hanging="0"/>
        <w:jc w:val="left"/>
        <w:rPr>
          <w:rFonts w:ascii="Times New Roman;Times;serif" w:hAnsi="Times New Roman;Times;serif"/>
          <w:b/>
          <w:sz w:val="20"/>
        </w:rPr>
      </w:pPr>
      <w:bookmarkStart w:id="837" w:name="Tc_aa_IkPw4t0uQ-1u9f1UEMQ_7_12"/>
      <w:bookmarkStart w:id="838" w:name="Tc_JisaLItzgk-DVgCVSPxYpQ_7_9"/>
      <w:bookmarkStart w:id="839" w:name="Tc_bv10XZQYmkWgvOJTtm5e_g_7_5"/>
      <w:bookmarkStart w:id="840" w:name="Tc_1DS1Q9sq9EuHGNj3RcdEXg_7_2"/>
      <w:bookmarkStart w:id="841" w:name="Tc_zoHkWet09k-N75AndeEMUg_7_0"/>
      <w:bookmarkStart w:id="842" w:name="Tc_2jZDdD8jBkSMfwZOFShOqQ_6_14"/>
      <w:bookmarkStart w:id="843" w:name="Tc_CfuSCUeghkyCek234pI2lg_6_11"/>
      <w:bookmarkStart w:id="844" w:name="Tc_t0Q7kZltekOuUODEo6uLMg_6_7"/>
      <w:bookmarkStart w:id="845" w:name="Tc_jFcK5W61GEqpDAKhQHj8Yg_6_4"/>
      <w:bookmarkStart w:id="846" w:name="Tc_zIIKWBqQtEqaqhTg1WgtLQ_6_0"/>
      <w:bookmarkStart w:id="847" w:name="Tc_LHDM-7q5fEW479WSG6vP2g_5_0"/>
      <w:bookmarkStart w:id="848" w:name="Tc_FpKMwEzKuEexPJiz9JlO_Q_4_14"/>
      <w:bookmarkStart w:id="849" w:name="Tc_ZPO883VzWUurMd8Aj0bOhg_4_11"/>
      <w:bookmarkStart w:id="850" w:name="Tc_8i4NfKBpSUO2lCZTtt3pgA_4_7"/>
      <w:bookmarkStart w:id="851" w:name="Tc_82Jr2TQ1ekKGcv0frDT1bg_4_4"/>
      <w:bookmarkStart w:id="852" w:name="Tc_bFUNOM7iY0uai64NjLkvwg_4_0"/>
      <w:bookmarkStart w:id="853" w:name="Tc_2Yel5tvo4EWDBFTiE7MAAA_3_14"/>
      <w:bookmarkStart w:id="854" w:name="Tc_IODrcVp9MEuOManX92bsFA_3_11"/>
      <w:bookmarkStart w:id="855" w:name="Tc_bo7mDjBmAU65qmkslXAidA_3_7"/>
      <w:bookmarkStart w:id="856" w:name="Tc_miouCOLVwEaWPcW_60Hd6g_3_4"/>
      <w:bookmarkStart w:id="857" w:name="Tc_YVPobyXZtkCG1ohVcRHITw_3_0"/>
      <w:bookmarkStart w:id="858" w:name="Tc_AYV_tLZZlUKRlc77mi-1og_2_12"/>
      <w:bookmarkStart w:id="859" w:name="Tc_cjYK4Z0600i59T2sQpNmmA_2_9"/>
      <w:bookmarkStart w:id="860" w:name="Tc_d_9Mxdy6RkaCuSVpTrncLA_2_5"/>
      <w:bookmarkStart w:id="861" w:name="Tc_3SssE7fUlEGbsDy1XFbg-g_2_2"/>
      <w:bookmarkStart w:id="862" w:name="Tc_wj84gAlPxUmwROPeyhYqIg_1_9"/>
      <w:bookmarkStart w:id="863" w:name="Tc_Kwz5OvAXSEOnb18AdQrzHw_1_2"/>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Pr>
          <w:rFonts w:ascii="Times New Roman;Times;serif" w:hAnsi="Times New Roman;Times;serif"/>
          <w:b/>
          <w:sz w:val="20"/>
        </w:rPr>
        <w:t>7.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val="false"/>
          <w:caps w:val="false"/>
          <w:smallCaps w:val="false"/>
          <w:sz w:val="20"/>
        </w:rPr>
        <w:t>The Company may issue stock-based compensation awards under the Helius Medical Technologies, Inc. 2022 Equity Incentive Plan (“2022 Plan”) or the Helius Medical Technologies, Inc. 2021 Inducement Plan (as amended, the “Inducement Plan”), as described more fully in the 2022 10-K. On January 1, 2023, pursuant to the automatic increase provision of the 2022 Plan, the number of shares authorized for issuance increased from the initial 1,121,272</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to 13,215,973. As of June 30, 2023, the remaining shares available for grant were 734,223</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2022 Plan and 455,000</w:t>
      </w:r>
      <w:r>
        <w:rPr>
          <w:rFonts w:ascii="Times New Roman;Times;serif" w:hAnsi="Times New Roman;Times;serif"/>
          <w:i/>
          <w:caps w:val="false"/>
          <w:smallCaps w:val="false"/>
          <w:sz w:val="20"/>
        </w:rPr>
        <w:t xml:space="preserve"> </w:t>
      </w:r>
      <w:r>
        <w:rPr>
          <w:rFonts w:ascii="Times New Roman;Times;serif" w:hAnsi="Times New Roman;Times;serif"/>
          <w:i w:val="false"/>
          <w:caps w:val="false"/>
          <w:smallCaps w:val="false"/>
          <w:sz w:val="20"/>
        </w:rPr>
        <w:t>under the Inducement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During the six months ended June 30, 2023, the Company granted 11,088,460 stock options out of the 2022 Plan and 25,000 stock options out of the Inducement Plan at a weighted average exercise price of $0.29</w:t>
      </w:r>
      <w:r>
        <w:rPr>
          <w:rFonts w:ascii="Times New Roman;Times;serif" w:hAnsi="Times New Roman;Times;serif"/>
          <w:color w:val="FF0000"/>
          <w:sz w:val="20"/>
        </w:rPr>
        <w:t xml:space="preserve"> </w:t>
      </w:r>
      <w:r>
        <w:rPr>
          <w:rFonts w:ascii="Times New Roman;Times;serif" w:hAnsi="Times New Roman;Times;serif"/>
          <w:sz w:val="20"/>
        </w:rPr>
        <w:t xml:space="preserve">per share. The options vest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four years and expire ten years after the grant date.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includes the weighted-average assumptions used in the Black-Scholes option pricing model and the related weighted-average grant-date fair values of stock options granted during the periods indicated:</w:t>
      </w:r>
    </w:p>
    <w:p>
      <w:pPr>
        <w:pStyle w:val="TextBody"/>
        <w:bidi w:val="0"/>
        <w:spacing w:before="0" w:after="240"/>
        <w:ind w:left="0" w:right="0" w:hanging="0"/>
        <w:jc w:val="both"/>
        <w:rPr/>
      </w:pPr>
      <w:r>
        <w:rPr/>
        <w:t>​</w:t>
      </w:r>
    </w:p>
    <w:tbl>
      <w:tblPr>
        <w:tblW w:w="7847" w:type="dxa"/>
        <w:jc w:val="left"/>
        <w:tblInd w:w="0" w:type="dxa"/>
        <w:tblLayout w:type="fixed"/>
        <w:tblCellMar>
          <w:top w:w="0" w:type="dxa"/>
          <w:left w:w="0" w:type="dxa"/>
          <w:bottom w:w="0" w:type="dxa"/>
          <w:right w:w="0" w:type="dxa"/>
        </w:tblCellMar>
      </w:tblPr>
      <w:tblGrid>
        <w:gridCol w:w="2131"/>
        <w:gridCol w:w="326"/>
        <w:gridCol w:w="258"/>
        <w:gridCol w:w="698"/>
        <w:gridCol w:w="398"/>
        <w:gridCol w:w="258"/>
        <w:gridCol w:w="698"/>
        <w:gridCol w:w="326"/>
        <w:gridCol w:w="326"/>
        <w:gridCol w:w="231"/>
        <w:gridCol w:w="627"/>
        <w:gridCol w:w="396"/>
        <w:gridCol w:w="231"/>
        <w:gridCol w:w="627"/>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53185" cy="175260"/>
                      <wp:effectExtent l="0" t="0" r="0" b="0"/>
                      <wp:wrapNone/>
                      <wp:docPr id="136" name="Frame13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63830" cy="175260"/>
                      <wp:effectExtent l="0" t="0" r="0" b="0"/>
                      <wp:wrapNone/>
                      <wp:docPr id="138" name="Frame138"/>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43230" cy="175260"/>
                      <wp:effectExtent l="0" t="0" r="0" b="0"/>
                      <wp:wrapNone/>
                      <wp:docPr id="139" name="Frame139"/>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52730" cy="175260"/>
                      <wp:effectExtent l="0" t="0" r="0" b="0"/>
                      <wp:wrapNone/>
                      <wp:docPr id="140" name="Frame140"/>
                      <a:graphic xmlns:a="http://schemas.openxmlformats.org/drawingml/2006/main">
                        <a:graphicData uri="http://schemas.microsoft.com/office/word/2010/wordprocessingShape">
                          <wps:wsp>
                            <wps:cNvSpPr txBox="1"/>
                            <wps:spPr>
                              <a:xfrm>
                                <a:off x="0" y="0"/>
                                <a:ext cx="252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63830" cy="175260"/>
                      <wp:effectExtent l="0" t="0" r="0" b="0"/>
                      <wp:wrapNone/>
                      <wp:docPr id="141" name="Frame14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43230" cy="175260"/>
                      <wp:effectExtent l="0" t="0" r="0" b="0"/>
                      <wp:wrapNone/>
                      <wp:docPr id="142" name="Frame142"/>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46685" cy="175260"/>
                      <wp:effectExtent l="0" t="0" r="0" b="0"/>
                      <wp:wrapNone/>
                      <wp:docPr id="145" name="Frame145"/>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398145" cy="175260"/>
                      <wp:effectExtent l="0" t="0" r="0" b="0"/>
                      <wp:wrapNone/>
                      <wp:docPr id="146" name="Frame146"/>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51460" cy="175260"/>
                      <wp:effectExtent l="0" t="0" r="0" b="0"/>
                      <wp:wrapNone/>
                      <wp:docPr id="147" name="Frame147"/>
                      <a:graphic xmlns:a="http://schemas.openxmlformats.org/drawingml/2006/main">
                        <a:graphicData uri="http://schemas.microsoft.com/office/word/2010/wordprocessingShape">
                          <wps:wsp>
                            <wps:cNvSpPr txBox="1"/>
                            <wps:spPr>
                              <a:xfrm>
                                <a:off x="0" y="0"/>
                                <a:ext cx="251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46685" cy="175260"/>
                      <wp:effectExtent l="0" t="0" r="0" b="0"/>
                      <wp:wrapNone/>
                      <wp:docPr id="148" name="Frame148"/>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98145" cy="175260"/>
                      <wp:effectExtent l="0" t="0" r="0" b="0"/>
                      <wp:wrapNone/>
                      <wp:docPr id="149" name="Frame149"/>
                      <a:graphic xmlns:a="http://schemas.openxmlformats.org/drawingml/2006/main">
                        <a:graphicData uri="http://schemas.microsoft.com/office/word/2010/wordprocessingShape">
                          <wps:wsp>
                            <wps:cNvSpPr txBox="1"/>
                            <wps:spPr>
                              <a:xfrm>
                                <a:off x="0" y="0"/>
                                <a:ext cx="398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0660" cy="175260"/>
                      <wp:effectExtent l="0" t="0" r="0" b="0"/>
                      <wp:wrapNone/>
                      <wp:docPr id="150" name="Frame15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21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8" w:type="dxa"/>
            <w:tcBorders/>
            <w:vAlign w:val="center"/>
          </w:tcPr>
          <w:p>
            <w:pPr>
              <w:pStyle w:val="TableContents"/>
              <w:bidi w:val="0"/>
              <w:spacing w:before="0" w:after="1"/>
              <w:ind w:left="0" w:right="0" w:hanging="0"/>
              <w:jc w:val="left"/>
              <w:rPr/>
            </w:pPr>
            <w:r>
              <w:rPr/>
              <w:t>    </w:t>
            </w:r>
          </w:p>
        </w:tc>
        <w:tc>
          <w:tcPr>
            <w:tcW w:w="95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326" w:type="dxa"/>
            <w:tcBorders/>
            <w:vAlign w:val="center"/>
          </w:tcPr>
          <w:p>
            <w:pPr>
              <w:pStyle w:val="TableContents"/>
              <w:bidi w:val="0"/>
              <w:spacing w:before="0" w:after="1"/>
              <w:ind w:left="0" w:right="0" w:hanging="0"/>
              <w:jc w:val="center"/>
              <w:rPr/>
            </w:pPr>
            <w:r>
              <w:rPr/>
              <w:t>​</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96" w:type="dxa"/>
            <w:tcBorders/>
            <w:vAlign w:val="center"/>
          </w:tcPr>
          <w:p>
            <w:pPr>
              <w:pStyle w:val="TableContents"/>
              <w:bidi w:val="0"/>
              <w:spacing w:before="0" w:after="1"/>
              <w:ind w:left="0" w:right="0" w:hanging="0"/>
              <w:jc w:val="left"/>
              <w:rPr/>
            </w:pPr>
            <w:r>
              <w:rPr/>
              <w:t>    </w:t>
            </w:r>
          </w:p>
        </w:tc>
        <w:tc>
          <w:tcPr>
            <w:tcW w:w="85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w:t>
            </w:r>
          </w:p>
        </w:tc>
        <w:tc>
          <w:tcPr>
            <w:tcW w:w="39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3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31" w:type="dxa"/>
            <w:tcBorders/>
            <w:shd w:fill="CCEEFF" w:val="clear"/>
            <w:vAlign w:val="center"/>
          </w:tcPr>
          <w:p>
            <w:pPr>
              <w:pStyle w:val="TableContents"/>
              <w:bidi w:val="0"/>
              <w:spacing w:before="0" w:after="1"/>
              <w:ind w:left="0" w:right="0" w:hanging="0"/>
              <w:jc w:val="left"/>
              <w:rPr/>
            </w:pPr>
            <w:r>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79.29</w:t>
            </w:r>
          </w:p>
        </w:tc>
        <w:tc>
          <w:tcPr>
            <w:tcW w:w="39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58" w:type="dxa"/>
            <w:tcBorders/>
            <w:vAlign w:val="center"/>
          </w:tcPr>
          <w:p>
            <w:pPr>
              <w:pStyle w:val="TableContents"/>
              <w:bidi w:val="0"/>
              <w:spacing w:before="0" w:after="1"/>
              <w:ind w:left="0" w:right="0" w:hanging="0"/>
              <w:jc w:val="left"/>
              <w:rPr/>
            </w:pPr>
            <w:r>
              <w:rPr/>
              <w:t> </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75.09</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79.45</w:t>
            </w:r>
          </w:p>
        </w:tc>
        <w:tc>
          <w:tcPr>
            <w:tcW w:w="396"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(years)</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5.26</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pPr>
            <w:r>
              <w:rPr/>
              <w:t> </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5.57</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pPr>
            <w:r>
              <w:rPr/>
              <w:t> </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1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left"/>
              <w:rPr/>
            </w:pPr>
            <w:r>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98"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c>
          <w:tcPr>
            <w:tcW w:w="258" w:type="dxa"/>
            <w:tcBorders/>
            <w:vAlign w:val="center"/>
          </w:tcPr>
          <w:p>
            <w:pPr>
              <w:pStyle w:val="TableContents"/>
              <w:bidi w:val="0"/>
              <w:spacing w:before="0" w:after="1"/>
              <w:ind w:left="0" w:right="0" w:hanging="0"/>
              <w:jc w:val="left"/>
              <w:rPr/>
            </w:pPr>
            <w:r>
              <w:rPr/>
              <w:t>​</w:t>
            </w:r>
          </w:p>
        </w:tc>
        <w:tc>
          <w:tcPr>
            <w:tcW w:w="69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c>
          <w:tcPr>
            <w:tcW w:w="326" w:type="dxa"/>
            <w:tcBorders/>
            <w:vAlign w:val="center"/>
          </w:tcPr>
          <w:p>
            <w:pPr>
              <w:pStyle w:val="TableContents"/>
              <w:bidi w:val="0"/>
              <w:spacing w:before="0" w:after="1"/>
              <w:ind w:left="0" w:right="0" w:hanging="0"/>
              <w:jc w:val="left"/>
              <w:rPr/>
            </w:pPr>
            <w:r>
              <w:rPr/>
              <w:t>​</w:t>
            </w:r>
          </w:p>
        </w:tc>
        <w:tc>
          <w:tcPr>
            <w:tcW w:w="231" w:type="dxa"/>
            <w:tcBorders/>
            <w:vAlign w:val="center"/>
          </w:tcPr>
          <w:p>
            <w:pPr>
              <w:pStyle w:val="TableContents"/>
              <w:bidi w:val="0"/>
              <w:spacing w:before="0" w:after="1"/>
              <w:ind w:left="0" w:right="0" w:hanging="0"/>
              <w:jc w:val="left"/>
              <w:rPr/>
            </w:pPr>
            <w:r>
              <w:rPr/>
              <w:t>​</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96" w:type="dxa"/>
            <w:tcBorders/>
            <w:vAlign w:val="center"/>
          </w:tcPr>
          <w:p>
            <w:pPr>
              <w:pStyle w:val="TableContents"/>
              <w:bidi w:val="0"/>
              <w:spacing w:before="0" w:after="1"/>
              <w:ind w:left="0" w:right="0" w:hanging="0"/>
              <w:jc w:val="left"/>
              <w:rPr>
                <w:rFonts w:ascii="Calibri;Helvetica;sans-serif" w:hAnsi="Calibri;Helvetica;sans-serif"/>
                <w:sz w:val="20"/>
              </w:rPr>
            </w:pPr>
            <w:r>
              <w:rPr>
                <w:rFonts w:ascii="Calibri;Helvetica;sans-serif" w:hAnsi="Calibri;Helvetica;sans-serif"/>
                <w:sz w:val="20"/>
              </w:rPr>
              <w:t>%</w:t>
            </w:r>
          </w:p>
        </w:tc>
        <w:tc>
          <w:tcPr>
            <w:tcW w:w="231" w:type="dxa"/>
            <w:tcBorders/>
            <w:vAlign w:val="center"/>
          </w:tcPr>
          <w:p>
            <w:pPr>
              <w:pStyle w:val="TableContents"/>
              <w:bidi w:val="0"/>
              <w:spacing w:before="0" w:after="1"/>
              <w:ind w:left="0" w:right="0" w:hanging="0"/>
              <w:jc w:val="left"/>
              <w:rPr/>
            </w:pPr>
            <w:r>
              <w:rPr/>
              <w:t> </w:t>
            </w:r>
          </w:p>
        </w:tc>
        <w:tc>
          <w:tcPr>
            <w:tcW w:w="6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0.11</w:t>
            </w:r>
          </w:p>
        </w:tc>
        <w:tc>
          <w:tcPr>
            <w:tcW w:w="398" w:type="dxa"/>
            <w:tcBorders/>
            <w:shd w:fill="CCEEFF" w:val="clear"/>
            <w:vAlign w:val="center"/>
          </w:tcPr>
          <w:p>
            <w:pPr>
              <w:pStyle w:val="TableContents"/>
              <w:bidi w:val="0"/>
              <w:spacing w:before="0" w:after="1"/>
              <w:ind w:left="0" w:right="0" w:hanging="0"/>
              <w:jc w:val="left"/>
              <w:rPr/>
            </w:pPr>
            <w:r>
              <w:rPr/>
              <w:t>​</w:t>
            </w:r>
          </w:p>
        </w:tc>
        <w:tc>
          <w:tcPr>
            <w:tcW w:w="2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2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96" w:type="dxa"/>
            <w:tcBorders/>
            <w:shd w:fill="CCEEFF" w:val="clear"/>
            <w:vAlign w:val="center"/>
          </w:tcPr>
          <w:p>
            <w:pPr>
              <w:pStyle w:val="TableContents"/>
              <w:bidi w:val="0"/>
              <w:spacing w:before="0" w:after="1"/>
              <w:ind w:left="0" w:right="0" w:hanging="0"/>
              <w:jc w:val="left"/>
              <w:rPr/>
            </w:pPr>
            <w:r>
              <w:rPr/>
              <w:t>​</w:t>
            </w:r>
          </w:p>
        </w:tc>
        <w:tc>
          <w:tcPr>
            <w:tcW w:w="2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2023, the Company's non-employee directors received a grant of 332,216 restricted stock units at weighted average grant date fair value of $0.16 per share.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2023, there were an aggregate of 12,270,338 stock options outstanding with a weighted average exercise price of $1.56 per share and 276,848 unvested restricted stock units outstanding with a weighted average grant date fair value of $0.16 per share.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864" w:name="Tc_b7heym5VKEOVePDYOIdAXg_7_16"/>
      <w:bookmarkStart w:id="865" w:name="Tc_O_yKm9ehLUy4-b1QWdX0qA_7_14"/>
      <w:bookmarkStart w:id="866" w:name="Tc_gVM80pVB60ebEupcO9FdOQ_7_11"/>
      <w:bookmarkStart w:id="867" w:name="Tc_5V4P4XwXV0SPW0Jvy4Lp9A_7_9"/>
      <w:bookmarkStart w:id="868" w:name="Tc_4lMHAFv0aUWq_aowIAdGAA_7_5"/>
      <w:bookmarkStart w:id="869" w:name="Tc_aeHNf26JCEaxqV-0dEXThQ_7_2"/>
      <w:bookmarkStart w:id="870" w:name="Tc_L--vlgbnEk2fdDmhHQwuNg_7_0"/>
      <w:bookmarkStart w:id="871" w:name="Tc_186vwHSy3Eazt3qfYtUcVw_6_16"/>
      <w:bookmarkStart w:id="872" w:name="Tc_vo9tWALZl0i9jXoS9lAZ6g_6_11"/>
      <w:bookmarkStart w:id="873" w:name="Tc_djABC26uJE2P65pBdRGp0g_6_0"/>
      <w:bookmarkStart w:id="874" w:name="Tc_oVN0QIEFvEuRHBPGAskaAw_5_16"/>
      <w:bookmarkStart w:id="875" w:name="Tc_hiKOrfx69E27a_yTpJRekw_5_11"/>
      <w:bookmarkStart w:id="876" w:name="Tc_A8UbNdw6sEaKi4_H97bY5g_5_0"/>
      <w:bookmarkStart w:id="877" w:name="Tc_wJNj4kwl5Emo4nltBLGadg_4_16"/>
      <w:bookmarkStart w:id="878" w:name="Tc_4-WaYy75yEGQ2Ot-O1Tzqw_4_14"/>
      <w:bookmarkStart w:id="879" w:name="Tc_ir3hposNsEuq5luHx5WAIQ_4_11"/>
      <w:bookmarkStart w:id="880" w:name="Tc_71mvhQi4fUG492Iix0p1UQ_4_9"/>
      <w:bookmarkStart w:id="881" w:name="Tc_k-d6OsAqSEGCcSIQE69Hcg_4_5"/>
      <w:bookmarkStart w:id="882" w:name="Tc_2ItU7_G4ckq6-vchnAHuPg_4_2"/>
      <w:bookmarkStart w:id="883" w:name="Tc_zprRGUQoIUmhnwBU7hIHcA_4_0"/>
      <w:bookmarkStart w:id="884" w:name="Tc_TGinmEl0YEKZH2Vo5l1oqQ_3_14"/>
      <w:bookmarkStart w:id="885" w:name="Tc_0Kq0coicDkqvosfMq08xrA_3_9"/>
      <w:bookmarkStart w:id="886" w:name="Tc_Jb8uJhXuq0-sa8Nv0WIJiw_3_5"/>
      <w:bookmarkStart w:id="887" w:name="Tc_vyjkSiCqtkuyHOJKO5cKLg_3_2"/>
      <w:bookmarkStart w:id="888" w:name="Tc_EYpu-pj_S0SN_HVrJZKaiA_2_9"/>
      <w:bookmarkStart w:id="889" w:name="Tc_otvdO3UggE-h0WA5WvyVIw_2_2"/>
      <w:bookmarkStart w:id="890" w:name="Tc_vp1avwOLqkGkE7y1go9lhg_1_9"/>
      <w:bookmarkStart w:id="891" w:name="Tc_11Z1WW9Swka_4aoSAW8A6g_1_2"/>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rPr>
          <w:rFonts w:ascii="Times New Roman;Times;serif" w:hAnsi="Times New Roman;Times;serif"/>
          <w:sz w:val="20"/>
        </w:rPr>
        <w:t>Total stock-based compensation expense was as follows (in thousands):</w:t>
      </w:r>
    </w:p>
    <w:p>
      <w:pPr>
        <w:pStyle w:val="TextBody"/>
        <w:bidi w:val="0"/>
        <w:spacing w:before="0" w:after="0"/>
        <w:ind w:left="0" w:right="0" w:hanging="0"/>
        <w:jc w:val="left"/>
        <w:rPr/>
      </w:pPr>
      <w:r>
        <w:rPr/>
        <w:t>​</w:t>
      </w:r>
    </w:p>
    <w:tbl>
      <w:tblPr>
        <w:tblW w:w="7654" w:type="dxa"/>
        <w:jc w:val="left"/>
        <w:tblInd w:w="0" w:type="dxa"/>
        <w:tblLayout w:type="fixed"/>
        <w:tblCellMar>
          <w:top w:w="0" w:type="dxa"/>
          <w:left w:w="0" w:type="dxa"/>
          <w:bottom w:w="0" w:type="dxa"/>
          <w:right w:w="0" w:type="dxa"/>
        </w:tblCellMar>
      </w:tblPr>
      <w:tblGrid>
        <w:gridCol w:w="3451"/>
        <w:gridCol w:w="326"/>
        <w:gridCol w:w="250"/>
        <w:gridCol w:w="500"/>
        <w:gridCol w:w="129"/>
        <w:gridCol w:w="250"/>
        <w:gridCol w:w="518"/>
        <w:gridCol w:w="109"/>
        <w:gridCol w:w="211"/>
        <w:gridCol w:w="795"/>
        <w:gridCol w:w="205"/>
        <w:gridCol w:w="384"/>
        <w:gridCol w:w="180"/>
        <w:gridCol w:w="346"/>
      </w:tblGrid>
      <w:tr>
        <w:trPr/>
        <w:tc>
          <w:tcPr>
            <w:tcW w:w="34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1385" cy="175260"/>
                      <wp:effectExtent l="0" t="0" r="0" b="0"/>
                      <wp:wrapNone/>
                      <wp:docPr id="151" name="Frame151"/>
                      <a:graphic xmlns:a="http://schemas.openxmlformats.org/drawingml/2006/main">
                        <a:graphicData uri="http://schemas.microsoft.com/office/word/2010/wordprocessingShape">
                          <wps:wsp>
                            <wps:cNvSpPr txBox="1"/>
                            <wps:spPr>
                              <a:xfrm>
                                <a:off x="0" y="0"/>
                                <a:ext cx="2191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58750" cy="175260"/>
                      <wp:effectExtent l="0" t="0" r="0" b="0"/>
                      <wp:wrapNone/>
                      <wp:docPr id="153" name="Frame153"/>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317500" cy="175260"/>
                      <wp:effectExtent l="0" t="0" r="0" b="0"/>
                      <wp:wrapNone/>
                      <wp:docPr id="154" name="Frame154"/>
                      <a:graphic xmlns:a="http://schemas.openxmlformats.org/drawingml/2006/main">
                        <a:graphicData uri="http://schemas.microsoft.com/office/word/2010/wordprocessingShape">
                          <wps:wsp>
                            <wps:cNvSpPr txBox="1"/>
                            <wps:spPr>
                              <a:xfrm>
                                <a:off x="0" y="0"/>
                                <a:ext cx="317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81915" cy="175260"/>
                      <wp:effectExtent l="0" t="0" r="0" b="0"/>
                      <wp:wrapNone/>
                      <wp:docPr id="155" name="Frame155"/>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58750" cy="175260"/>
                      <wp:effectExtent l="0" t="0" r="0" b="0"/>
                      <wp:wrapNone/>
                      <wp:docPr id="156" name="Frame156"/>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328930" cy="175260"/>
                      <wp:effectExtent l="0" t="0" r="0" b="0"/>
                      <wp:wrapNone/>
                      <wp:docPr id="157" name="Frame157"/>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133985" cy="175260"/>
                      <wp:effectExtent l="0" t="0" r="0" b="0"/>
                      <wp:wrapNone/>
                      <wp:docPr id="159" name="Frame1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504825" cy="175260"/>
                      <wp:effectExtent l="0" t="0" r="0" b="0"/>
                      <wp:wrapNone/>
                      <wp:docPr id="160" name="Frame160"/>
                      <a:graphic xmlns:a="http://schemas.openxmlformats.org/drawingml/2006/main">
                        <a:graphicData uri="http://schemas.microsoft.com/office/word/2010/wordprocessingShape">
                          <wps:wsp>
                            <wps:cNvSpPr txBox="1"/>
                            <wps:spPr>
                              <a:xfrm>
                                <a:off x="0" y="0"/>
                                <a:ext cx="504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30175" cy="175260"/>
                      <wp:effectExtent l="0" t="0" r="0" b="0"/>
                      <wp:wrapNone/>
                      <wp:docPr id="161" name="Frame161"/>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43840" cy="175260"/>
                      <wp:effectExtent l="0" t="0" r="0" b="0"/>
                      <wp:wrapNone/>
                      <wp:docPr id="162" name="Frame162"/>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334010" cy="175260"/>
                      <wp:effectExtent l="0" t="0" r="0" b="0"/>
                      <wp:wrapNone/>
                      <wp:docPr id="163" name="Frame163"/>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47"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77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4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left"/>
              <w:rPr/>
            </w:pPr>
            <w:r>
              <w:rPr/>
              <w:t>​</w:t>
            </w:r>
          </w:p>
        </w:tc>
        <w:tc>
          <w:tcPr>
            <w:tcW w:w="17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29" w:type="dxa"/>
            <w:tcBorders/>
            <w:vAlign w:val="center"/>
          </w:tcPr>
          <w:p>
            <w:pPr>
              <w:pStyle w:val="TableContents"/>
              <w:bidi w:val="0"/>
              <w:spacing w:before="0" w:after="0"/>
              <w:ind w:left="0" w:right="0" w:hanging="0"/>
              <w:jc w:val="left"/>
              <w:rPr/>
            </w:pPr>
            <w:r>
              <w:rPr/>
              <w:t>​</w:t>
            </w:r>
          </w:p>
        </w:tc>
        <w:tc>
          <w:tcPr>
            <w:tcW w:w="7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left"/>
              <w:rPr/>
            </w:pPr>
            <w:r>
              <w:rPr/>
              <w:t>​</w:t>
            </w:r>
          </w:p>
        </w:tc>
        <w:tc>
          <w:tcPr>
            <w:tcW w:w="10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05" w:type="dxa"/>
            <w:tcBorders/>
            <w:vAlign w:val="center"/>
          </w:tcPr>
          <w:p>
            <w:pPr>
              <w:pStyle w:val="TableContents"/>
              <w:bidi w:val="0"/>
              <w:spacing w:before="0" w:after="0"/>
              <w:ind w:left="0" w:right="0" w:hanging="0"/>
              <w:jc w:val="left"/>
              <w:rPr/>
            </w:pPr>
            <w:r>
              <w:rPr/>
              <w:t>​</w:t>
            </w:r>
          </w:p>
        </w:tc>
        <w:tc>
          <w:tcPr>
            <w:tcW w:w="5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46"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205"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w:t>
            </w:r>
          </w:p>
        </w:tc>
        <w:tc>
          <w:tcPr>
            <w:tcW w:w="129" w:type="dxa"/>
            <w:tcBorders/>
            <w:vAlign w:val="center"/>
          </w:tcPr>
          <w:p>
            <w:pPr>
              <w:pStyle w:val="TableContents"/>
              <w:bidi w:val="0"/>
              <w:spacing w:before="0" w:after="0"/>
              <w:ind w:left="0" w:right="0" w:hanging="0"/>
              <w:jc w:val="left"/>
              <w:rPr/>
            </w:pPr>
            <w:r>
              <w:rPr/>
              <w:t>​</w:t>
            </w:r>
          </w:p>
        </w:tc>
        <w:tc>
          <w:tcPr>
            <w:tcW w:w="250" w:type="dxa"/>
            <w:tcBorders/>
            <w:vAlign w:val="center"/>
          </w:tcPr>
          <w:p>
            <w:pPr>
              <w:pStyle w:val="TableContents"/>
              <w:bidi w:val="0"/>
              <w:spacing w:before="0" w:after="0"/>
              <w:ind w:left="0" w:right="0" w:hanging="0"/>
              <w:jc w:val="left"/>
              <w:rPr/>
            </w:pPr>
            <w:r>
              <w:rPr/>
              <w:t> </w:t>
            </w:r>
          </w:p>
        </w:tc>
        <w:tc>
          <w:tcPr>
            <w:tcW w:w="5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205"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526" w:type="dxa"/>
            <w:gridSpan w:val="2"/>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w:t>
            </w:r>
          </w:p>
        </w:tc>
      </w:tr>
      <w:tr>
        <w:trPr/>
        <w:tc>
          <w:tcPr>
            <w:tcW w:w="34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129" w:type="dxa"/>
            <w:tcBorders/>
            <w:shd w:fill="CCEEFF" w:val="clear"/>
            <w:vAlign w:val="center"/>
          </w:tcPr>
          <w:p>
            <w:pPr>
              <w:pStyle w:val="TableContents"/>
              <w:bidi w:val="0"/>
              <w:spacing w:before="0" w:after="0"/>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205" w:type="dxa"/>
            <w:tcBorders/>
            <w:shd w:fill="CCEEFF" w:val="cle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w:t>
            </w:r>
          </w:p>
        </w:tc>
      </w:tr>
      <w:tr>
        <w:trPr/>
        <w:tc>
          <w:tcPr>
            <w:tcW w:w="34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w:t>
            </w:r>
          </w:p>
        </w:tc>
        <w:tc>
          <w:tcPr>
            <w:tcW w:w="129" w:type="dxa"/>
            <w:tcBorders/>
            <w:vAlign w:val="center"/>
          </w:tcPr>
          <w:p>
            <w:pPr>
              <w:pStyle w:val="TableContents"/>
              <w:bidi w:val="0"/>
              <w:spacing w:before="0" w:after="0"/>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205" w:type="dxa"/>
            <w:tcBorders/>
            <w:vAlign w:val="center"/>
          </w:tcPr>
          <w:p>
            <w:pPr>
              <w:pStyle w:val="TableContents"/>
              <w:bidi w:val="0"/>
              <w:spacing w:before="0" w:after="0"/>
              <w:ind w:left="0" w:right="0" w:hanging="0"/>
              <w:jc w:val="left"/>
              <w:rPr/>
            </w:pPr>
            <w:r>
              <w:rPr/>
              <w:t>​</w:t>
            </w:r>
          </w:p>
        </w:tc>
        <w:tc>
          <w:tcPr>
            <w:tcW w:w="38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gridSpan w:val="2"/>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581</w:t>
            </w:r>
          </w:p>
        </w:tc>
      </w:tr>
    </w:tbl>
    <w:p>
      <w:pPr>
        <w:pStyle w:val="TextBody"/>
        <w:bidi w:val="0"/>
        <w:spacing w:before="0" w:after="0"/>
        <w:ind w:left="0" w:right="0" w:hanging="0"/>
        <w:jc w:val="left"/>
        <w:rPr/>
      </w:pPr>
      <w:r>
        <w:rPr/>
        <w:t>​</w:t>
      </w:r>
    </w:p>
    <w:p>
      <w:pPr>
        <w:pStyle w:val="TextBody"/>
        <w:bidi w:val="0"/>
        <w:spacing w:before="240" w:after="240"/>
        <w:ind w:left="0" w:right="0" w:hanging="0"/>
        <w:jc w:val="left"/>
        <w:rPr>
          <w:rFonts w:ascii="Times New Roman;Times;serif" w:hAnsi="Times New Roman;Times;serif"/>
          <w:sz w:val="20"/>
        </w:rPr>
      </w:pPr>
      <w:r>
        <w:rPr>
          <w:rFonts w:ascii="Times New Roman;Times;serif" w:hAnsi="Times New Roman;Times;serif"/>
          <w:sz w:val="20"/>
        </w:rPr>
        <w:t>As of June 30, 2023, the total remaining unrecognized compensation expense related to nonvested stock options and restricted stock units was $3.4 million which will be amortized over the weighted-average remaining requisite service period of 1.2 years.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892" w:name="Tc_Ue6mZJffV0KEDPrKpg0xfA_6_0"/>
      <w:bookmarkStart w:id="893" w:name="Tc_046i_TZvR0SCcp-CwF-kEQ_5_0"/>
      <w:bookmarkStart w:id="894" w:name="Tc_THIYDp0bS0CqsgocXnOg1g_4_0"/>
      <w:bookmarkStart w:id="895" w:name="Tc_4qRYN-feI0izLTUId1lDLQ_3_8"/>
      <w:bookmarkStart w:id="896" w:name="Tc_I43o_Nc4f0qjSUKsa9gPqA_3_6"/>
      <w:bookmarkStart w:id="897" w:name="Tc_BSnXRbKr2U6yvwd5YYPNhA_3_4"/>
      <w:bookmarkStart w:id="898" w:name="Tc_Z6_eKYr-4UW7k-71PZN-Fw_3_2"/>
      <w:bookmarkStart w:id="899" w:name="Tc_3FM9f6WcfEyjXgD1QyH-Iw_2_6"/>
      <w:bookmarkStart w:id="900" w:name="Tc_3QFi6jEvnEyHluqCuKPB_g_2_2"/>
      <w:bookmarkStart w:id="901" w:name="Tc_VEK7wrcVC0OxfFkhrFi7jw_1_6"/>
      <w:bookmarkStart w:id="902" w:name="Tc_aHc7-Kb5yE6eOOR4odSIsw_1_2"/>
      <w:bookmarkStart w:id="903" w:name="Tc_Yflf6i5qWk6wFcmPhphnKA_12_11"/>
      <w:bookmarkStart w:id="904" w:name="Tc_heg9iZej6km56HJG3HyFPg_12_8"/>
      <w:bookmarkStart w:id="905" w:name="Tc_CPu0SrGKG0msCw-MjnSuYQ_12_5"/>
      <w:bookmarkStart w:id="906" w:name="Tc_k2EgGNh4eUy1vpLP_XKrjA_12_2"/>
      <w:bookmarkStart w:id="907" w:name="Tc_uGmWzJokT0u72Mtbc1cz2g_12_0"/>
      <w:bookmarkStart w:id="908" w:name="Tc_-R3FqrhF7kaixV-JkT8Slg_11_0"/>
      <w:bookmarkStart w:id="909" w:name="Tc_cJRARHEXEkiDVkLiwhTheA_10_11"/>
      <w:bookmarkStart w:id="910" w:name="Tc_tM02zLDpe0-G5yLurG8P1Q_10_8"/>
      <w:bookmarkStart w:id="911" w:name="Tc_tq6Dmou-BE6i6AW5NRLdcw_10_5"/>
      <w:bookmarkStart w:id="912" w:name="Tc_EelEEpeRD06ruJC4oT2AvQ_10_2"/>
      <w:bookmarkStart w:id="913" w:name="Tc_CJXDZ2T7y0OrrNYVDiEt2w_10_0"/>
      <w:bookmarkStart w:id="914" w:name="Tc_a50WcWnc-kKOI_ndRtClZw_9_0"/>
      <w:bookmarkStart w:id="915" w:name="Tc_R6j51MfIS0WH7dMPqUfdHA_7_11"/>
      <w:bookmarkStart w:id="916" w:name="Tc_97vVeBQwbUiVNgXKeSoCFg_7_8"/>
      <w:bookmarkStart w:id="917" w:name="Tc_XGFM8oFoyE-nq21OYBy9Hg_7_5"/>
      <w:bookmarkStart w:id="918" w:name="Tc_zLIhrgIeZ0e9kInCF0Q_rw_7_2"/>
      <w:bookmarkStart w:id="919" w:name="Tc_OzMiEiNDyUefih4eXBzqgA_7_0"/>
      <w:bookmarkStart w:id="920" w:name="Tc_dejC3-skQEyibMNiI0PZ8A_6_0"/>
      <w:bookmarkStart w:id="921" w:name="Tc_pc788lC1j0SHWKlLVxzLNg_5_11"/>
      <w:bookmarkStart w:id="922" w:name="Tc_AoZ0LY4oikibS-ci3A2lvw_5_8"/>
      <w:bookmarkStart w:id="923" w:name="Tc_TvX0lP4_206wXcR6TvWcjw_5_5"/>
      <w:bookmarkStart w:id="924" w:name="Tc_IkNCRiRJfEO7Tf0chYvK9A_5_2"/>
      <w:bookmarkStart w:id="925" w:name="Tc_5c3tRGPUkU2dsCvLU8nRJw_5_0"/>
      <w:bookmarkStart w:id="926" w:name="Tc_ctnPPuy8bke7sf4IEV9ufQ_4_0"/>
      <w:bookmarkStart w:id="927" w:name="Tc_Y4I5LHStcEaJdzbCssC-mA_3_11"/>
      <w:bookmarkStart w:id="928" w:name="Tc_76CJLweVfkO5TfIpXFsKMw_3_8"/>
      <w:bookmarkStart w:id="929" w:name="Tc_s0iyqbOF00qnSKect62GXQ_3_5"/>
      <w:bookmarkStart w:id="930" w:name="Tc_BvMtZWTl6EaDOXUZ8Ls5Jg_3_2"/>
      <w:bookmarkStart w:id="931" w:name="Tc_PVq-gaqEdEai0uXccf7WAQ_2_8"/>
      <w:bookmarkStart w:id="932" w:name="Tc_3YA6LTFTvEyu_BXSLVKNtA_2_2"/>
      <w:bookmarkStart w:id="933" w:name="Tc_I_AKDqLacEGthZSMLwy0TA_1_8"/>
      <w:bookmarkStart w:id="934" w:name="Tc_fUOVHRTbBEGl3S4YIAnwaQ_1_2"/>
      <w:bookmarkStart w:id="935" w:name="_b799a3e0_3906_4dd0_b2eb_407424773b43"/>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r>
        <w:rPr>
          <w:rFonts w:ascii="Times New Roman;Times;serif" w:hAnsi="Times New Roman;Times;serif"/>
          <w:b/>
          <w:sz w:val="20"/>
        </w:rPr>
        <w:t>8.    BASIC AND DILUTED 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table below presents the computation of basic and diluted loss per share (in thousands, except share and per share information): </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15"/>
        <w:gridCol w:w="326"/>
        <w:gridCol w:w="211"/>
        <w:gridCol w:w="1036"/>
        <w:gridCol w:w="266"/>
        <w:gridCol w:w="211"/>
        <w:gridCol w:w="931"/>
        <w:gridCol w:w="109"/>
        <w:gridCol w:w="211"/>
        <w:gridCol w:w="1036"/>
        <w:gridCol w:w="266"/>
        <w:gridCol w:w="211"/>
        <w:gridCol w:w="976"/>
      </w:tblGrid>
      <w:tr>
        <w:trPr/>
        <w:tc>
          <w:tcPr>
            <w:tcW w:w="4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803525" cy="175260"/>
                      <wp:effectExtent l="0" t="0" r="0" b="0"/>
                      <wp:wrapNone/>
                      <wp:docPr id="164" name="Frame164"/>
                      <a:graphic xmlns:a="http://schemas.openxmlformats.org/drawingml/2006/main">
                        <a:graphicData uri="http://schemas.microsoft.com/office/word/2010/wordprocessingShape">
                          <wps:wsp>
                            <wps:cNvSpPr txBox="1"/>
                            <wps:spPr>
                              <a:xfrm>
                                <a:off x="0" y="0"/>
                                <a:ext cx="2803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57860" cy="175260"/>
                      <wp:effectExtent l="0" t="0" r="0" b="0"/>
                      <wp:wrapNone/>
                      <wp:docPr id="167" name="Frame16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168910" cy="175260"/>
                      <wp:effectExtent l="0" t="0" r="0" b="0"/>
                      <wp:wrapNone/>
                      <wp:docPr id="168" name="Frame168"/>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91185" cy="175260"/>
                      <wp:effectExtent l="0" t="0" r="0" b="0"/>
                      <wp:wrapNone/>
                      <wp:docPr id="170" name="Frame17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9215" cy="175260"/>
                      <wp:effectExtent l="0" t="0" r="0" b="0"/>
                      <wp:wrapNone/>
                      <wp:docPr id="171" name="Frame1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57860" cy="175260"/>
                      <wp:effectExtent l="0" t="0" r="0" b="0"/>
                      <wp:wrapNone/>
                      <wp:docPr id="173" name="Frame17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68910" cy="175260"/>
                      <wp:effectExtent l="0" t="0" r="0" b="0"/>
                      <wp:wrapNone/>
                      <wp:docPr id="174" name="Frame17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133985" cy="175260"/>
                      <wp:effectExtent l="0" t="0" r="0" b="0"/>
                      <wp:wrapNone/>
                      <wp:docPr id="175" name="Frame1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9760" cy="175260"/>
                      <wp:effectExtent l="0" t="0" r="0" b="0"/>
                      <wp:wrapNone/>
                      <wp:docPr id="176" name="Frame176"/>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5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70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6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7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41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0"/>
              <w:ind w:left="0" w:right="0" w:hanging="0"/>
              <w:jc w:val="center"/>
              <w:rPr/>
            </w:pPr>
            <w:r>
              <w:rPr/>
              <w:t>   </w:t>
            </w:r>
          </w:p>
        </w:tc>
        <w:tc>
          <w:tcPr>
            <w:tcW w:w="11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available to common stockholders - 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 - 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28,219,824</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3,928,704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28,216,641</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3,858,676</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26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441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  </w:t>
            </w:r>
          </w:p>
        </w:tc>
        <w:tc>
          <w:tcPr>
            <w:tcW w:w="26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44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  </w:t>
            </w:r>
          </w:p>
        </w:tc>
        <w:tc>
          <w:tcPr>
            <w:tcW w:w="26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  </w:t>
            </w:r>
          </w:p>
        </w:tc>
      </w:tr>
      <w:tr>
        <w:trPr/>
        <w:tc>
          <w:tcPr>
            <w:tcW w:w="441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Net loss available to common stockholders - diluted </w:t>
            </w:r>
            <w:r>
              <w:rPr>
                <w:rFonts w:ascii="Times New Roman;Times;serif" w:hAnsi="Times New Roman;Times;serif"/>
                <w:sz w:val="12"/>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r>
      <w:tr>
        <w:trPr/>
        <w:tc>
          <w:tcPr>
            <w:tcW w:w="4415"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20"/>
              </w:rPr>
              <w:t xml:space="preserve">Weighted average common shares outstanding - diluted </w:t>
            </w:r>
            <w:r>
              <w:rPr>
                <w:rFonts w:ascii="Times New Roman;Times;serif" w:hAnsi="Times New Roman;Times;serif"/>
                <w:sz w:val="12"/>
              </w:rPr>
              <w:t>(1)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28,219,824</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3,928,704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28,216,641</w:t>
            </w:r>
          </w:p>
        </w:tc>
        <w:tc>
          <w:tcPr>
            <w:tcW w:w="26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3,858,676</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per share -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(0.06)</w:t>
            </w:r>
          </w:p>
        </w:tc>
        <w:tc>
          <w:tcPr>
            <w:tcW w:w="26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26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24"/>
        <w:gridCol w:w="9857"/>
      </w:tblGrid>
      <w:tr>
        <w:trPr/>
        <w:tc>
          <w:tcPr>
            <w:tcW w:w="124" w:type="dxa"/>
            <w:tcBorders/>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2"/>
              </w:rPr>
            </w:pPr>
            <w:r>
              <w:rPr>
                <w:rFonts w:ascii="Times New Roman;Times;serif" w:hAnsi="Times New Roman;Times;serif"/>
                <w:sz w:val="12"/>
              </w:rPr>
              <w:t>(1)</w:t>
            </w:r>
          </w:p>
        </w:tc>
        <w:tc>
          <w:tcPr>
            <w:tcW w:w="985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six months ended June 30, 2023, no adjustment was made to the numerator and no incremental shares were added to the denominator for the Public Warrants being accounted for as a derivative liability, as the Public Warrants were out-of-the-money during the periods. Refer to Note 6 for additional information about the Public Warrants.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pStyle w:val="TextBody"/>
        <w:bidi w:val="0"/>
        <w:spacing w:before="0" w:after="0"/>
        <w:ind w:left="0" w:right="0" w:hanging="0"/>
        <w:jc w:val="left"/>
        <w:rPr/>
      </w:pPr>
      <w:r>
        <w:rPr/>
        <w:t>​</w:t>
      </w:r>
    </w:p>
    <w:tbl>
      <w:tblPr>
        <w:tblW w:w="6867" w:type="dxa"/>
        <w:jc w:val="left"/>
        <w:tblInd w:w="0" w:type="dxa"/>
        <w:tblLayout w:type="fixed"/>
        <w:tblCellMar>
          <w:top w:w="0" w:type="dxa"/>
          <w:left w:w="0" w:type="dxa"/>
          <w:bottom w:w="0" w:type="dxa"/>
          <w:right w:w="0" w:type="dxa"/>
        </w:tblCellMar>
      </w:tblPr>
      <w:tblGrid>
        <w:gridCol w:w="1921"/>
        <w:gridCol w:w="326"/>
        <w:gridCol w:w="1036"/>
        <w:gridCol w:w="266"/>
        <w:gridCol w:w="931"/>
        <w:gridCol w:w="109"/>
        <w:gridCol w:w="1036"/>
        <w:gridCol w:w="266"/>
        <w:gridCol w:w="97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219835" cy="175260"/>
                      <wp:effectExtent l="0" t="0" r="0" b="0"/>
                      <wp:wrapNone/>
                      <wp:docPr id="177" name="Frame177"/>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57860" cy="175260"/>
                      <wp:effectExtent l="0" t="0" r="0" b="0"/>
                      <wp:wrapNone/>
                      <wp:docPr id="179" name="Frame1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68910" cy="175260"/>
                      <wp:effectExtent l="0" t="0" r="0" b="0"/>
                      <wp:wrapNone/>
                      <wp:docPr id="180" name="Frame180"/>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91185" cy="175260"/>
                      <wp:effectExtent l="0" t="0" r="0" b="0"/>
                      <wp:wrapNone/>
                      <wp:docPr id="181" name="Frame18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57860" cy="175260"/>
                      <wp:effectExtent l="0" t="0" r="0" b="0"/>
                      <wp:wrapNone/>
                      <wp:docPr id="183" name="Frame1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8910" cy="175260"/>
                      <wp:effectExtent l="0" t="0" r="0" b="0"/>
                      <wp:wrapNone/>
                      <wp:docPr id="184" name="Frame18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19760" cy="175260"/>
                      <wp:effectExtent l="0" t="0" r="0" b="0"/>
                      <wp:wrapNone/>
                      <wp:docPr id="185" name="Frame18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3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27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3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9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266" w:type="dxa"/>
            <w:tcBorders/>
            <w:vAlign w:val="center"/>
          </w:tcPr>
          <w:p>
            <w:pPr>
              <w:pStyle w:val="TableContents"/>
              <w:bidi w:val="0"/>
              <w:spacing w:before="0" w:after="1"/>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12,270,338</w:t>
            </w:r>
          </w:p>
        </w:tc>
        <w:tc>
          <w:tcPr>
            <w:tcW w:w="26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1,070,404</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12,270,338</w:t>
            </w:r>
          </w:p>
        </w:tc>
        <w:tc>
          <w:tcPr>
            <w:tcW w:w="26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1,070,404</w:t>
            </w:r>
          </w:p>
        </w:tc>
      </w:tr>
      <w:tr>
        <w:trPr/>
        <w:tc>
          <w:tcPr>
            <w:tcW w:w="19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Restricted stock units </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276,848</w:t>
            </w:r>
          </w:p>
        </w:tc>
        <w:tc>
          <w:tcPr>
            <w:tcW w:w="26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20,281</w:t>
            </w:r>
          </w:p>
        </w:tc>
        <w:tc>
          <w:tcPr>
            <w:tcW w:w="109"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276,848</w:t>
            </w:r>
          </w:p>
        </w:tc>
        <w:tc>
          <w:tcPr>
            <w:tcW w:w="26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20,281</w:t>
            </w:r>
          </w:p>
        </w:tc>
      </w:tr>
      <w:tr>
        <w:trPr/>
        <w:tc>
          <w:tcPr>
            <w:tcW w:w="19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36,593,924</w:t>
            </w:r>
          </w:p>
        </w:tc>
        <w:tc>
          <w:tcPr>
            <w:tcW w:w="26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593,924</w:t>
            </w:r>
          </w:p>
        </w:tc>
        <w:tc>
          <w:tcPr>
            <w:tcW w:w="109"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36,593,924</w:t>
            </w:r>
          </w:p>
        </w:tc>
        <w:tc>
          <w:tcPr>
            <w:tcW w:w="26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593,924</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COMMITMENTS AND CONTINGENCIES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The Company is obligated under a license agreement with Advanced NeuroRehabilitation, LLC to pay a 4%</w:t>
      </w:r>
      <w:r>
        <w:rPr>
          <w:rFonts w:ascii="Times New Roman;Times;serif" w:hAnsi="Times New Roman;Times;serif"/>
          <w:b/>
          <w:sz w:val="20"/>
        </w:rPr>
        <w:t xml:space="preserve"> </w:t>
      </w:r>
      <w:r>
        <w:rPr>
          <w:rFonts w:ascii="Times New Roman;Times;serif" w:hAnsi="Times New Roman;Times;serif"/>
          <w:b w:val="false"/>
          <w:sz w:val="20"/>
        </w:rPr>
        <w:t>royalty on net revenue collected from the sale of devices covered by the patent-pending technology. During the three and six months ended June 30, 2023 and 2022, the Company recorded royalty expense from the sale of devices of approximately $10</w:t>
      </w:r>
      <w:r>
        <w:rPr>
          <w:rFonts w:ascii="Times New Roman;Times;serif" w:hAnsi="Times New Roman;Times;serif"/>
          <w:b/>
          <w:sz w:val="20"/>
        </w:rPr>
        <w:t xml:space="preserve"> </w:t>
      </w:r>
      <w:r>
        <w:rPr>
          <w:rFonts w:ascii="Times New Roman;Times;serif" w:hAnsi="Times New Roman;Times;serif"/>
          <w:b w:val="false"/>
          <w:sz w:val="20"/>
        </w:rPr>
        <w:t>thousand, $14</w:t>
      </w:r>
      <w:r>
        <w:rPr>
          <w:rFonts w:ascii="Times New Roman;Times;serif" w:hAnsi="Times New Roman;Times;serif"/>
          <w:b/>
          <w:sz w:val="20"/>
        </w:rPr>
        <w:t xml:space="preserve"> </w:t>
      </w:r>
      <w:r>
        <w:rPr>
          <w:rFonts w:ascii="Times New Roman;Times;serif" w:hAnsi="Times New Roman;Times;serif"/>
          <w:b w:val="false"/>
          <w:sz w:val="20"/>
        </w:rPr>
        <w:t>thousand, $5</w:t>
      </w:r>
      <w:r>
        <w:rPr>
          <w:rFonts w:ascii="Times New Roman;Times;serif" w:hAnsi="Times New Roman;Times;serif"/>
          <w:b/>
          <w:sz w:val="20"/>
        </w:rPr>
        <w:t xml:space="preserve"> </w:t>
      </w:r>
      <w:r>
        <w:rPr>
          <w:rFonts w:ascii="Times New Roman;Times;serif" w:hAnsi="Times New Roman;Times;serif"/>
          <w:b w:val="false"/>
          <w:sz w:val="20"/>
        </w:rPr>
        <w:t>thousand and $12</w:t>
      </w:r>
      <w:r>
        <w:rPr>
          <w:rFonts w:ascii="Times New Roman;Times;serif" w:hAnsi="Times New Roman;Times;serif"/>
          <w:b/>
          <w:sz w:val="20"/>
        </w:rPr>
        <w:t xml:space="preserve"> </w:t>
      </w:r>
      <w:r>
        <w:rPr>
          <w:rFonts w:ascii="Times New Roman;Times;serif" w:hAnsi="Times New Roman;Times;serif"/>
          <w:b w:val="false"/>
          <w:sz w:val="20"/>
        </w:rPr>
        <w:t>thousand, respectively, in its Unaudited Condensed Consolidated Statements of Operations and Comprehensive Loss.</w:t>
      </w:r>
    </w:p>
    <w:p>
      <w:pPr>
        <w:pStyle w:val="TextBody"/>
        <w:bidi w:val="0"/>
        <w:spacing w:before="0" w:after="240"/>
        <w:ind w:left="0" w:right="0" w:hanging="0"/>
        <w:jc w:val="left"/>
        <w:rPr>
          <w:rFonts w:ascii="Times New Roman;Times;serif" w:hAnsi="Times New Roman;Times;serif"/>
          <w:b/>
          <w:sz w:val="20"/>
        </w:rPr>
      </w:pPr>
      <w:bookmarkStart w:id="936" w:name="Tc_jRaB3n9R5E6xSNQqt_7IHw_9_11"/>
      <w:bookmarkStart w:id="937" w:name="Tc_d0jzWVuu4k2R_NWiLwmTmg_9_8"/>
      <w:bookmarkStart w:id="938" w:name="Tc_9j5XvzShTkmMjN1cEbnZhw_9_5"/>
      <w:bookmarkStart w:id="939" w:name="Tc_GrXy2sL970acT7i3Tcn7GA_9_2"/>
      <w:bookmarkStart w:id="940" w:name="Tc_brHQI7OKVEiG5-gYg6wX9g_9_0"/>
      <w:bookmarkStart w:id="941" w:name="Tc_Wks-BobxtUiviHkRpK0Alg_8_6"/>
      <w:bookmarkStart w:id="942" w:name="Tc_2r4v4Zr56ka_qCE6XESuFQ_8_0"/>
      <w:bookmarkStart w:id="943" w:name="Tc_Z-xdGjCX-kaNKDmZtiijug_7_0"/>
      <w:bookmarkStart w:id="944" w:name="Tc_FU0EiHGZQkm9t32PTSPB-w_6_0"/>
      <w:bookmarkStart w:id="945" w:name="Tc_nCouylCg5kurSTvC5Sxm8w_5_11"/>
      <w:bookmarkStart w:id="946" w:name="Tc_-WjZfxa-VkeCmy8_3qKp2g_5_8"/>
      <w:bookmarkStart w:id="947" w:name="Tc_6P-Jh5SYt0Wy8qmMa6TbwA_5_5"/>
      <w:bookmarkStart w:id="948" w:name="Tc_wrHyOnQ9lEW7rdtrqoVRUg_5_2"/>
      <w:bookmarkStart w:id="949" w:name="Tc_CEfDlKw8iUSyVmTbUJd1rg_5_0"/>
      <w:bookmarkStart w:id="950" w:name="Tc_IMTW0hVtTESsTGueWWYecA_4_0"/>
      <w:bookmarkStart w:id="951" w:name="Tc_oSuNRuWCwEuCz6T3WGYTJA_3_11"/>
      <w:bookmarkStart w:id="952" w:name="Tc_yDmD2xHNmk-gXXdsS9KTLw_3_8"/>
      <w:bookmarkStart w:id="953" w:name="Tc_aO2BWT5OskeJ21OvxQq_NA_3_5"/>
      <w:bookmarkStart w:id="954" w:name="Tc_r6KepH4I00y5OUf-Eoiwkw_3_2"/>
      <w:bookmarkStart w:id="955" w:name="Tc_I65uD34510-gyWqGuOD-CA_2_8"/>
      <w:bookmarkStart w:id="956" w:name="Tc_PDoK7Q1FkUqc9rFlekNmJg_2_2"/>
      <w:bookmarkStart w:id="957" w:name="Tc_pXbQFOA3okaMz2nrEV-FHA_1_8"/>
      <w:bookmarkStart w:id="958" w:name="Tc_dvnyZAdjfEeOcKf3q-huig_1_2"/>
      <w:bookmarkStart w:id="959" w:name="Narr_5pP1s3iev0ye2I6L7hinQA"/>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r>
        <w:rPr>
          <w:rFonts w:ascii="Times New Roman;Times;serif" w:hAnsi="Times New Roman;Times;serif"/>
          <w:b/>
          <w:sz w:val="20"/>
        </w:rPr>
        <w:t>10.    ENTERPRISE-WIDE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 related to the sale of PoNS devices directly to patients in the United States and to clinics in Canada.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Company’s revenue disaggregated by geographic area (in thousands):</w:t>
      </w:r>
    </w:p>
    <w:p>
      <w:pPr>
        <w:pStyle w:val="TextBody"/>
        <w:bidi w:val="0"/>
        <w:spacing w:before="0" w:after="0"/>
        <w:ind w:left="0" w:right="0" w:hanging="0"/>
        <w:jc w:val="left"/>
        <w:rPr/>
      </w:pPr>
      <w:r>
        <w:rPr/>
        <w:t>​</w:t>
      </w:r>
    </w:p>
    <w:tbl>
      <w:tblPr>
        <w:tblW w:w="5594" w:type="dxa"/>
        <w:jc w:val="left"/>
        <w:tblInd w:w="0" w:type="dxa"/>
        <w:tblLayout w:type="fixed"/>
        <w:tblCellMar>
          <w:top w:w="0" w:type="dxa"/>
          <w:left w:w="0" w:type="dxa"/>
          <w:bottom w:w="0" w:type="dxa"/>
          <w:right w:w="0" w:type="dxa"/>
        </w:tblCellMar>
      </w:tblPr>
      <w:tblGrid>
        <w:gridCol w:w="2011"/>
        <w:gridCol w:w="326"/>
        <w:gridCol w:w="253"/>
        <w:gridCol w:w="506"/>
        <w:gridCol w:w="131"/>
        <w:gridCol w:w="253"/>
        <w:gridCol w:w="506"/>
        <w:gridCol w:w="109"/>
        <w:gridCol w:w="214"/>
        <w:gridCol w:w="427"/>
        <w:gridCol w:w="110"/>
        <w:gridCol w:w="214"/>
        <w:gridCol w:w="534"/>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276985" cy="175260"/>
                      <wp:effectExtent l="0" t="0" r="0" b="0"/>
                      <wp:wrapNone/>
                      <wp:docPr id="186" name="Frame186"/>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60655" cy="175260"/>
                      <wp:effectExtent l="0" t="0" r="0" b="0"/>
                      <wp:wrapNone/>
                      <wp:docPr id="188" name="Frame188"/>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21310" cy="175260"/>
                      <wp:effectExtent l="0" t="0" r="0" b="0"/>
                      <wp:wrapNone/>
                      <wp:docPr id="189" name="Frame189"/>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83185" cy="175260"/>
                      <wp:effectExtent l="0" t="0" r="0" b="0"/>
                      <wp:wrapNone/>
                      <wp:docPr id="190" name="Frame190"/>
                      <a:graphic xmlns:a="http://schemas.openxmlformats.org/drawingml/2006/main">
                        <a:graphicData uri="http://schemas.microsoft.com/office/word/2010/wordprocessingShape">
                          <wps:wsp>
                            <wps:cNvSpPr txBox="1"/>
                            <wps:spPr>
                              <a:xfrm>
                                <a:off x="0" y="0"/>
                                <a:ext cx="8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60655" cy="175260"/>
                      <wp:effectExtent l="0" t="0" r="0" b="0"/>
                      <wp:wrapNone/>
                      <wp:docPr id="191" name="Frame19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321310" cy="175260"/>
                      <wp:effectExtent l="0" t="0" r="0" b="0"/>
                      <wp:wrapNone/>
                      <wp:docPr id="192" name="Frame192"/>
                      <a:graphic xmlns:a="http://schemas.openxmlformats.org/drawingml/2006/main">
                        <a:graphicData uri="http://schemas.microsoft.com/office/word/2010/wordprocessingShape">
                          <wps:wsp>
                            <wps:cNvSpPr txBox="1"/>
                            <wps:spPr>
                              <a:xfrm>
                                <a:off x="0" y="0"/>
                                <a:ext cx="32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9215" cy="175260"/>
                      <wp:effectExtent l="0" t="0" r="0" b="0"/>
                      <wp:wrapNone/>
                      <wp:docPr id="193" name="Frame1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35890" cy="175260"/>
                      <wp:effectExtent l="0" t="0" r="0" b="0"/>
                      <wp:wrapNone/>
                      <wp:docPr id="194" name="Frame19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71145" cy="175260"/>
                      <wp:effectExtent l="0" t="0" r="0" b="0"/>
                      <wp:wrapNone/>
                      <wp:docPr id="195" name="Frame195"/>
                      <a:graphic xmlns:a="http://schemas.openxmlformats.org/drawingml/2006/main">
                        <a:graphicData uri="http://schemas.microsoft.com/office/word/2010/wordprocessingShape">
                          <wps:wsp>
                            <wps:cNvSpPr txBox="1"/>
                            <wps:spPr>
                              <a:xfrm>
                                <a:off x="0" y="0"/>
                                <a:ext cx="271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9850" cy="175260"/>
                      <wp:effectExtent l="0" t="0" r="0" b="0"/>
                      <wp:wrapNone/>
                      <wp:docPr id="196" name="Frame196"/>
                      <a:graphic xmlns:a="http://schemas.openxmlformats.org/drawingml/2006/main">
                        <a:graphicData uri="http://schemas.microsoft.com/office/word/2010/wordprocessingShape">
                          <wps:wsp>
                            <wps:cNvSpPr txBox="1"/>
                            <wps:spPr>
                              <a:xfrm>
                                <a:off x="0" y="0"/>
                                <a:ext cx="69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5890" cy="175260"/>
                      <wp:effectExtent l="0" t="0" r="0" b="0"/>
                      <wp:wrapNone/>
                      <wp:docPr id="197" name="Frame197"/>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339090" cy="175260"/>
                      <wp:effectExtent l="0" t="0" r="0" b="0"/>
                      <wp:wrapNone/>
                      <wp:docPr id="198" name="Frame198"/>
                      <a:graphic xmlns:a="http://schemas.openxmlformats.org/drawingml/2006/main">
                        <a:graphicData uri="http://schemas.microsoft.com/office/word/2010/wordprocessingShape">
                          <wps:wsp>
                            <wps:cNvSpPr txBox="1"/>
                            <wps:spPr>
                              <a:xfrm>
                                <a:off x="0" y="0"/>
                                <a:ext cx="3390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64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left"/>
              <w:rPr/>
            </w:pPr>
            <w:r>
              <w:rPr/>
              <w:t>​</w:t>
            </w:r>
          </w:p>
        </w:tc>
        <w:tc>
          <w:tcPr>
            <w:tcW w:w="1499"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4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4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0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31" w:type="dxa"/>
            <w:tcBorders/>
            <w:vAlign w:val="center"/>
          </w:tcPr>
          <w:p>
            <w:pPr>
              <w:pStyle w:val="TableContents"/>
              <w:bidi w:val="0"/>
              <w:spacing w:before="0" w:after="1"/>
              <w:ind w:left="0" w:right="0" w:hanging="0"/>
              <w:jc w:val="left"/>
              <w:rPr/>
            </w:pPr>
            <w:r>
              <w:rPr/>
              <w:t>​</w:t>
            </w:r>
          </w:p>
        </w:tc>
        <w:tc>
          <w:tcPr>
            <w:tcW w:w="75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09" w:type="dxa"/>
            <w:tcBorders/>
            <w:vAlign w:val="center"/>
          </w:tcPr>
          <w:p>
            <w:pPr>
              <w:pStyle w:val="TableContents"/>
              <w:bidi w:val="0"/>
              <w:spacing w:before="0" w:after="1"/>
              <w:ind w:left="0" w:right="0" w:hanging="0"/>
              <w:jc w:val="left"/>
              <w:rPr/>
            </w:pPr>
            <w:r>
              <w:rPr/>
              <w:t>​</w:t>
            </w:r>
          </w:p>
        </w:tc>
        <w:tc>
          <w:tcPr>
            <w:tcW w:w="64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10" w:type="dxa"/>
            <w:tcBorders/>
            <w:vAlign w:val="center"/>
          </w:tcPr>
          <w:p>
            <w:pPr>
              <w:pStyle w:val="TableContents"/>
              <w:bidi w:val="0"/>
              <w:spacing w:before="0" w:after="1"/>
              <w:ind w:left="0" w:right="0" w:hanging="0"/>
              <w:jc w:val="left"/>
              <w:rPr/>
            </w:pPr>
            <w:r>
              <w:rPr/>
              <w:t>​</w:t>
            </w:r>
          </w:p>
        </w:tc>
        <w:tc>
          <w:tcPr>
            <w:tcW w:w="74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506" w:type="dxa"/>
            <w:tcBorders/>
            <w:shd w:fill="CCEEFF" w:val="clear"/>
            <w:vAlign w:val="center"/>
          </w:tcPr>
          <w:p>
            <w:pPr>
              <w:pStyle w:val="TableContents"/>
              <w:bidi w:val="0"/>
              <w:spacing w:before="0" w:after="1"/>
              <w:ind w:left="0" w:right="0" w:hanging="0"/>
              <w:jc w:val="right"/>
              <w:rPr/>
            </w:pPr>
            <w:r>
              <w:rPr/>
              <w:t>​</w:t>
            </w:r>
          </w:p>
        </w:tc>
        <w:tc>
          <w:tcPr>
            <w:tcW w:w="131"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w:t>
            </w:r>
          </w:p>
        </w:tc>
        <w:tc>
          <w:tcPr>
            <w:tcW w:w="506"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427" w:type="dxa"/>
            <w:tcBorders/>
            <w:shd w:fill="CCEEFF" w:val="clear"/>
            <w:vAlign w:val="center"/>
          </w:tcPr>
          <w:p>
            <w:pPr>
              <w:pStyle w:val="TableContents"/>
              <w:bidi w:val="0"/>
              <w:spacing w:before="0" w:after="1"/>
              <w:ind w:left="0" w:right="0" w:hanging="0"/>
              <w:jc w:val="right"/>
              <w:rPr/>
            </w:pPr>
            <w:r>
              <w:rPr/>
              <w:t>​</w:t>
            </w:r>
          </w:p>
        </w:tc>
        <w:tc>
          <w:tcPr>
            <w:tcW w:w="110"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34" w:type="dxa"/>
            <w:tcBorders/>
            <w:shd w:fill="CCEEFF" w:val="clear"/>
            <w:vAlign w:val="center"/>
          </w:tcPr>
          <w:p>
            <w:pPr>
              <w:pStyle w:val="TableContents"/>
              <w:bidi w:val="0"/>
              <w:spacing w:before="0" w:after="1"/>
              <w:ind w:left="0" w:right="0" w:hanging="0"/>
              <w:jc w:val="right"/>
              <w:rPr/>
            </w:pPr>
            <w:r>
              <w:rPr/>
              <w:t>​</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13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11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131"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4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110"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131"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w:t>
            </w:r>
          </w:p>
        </w:tc>
        <w:tc>
          <w:tcPr>
            <w:tcW w:w="50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4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110"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34"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20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31" w:type="dxa"/>
            <w:tcBorders/>
            <w:shd w:fill="CCEEFF" w:val="clear"/>
            <w:vAlign w:val="center"/>
          </w:tcPr>
          <w:p>
            <w:pPr>
              <w:pStyle w:val="TableContents"/>
              <w:bidi w:val="0"/>
              <w:spacing w:before="0" w:after="1"/>
              <w:ind w:left="0" w:right="0" w:hanging="0"/>
              <w:jc w:val="left"/>
              <w:rPr/>
            </w:pPr>
            <w:r>
              <w:rPr/>
              <w:t>​</w:t>
            </w:r>
          </w:p>
        </w:tc>
        <w:tc>
          <w:tcPr>
            <w:tcW w:w="25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4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10" w:type="dxa"/>
            <w:tcBorders/>
            <w:shd w:fill="CCEEFF" w:val="clear"/>
            <w:vAlign w:val="center"/>
          </w:tcPr>
          <w:p>
            <w:pPr>
              <w:pStyle w:val="TableContents"/>
              <w:bidi w:val="0"/>
              <w:spacing w:before="0" w:after="1"/>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3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0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131" w:type="dxa"/>
            <w:tcBorders/>
            <w:vAlign w:val="center"/>
          </w:tcPr>
          <w:p>
            <w:pPr>
              <w:pStyle w:val="TableContents"/>
              <w:bidi w:val="0"/>
              <w:spacing w:before="0" w:after="1"/>
              <w:ind w:left="0" w:right="0" w:hanging="0"/>
              <w:jc w:val="left"/>
              <w:rPr/>
            </w:pPr>
            <w:r>
              <w:rPr/>
              <w:t>​</w:t>
            </w:r>
          </w:p>
        </w:tc>
        <w:tc>
          <w:tcPr>
            <w:tcW w:w="25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109"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w:t>
            </w:r>
          </w:p>
        </w:tc>
        <w:tc>
          <w:tcPr>
            <w:tcW w:w="110" w:type="dxa"/>
            <w:tcBorders/>
            <w:vAlign w:val="center"/>
          </w:tcPr>
          <w:p>
            <w:pPr>
              <w:pStyle w:val="TableContents"/>
              <w:bidi w:val="0"/>
              <w:spacing w:before="0" w:after="1"/>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34"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309</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Two customers accounted for 64% and one customer accounted for 35% of net product sales for the three and six months ended June 30, 2023 and two customers accounted for 91% of accounts receivable, net as of June 30, 2023. A single customer accounted for 13% and 41% of net product sales for the three and six months ended June 30, 2022 and 89% of accounts receivable, net as of December 31, 2022.</w:t>
      </w:r>
    </w:p>
    <w:p>
      <w:pPr>
        <w:pStyle w:val="TextBody"/>
        <w:bidi w:val="0"/>
        <w:spacing w:before="240" w:after="240"/>
        <w:ind w:left="0" w:right="0" w:hanging="0"/>
        <w:jc w:val="left"/>
        <w:rPr/>
      </w:pPr>
      <w:r>
        <w:rPr/>
        <w:t>​</w:t>
      </w:r>
    </w:p>
    <w:p>
      <w:pPr>
        <w:pStyle w:val="TextBody"/>
        <w:bidi w:val="0"/>
        <w:spacing w:before="24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0" w:name="ITEM2MANAGEMENTSDISCUSSIONANDANALYSISOFF"/>
      <w:bookmarkStart w:id="961" w:name="_a737a96b_ee10_4a38_b079_4b2923b86940"/>
      <w:bookmarkEnd w:id="960"/>
      <w:bookmarkEnd w:id="96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Unless otherwise specified or the context otherwise requires, references to “we,” “us,” “our,” “Helius” or “Company” mean Helius Medical Technologies, Inc. and its wholly owned operating subsidiaries, Helius Medical, Inc. (“HMI”) and Helius Medical Technologies (Canada), Inc. (“HMC”). The interim financial statements and this Management’s Discussion and Analysis of Financial Condition and Results of Operations should be read in conjunction with the financial statements and notes thereto for the year ended December 31, 2022, and the related Management’s Discussion and Analysis of Financial Condition and Results of Operations, both of which are contained in our Annual Report on Form 10-K for the year ended December 31, 2022 filed with the Securities and Exchange Commission (“SEC”) on March 9, 2023 (the “2022 10-K”). All financial information is stated in U.S. dollars unless otherwise specified. Our Unaudited Condensed Consolidated Financial Statements are prepared in accordance with accounting principles generally accepted in the United States (“U.S. GAAP”).</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including expected enrollment, receipt of prescriptions and progress of commercialization of the PoNS device in the U.S., the impacts of the current global macroeconomic environment on the Company, the issuance by CMS of rules regarding coverage of emerging technologies, clinical development plans, product development activities, the safety and effectiveness of the Company’s product, sufficiency of cash and availability of funds, and operating costs. Such forward-looking statements involve risks and uncertainties, known and unknown, including capital requirements to achieve our business objectives, the impact on the Company of global macroeconomic conditions including effects from disruptions in the banking system and financial markets, and the COVID-19 pandemic, the effect of inflation and increased interest rates on our ability to operate our business and access capital markets, the success of our business plan, including our ability to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our 2022 10-K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Company Overview</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We are a neurotechnology company focused on neurological wellness. Our purpose is to develop, license or acquire non-implantable technologies targeted at reducing symptoms of neurological disease or trauma.</w:t>
      </w:r>
    </w:p>
    <w:p>
      <w:pPr>
        <w:pStyle w:val="TextBody"/>
        <w:bidi w:val="0"/>
        <w:spacing w:lineRule="auto" w:line="240" w:before="0" w:after="240"/>
        <w:ind w:left="0" w:right="0" w:hanging="0"/>
        <w:jc w:val="left"/>
        <w:rPr>
          <w:rFonts w:ascii="Times New Roman;Times;serif" w:hAnsi="Times New Roman;Times;serif"/>
          <w:b/>
          <w:sz w:val="20"/>
        </w:rPr>
      </w:pPr>
      <w:r>
        <w:rPr>
          <w:rFonts w:ascii="Times New Roman;Times;serif" w:hAnsi="Times New Roman;Times;serif"/>
          <w:b w:val="false"/>
          <w:sz w:val="20"/>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Times;serif" w:hAnsi="Times New Roman;Times;serif"/>
          <w:b w:val="false"/>
          <w:sz w:val="15"/>
        </w:rPr>
        <w:t>TM</w:t>
      </w:r>
      <w:r>
        <w:rPr>
          <w:rFonts w:ascii="Times New Roman;Times;serif" w:hAnsi="Times New Roman;Times;serif"/>
          <w:b/>
          <w:sz w:val="20"/>
        </w:rPr>
        <w:t xml:space="preserve"> </w:t>
      </w:r>
      <w:r>
        <w:rPr>
          <w:rFonts w:ascii="Times New Roman;Times;serif" w:hAnsi="Times New Roman;Times;serif"/>
          <w:b w:val="false"/>
          <w:sz w:val="20"/>
        </w:rPr>
        <w:t>is integral to the overall PoNS solution and is the physical therapy applied by patients during use of the PoNS neuromodulation stimulator. PoNS has marketing clearance in the U.S. for use as a short-term treatment of gait deficit due to mild-to-moderate symptoms for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for use as a short term treatment (14 weeks) of chronic balance deficit due to mild-to-moderate traumatic brain injury, or mmTBI, and is to be used in conjunction with physical therapy; (ii) for use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Corporate Updates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April 21, 2023, we filed a definitive proxy statement seeking stockholder approval for a reverse stock split of our outstanding Class A common stock at a ratio in the range of 1-for-10 to 1-for-80 to be determined at the discretion of the Company’s Board of Directors. At the annual meeting of stockholders on May 24, 2023, stockholders voted to approve the reverse stock split.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March 23, 2023, our Board of Directors declared a dividend of one one-thousandth of a share of our Series B Preferred Stock, par value $0.001 per share (“Series B Preferred Stock”), on each outstanding share of our Class A common stock, to stockholders of record on April 3, 2023. Refer to Note 6 to our Unaudited Condensed Consolidated Financial Statements for additional information.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21, 2023, we received a letter from the Listing Qualifications Staff of The Nasdaq Stock Market, LLC (“Nasdaq”) notifying the Company that Nasdaq has granted the Company a 180-day extension, until September 18, 2023, to regain compliance with the requirement for the Company’s Class A common stock, to maintain a minimum bid price of $1.00 per share for continued listing on the Nasdaq Capital Market, as set forth in Nasdaq Listing Rule 5550(a) (2).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8, 2023, we received marketing authorization from Health Canada allowing us to commercialize the PoNS device in Canada for use as a short-term treatment of gait deficit due to mild and moderate symptoms from stroke. This expands our addressable market in Canada to include a patient population seeking treatment options that may resolve stroke gait deficit symptoms.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an Exclusive Distribution Agreement with Health Tech Connex Inc. (“HTC”) (“Exclusivity Agreement”), subject to certain terms and conditions, we granted to HTC the exclusive right to provide the PoNS Therapy in the Fraser Valley and Vancouver metro regions of British Columbia. HTC is to purchase the PoNS devices for use in these regions exclusively from us and on terms no less favorable than the then-current standard terms and conditions. The initial term of the Exclusivity Agreement expires on December 31, 2027, and is renewable by HTC for one additional five-year term. Refer to Note 3 to our Unaudited Condensed Consolidated Financial Statements for additional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Presently, PoNS Therapy is not covered by Center for Medicare and Medicaid (“CMS”) or reimbursed by any third-party payers in the U.S.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initially applied for unique HCPCS codes during the third quarter of 2021. In order to address CMS’s request for additional information to “further understand the PoNS device indication for use,” we decided to move forward and collect additional clinical and real-world data. As such, through our ongoing PoNSTEP study and ongoing registry program, we plan to resubmit for unique HCPCS codes upon availability of a body of evidence that we consider adequate and sufficient to address CMS’s questions. We expect to re-engage with CMS in mid-2023.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will continue to monitor the development of CMS’s new pathway for coverage of innovative new devices, Transitional Coverage of Emerging Technology (“TCET”), which is replacing the repealed Medicare Coverage of Innovative Technologies rule. CMS is expected to share more about TCET with the public for comments in 2023. As we follow the evolution of TCET, we will continue to assess our evidence generation strategy to reach the greatest potential to gain CMS reimbursement benefits as a result of our Breakthrough designation in 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launched an e-commerce site in the U.S. in December 2022 and began processing orders in January 2023. Accessed via ponstherapy.com, the site is powered through a new partnership with UpScriptHealth, a leading telehealth company focused on making medications and devices available direct-to-consumer. UpScriptHealth’s platform provides for (1) online health evaluations with qualified medical providers; (2) fulfillment of prescriptions required for PoNS Therapy; and (3) shipping of PoNS devices directly to the homes of eligible patients in the United States. The UpScriptHealth platform makes it possible for people with MS to have a PoNS device delivered directly to their doorstep.</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Our Patient Therapy Access Program (“PTAP”), launched in June 2022 and effective through June 2023, provided qualifying patients access to PoNS therapy at a significantly reduced price. The PTAP was not renewed and terminated on June 30, 2023.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Trends and Uncertainties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Global Economic Conditions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Generally, worldwide economic conditions remain uncertain, particularly due to the conflict between Russia and Ukraine, disruptions in the banking system and financial markets, the lingering effects of the COVID-19 pandemic and increased inflation. The general economic and capital market conditions both in the U.S. and worldwide, have been volatile in the past and at times have adversely affected our access to capital and increased the cost of capital. The capital and credit markets may not be available to support future capital raising activity on favorable terms. If economic conditions decline, our future cost of equity or debt capital and access to the capital markets could be adversely affected.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COVID-19 pandemic that began in late 2019 introduced significant volatility to the global economy, disrupted supply chains and had a widespread adverse effect on the financial markets. Additionally, our operating results could be materially impacted by changes in the overall macroeconomic environment and other economic factors. Changes in economic conditions, supply chain constraints, logistics challenges, labor shortages, disruptions in the banking system and financial markets, the conflict in Ukraine, and steps taken by governments and central banks, particularly in response to the COVID-19 pandemic as well as other stimulus and spending programs, have led to higher inflation, which has led to an increase in costs and has caused changes in fiscal and monetary policy, including increased interest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rates. Although we may take measures to mitigate these impacts, if these measures are not effective, our business, financial condition, results of operations, and liquidity could be materially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Three Months Ended June 30, 2023 compared to the Three Months Ended June 30, 2022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June 30, 2023 and 2022 (in thousands):</w:t>
      </w:r>
    </w:p>
    <w:tbl>
      <w:tblPr>
        <w:tblW w:w="7582" w:type="dxa"/>
        <w:jc w:val="left"/>
        <w:tblInd w:w="0" w:type="dxa"/>
        <w:tblLayout w:type="fixed"/>
        <w:tblCellMar>
          <w:top w:w="0" w:type="dxa"/>
          <w:left w:w="0" w:type="dxa"/>
          <w:bottom w:w="0" w:type="dxa"/>
          <w:right w:w="0" w:type="dxa"/>
        </w:tblCellMar>
      </w:tblPr>
      <w:tblGrid>
        <w:gridCol w:w="3736"/>
        <w:gridCol w:w="326"/>
        <w:gridCol w:w="228"/>
        <w:gridCol w:w="749"/>
        <w:gridCol w:w="353"/>
        <w:gridCol w:w="228"/>
        <w:gridCol w:w="749"/>
        <w:gridCol w:w="326"/>
        <w:gridCol w:w="211"/>
        <w:gridCol w:w="67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372360" cy="175260"/>
                      <wp:effectExtent l="0" t="0" r="0" b="0"/>
                      <wp:wrapNone/>
                      <wp:docPr id="199" name="Frame19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200"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44780" cy="175260"/>
                      <wp:effectExtent l="0" t="0" r="0" b="0"/>
                      <wp:wrapNone/>
                      <wp:docPr id="201" name="Frame201"/>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75615" cy="175260"/>
                      <wp:effectExtent l="0" t="0" r="0" b="0"/>
                      <wp:wrapNone/>
                      <wp:docPr id="202" name="Frame202"/>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24155" cy="175260"/>
                      <wp:effectExtent l="0" t="0" r="0" b="0"/>
                      <wp:wrapNone/>
                      <wp:docPr id="203" name="Frame203"/>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44780" cy="175260"/>
                      <wp:effectExtent l="0" t="0" r="0" b="0"/>
                      <wp:wrapNone/>
                      <wp:docPr id="204" name="Frame20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75615" cy="175260"/>
                      <wp:effectExtent l="0" t="0" r="0" b="0"/>
                      <wp:wrapNone/>
                      <wp:docPr id="205" name="Frame205"/>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429260" cy="175260"/>
                      <wp:effectExtent l="0" t="0" r="0" b="0"/>
                      <wp:wrapNone/>
                      <wp:docPr id="208" name="Frame20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37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  </w:t>
            </w:r>
          </w:p>
        </w:tc>
        <w:tc>
          <w:tcPr>
            <w:tcW w:w="353" w:type="dxa"/>
            <w:tcBorders/>
            <w:vAlign w:val="center"/>
          </w:tcPr>
          <w:p>
            <w:pPr>
              <w:pStyle w:val="TableContents"/>
              <w:bidi w:val="0"/>
              <w:spacing w:before="0" w:after="1"/>
              <w:ind w:left="0" w:right="0" w:hanging="0"/>
              <w:jc w:val="left"/>
              <w:rPr/>
            </w:pPr>
            <w:r>
              <w:rPr/>
              <w:t> </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lef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lef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184</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96</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2,569</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2,461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3,291</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(3,219)</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  </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  </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74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74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53"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74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1,571</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1,951</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74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2,162</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53"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4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w:t>
            </w:r>
          </w:p>
        </w:tc>
        <w:tc>
          <w:tcPr>
            <w:tcW w:w="353"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2,162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increase in net product sales for the three months ended June 30, 2023 as compared with the same period in the prior year was primarily attributable to increased U.S. sales of PoNS systems under the PTAP driven, in part, by patients’ efforts to secure the favorable PTAP pricing prior to the termination of PTAP on June 30, 2023. Commercial product sales in the United States commenced in April 2022.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cost of revenue increase for the three months ended June 30, 2023 was primarily attributable to higher sales compared to the same period in the prior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Gross profit for the three months ended June 30, 2023 increased compared to the same period in the prior year. As a percentage of total revenue, the increase in gross profit resulted from greater absorption of fixed overhead costs across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higher unit volume on PoNS system sales, partially offset by a greater mix of lower margin PoNS system sales under the PTAP in the current year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selling, general and administrative expenses resulted from a $0.1 million increase in professional fees incurred primarily in connection with certain registration statement filings with the Securities and Exchange Commission.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research and development expenses was driven primarily by a decrease in product development expenses and clinical trial activities as we transitioned our focus from product development and clinical trials to U.S. commercialization activities.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was primarily comprised of the amortization of acquired finite-lived intangible assets. The change in amortization expense period over period is primarily due to certain intangible assets becoming fully amortized.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Interest Income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income for the three months ended June 30, 2023 was primarily attributable to interest income earned on investments of excess cash in an unrestricted money market savings account and a certificate of deposit.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6 to our Unaudited Condensed Consolidated Financial Statements, the warrants issued in connection with the public offering completed on August 9, 2022 are being accounted for as a derivative liability instrument. The change in fair value of derivative liability for the three months ended June 30, 2023 of $1.2 million was due to a decrease in our stock price.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Exchange (Loss) Gain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foreign exchange (loss) gain was primarily due to fluctuations in the Canadian to U.S. dollar exchange rates.</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Six Months Ended June 30, 2023 compared to the Six Months Ended June 30, 2022</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results of operations for the six months ended June 30, 2023 and 2022 (in thousands):</w:t>
      </w:r>
    </w:p>
    <w:p>
      <w:pPr>
        <w:pStyle w:val="TextBody"/>
        <w:bidi w:val="0"/>
        <w:spacing w:before="0" w:after="240"/>
        <w:ind w:left="0" w:right="0" w:hanging="0"/>
        <w:jc w:val="left"/>
        <w:rPr/>
      </w:pPr>
      <w:r>
        <w:rPr/>
        <w:t>​</w:t>
      </w:r>
    </w:p>
    <w:tbl>
      <w:tblPr>
        <w:tblW w:w="7465" w:type="dxa"/>
        <w:jc w:val="left"/>
        <w:tblInd w:w="0" w:type="dxa"/>
        <w:tblLayout w:type="fixed"/>
        <w:tblCellMar>
          <w:top w:w="0" w:type="dxa"/>
          <w:left w:w="0" w:type="dxa"/>
          <w:bottom w:w="0" w:type="dxa"/>
          <w:right w:w="0" w:type="dxa"/>
        </w:tblCellMar>
      </w:tblPr>
      <w:tblGrid>
        <w:gridCol w:w="3736"/>
        <w:gridCol w:w="326"/>
        <w:gridCol w:w="211"/>
        <w:gridCol w:w="691"/>
        <w:gridCol w:w="326"/>
        <w:gridCol w:w="211"/>
        <w:gridCol w:w="691"/>
        <w:gridCol w:w="326"/>
        <w:gridCol w:w="211"/>
        <w:gridCol w:w="73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372360" cy="175260"/>
                      <wp:effectExtent l="0" t="0" r="0" b="0"/>
                      <wp:wrapNone/>
                      <wp:docPr id="209" name="Frame20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8785" cy="175260"/>
                      <wp:effectExtent l="0" t="0" r="0" b="0"/>
                      <wp:wrapNone/>
                      <wp:docPr id="212" name="Frame2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33985" cy="175260"/>
                      <wp:effectExtent l="0" t="0" r="0" b="0"/>
                      <wp:wrapNone/>
                      <wp:docPr id="214" name="Frame2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438785" cy="175260"/>
                      <wp:effectExtent l="0" t="0" r="0" b="0"/>
                      <wp:wrapNone/>
                      <wp:docPr id="215" name="Frame2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33985" cy="175260"/>
                      <wp:effectExtent l="0" t="0" r="0" b="0"/>
                      <wp:wrapNone/>
                      <wp:docPr id="217" name="Frame2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67360" cy="175260"/>
                      <wp:effectExtent l="0" t="0" r="0" b="0"/>
                      <wp:wrapNone/>
                      <wp:docPr id="218" name="Frame218"/>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  </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(1,147)</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Nonoperating income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derivative liability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Nonoperating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3,049</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4,014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net product sales for the six months ended June 30, 2023 as compared with the same period in the prior year was primarily attributable to increased U.S. sales of PoNS systems driven, in part, by patients’ efforts to secure favorable PTAP pricing prior to the termination of PTAP on June 30, 2023 as well as the fact that commercial product sales in the United States did not commence until April 2022. This increase was partially offset by lower Canada product sales resulting mostly from prior year sales including approximately $120 thousand of revenue recognized in connection with the delivery of the remaining 16 PoNS devices that had been included as noncash consideration in the Company’s acquisition of Heuro Canada, Inc.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Cost of Revenue </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 of revenue increase for the six months ended June 30, 2023 was primarily attributable to higher sales compared to the same period in the prior year.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Gross Profit</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for the six months ended June 30, 2023, decreased compared to the same period in the prior year. As a percentage of total revenue, the decrease in gross profit resulted primarily from a greater mix of lower margin PoNS system sales under the PTAP in the U.S. during the current year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Selling, General and Administrative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increase in selling, general and administrative expenses was the result of a $0.5 million increase in professional fees incurred primarily in connection with certain registration statement filings with the Securities and Exchange Commission, which was largely offset by a $0.3 million decrease in personnel related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decrease in research and development expenses was driven primarily by a decrease in product development expenses and clinical trial activities as we transitioned our focus from product development and clinical trials to U.S. commercialization activities.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Amortization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expense was primarily comprised of the amortization of acquired finite-lived intangible assets. The change in amortization expense period over period is primarily due to certain intangible assets becoming fully amortized.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Nonoperating income (expense)</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Interest Income (Expense),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interest income for the six months ended June 30, 2023 was primarily attributable to interest income earned on investments of excess cash in an unrestricted money market savings account and a certificate of deposit.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Derivative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6 to our Unaudited Condensed Consolidated Financial Statements, the warrants issued in connection with the public offering completed on August 9, 2022 are being accounted for as a derivative liability instrument. The change in fair value of derivative liability for the six months ended June 30, 2023 of $2.4</w:t>
      </w:r>
      <w:r>
        <w:rPr>
          <w:rFonts w:ascii="Times New Roman;Times;serif" w:hAnsi="Times New Roman;Times;serif"/>
          <w:color w:val="FF0000"/>
          <w:sz w:val="20"/>
        </w:rPr>
        <w:t xml:space="preserve"> </w:t>
      </w:r>
      <w:r>
        <w:rPr>
          <w:rFonts w:ascii="Times New Roman;Times;serif" w:hAnsi="Times New Roman;Times;serif"/>
          <w:sz w:val="20"/>
        </w:rPr>
        <w:t>million was due to a decrease in our stock price.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Foreign Exchange (Loss) Gain</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foreign exchange (loss) gain was primarily due to fluctuations in the Canadian to U.S. dollar exchange rates.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our cash and cash equivalents and working capital as of the end of the periods indicated in the table below (in thousands):</w:t>
      </w:r>
    </w:p>
    <w:tbl>
      <w:tblPr>
        <w:tblW w:w="4668" w:type="dxa"/>
        <w:jc w:val="left"/>
        <w:tblInd w:w="0" w:type="dxa"/>
        <w:tblLayout w:type="fixed"/>
        <w:tblCellMar>
          <w:top w:w="0" w:type="dxa"/>
          <w:left w:w="0" w:type="dxa"/>
          <w:bottom w:w="0" w:type="dxa"/>
          <w:right w:w="0" w:type="dxa"/>
        </w:tblCellMar>
      </w:tblPr>
      <w:tblGrid>
        <w:gridCol w:w="2266"/>
        <w:gridCol w:w="326"/>
        <w:gridCol w:w="211"/>
        <w:gridCol w:w="571"/>
        <w:gridCol w:w="109"/>
        <w:gridCol w:w="252"/>
        <w:gridCol w:w="933"/>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438910" cy="175260"/>
                      <wp:effectExtent l="0" t="0" r="0" b="0"/>
                      <wp:wrapNone/>
                      <wp:docPr id="219" name="Frame219"/>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33985" cy="175260"/>
                      <wp:effectExtent l="0" t="0" r="0" b="0"/>
                      <wp:wrapNone/>
                      <wp:docPr id="221" name="Frame2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362585" cy="175260"/>
                      <wp:effectExtent l="0" t="0" r="0" b="0"/>
                      <wp:wrapNone/>
                      <wp:docPr id="222" name="Frame22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9215" cy="175260"/>
                      <wp:effectExtent l="0" t="0" r="0" b="0"/>
                      <wp:wrapNone/>
                      <wp:docPr id="223" name="Frame2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60020" cy="175260"/>
                      <wp:effectExtent l="0" t="0" r="0" b="0"/>
                      <wp:wrapNone/>
                      <wp:docPr id="224" name="Frame224"/>
                      <a:graphic xmlns:a="http://schemas.openxmlformats.org/drawingml/2006/main">
                        <a:graphicData uri="http://schemas.microsoft.com/office/word/2010/wordprocessingShape">
                          <wps:wsp>
                            <wps:cNvSpPr txBox="1"/>
                            <wps:spPr>
                              <a:xfrm>
                                <a:off x="0" y="0"/>
                                <a:ext cx="1600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92455" cy="175260"/>
                      <wp:effectExtent l="0" t="0" r="0" b="0"/>
                      <wp:wrapNone/>
                      <wp:docPr id="225" name="Frame225"/>
                      <a:graphic xmlns:a="http://schemas.openxmlformats.org/drawingml/2006/main">
                        <a:graphicData uri="http://schemas.microsoft.com/office/word/2010/wordprocessingShape">
                          <wps:wsp>
                            <wps:cNvSpPr txBox="1"/>
                            <wps:spPr>
                              <a:xfrm>
                                <a:off x="0" y="0"/>
                                <a:ext cx="592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8,599</w:t>
            </w:r>
          </w:p>
        </w:tc>
        <w:tc>
          <w:tcPr>
            <w:tcW w:w="109" w:type="dxa"/>
            <w:tcBorders/>
            <w:shd w:fill="CCEEFF" w:val="clear"/>
            <w:vAlign w:val="center"/>
          </w:tcPr>
          <w:p>
            <w:pPr>
              <w:pStyle w:val="TableContents"/>
              <w:bidi w:val="0"/>
              <w:spacing w:before="0" w:after="1"/>
              <w:ind w:left="0" w:right="0" w:hanging="0"/>
              <w:jc w:val="left"/>
              <w:rPr/>
            </w:pPr>
            <w:r>
              <w:rPr/>
              <w:t>​</w:t>
            </w:r>
          </w:p>
        </w:tc>
        <w:tc>
          <w:tcPr>
            <w:tcW w:w="25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14,549</w:t>
            </w:r>
          </w:p>
        </w:tc>
      </w:tr>
      <w:tr>
        <w:trPr/>
        <w:tc>
          <w:tcPr>
            <w:tcW w:w="2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Working capital</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8,741</w:t>
            </w:r>
          </w:p>
        </w:tc>
        <w:tc>
          <w:tcPr>
            <w:tcW w:w="109" w:type="dxa"/>
            <w:tcBorders/>
            <w:vAlign w:val="center"/>
          </w:tcPr>
          <w:p>
            <w:pPr>
              <w:pStyle w:val="TableContents"/>
              <w:bidi w:val="0"/>
              <w:spacing w:before="0" w:after="1"/>
              <w:ind w:left="0" w:right="0" w:hanging="0"/>
              <w:jc w:val="left"/>
              <w:rPr/>
            </w:pPr>
            <w:r>
              <w:rPr/>
              <w:t>​</w:t>
            </w:r>
          </w:p>
        </w:tc>
        <w:tc>
          <w:tcPr>
            <w:tcW w:w="252" w:type="dxa"/>
            <w:tcBorders/>
            <w:vAlign w:val="center"/>
          </w:tcPr>
          <w:p>
            <w:pPr>
              <w:pStyle w:val="TableContents"/>
              <w:bidi w:val="0"/>
              <w:spacing w:before="0" w:after="1"/>
              <w:ind w:left="0" w:right="0" w:hanging="0"/>
              <w:jc w:val="left"/>
              <w:rPr/>
            </w:pPr>
            <w:r>
              <w:rPr/>
              <w:t>​</w:t>
            </w:r>
          </w:p>
        </w:tc>
        <w:tc>
          <w:tcPr>
            <w:tcW w:w="933"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14,709</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Class A common stock, which most recently included $16.3 million in net proceeds we received from a public offering of our Class A common stock and warrants completed in August 2022 (“August 2022 Public Offering”) as discussed in more detail in Note 8 to our Consolidated Financial Statements included our 2022 10-K. As discussed in more detail in Note 6 to our Unaudited Condensed Consolidated Financial Statements, the Company entered into a sales agreement related to our at-the-market offering program under which we may offer and sell shares having gross proceeds up to $2.0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discussed in more detail in Note 6 to our Unaudited Condensed Consolidated Financial Statements, the outstanding shares of Series B Preferred Stock will vote together with the outstanding shares of the Company’s Class A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 If these proposals do not receive approval at a meeting of stockholders duly called for the purpose of voting thereon, the Company may be unable to regain compliance with Nasdaq’s minimum bid price requirement within the required period of time, which could lead to our Class A common stock being delisted. If we are unable to maintain the listing of our Class A common stock on Nasdaq, we may face difficulty raising additional capital.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Statement of Cash Flows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our cash flows for the six months ended June 30, 2023 and 2022 (in thousands):</w:t>
      </w:r>
    </w:p>
    <w:p>
      <w:pPr>
        <w:pStyle w:val="TextBody"/>
        <w:bidi w:val="0"/>
        <w:spacing w:before="0" w:after="240"/>
        <w:ind w:left="0" w:right="0" w:hanging="0"/>
        <w:jc w:val="left"/>
        <w:rPr/>
      </w:pPr>
      <w:r>
        <w:rPr/>
        <w:t>​</w:t>
      </w:r>
    </w:p>
    <w:tbl>
      <w:tblPr>
        <w:tblW w:w="7645" w:type="dxa"/>
        <w:jc w:val="left"/>
        <w:tblInd w:w="0" w:type="dxa"/>
        <w:tblLayout w:type="fixed"/>
        <w:tblCellMar>
          <w:top w:w="0" w:type="dxa"/>
          <w:left w:w="0" w:type="dxa"/>
          <w:bottom w:w="0" w:type="dxa"/>
          <w:right w:w="0" w:type="dxa"/>
        </w:tblCellMar>
      </w:tblPr>
      <w:tblGrid>
        <w:gridCol w:w="3976"/>
        <w:gridCol w:w="326"/>
        <w:gridCol w:w="211"/>
        <w:gridCol w:w="691"/>
        <w:gridCol w:w="326"/>
        <w:gridCol w:w="211"/>
        <w:gridCol w:w="691"/>
        <w:gridCol w:w="326"/>
        <w:gridCol w:w="211"/>
        <w:gridCol w:w="676"/>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524760" cy="175260"/>
                      <wp:effectExtent l="0" t="0" r="0" b="0"/>
                      <wp:wrapNone/>
                      <wp:docPr id="226" name="Frame226"/>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438785" cy="175260"/>
                      <wp:effectExtent l="0" t="0" r="0" b="0"/>
                      <wp:wrapNone/>
                      <wp:docPr id="229" name="Frame22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31" name="Frame2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438785" cy="175260"/>
                      <wp:effectExtent l="0" t="0" r="0" b="0"/>
                      <wp:wrapNone/>
                      <wp:docPr id="232" name="Frame2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34" name="Frame2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429260" cy="175260"/>
                      <wp:effectExtent l="0" t="0" r="0" b="0"/>
                      <wp:wrapNone/>
                      <wp:docPr id="235" name="Frame23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(8,346)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foreign exchange rate changes on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Net decrease in cash and cash equivalents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1,782</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Operating Activities</w:t>
      </w:r>
    </w:p>
    <w:p>
      <w:pPr>
        <w:pStyle w:val="TextBody"/>
        <w:bidi w:val="0"/>
        <w:spacing w:before="0" w:after="24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lower level of cash used in operating activities in the six months ended June 30, 2023 primarily resulted from the decrease in net loss for the six months ended June 30, 2023 as compared with the same period in the prior year.</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investing activities are primarily related to the purchases of property and equipment.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Cash Provided by Financing Activities</w:t>
      </w:r>
    </w:p>
    <w:p>
      <w:pPr>
        <w:pStyle w:val="TextBody"/>
        <w:bidi w:val="0"/>
        <w:spacing w:before="0" w:after="24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We did not complete any public or private offerings of our Class A common stock during the six months ended June 30, 2023 and 2022. During the six months ended June 30, 2022, we paid $24 thousand of accrued share issuance costs related to a public offering of Class A common stock completed in November 2021.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ability to generate product revenues sufficient to achieve profitability will depend heavily on the successful commercialization of PoNS Therapy in the U.S. Our net loss was $4.1 million and $8.2 million for the six months ended June 30, 2023 and 2022, respectively. As of June 30, 2023, we had an accumulated deficit of $155.2</w:t>
      </w:r>
      <w:r>
        <w:rPr>
          <w:rFonts w:ascii="Times New Roman;Times;serif" w:hAnsi="Times New Roman;Times;serif"/>
          <w:color w:val="FF0000"/>
          <w:sz w:val="20"/>
        </w:rPr>
        <w:t xml:space="preserve"> </w:t>
      </w:r>
      <w:r>
        <w:rPr>
          <w:rFonts w:ascii="Times New Roman;Times;serif" w:hAnsi="Times New Roman;Times;serif"/>
          <w:sz w:val="20"/>
        </w:rPr>
        <w:t xml:space="preserve">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will be sufficient to fund our operations through 2023,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critical accounting policies and estimates are described in Item 7 “Management’s Discussion and Analysis of Financial Condition and Results of Operations — Critical Accounting Policies and Estimates” of our 2022 10-K. There have been no changes in critical accounting policies in the current year from those described in our 2022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information set forth in Note 2 to our Unaudited Condensed Consolidated Financial Statements under Part I, Item 1, “Condensed Consolidated Financial Statements” is incorporated herein by reference.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62" w:name="ITEM3QuantitativeandQualitativeDisclosur"/>
      <w:bookmarkStart w:id="963" w:name="_897587f3_2b25_4338_b49b_e4e95a4b6d08"/>
      <w:bookmarkEnd w:id="962"/>
      <w:bookmarkEnd w:id="96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64" w:name="ITEM4ControlsandProcedures_561590"/>
      <w:bookmarkStart w:id="965" w:name="_b7dec30a_8a1d_4515_8395_0228f35b93b1"/>
      <w:bookmarkEnd w:id="964"/>
      <w:bookmarkEnd w:id="96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pStyle w:val="TextBody"/>
        <w:bidi w:val="0"/>
        <w:spacing w:before="0" w:after="240"/>
        <w:ind w:left="0" w:right="0" w:hanging="0"/>
        <w:jc w:val="left"/>
        <w:rPr>
          <w:rFonts w:ascii="Times New Roman;Times;serif" w:hAnsi="Times New Roman;Times;serif"/>
          <w:b/>
          <w:sz w:val="20"/>
        </w:rPr>
      </w:pPr>
      <w:bookmarkStart w:id="966" w:name="PARTIIOTHERINFORMATION_747688"/>
      <w:bookmarkStart w:id="967" w:name="_0cf39508_e7d8_4251_89d2_d722bf0f0edc"/>
      <w:bookmarkEnd w:id="966"/>
      <w:bookmarkEnd w:id="967"/>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968" w:name="Item1LegalProceedings_648425"/>
      <w:bookmarkEnd w:id="968"/>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pStyle w:val="TextBody"/>
        <w:bidi w:val="0"/>
        <w:spacing w:before="0" w:after="240"/>
        <w:ind w:left="0" w:right="0" w:hanging="0"/>
        <w:jc w:val="left"/>
        <w:rPr>
          <w:rFonts w:ascii="Times New Roman;Times;serif" w:hAnsi="Times New Roman;Times;serif"/>
          <w:b/>
          <w:sz w:val="20"/>
        </w:rPr>
      </w:pPr>
      <w:bookmarkStart w:id="969" w:name="Item1ARiskFactors_328583"/>
      <w:bookmarkStart w:id="970" w:name="_c2429eb2_fe9d_472a_9e84_935a54b58e2d"/>
      <w:bookmarkEnd w:id="969"/>
      <w:bookmarkEnd w:id="970"/>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During the six months ended June 30, 2023, our risk factors have not changed materially from those risk factors previously disclosed in our 2022 10-K. You should carefully consider the risk factors discussed in Part I, “Item 1A. Risk Factors” in our 2022 10-K. The risks described in our 2022 10-K are not the only risks facing us. Additional risks and uncertainties not currently known to us or that we currently deem to be immaterial also may materially and adversely affect our business, financial condition and/or operating results.</w:t>
      </w:r>
    </w:p>
    <w:p>
      <w:pPr>
        <w:pStyle w:val="TextBody"/>
        <w:bidi w:val="0"/>
        <w:spacing w:before="0" w:after="240"/>
        <w:ind w:left="0" w:right="0" w:hanging="0"/>
        <w:jc w:val="left"/>
        <w:rPr>
          <w:rFonts w:ascii="Times New Roman;Times;serif" w:hAnsi="Times New Roman;Times;serif"/>
          <w:b/>
          <w:sz w:val="20"/>
        </w:rPr>
      </w:pPr>
      <w:bookmarkStart w:id="971" w:name="Item2UnregisteredSalesofEquitySecurities"/>
      <w:bookmarkStart w:id="972" w:name="_8135c555_7a2e_4962_9108_b90d4c69bb3f"/>
      <w:bookmarkEnd w:id="971"/>
      <w:bookmarkEnd w:id="97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73" w:name="Item3DefaultsuponSeniorSecurities_357636"/>
      <w:bookmarkStart w:id="974" w:name="_1e9bf08e_c21c_448f_920c_549cbe4126e7"/>
      <w:bookmarkEnd w:id="973"/>
      <w:bookmarkEnd w:id="974"/>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Not applicable.</w:t>
      </w:r>
    </w:p>
    <w:p>
      <w:pPr>
        <w:pStyle w:val="TextBody"/>
        <w:bidi w:val="0"/>
        <w:spacing w:before="0" w:after="240"/>
        <w:ind w:left="0" w:right="0" w:hanging="0"/>
        <w:jc w:val="left"/>
        <w:rPr>
          <w:rFonts w:ascii="Times New Roman;Times;serif" w:hAnsi="Times New Roman;Times;serif"/>
          <w:b/>
          <w:sz w:val="20"/>
        </w:rPr>
      </w:pPr>
      <w:bookmarkStart w:id="975" w:name="Item4MineSafetyDisclosures_501310"/>
      <w:bookmarkStart w:id="976" w:name="_dfa2aedc_f40a_4e21_a60b_e864aa932ae1"/>
      <w:bookmarkEnd w:id="975"/>
      <w:bookmarkEnd w:id="976"/>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7" w:name="Item5OtherInformation_487176"/>
      <w:bookmarkStart w:id="978" w:name="_f483c9c9_5cd2_45ac_af9f_fd1a4474303f"/>
      <w:bookmarkEnd w:id="977"/>
      <w:bookmarkEnd w:id="978"/>
      <w:r>
        <w:rPr>
          <w:rFonts w:ascii="Times New Roman;Times;serif" w:hAnsi="Times New Roman;Times;serif"/>
          <w:b/>
          <w:sz w:val="20"/>
        </w:rPr>
        <w:t>Item 5.    Other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79" w:name="Item6Exhibits_175156"/>
      <w:bookmarkStart w:id="980" w:name="_420a1903_0a1e_49df_897a_b6f7bba5d9dd"/>
      <w:bookmarkEnd w:id="979"/>
      <w:bookmarkEnd w:id="980"/>
      <w:r>
        <w:rPr>
          <w:rFonts w:ascii="Times New Roman;Times;serif" w:hAnsi="Times New Roman;Times;serif"/>
          <w:b/>
          <w:sz w:val="20"/>
        </w:rPr>
        <w:t>Item 6.    Exhibits</w:t>
      </w:r>
    </w:p>
    <w:tbl>
      <w:tblPr>
        <w:tblW w:w="10205" w:type="dxa"/>
        <w:jc w:val="left"/>
        <w:tblInd w:w="0" w:type="dxa"/>
        <w:tblLayout w:type="fixed"/>
        <w:tblCellMar>
          <w:top w:w="0" w:type="dxa"/>
          <w:left w:w="0" w:type="dxa"/>
          <w:bottom w:w="0" w:type="dxa"/>
          <w:right w:w="0" w:type="dxa"/>
        </w:tblCellMar>
      </w:tblPr>
      <w:tblGrid>
        <w:gridCol w:w="781"/>
        <w:gridCol w:w="326"/>
        <w:gridCol w:w="9098"/>
      </w:tblGrid>
      <w:tr>
        <w:trPr/>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95935" cy="175260"/>
                      <wp:effectExtent l="0" t="0" r="0" b="0"/>
                      <wp:wrapNone/>
                      <wp:docPr id="236" name="Frame2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777230" cy="175260"/>
                      <wp:effectExtent l="0" t="0" r="0" b="0"/>
                      <wp:wrapNone/>
                      <wp:docPr id="237" name="Frame237"/>
                      <a:graphic xmlns:a="http://schemas.openxmlformats.org/drawingml/2006/main">
                        <a:graphicData uri="http://schemas.microsoft.com/office/word/2010/wordprocessingShape">
                          <wps:wsp>
                            <wps:cNvSpPr txBox="1"/>
                            <wps:spPr>
                              <a:xfrm>
                                <a:off x="0" y="0"/>
                                <a:ext cx="57772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 No.</w:t>
            </w:r>
          </w:p>
        </w:tc>
        <w:tc>
          <w:tcPr>
            <w:tcW w:w="326" w:type="dxa"/>
            <w:tcBorders/>
            <w:vAlign w:val="center"/>
          </w:tcPr>
          <w:p>
            <w:pPr>
              <w:pStyle w:val="TableContents"/>
              <w:bidi w:val="0"/>
              <w:spacing w:before="0" w:after="0"/>
              <w:ind w:left="0" w:right="0" w:hanging="0"/>
              <w:jc w:val="left"/>
              <w:rPr/>
            </w:pPr>
            <w:r>
              <w:rPr/>
              <w:t>    </w:t>
            </w:r>
          </w:p>
        </w:tc>
        <w:tc>
          <w:tcPr>
            <w:tcW w:w="90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 of Exhibit</w:t>
            </w:r>
          </w:p>
        </w:tc>
      </w:tr>
      <w:tr>
        <w:trPr/>
        <w:tc>
          <w:tcPr>
            <w:tcW w:w="7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98" w:type="dxa"/>
            <w:tcBorders>
              <w:top w:val="single" w:sz="2" w:space="0" w:color="000000"/>
            </w:tcBorders>
            <w:tcMar>
              <w:top w:w="28"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Certificate of Conversion filed with the Delaware Secretary of State on July 18, 2018 (incorporated by reference to Exhibit 3.1 to the Form 10-Q filed August 9,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Certificate of Incorporation, as corrected (incorporated by reference to Exhibit 3.1 to the Form 8-K filed October 30,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Certificate of Amendment to Certificate of Incorporation (incorporated by reference to Exhibit 3.1 to the Form 8-K filed on December 31, 2020)</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Certificate of Designation of the Series B Preferred Stock of the Registrant (incorporated by reference to Exhibit 3.1(a) to the Registrant’s Registration Statement on Form 8-A, filed with the Securities and Exchange Commission on March 24, 2023)</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3.5</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as amended and restated (incorporated by reference to Exhibit 3.3 to the Form 10-Q filed August 9, 2018)</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630xex31d1.htm">
              <w:r>
                <w:rPr>
                  <w:rStyle w:val="InternetLink"/>
                  <w:rFonts w:ascii="Times New Roman;Times;serif" w:hAnsi="Times New Roman;Times;serif"/>
                  <w:b w:val="false"/>
                  <w:i w:val="false"/>
                  <w:caps w:val="false"/>
                  <w:smallCaps w:val="false"/>
                  <w:sz w:val="20"/>
                </w:rPr>
                <w:t>Certification of Chief Executive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630xex31d2.htm">
              <w:r>
                <w:rPr>
                  <w:rStyle w:val="InternetLink"/>
                  <w:rFonts w:ascii="Times New Roman;Times;serif" w:hAnsi="Times New Roman;Times;serif"/>
                  <w:b w:val="false"/>
                  <w:i w:val="false"/>
                  <w:caps w:val="false"/>
                  <w:smallCaps w:val="false"/>
                  <w:sz w:val="20"/>
                </w:rPr>
                <w:t>Certification of Chief Financial Officer pursuant to Rule 13a-14(a) and Rule 15d-14(a), as adopted pursuant to Section 302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630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pPr>
            <w:hyperlink w:anchor="hsdt-20230630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9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Filed herewith.</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81" w:name="SIGNATURES_395744"/>
      <w:bookmarkStart w:id="982" w:name="_7be0a7b9_f5b9_4963_84eb_2e87f678a802"/>
      <w:bookmarkEnd w:id="981"/>
      <w:bookmarkEnd w:id="982"/>
      <w:r>
        <w:rPr>
          <w:rFonts w:ascii="Times New Roman;Times;serif" w:hAnsi="Times New Roman;Times;serif"/>
          <w:b/>
          <w:sz w:val="20"/>
        </w:rPr>
        <w:t>SIGNATURES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6603" w:type="dxa"/>
        <w:jc w:val="left"/>
        <w:tblInd w:w="0" w:type="dxa"/>
        <w:tblLayout w:type="fixed"/>
        <w:tblCellMar>
          <w:top w:w="0" w:type="dxa"/>
          <w:left w:w="0" w:type="dxa"/>
          <w:bottom w:w="0" w:type="dxa"/>
          <w:right w:w="0" w:type="dxa"/>
        </w:tblCellMar>
      </w:tblPr>
      <w:tblGrid>
        <w:gridCol w:w="2056"/>
        <w:gridCol w:w="406"/>
        <w:gridCol w:w="4141"/>
      </w:tblGrid>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pPr>
            <w:r>
              <w:rPr/>
              <w:t>​</w:t>
            </w:r>
          </w:p>
        </w:tc>
        <w:tc>
          <w:tcPr>
            <w:tcW w:w="454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HELIUS MEDICAL TECHNOLOGIES, INC.</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10,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President and Chief Executive Officer</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pPr>
            <w:r>
              <w:rPr/>
              <w:t> </w:t>
            </w:r>
          </w:p>
        </w:tc>
      </w:tr>
      <w:tr>
        <w:trPr/>
        <w:tc>
          <w:tcPr>
            <w:tcW w:w="20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August 10, 2023</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Chief Financial Officer, Treasurer and Secretary</w:t>
            </w:r>
            <w:r>
              <w:rPr>
                <w:rFonts w:ascii="Times New Roman;Times;serif" w:hAnsi="Times New Roman;Times;serif"/>
                <w:sz w:val="20"/>
              </w:rPr>
              <w:br/>
            </w:r>
            <w:r>
              <w:rPr>
                <w:rFonts w:ascii="Times New Roman;Times;serif" w:hAnsi="Times New Roman;Times;serif"/>
                <w:i/>
                <w:sz w:val="20"/>
              </w:rPr>
              <w:t>(Principal Financial</w:t>
            </w:r>
          </w:p>
        </w:tc>
      </w:tr>
      <w:tr>
        <w:trPr/>
        <w:tc>
          <w:tcPr>
            <w:tcW w:w="205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Officer and Principal Accounting Officer)</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240"/>
        <w:ind w:left="0" w:right="0" w:hanging="0"/>
        <w:jc w:val="right"/>
        <w:rPr>
          <w:rFonts w:ascii="Times New Roman;Times;serif" w:hAnsi="Times New Roman;Times;serif"/>
          <w:b/>
          <w:sz w:val="20"/>
        </w:rPr>
      </w:pPr>
      <w:bookmarkStart w:id="983" w:name="hsdt-20230630xex31d1.htm"/>
      <w:bookmarkStart w:id="984" w:name="kshsdt20230630xex31d1"/>
      <w:bookmarkEnd w:id="983"/>
      <w:bookmarkEnd w:id="984"/>
      <w:r>
        <w:rPr>
          <w:rFonts w:ascii="Times New Roman;Times;serif" w:hAnsi="Times New Roman;Times;serif"/>
          <w:b/>
          <w:sz w:val="20"/>
        </w:rPr>
        <w:t>EXHIBIT 31.1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Dane C. Andreeff,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June 30, 2023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4348" w:type="dxa"/>
        <w:jc w:val="center"/>
        <w:tblInd w:w="0" w:type="dxa"/>
        <w:tblLayout w:type="fixed"/>
        <w:tblCellMar>
          <w:top w:w="0" w:type="dxa"/>
          <w:left w:w="0" w:type="dxa"/>
          <w:bottom w:w="0" w:type="dxa"/>
          <w:right w:w="0" w:type="dxa"/>
        </w:tblCellMar>
      </w:tblPr>
      <w:tblGrid>
        <w:gridCol w:w="1951"/>
        <w:gridCol w:w="326"/>
        <w:gridCol w:w="2071"/>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9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20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85" w:name="hsdt-20230630xex31d2.htm"/>
      <w:bookmarkStart w:id="986" w:name="kshsdt20230630xex31d2"/>
      <w:bookmarkEnd w:id="985"/>
      <w:bookmarkEnd w:id="986"/>
      <w:r>
        <w:rPr>
          <w:rFonts w:ascii="Times New Roman;Times;serif" w:hAnsi="Times New Roman;Times;serif"/>
          <w:b/>
          <w:sz w:val="20"/>
        </w:rPr>
        <w:t>EXHIBIT 31.2</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CERTIFICATIONS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 Jeffrey S. Mathiesen, certify that: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1)I have reviewed this report on Form 10-Q for the period ended June 30, 2023 of Helius Medical Technologies, Inc.</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360" w:right="0" w:hanging="0"/>
        <w:jc w:val="both"/>
        <w:rPr>
          <w:rFonts w:ascii="Times New Roman;Times;serif" w:hAnsi="Times New Roman;Times;serif"/>
          <w:sz w:val="20"/>
        </w:rPr>
      </w:pPr>
      <w:r>
        <w:rPr>
          <w:rFonts w:ascii="Times New Roman;Times;serif" w:hAnsi="Times New Roman;Times;serif"/>
          <w:sz w:val="20"/>
        </w:rPr>
        <w:t>b)Any fraud, whether or not material, that involves management or other employees who have a significant role in the registrant’s internal control over financial reporting.</w:t>
      </w:r>
    </w:p>
    <w:tbl>
      <w:tblPr>
        <w:tblW w:w="4086" w:type="dxa"/>
        <w:jc w:val="center"/>
        <w:tblInd w:w="0" w:type="dxa"/>
        <w:tblLayout w:type="fixed"/>
        <w:tblCellMar>
          <w:top w:w="0" w:type="dxa"/>
          <w:left w:w="0" w:type="dxa"/>
          <w:bottom w:w="0" w:type="dxa"/>
          <w:right w:w="0" w:type="dxa"/>
        </w:tblCellMar>
      </w:tblPr>
      <w:tblGrid>
        <w:gridCol w:w="1951"/>
        <w:gridCol w:w="109"/>
        <w:gridCol w:w="2026"/>
      </w:tblGrid>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87" w:name="hsdt-20230630xex32d1.htm"/>
      <w:bookmarkStart w:id="988" w:name="kshsdt20230630xex32d1"/>
      <w:bookmarkEnd w:id="987"/>
      <w:bookmarkEnd w:id="988"/>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JUNE 30,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am the Chief Executive Officer of Helius Medical Technologies, Inc., a Delaware corporation (the “Company”). I am delivering this certificate in connection with the Form 10-Q of the Company for the quarter ended June 30, 2023 and filed with the Securities and Exchange Commission (“Form 10-Q”).</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4348" w:type="dxa"/>
        <w:jc w:val="center"/>
        <w:tblInd w:w="0" w:type="dxa"/>
        <w:tblLayout w:type="fixed"/>
        <w:tblCellMar>
          <w:top w:w="0" w:type="dxa"/>
          <w:left w:w="0" w:type="dxa"/>
          <w:bottom w:w="0" w:type="dxa"/>
          <w:right w:w="0" w:type="dxa"/>
        </w:tblCellMar>
      </w:tblPr>
      <w:tblGrid>
        <w:gridCol w:w="1951"/>
        <w:gridCol w:w="326"/>
        <w:gridCol w:w="207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38885" cy="175260"/>
                      <wp:effectExtent l="0" t="0" r="0" b="0"/>
                      <wp:wrapNone/>
                      <wp:docPr id="238" name="Frame238"/>
                      <a:graphic xmlns:a="http://schemas.openxmlformats.org/drawingml/2006/main">
                        <a:graphicData uri="http://schemas.microsoft.com/office/word/2010/wordprocessingShape">
                          <wps:wsp>
                            <wps:cNvSpPr txBox="1"/>
                            <wps:spPr>
                              <a:xfrm>
                                <a:off x="0" y="0"/>
                                <a:ext cx="1238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15720" cy="175260"/>
                      <wp:effectExtent l="0" t="0" r="0" b="0"/>
                      <wp:wrapNone/>
                      <wp:docPr id="239" name="Frame239"/>
                      <a:graphic xmlns:a="http://schemas.openxmlformats.org/drawingml/2006/main">
                        <a:graphicData uri="http://schemas.microsoft.com/office/word/2010/wordprocessingShape">
                          <wps:wsp>
                            <wps:cNvSpPr txBox="1"/>
                            <wps:spPr>
                              <a:xfrm>
                                <a:off x="0" y="0"/>
                                <a:ext cx="1315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326" w:type="dxa"/>
            <w:tcBorders/>
            <w:vAlign w:val="center"/>
          </w:tcPr>
          <w:p>
            <w:pPr>
              <w:pStyle w:val="TableContents"/>
              <w:bidi w:val="0"/>
              <w:spacing w:before="0" w:after="0"/>
              <w:ind w:left="0" w:right="0" w:hanging="0"/>
              <w:jc w:val="left"/>
              <w:rPr/>
            </w:pPr>
            <w:r>
              <w:rPr/>
              <w:t>    </w:t>
            </w:r>
          </w:p>
        </w:tc>
        <w:tc>
          <w:tcPr>
            <w:tcW w:w="20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Dane C. Andreeff</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Dane C. Andreeff</w:t>
            </w:r>
          </w:p>
        </w:tc>
      </w:tr>
      <w:tr>
        <w:trPr/>
        <w:tc>
          <w:tcPr>
            <w:tcW w:w="19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989" w:name="hsdt-20230630xex32d2.htm"/>
      <w:bookmarkStart w:id="990" w:name="kshsdt20230630xex32d2"/>
      <w:bookmarkEnd w:id="989"/>
      <w:bookmarkEnd w:id="990"/>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HELIUS MEDICAL TECHNOLOGIES,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 FOR THE QUARTER ENDED JUNE 30,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 am the Chief Financial Officer of Helius Medical Technologies, Inc., a Delaware corporation (the “Company”). I am delivering this certificate in connection with the Form 10-Q of the Company for the quarter ended June 30, 2023 and filed with the Securities and Exchange Commission (“Form 10-Q”).</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tbl>
      <w:tblPr>
        <w:tblW w:w="4086" w:type="dxa"/>
        <w:jc w:val="left"/>
        <w:tblInd w:w="0" w:type="dxa"/>
        <w:tblLayout w:type="fixed"/>
        <w:tblCellMar>
          <w:top w:w="0" w:type="dxa"/>
          <w:left w:w="0" w:type="dxa"/>
          <w:bottom w:w="0" w:type="dxa"/>
          <w:right w:w="0" w:type="dxa"/>
        </w:tblCellMar>
      </w:tblPr>
      <w:tblGrid>
        <w:gridCol w:w="1951"/>
        <w:gridCol w:w="109"/>
        <w:gridCol w:w="2026"/>
      </w:tblGrid>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286510" cy="175260"/>
                      <wp:effectExtent l="0" t="0" r="0" b="0"/>
                      <wp:wrapNone/>
                      <wp:docPr id="240" name="Frame240"/>
                      <a:graphic xmlns:a="http://schemas.openxmlformats.org/drawingml/2006/main">
                        <a:graphicData uri="http://schemas.microsoft.com/office/word/2010/wordprocessingShape">
                          <wps:wsp>
                            <wps:cNvSpPr txBox="1"/>
                            <wps:spPr>
                              <a:xfrm>
                                <a:off x="0" y="0"/>
                                <a:ext cx="1286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10, 2023</w:t>
            </w:r>
          </w:p>
        </w:tc>
        <w:tc>
          <w:tcPr>
            <w:tcW w:w="109" w:type="dxa"/>
            <w:tcBorders/>
            <w:vAlign w:val="center"/>
          </w:tcPr>
          <w:p>
            <w:pPr>
              <w:pStyle w:val="TableContents"/>
              <w:bidi w:val="0"/>
              <w:spacing w:before="0" w:after="0"/>
              <w:ind w:left="0" w:right="0" w:hanging="0"/>
              <w:jc w:val="left"/>
              <w:rPr/>
            </w:pPr>
            <w:r>
              <w:rPr/>
              <w:t>​</w:t>
            </w:r>
          </w:p>
        </w:tc>
        <w:tc>
          <w:tcPr>
            <w:tcW w:w="20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Jeffrey S. Mathiesen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Jeffrey S. Mathiesen</w:t>
            </w:r>
          </w:p>
        </w:tc>
      </w:tr>
      <w:tr>
        <w:trPr/>
        <w:tc>
          <w:tcPr>
            <w:tcW w:w="195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10853/000156459018020736/hsdt-ex31_66.htm" TargetMode="External"/><Relationship Id="rId3" Type="http://schemas.openxmlformats.org/officeDocument/2006/relationships/hyperlink" Target="https://www.sec.gov/Archives/edgar/data/0001610853/000119312518312155/d646047dex31.htm" TargetMode="External"/><Relationship Id="rId4" Type="http://schemas.openxmlformats.org/officeDocument/2006/relationships/hyperlink" Target="https://www.sec.gov/Archives/edgar/data/0001610853/000156459020058917/hsdt-ex31_7.htm" TargetMode="External"/><Relationship Id="rId5" Type="http://schemas.openxmlformats.org/officeDocument/2006/relationships/hyperlink" Target="https://www.sec.gov/Archives/edgar/data/1610853/000110465923036609/tm2310398d1_ex3-1.htm" TargetMode="External"/><Relationship Id="rId6" Type="http://schemas.openxmlformats.org/officeDocument/2006/relationships/hyperlink" Target="https://www.sec.gov/Archives/edgar/data/0001610853/000156459018020736/hsdt-ex33_6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12185</Words>
  <Characters>66209</Characters>
  <CharactersWithSpaces>79517</CharactersWithSpaces>
  <Paragraphs>3857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