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STRAW EDWARD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Solana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HSDT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SOLANA COMPANY</w:t>
            </w:r>
          </w:p>
        </w:tc>
        <w:tc>
          <w:tcPr>
            <w:tcW w:w="1340" w:type="dxa"/>
            <w:vAlign w:val="bottom"/>
          </w:tcPr>
          <w:p>
            <w:pPr>
              <w:spacing w:after="0"/>
              <w:rPr>
                <w:sz w:val="11"/>
                <w:szCs w:val="11"/>
                <w:color w:val="auto"/>
              </w:rPr>
            </w:pPr>
          </w:p>
        </w:tc>
        <w:tc>
          <w:tcPr>
            <w:tcW w:w="1040" w:type="dxa"/>
            <w:vAlign w:val="bottom"/>
            <w:gridSpan w:val="6"/>
            <w:vMerge w:val="continue"/>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1650 MARKET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0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04/02/2026</w:t>
            </w:r>
          </w:p>
        </w:tc>
        <w:tc>
          <w:tcPr>
            <w:tcW w:w="60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40" w:type="dxa"/>
            <w:vAlign w:val="bottom"/>
            <w:gridSpan w:val="6"/>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PHILADELPHA PA</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19103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03/31/2026</w:t>
            </w:r>
          </w:p>
        </w:tc>
        <w:tc>
          <w:tcPr>
            <w:tcW w:w="4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2,180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2,182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to the Reporting Person of restricted stock units ("RSUs") under the Issuer's 2022 Equity Incentive Plan. 75% of the RSUs vested on March 31, 2026, and the remaining 25% of RSUs will vest on June 30, 2026, subject to the Reporting Person's continued service through such vesting period.</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implemented three reverse stock splits. Effective August 16, 2023, the Issuer effected a 1-for-50 reverse stock split for the Issuer's Class A common stock, effective May 2, 2025, the Issuer effected a second 1-for-15 reverse stock split of the Issuer's Class A common stock and effective July 1, 2025, the Issuer effected a third 1-for-50 reverse stock split of the Issuer's Class A common stock. The number of securities reported herein have been adjusted to reflect the reverse stock split. The initial Form 4 did not account for the reverse stock splits.</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Agustina Gani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769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Tjandrasuwita, Attorney-in-</w:t>
        <w:tab/>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1"/>
          <w:szCs w:val="21"/>
          <w:b w:val="1"/>
          <w:bCs w:val="1"/>
          <w:color w:val="auto"/>
        </w:rPr>
        <w:t>POWER OF ATTORNEY</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(For Executing Forms 3, 4, and 5)</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Know all by these presents, that the undersigned hereby constitutes and appoints each of Agustina Gani Tjandrasuwita and John Mayberry of Solana Company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signing individually, the undersigned's true and lawful attorneys-in-fact and agents to:</w:t>
      </w:r>
    </w:p>
    <w:p>
      <w:pPr>
        <w:spacing w:after="0" w:line="184" w:lineRule="exact"/>
        <w:rPr>
          <w:sz w:val="20"/>
          <w:szCs w:val="20"/>
          <w:color w:val="auto"/>
        </w:rPr>
      </w:pPr>
    </w:p>
    <w:p>
      <w:pPr>
        <w:ind w:left="640" w:right="40" w:hanging="314"/>
        <w:spacing w:after="0" w:line="248" w:lineRule="auto"/>
        <w:tabs>
          <w:tab w:leader="none" w:pos="613" w:val="left"/>
        </w:tabs>
        <w:numPr>
          <w:ilvl w:val="0"/>
          <w:numId w:val="3"/>
        </w:numPr>
        <w:rPr>
          <w:rFonts w:ascii="Arial" w:cs="Arial" w:eastAsia="Arial" w:hAnsi="Arial"/>
          <w:sz w:val="21"/>
          <w:szCs w:val="21"/>
          <w:color w:val="auto"/>
        </w:rPr>
      </w:pPr>
      <w:r>
        <w:rPr>
          <w:rFonts w:ascii="Arial" w:cs="Arial" w:eastAsia="Arial" w:hAnsi="Arial"/>
          <w:sz w:val="21"/>
          <w:szCs w:val="21"/>
          <w:color w:val="auto"/>
        </w:rPr>
        <w:t>prepare, execute in the undersigned's name and on the undersigned's behalf, and submit to the Securities and Exchange Commission (the "</w:t>
      </w:r>
      <w:r>
        <w:rPr>
          <w:rFonts w:ascii="Arial" w:cs="Arial" w:eastAsia="Arial" w:hAnsi="Arial"/>
          <w:sz w:val="21"/>
          <w:szCs w:val="21"/>
          <w:b w:val="1"/>
          <w:bCs w:val="1"/>
          <w:i w:val="1"/>
          <w:iCs w:val="1"/>
          <w:color w:val="auto"/>
        </w:rPr>
        <w:t>SEC</w:t>
      </w:r>
      <w:r>
        <w:rPr>
          <w:rFonts w:ascii="Arial" w:cs="Arial" w:eastAsia="Arial" w:hAnsi="Arial"/>
          <w:sz w:val="21"/>
          <w:szCs w:val="21"/>
          <w:color w:val="auto"/>
        </w:rPr>
        <w:t>") Forms 3, 4 and 5 (including any amendments thereto) in accordance with Section 16(a) of the Securities Exchange Act of 1934, as amended (the "</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and the rules thereunder in the undersigned's capacity as an officer, director or beneficial owner of more than 10% of a registered class of securities of the Company;</w:t>
      </w:r>
    </w:p>
    <w:p>
      <w:pPr>
        <w:spacing w:after="0" w:line="191" w:lineRule="exact"/>
        <w:rPr>
          <w:rFonts w:ascii="Arial" w:cs="Arial" w:eastAsia="Arial" w:hAnsi="Arial"/>
          <w:sz w:val="21"/>
          <w:szCs w:val="21"/>
          <w:color w:val="auto"/>
        </w:rPr>
      </w:pPr>
    </w:p>
    <w:p>
      <w:pPr>
        <w:jc w:val="both"/>
        <w:ind w:left="640" w:right="240" w:hanging="314"/>
        <w:spacing w:after="0" w:line="257" w:lineRule="auto"/>
        <w:tabs>
          <w:tab w:leader="none" w:pos="613"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83" w:lineRule="exact"/>
        <w:rPr>
          <w:rFonts w:ascii="Arial" w:cs="Arial" w:eastAsia="Arial" w:hAnsi="Arial"/>
          <w:sz w:val="21"/>
          <w:szCs w:val="21"/>
          <w:color w:val="auto"/>
        </w:rPr>
      </w:pPr>
    </w:p>
    <w:p>
      <w:pPr>
        <w:ind w:left="640" w:right="60" w:hanging="314"/>
        <w:spacing w:after="0" w:line="248" w:lineRule="auto"/>
        <w:tabs>
          <w:tab w:leader="none" w:pos="613" w:val="left"/>
        </w:tabs>
        <w:numPr>
          <w:ilvl w:val="0"/>
          <w:numId w:val="3"/>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91"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3"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91" w:lineRule="exact"/>
        <w:rPr>
          <w:sz w:val="20"/>
          <w:szCs w:val="20"/>
          <w:color w:val="auto"/>
        </w:rPr>
      </w:pPr>
    </w:p>
    <w:p>
      <w:pPr>
        <w:ind w:right="120"/>
        <w:spacing w:after="0" w:line="277" w:lineRule="auto"/>
        <w:rPr>
          <w:sz w:val="20"/>
          <w:szCs w:val="20"/>
          <w:color w:val="auto"/>
        </w:rPr>
      </w:pPr>
      <w:r>
        <w:rPr>
          <w:rFonts w:ascii="Arial" w:cs="Arial" w:eastAsia="Arial" w:hAnsi="Arial"/>
          <w:sz w:val="21"/>
          <w:szCs w:val="21"/>
          <w:color w:val="auto"/>
        </w:rPr>
        <w:t>IN WITNESS WHEREOF, the undersigned has caused this Power of Attorney to be executed as of the date written below.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gridSpan w:val="2"/>
          </w:tcPr>
          <w:p>
            <w:pPr>
              <w:spacing w:after="0"/>
              <w:rPr>
                <w:sz w:val="20"/>
                <w:szCs w:val="20"/>
                <w:color w:val="auto"/>
              </w:rPr>
            </w:pPr>
            <w:r>
              <w:rPr>
                <w:rFonts w:ascii="Arial" w:cs="Arial" w:eastAsia="Arial" w:hAnsi="Arial"/>
                <w:sz w:val="21"/>
                <w:szCs w:val="21"/>
                <w:color w:val="auto"/>
              </w:rPr>
              <w:t>Date: May 22, 2026</w:t>
            </w:r>
          </w:p>
        </w:tc>
        <w:tc>
          <w:tcPr>
            <w:tcW w:w="4300" w:type="dxa"/>
            <w:vAlign w:val="bottom"/>
            <w:gridSpan w:val="3"/>
          </w:tcPr>
          <w:p>
            <w:pPr>
              <w:ind w:left="1900"/>
              <w:spacing w:after="0"/>
              <w:rPr>
                <w:sz w:val="20"/>
                <w:szCs w:val="20"/>
                <w:color w:val="auto"/>
              </w:rPr>
            </w:pPr>
            <w:r>
              <w:rPr>
                <w:rFonts w:ascii="Arial" w:cs="Arial" w:eastAsia="Arial" w:hAnsi="Arial"/>
                <w:sz w:val="21"/>
                <w:szCs w:val="21"/>
                <w:color w:val="auto"/>
              </w:rPr>
              <w:t>/s/ Edward M. Straw</w:t>
            </w:r>
          </w:p>
        </w:tc>
      </w:tr>
      <w:tr>
        <w:trPr>
          <w:trHeight w:val="20"/>
        </w:trPr>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75"/>
        </w:trPr>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Arial" w:cs="Arial" w:eastAsia="Arial" w:hAnsi="Arial"/>
                <w:sz w:val="21"/>
                <w:szCs w:val="21"/>
                <w:color w:val="auto"/>
              </w:rPr>
              <w:t>Name: Edward M. Straw</w:t>
            </w:r>
          </w:p>
        </w:tc>
      </w:tr>
    </w:tbl>
    <w:p>
      <w:pPr>
        <w:spacing w:after="0" w:line="1" w:lineRule="exact"/>
        <w:rPr>
          <w:sz w:val="20"/>
          <w:szCs w:val="20"/>
          <w:color w:val="auto"/>
        </w:rPr>
      </w:pPr>
    </w:p>
    <w:sectPr>
      <w:pgSz w:w="11900" w:h="16838" w:orient="portrait"/>
      <w:cols w:equalWidth="0" w:num="1">
        <w:col w:w="10940"/>
      </w:cols>
      <w:pgMar w:left="460" w:top="11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75380" TargetMode="External"/><Relationship Id="rId14" Type="http://schemas.openxmlformats.org/officeDocument/2006/relationships/hyperlink" Target="http://www.sec.gov/cgi-bin/browse-edgar?action=getcompany&amp;CIK=00016108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2026-05-26T18:20:07Z</dcterms:created>
  <dcterms:modified xsi:type="dcterms:W3CDTF">2026-05-26T18:20:07Z</dcterms:modified>
</cp:coreProperties>
</file>