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702945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771525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12" w:lineRule="exact"/>
        <w:rPr>
          <w:sz w:val="24"/>
          <w:szCs w:val="24"/>
          <w:color w:val="auto"/>
        </w:rPr>
      </w:pPr>
    </w:p>
    <w:p>
      <w:pPr>
        <w:ind w:left="700" w:right="439" w:hanging="641"/>
        <w:spacing w:after="0"/>
        <w:tabs>
          <w:tab w:leader="none" w:pos="700" w:val="left"/>
        </w:tabs>
        <w:numPr>
          <w:ilvl w:val="0"/>
          <w:numId w:val="1"/>
        </w:numPr>
        <w:rPr>
          <w:rFonts w:ascii="MS PGothic" w:cs="MS PGothic" w:eastAsia="MS PGothic" w:hAnsi="MS PGothic"/>
          <w:sz w:val="36"/>
          <w:szCs w:val="36"/>
          <w:color w:val="auto"/>
          <w:highlight w:val="black"/>
          <w:vertAlign w:val="subscript"/>
        </w:rPr>
      </w:pPr>
      <w:r>
        <w:rPr>
          <w:rFonts w:ascii="Times New Roman" w:cs="Times New Roman" w:eastAsia="Times New Roman" w:hAnsi="Times New Roman"/>
          <w:sz w:val="15"/>
          <w:szCs w:val="15"/>
          <w:b w:val="1"/>
          <w:bCs w:val="1"/>
          <w:color w:val="auto"/>
        </w:rPr>
        <w:t>QUARTERLY REPORT PURSUANT TO SECTION 13 OR 15(d) OF THE SECURITIES EXCHANGE ACT OF 1934</w:t>
      </w:r>
    </w:p>
    <w:p>
      <w:pPr>
        <w:spacing w:after="0" w:line="261"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2024</w:t>
      </w:r>
    </w:p>
    <w:p>
      <w:pPr>
        <w:spacing w:after="0" w:line="127"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0" w:lineRule="exact"/>
        <w:rPr>
          <w:sz w:val="24"/>
          <w:szCs w:val="24"/>
          <w:color w:val="auto"/>
        </w:rPr>
      </w:pPr>
    </w:p>
    <w:p>
      <w:pPr>
        <w:ind w:left="700" w:right="439" w:hanging="641"/>
        <w:spacing w:after="0"/>
        <w:tabs>
          <w:tab w:leader="none" w:pos="700" w:val="left"/>
        </w:tabs>
        <w:numPr>
          <w:ilvl w:val="0"/>
          <w:numId w:val="2"/>
        </w:numPr>
        <w:rPr>
          <w:rFonts w:ascii="MS PGothic" w:cs="MS PGothic" w:eastAsia="MS PGothic" w:hAnsi="MS PGothic"/>
          <w:sz w:val="36"/>
          <w:szCs w:val="36"/>
          <w:color w:val="auto"/>
          <w:highlight w:val="black"/>
          <w:vertAlign w:val="subscript"/>
        </w:rPr>
      </w:pPr>
      <w:r>
        <w:rPr>
          <w:rFonts w:ascii="Times New Roman" w:cs="Times New Roman" w:eastAsia="Times New Roman" w:hAnsi="Times New Roman"/>
          <w:sz w:val="15"/>
          <w:szCs w:val="15"/>
          <w:b w:val="1"/>
          <w:bCs w:val="1"/>
          <w:color w:val="auto"/>
        </w:rPr>
        <w:t>TRANSITION REPORT PURSUANT TO SECTION 13 OR 15(d) OF THE SECURITIES EXCHANGE ACT OF 1934</w:t>
      </w:r>
    </w:p>
    <w:p>
      <w:pPr>
        <w:spacing w:after="0" w:line="167" w:lineRule="exact"/>
        <w:rPr>
          <w:sz w:val="24"/>
          <w:szCs w:val="24"/>
          <w:color w:val="auto"/>
        </w:rPr>
      </w:pPr>
    </w:p>
    <w:p>
      <w:pPr>
        <w:jc w:val="center"/>
        <w:ind w:right="19"/>
        <w:spacing w:after="0"/>
        <w:tabs>
          <w:tab w:leader="none" w:pos="220" w:val="left"/>
        </w:tabs>
        <w:rPr>
          <w:sz w:val="20"/>
          <w:szCs w:val="20"/>
          <w:color w:val="auto"/>
        </w:rPr>
      </w:pPr>
      <w:r>
        <w:rPr>
          <w:rFonts w:ascii="Times New Roman" w:cs="Times New Roman" w:eastAsia="Times New Roman" w:hAnsi="Times New Roman"/>
          <w:sz w:val="16"/>
          <w:szCs w:val="16"/>
          <w:b w:val="1"/>
          <w:bCs w:val="1"/>
          <w:color w:val="auto"/>
        </w:rPr>
        <w:t>For the transition period from</w:t>
        <w:tab/>
        <w:t>to</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No. 001-38445</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HELIUS MEDICAL TECHNOLOGIES, INC.</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77470</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77" w:lineRule="exact"/>
        <w:rPr>
          <w:sz w:val="24"/>
          <w:szCs w:val="24"/>
          <w:color w:val="auto"/>
        </w:rPr>
      </w:pPr>
    </w:p>
    <w:tbl>
      <w:tblPr>
        <w:tblLayout w:type="fixed"/>
        <w:tblInd w:w="1180" w:type="dxa"/>
        <w:tblCellMar>
          <w:top w:w="0" w:type="dxa"/>
          <w:left w:w="0" w:type="dxa"/>
          <w:bottom w:w="0" w:type="dxa"/>
          <w:right w:w="0" w:type="dxa"/>
        </w:tblCellMar>
      </w:tblPr>
      <w:tr>
        <w:trPr>
          <w:trHeight w:val="166"/>
        </w:trPr>
        <w:tc>
          <w:tcPr>
            <w:tcW w:w="4920" w:type="dxa"/>
            <w:vAlign w:val="bottom"/>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116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36-4787690</w:t>
            </w:r>
          </w:p>
        </w:tc>
      </w:tr>
      <w:tr>
        <w:trPr>
          <w:trHeight w:val="239"/>
        </w:trPr>
        <w:tc>
          <w:tcPr>
            <w:tcW w:w="4920" w:type="dxa"/>
            <w:vAlign w:val="bottom"/>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w:t>
            </w:r>
          </w:p>
        </w:tc>
        <w:tc>
          <w:tcPr>
            <w:tcW w:w="116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5"/>
              </w:rPr>
              <w:t>(I.R.S. Employer</w:t>
            </w:r>
          </w:p>
        </w:tc>
      </w:tr>
      <w:tr>
        <w:trPr>
          <w:trHeight w:val="166"/>
        </w:trPr>
        <w:tc>
          <w:tcPr>
            <w:tcW w:w="4920" w:type="dxa"/>
            <w:vAlign w:val="bottom"/>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7"/>
              </w:rPr>
              <w:t>incorporation or organization)</w:t>
            </w:r>
          </w:p>
        </w:tc>
        <w:tc>
          <w:tcPr>
            <w:tcW w:w="116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239"/>
        </w:trPr>
        <w:tc>
          <w:tcPr>
            <w:tcW w:w="4920" w:type="dxa"/>
            <w:vAlign w:val="bottom"/>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6"/>
              </w:rPr>
              <w:t>642 Newtown Yardley Road, Suite 100</w:t>
            </w:r>
          </w:p>
        </w:tc>
        <w:tc>
          <w:tcPr>
            <w:tcW w:w="116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18940</w:t>
            </w:r>
          </w:p>
        </w:tc>
      </w:tr>
      <w:tr>
        <w:trPr>
          <w:trHeight w:val="135"/>
        </w:trPr>
        <w:tc>
          <w:tcPr>
            <w:tcW w:w="4920" w:type="dxa"/>
            <w:vAlign w:val="bottom"/>
          </w:tcPr>
          <w:p>
            <w:pPr>
              <w:jc w:val="center"/>
              <w:ind w:right="27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Newtown, Pennsylvania</w:t>
            </w:r>
          </w:p>
        </w:tc>
        <w:tc>
          <w:tcPr>
            <w:tcW w:w="1160" w:type="dxa"/>
            <w:vAlign w:val="bottom"/>
          </w:tcPr>
          <w:p>
            <w:pPr>
              <w:spacing w:after="0"/>
              <w:rPr>
                <w:sz w:val="11"/>
                <w:szCs w:val="11"/>
                <w:color w:val="auto"/>
              </w:rPr>
            </w:pPr>
          </w:p>
        </w:tc>
      </w:tr>
      <w:tr>
        <w:trPr>
          <w:trHeight w:val="180"/>
        </w:trPr>
        <w:tc>
          <w:tcPr>
            <w:tcW w:w="4920" w:type="dxa"/>
            <w:vAlign w:val="bottom"/>
          </w:tcPr>
          <w:p>
            <w:pPr>
              <w:jc w:val="center"/>
              <w:ind w:right="2757"/>
              <w:spacing w:after="0"/>
              <w:rPr>
                <w:sz w:val="20"/>
                <w:szCs w:val="20"/>
                <w:color w:val="auto"/>
              </w:rPr>
            </w:pPr>
            <w:r>
              <w:rPr>
                <w:rFonts w:ascii="Times New Roman" w:cs="Times New Roman" w:eastAsia="Times New Roman" w:hAnsi="Times New Roman"/>
                <w:sz w:val="13"/>
                <w:szCs w:val="13"/>
                <w:b w:val="1"/>
                <w:bCs w:val="1"/>
                <w:color w:val="auto"/>
                <w:w w:val="97"/>
              </w:rPr>
              <w:t>(Address of principal executive offices)</w:t>
            </w:r>
          </w:p>
        </w:tc>
        <w:tc>
          <w:tcPr>
            <w:tcW w:w="116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r>
        <w:trPr>
          <w:trHeight w:val="198"/>
        </w:trPr>
        <w:tc>
          <w:tcPr>
            <w:tcW w:w="4920" w:type="dxa"/>
            <w:vAlign w:val="bottom"/>
          </w:tcPr>
          <w:p>
            <w:pPr>
              <w:jc w:val="right"/>
              <w:ind w:right="1137"/>
              <w:spacing w:after="0"/>
              <w:rPr>
                <w:sz w:val="20"/>
                <w:szCs w:val="20"/>
                <w:color w:val="auto"/>
              </w:rPr>
            </w:pPr>
            <w:r>
              <w:rPr>
                <w:rFonts w:ascii="Times New Roman" w:cs="Times New Roman" w:eastAsia="Times New Roman" w:hAnsi="Times New Roman"/>
                <w:sz w:val="13"/>
                <w:szCs w:val="13"/>
                <w:b w:val="1"/>
                <w:bCs w:val="1"/>
                <w:color w:val="auto"/>
              </w:rPr>
              <w:t>(215) 944-6100</w:t>
            </w:r>
          </w:p>
        </w:tc>
        <w:tc>
          <w:tcPr>
            <w:tcW w:w="1160" w:type="dxa"/>
            <w:vAlign w:val="bottom"/>
          </w:tcPr>
          <w:p>
            <w:pPr>
              <w:spacing w:after="0"/>
              <w:rPr>
                <w:sz w:val="17"/>
                <w:szCs w:val="17"/>
                <w:color w:val="auto"/>
              </w:rPr>
            </w:pPr>
          </w:p>
        </w:tc>
      </w:tr>
      <w:tr>
        <w:trPr>
          <w:trHeight w:val="166"/>
        </w:trPr>
        <w:tc>
          <w:tcPr>
            <w:tcW w:w="4920" w:type="dxa"/>
            <w:vAlign w:val="bottom"/>
          </w:tcPr>
          <w:p>
            <w:pPr>
              <w:jc w:val="center"/>
              <w:ind w:left="1657"/>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1160" w:type="dxa"/>
            <w:vAlign w:val="bottom"/>
          </w:tcPr>
          <w:p>
            <w:pPr>
              <w:spacing w:after="0"/>
              <w:rPr>
                <w:sz w:val="14"/>
                <w:szCs w:val="14"/>
                <w:color w:val="auto"/>
              </w:rPr>
            </w:pPr>
          </w:p>
        </w:tc>
      </w:tr>
    </w:tbl>
    <w:p>
      <w:pPr>
        <w:spacing w:after="0" w:line="8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52" w:lineRule="exact"/>
        <w:rPr>
          <w:sz w:val="24"/>
          <w:szCs w:val="24"/>
          <w:color w:val="auto"/>
        </w:rPr>
      </w:pPr>
    </w:p>
    <w:tbl>
      <w:tblPr>
        <w:tblLayout w:type="fixed"/>
        <w:tblInd w:w="60" w:type="dxa"/>
        <w:tblCellMar>
          <w:top w:w="0" w:type="dxa"/>
          <w:left w:w="0" w:type="dxa"/>
          <w:bottom w:w="0" w:type="dxa"/>
          <w:right w:w="0" w:type="dxa"/>
        </w:tblCellMar>
      </w:tblPr>
      <w:tr>
        <w:trPr>
          <w:trHeight w:val="212"/>
        </w:trPr>
        <w:tc>
          <w:tcPr>
            <w:tcW w:w="36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7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3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Class A Common Stock, $0.001 par value per share</w:t>
            </w:r>
          </w:p>
        </w:tc>
        <w:tc>
          <w:tcPr>
            <w:tcW w:w="280" w:type="dxa"/>
            <w:vAlign w:val="bottom"/>
          </w:tcPr>
          <w:p>
            <w:pPr>
              <w:spacing w:after="0"/>
              <w:rPr>
                <w:sz w:val="18"/>
                <w:szCs w:val="18"/>
                <w:color w:val="auto"/>
              </w:rPr>
            </w:pPr>
          </w:p>
        </w:tc>
        <w:tc>
          <w:tcPr>
            <w:tcW w:w="1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HSDT</w:t>
            </w:r>
          </w:p>
        </w:tc>
        <w:tc>
          <w:tcPr>
            <w:tcW w:w="240" w:type="dxa"/>
            <w:vAlign w:val="bottom"/>
          </w:tcPr>
          <w:p>
            <w:pPr>
              <w:spacing w:after="0"/>
              <w:rPr>
                <w:sz w:val="18"/>
                <w:szCs w:val="18"/>
                <w:color w:val="auto"/>
              </w:rPr>
            </w:pPr>
          </w:p>
        </w:tc>
        <w:tc>
          <w:tcPr>
            <w:tcW w:w="3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Stock Market LLC</w:t>
            </w:r>
          </w:p>
        </w:tc>
      </w:tr>
    </w:tbl>
    <w:p>
      <w:pPr>
        <w:spacing w:after="0" w:line="185" w:lineRule="exact"/>
        <w:rPr>
          <w:sz w:val="24"/>
          <w:szCs w:val="24"/>
          <w:color w:val="auto"/>
        </w:rPr>
      </w:pPr>
    </w:p>
    <w:p>
      <w:pPr>
        <w:jc w:val="both"/>
        <w:ind w:left="60" w:right="5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ind w:left="60"/>
        <w:spacing w:after="0" w:line="161" w:lineRule="exact"/>
        <w:tabs>
          <w:tab w:leader="none" w:pos="2120" w:val="left"/>
          <w:tab w:leader="none" w:pos="2680" w:val="left"/>
        </w:tabs>
        <w:rPr>
          <w:sz w:val="20"/>
          <w:szCs w:val="20"/>
          <w:color w:val="auto"/>
        </w:rPr>
      </w:pPr>
      <w:r>
        <w:rPr>
          <w:rFonts w:ascii="Times New Roman" w:cs="Times New Roman" w:eastAsia="Times New Roman" w:hAnsi="Times New Roman"/>
          <w:sz w:val="14"/>
          <w:szCs w:val="14"/>
          <w:color w:val="auto"/>
        </w:rPr>
        <w:t>requirements for the past 90 days:</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98" w:lineRule="exact"/>
        <w:rPr>
          <w:sz w:val="24"/>
          <w:szCs w:val="24"/>
          <w:color w:val="auto"/>
        </w:rPr>
      </w:pPr>
    </w:p>
    <w:p>
      <w:pPr>
        <w:jc w:val="both"/>
        <w:ind w:left="60" w:right="7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20"/>
        <w:spacing w:after="0" w:line="161" w:lineRule="exact"/>
        <w:tabs>
          <w:tab w:leader="none" w:pos="660" w:val="left"/>
        </w:tabs>
        <w:rPr>
          <w:sz w:val="20"/>
          <w:szCs w:val="20"/>
          <w:color w:val="auto"/>
        </w:rPr>
      </w:pPr>
      <w:r>
        <w:rPr>
          <w:rFonts w:ascii="Times New Roman" w:cs="Times New Roman" w:eastAsia="Times New Roman" w:hAnsi="Times New Roman"/>
          <w:sz w:val="14"/>
          <w:szCs w:val="14"/>
          <w:color w:val="auto"/>
        </w:rPr>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98" w:lineRule="exact"/>
        <w:rPr>
          <w:sz w:val="24"/>
          <w:szCs w:val="24"/>
          <w:color w:val="auto"/>
        </w:rPr>
      </w:pPr>
    </w:p>
    <w:p>
      <w:pPr>
        <w:jc w:val="both"/>
        <w:ind w:left="60" w:right="59"/>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4"/>
          <w:szCs w:val="24"/>
          <w:color w:val="auto"/>
        </w:rPr>
      </w:pPr>
    </w:p>
    <w:tbl>
      <w:tblPr>
        <w:tblLayout w:type="fixed"/>
        <w:tblInd w:w="60" w:type="dxa"/>
        <w:tblCellMar>
          <w:top w:w="0" w:type="dxa"/>
          <w:left w:w="0" w:type="dxa"/>
          <w:bottom w:w="0" w:type="dxa"/>
          <w:right w:w="0" w:type="dxa"/>
        </w:tblCellMar>
      </w:tblP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4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Accelerated filer</w:t>
            </w:r>
          </w:p>
        </w:tc>
        <w:tc>
          <w:tcPr>
            <w:tcW w:w="11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4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120" w:type="dxa"/>
            <w:vAlign w:val="bottom"/>
          </w:tcPr>
          <w:p>
            <w:pPr>
              <w:ind w:left="9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74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400" w:type="dxa"/>
            <w:vAlign w:val="bottom"/>
          </w:tcPr>
          <w:p>
            <w:pPr>
              <w:ind w:left="960"/>
              <w:spacing w:after="0" w:line="161" w:lineRule="exact"/>
              <w:rPr>
                <w:sz w:val="20"/>
                <w:szCs w:val="20"/>
                <w:color w:val="auto"/>
              </w:rPr>
            </w:pPr>
            <w:r>
              <w:rPr>
                <w:rFonts w:ascii="MS PGothic" w:cs="MS PGothic" w:eastAsia="MS PGothic" w:hAnsi="MS PGothic"/>
                <w:sz w:val="16"/>
                <w:szCs w:val="16"/>
                <w:color w:val="auto"/>
              </w:rPr>
              <w:t>☐</w:t>
            </w:r>
          </w:p>
        </w:tc>
        <w:tc>
          <w:tcPr>
            <w:tcW w:w="3040" w:type="dxa"/>
            <w:vAlign w:val="bottom"/>
          </w:tcPr>
          <w:p>
            <w:pPr>
              <w:spacing w:after="0"/>
              <w:rPr>
                <w:sz w:val="23"/>
                <w:szCs w:val="23"/>
                <w:color w:val="auto"/>
              </w:rPr>
            </w:pPr>
          </w:p>
        </w:tc>
        <w:tc>
          <w:tcPr>
            <w:tcW w:w="1120" w:type="dxa"/>
            <w:vAlign w:val="bottom"/>
          </w:tcPr>
          <w:p>
            <w:pPr>
              <w:spacing w:after="0"/>
              <w:rPr>
                <w:sz w:val="23"/>
                <w:szCs w:val="23"/>
                <w:color w:val="auto"/>
              </w:rPr>
            </w:pPr>
          </w:p>
        </w:tc>
      </w:tr>
    </w:tbl>
    <w:p>
      <w:pPr>
        <w:spacing w:after="0" w:line="173" w:lineRule="exact"/>
        <w:rPr>
          <w:sz w:val="24"/>
          <w:szCs w:val="24"/>
          <w:color w:val="auto"/>
        </w:rPr>
      </w:pPr>
    </w:p>
    <w:p>
      <w:pPr>
        <w:ind w:left="60" w:right="119"/>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60" w:right="1399"/>
        <w:spacing w:after="0" w:line="245"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As of August 7, 2024, the registrant had 3,576,196 shares of Class A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478790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67310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101600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7"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50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260" w:type="dxa"/>
            <w:vAlign w:val="bottom"/>
            <w:gridSpan w:val="3"/>
          </w:tcPr>
          <w:p>
            <w:pPr>
              <w:spacing w:after="0"/>
              <w:rPr>
                <w:sz w:val="17"/>
                <w:szCs w:val="17"/>
                <w:color w:val="auto"/>
              </w:rPr>
            </w:pPr>
          </w:p>
        </w:tc>
        <w:tc>
          <w:tcPr>
            <w:tcW w:w="78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260" w:type="dxa"/>
            <w:vAlign w:val="bottom"/>
          </w:tcPr>
          <w:p>
            <w:pPr>
              <w:spacing w:after="0"/>
              <w:rPr>
                <w:sz w:val="17"/>
                <w:szCs w:val="17"/>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w:t>
            </w:r>
          </w:p>
        </w:tc>
        <w:tc>
          <w:tcPr>
            <w:tcW w:w="78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Financial Statements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9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Balance Sheets as of June 30, 2024 and December 31, 2023</w:t>
            </w:r>
          </w:p>
        </w:tc>
        <w:tc>
          <w:tcPr>
            <w:tcW w:w="940" w:type="dxa"/>
            <w:vAlign w:val="bottom"/>
            <w:gridSpan w:val="4"/>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Unaudited Condensed Consolidated Statements of Operations and Comprehensive Loss for the three and six</w:t>
            </w:r>
          </w:p>
        </w:tc>
        <w:tc>
          <w:tcPr>
            <w:tcW w:w="26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0" w:type="dxa"/>
            <w:vAlign w:val="bottom"/>
            <w:tcBorders>
              <w:top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months ended June 30, 2024 and 2023</w:t>
            </w:r>
          </w:p>
        </w:tc>
        <w:tc>
          <w:tcPr>
            <w:tcW w:w="8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Unaudited Condensed Consolidated Statements of Stockholders’ Equity for the three and six months ended</w:t>
            </w:r>
          </w:p>
        </w:tc>
        <w:tc>
          <w:tcPr>
            <w:tcW w:w="26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June 30, 2024 and 2023</w:t>
            </w:r>
          </w:p>
        </w:tc>
        <w:tc>
          <w:tcPr>
            <w:tcW w:w="6000" w:type="dxa"/>
            <w:vAlign w:val="bottom"/>
            <w:tcBorders>
              <w:top w:val="single" w:sz="8" w:color="0000EE"/>
            </w:tcBorders>
            <w:gridSpan w:val="10"/>
          </w:tcPr>
          <w:p>
            <w:pPr>
              <w:spacing w:after="0"/>
              <w:rPr>
                <w:sz w:val="17"/>
                <w:szCs w:val="17"/>
                <w:color w:val="auto"/>
              </w:rPr>
            </w:pPr>
          </w:p>
        </w:tc>
        <w:tc>
          <w:tcPr>
            <w:tcW w:w="160" w:type="dxa"/>
            <w:vAlign w:val="bottom"/>
            <w:gridSpan w:val="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Unaudited Condensed Consolidated Statements of Cash Flows for the six months ended June 30, 2024 and</w:t>
            </w:r>
          </w:p>
        </w:tc>
        <w:tc>
          <w:tcPr>
            <w:tcW w:w="260" w:type="dxa"/>
            <w:vAlign w:val="bottom"/>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2023</w:t>
            </w:r>
          </w:p>
        </w:tc>
        <w:tc>
          <w:tcPr>
            <w:tcW w:w="2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412"/>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3080" w:type="dxa"/>
            <w:vAlign w:val="bottom"/>
            <w:gridSpan w:val="6"/>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2.</w:t>
            </w:r>
          </w:p>
        </w:tc>
        <w:tc>
          <w:tcPr>
            <w:tcW w:w="78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42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78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3520" w:type="dxa"/>
            <w:vAlign w:val="bottom"/>
            <w:tcBorders>
              <w:left w:val="single" w:sz="8" w:color="0000EE"/>
            </w:tcBorders>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78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5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788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412"/>
        </w:trPr>
        <w:tc>
          <w:tcPr>
            <w:tcW w:w="56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rPr>
              <w:t>Item 1.</w:t>
            </w:r>
          </w:p>
        </w:tc>
        <w:tc>
          <w:tcPr>
            <w:tcW w:w="200" w:type="dxa"/>
            <w:vAlign w:val="bottom"/>
            <w:gridSpan w:val="2"/>
          </w:tcPr>
          <w:p>
            <w:pPr>
              <w:spacing w:after="0"/>
              <w:rPr>
                <w:sz w:val="24"/>
                <w:szCs w:val="24"/>
                <w:color w:val="auto"/>
              </w:rPr>
            </w:pPr>
          </w:p>
        </w:tc>
        <w:tc>
          <w:tcPr>
            <w:tcW w:w="14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6440" w:type="dxa"/>
            <w:vAlign w:val="bottom"/>
            <w:gridSpan w:val="14"/>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120" w:type="dxa"/>
            <w:vAlign w:val="bottom"/>
          </w:tcPr>
          <w:p>
            <w:pPr>
              <w:spacing w:after="0"/>
              <w:rPr>
                <w:sz w:val="24"/>
                <w:szCs w:val="24"/>
                <w:color w:val="auto"/>
              </w:rPr>
            </w:pPr>
          </w:p>
        </w:tc>
        <w:tc>
          <w:tcPr>
            <w:tcW w:w="78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Item 2.</w:t>
            </w:r>
          </w:p>
        </w:tc>
        <w:tc>
          <w:tcPr>
            <w:tcW w:w="120" w:type="dxa"/>
            <w:vAlign w:val="bottom"/>
          </w:tcPr>
          <w:p>
            <w:pPr>
              <w:spacing w:after="0"/>
              <w:rPr>
                <w:sz w:val="24"/>
                <w:szCs w:val="24"/>
                <w:color w:val="auto"/>
              </w:rPr>
            </w:pPr>
          </w:p>
        </w:tc>
        <w:tc>
          <w:tcPr>
            <w:tcW w:w="78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40" w:type="dxa"/>
            <w:vAlign w:val="bottom"/>
            <w:gridSpan w:val="3"/>
            <w:shd w:val="clear" w:color="auto" w:fill="0000EE"/>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3.</w:t>
            </w:r>
          </w:p>
        </w:tc>
        <w:tc>
          <w:tcPr>
            <w:tcW w:w="78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5560" w:type="dxa"/>
            <w:vAlign w:val="bottom"/>
            <w:gridSpan w:val="1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4.</w:t>
            </w:r>
          </w:p>
        </w:tc>
        <w:tc>
          <w:tcPr>
            <w:tcW w:w="78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6100" w:type="dxa"/>
            <w:vAlign w:val="bottom"/>
            <w:gridSpan w:val="11"/>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5.</w:t>
            </w:r>
          </w:p>
        </w:tc>
        <w:tc>
          <w:tcPr>
            <w:tcW w:w="78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560" w:type="dxa"/>
            <w:vAlign w:val="bottom"/>
            <w:gridSpan w:val="1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6.</w:t>
            </w:r>
          </w:p>
        </w:tc>
        <w:tc>
          <w:tcPr>
            <w:tcW w:w="788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Exhibits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00" w:type="dxa"/>
            <w:vAlign w:val="bottom"/>
            <w:shd w:val="clear" w:color="auto" w:fill="0000EE"/>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12"/>
        </w:trPr>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ITEM 1. Condensed Consolidated Financial Statements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 thousands, except share data)</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0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09"/>
        </w:trPr>
        <w:tc>
          <w:tcPr>
            <w:tcW w:w="6020" w:type="dxa"/>
            <w:vAlign w:val="bottom"/>
            <w:shd w:val="clear" w:color="auto" w:fill="CCEEFF"/>
          </w:tcPr>
          <w:p>
            <w:pPr>
              <w:ind w:left="27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r>
      <w:tr>
        <w:trPr>
          <w:trHeight w:val="216"/>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receivables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w:t>
            </w:r>
          </w:p>
        </w:tc>
      </w:tr>
      <w:tr>
        <w:trPr>
          <w:trHeight w:val="216"/>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Inventory, net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10"/>
        </w:trPr>
        <w:tc>
          <w:tcPr>
            <w:tcW w:w="60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8,641</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7,438</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 net</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49"/>
        </w:trPr>
        <w:tc>
          <w:tcPr>
            <w:tcW w:w="6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1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w:t>
            </w:r>
          </w:p>
        </w:tc>
      </w:tr>
      <w:tr>
        <w:trPr>
          <w:trHeight w:val="197"/>
        </w:trPr>
        <w:tc>
          <w:tcPr>
            <w:tcW w:w="6020" w:type="dxa"/>
            <w:vAlign w:val="bottom"/>
            <w:shd w:val="clear" w:color="auto" w:fill="CCEEFF"/>
          </w:tcPr>
          <w:p>
            <w:pPr>
              <w:ind w:left="11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w:t>
            </w:r>
          </w:p>
        </w:tc>
        <w:tc>
          <w:tcPr>
            <w:tcW w:w="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16"/>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16"/>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60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6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3,323</w:t>
            </w:r>
          </w:p>
        </w:tc>
      </w:tr>
      <w:tr>
        <w:trPr>
          <w:trHeight w:val="210"/>
        </w:trPr>
        <w:tc>
          <w:tcPr>
            <w:tcW w:w="60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5,342</w:t>
            </w:r>
          </w:p>
        </w:tc>
      </w:tr>
      <w:tr>
        <w:trPr>
          <w:trHeight w:val="21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198"/>
        </w:trPr>
        <w:tc>
          <w:tcPr>
            <w:tcW w:w="602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Class A common stock, $0.001 par value; 150,000,000 shares authorized;</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3,198,196 and 714,590 shares issued and outstanding as of June 30, 2024 and</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4"/>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170,666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162,979</w:t>
            </w:r>
          </w:p>
        </w:tc>
      </w:tr>
      <w:tr>
        <w:trPr>
          <w:trHeight w:val="216"/>
        </w:trPr>
        <w:tc>
          <w:tcPr>
            <w:tcW w:w="60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deficit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(164,085)</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(159,957)</w:t>
            </w:r>
          </w:p>
        </w:tc>
      </w:tr>
      <w:tr>
        <w:trPr>
          <w:trHeight w:val="216"/>
        </w:trPr>
        <w:tc>
          <w:tcPr>
            <w:tcW w:w="6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r>
      <w:tr>
        <w:trPr>
          <w:trHeight w:val="210"/>
        </w:trPr>
        <w:tc>
          <w:tcPr>
            <w:tcW w:w="60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w:t>
            </w:r>
          </w:p>
        </w:tc>
      </w:tr>
      <w:tr>
        <w:trPr>
          <w:trHeight w:val="210"/>
        </w:trPr>
        <w:tc>
          <w:tcPr>
            <w:tcW w:w="60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7,692</w:t>
            </w:r>
          </w:p>
        </w:tc>
      </w:tr>
      <w:tr>
        <w:trPr>
          <w:trHeight w:val="20"/>
        </w:trPr>
        <w:tc>
          <w:tcPr>
            <w:tcW w:w="6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60" w:right="223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Operations and Comprehensive Loss </w:t>
      </w:r>
      <w:r>
        <w:rPr>
          <w:rFonts w:ascii="Times New Roman" w:cs="Times New Roman" w:eastAsia="Times New Roman" w:hAnsi="Times New Roman"/>
          <w:sz w:val="18"/>
          <w:szCs w:val="18"/>
          <w:color w:val="auto"/>
        </w:rPr>
        <w:t>(in thousands, except share and per share data)</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80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0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5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09"/>
        </w:trPr>
        <w:tc>
          <w:tcPr>
            <w:tcW w:w="50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09"/>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0" w:type="dxa"/>
            <w:vAlign w:val="bottom"/>
          </w:tcPr>
          <w:p>
            <w:pPr>
              <w:spacing w:after="0"/>
              <w:rPr>
                <w:sz w:val="1"/>
                <w:szCs w:val="1"/>
                <w:color w:val="auto"/>
              </w:rPr>
            </w:pPr>
          </w:p>
        </w:tc>
      </w:tr>
      <w:tr>
        <w:trPr>
          <w:trHeight w:val="209"/>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1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(429)</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Nonoperating income, net</w:t>
            </w: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0" w:type="dxa"/>
            <w:vAlign w:val="bottom"/>
          </w:tcPr>
          <w:p>
            <w:pPr>
              <w:spacing w:after="0"/>
              <w:rPr>
                <w:sz w:val="1"/>
                <w:szCs w:val="1"/>
                <w:color w:val="auto"/>
              </w:rPr>
            </w:pPr>
          </w:p>
        </w:tc>
      </w:tr>
      <w:tr>
        <w:trPr>
          <w:trHeight w:val="210"/>
        </w:trPr>
        <w:tc>
          <w:tcPr>
            <w:tcW w:w="5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1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w:t>
            </w:r>
          </w:p>
        </w:tc>
        <w:tc>
          <w:tcPr>
            <w:tcW w:w="0" w:type="dxa"/>
            <w:vAlign w:val="bottom"/>
          </w:tcPr>
          <w:p>
            <w:pPr>
              <w:spacing w:after="0"/>
              <w:rPr>
                <w:sz w:val="1"/>
                <w:szCs w:val="1"/>
                <w:color w:val="auto"/>
              </w:rPr>
            </w:pPr>
          </w:p>
        </w:tc>
      </w:tr>
      <w:tr>
        <w:trPr>
          <w:trHeight w:val="196"/>
        </w:trPr>
        <w:tc>
          <w:tcPr>
            <w:tcW w:w="50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Loss per share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(0.64)</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(2.48)</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bottom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(0.64)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(2.92)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2,518,071</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564,423</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1,667,699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564,279</w:t>
            </w:r>
          </w:p>
        </w:tc>
        <w:tc>
          <w:tcPr>
            <w:tcW w:w="0" w:type="dxa"/>
            <w:vAlign w:val="bottom"/>
          </w:tcPr>
          <w:p>
            <w:pPr>
              <w:spacing w:after="0"/>
              <w:rPr>
                <w:sz w:val="1"/>
                <w:szCs w:val="1"/>
                <w:color w:val="auto"/>
              </w:rPr>
            </w:pPr>
          </w:p>
        </w:tc>
      </w:tr>
      <w:tr>
        <w:trPr>
          <w:trHeight w:val="20"/>
        </w:trPr>
        <w:tc>
          <w:tcPr>
            <w:tcW w:w="50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000" w:type="dxa"/>
            <w:vAlign w:val="bottom"/>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2,518,071</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564,423</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1,667,699</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564,279</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60" w:right="345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Stockholders’ Equity </w:t>
      </w:r>
      <w:r>
        <w:rPr>
          <w:rFonts w:ascii="Times New Roman" w:cs="Times New Roman" w:eastAsia="Times New Roman" w:hAnsi="Times New Roman"/>
          <w:sz w:val="18"/>
          <w:szCs w:val="18"/>
          <w:color w:val="auto"/>
        </w:rPr>
        <w:t>(in thousands, except share data)</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380" w:type="dxa"/>
            <w:vAlign w:val="bottom"/>
          </w:tcPr>
          <w:p>
            <w:pPr>
              <w:spacing w:after="0"/>
              <w:rPr>
                <w:sz w:val="12"/>
                <w:szCs w:val="12"/>
                <w:color w:val="auto"/>
              </w:rPr>
            </w:pPr>
          </w:p>
        </w:tc>
        <w:tc>
          <w:tcPr>
            <w:tcW w:w="178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92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780" w:type="dxa"/>
            <w:vAlign w:val="bottom"/>
            <w:gridSpan w:val="6"/>
            <w:vMerge w:val="continue"/>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2"/>
            <w:vMerge w:val="continue"/>
          </w:tcPr>
          <w:p>
            <w:pPr>
              <w:spacing w:after="0"/>
              <w:rPr>
                <w:sz w:val="15"/>
                <w:szCs w:val="15"/>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94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2"/>
                <w:szCs w:val="12"/>
                <w:color w:val="auto"/>
              </w:rPr>
            </w:pPr>
          </w:p>
        </w:tc>
        <w:tc>
          <w:tcPr>
            <w:tcW w:w="56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1, 2024</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887,847</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$ 164,843</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(162,473)</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1,986</w:t>
            </w:r>
          </w:p>
        </w:tc>
        <w:tc>
          <w:tcPr>
            <w:tcW w:w="0" w:type="dxa"/>
            <w:vAlign w:val="bottom"/>
          </w:tcPr>
          <w:p>
            <w:pPr>
              <w:spacing w:after="0"/>
              <w:rPr>
                <w:sz w:val="1"/>
                <w:szCs w:val="1"/>
                <w:color w:val="auto"/>
              </w:rPr>
            </w:pPr>
          </w:p>
        </w:tc>
      </w:tr>
      <w:tr>
        <w:trPr>
          <w:trHeight w:val="198"/>
        </w:trPr>
        <w:tc>
          <w:tcPr>
            <w:tcW w:w="33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in public</w:t>
            </w: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offering</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704,999</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4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warrants in public offering</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issuance costs</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(959)</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1,604,778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(1,612)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0" w:type="dxa"/>
            <w:vAlign w:val="bottom"/>
          </w:tcPr>
          <w:p>
            <w:pPr>
              <w:spacing w:after="0"/>
              <w:rPr>
                <w:sz w:val="1"/>
                <w:szCs w:val="1"/>
                <w:color w:val="auto"/>
              </w:rPr>
            </w:pPr>
          </w:p>
        </w:tc>
      </w:tr>
      <w:tr>
        <w:trPr>
          <w:trHeight w:val="20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3,198,196</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$ 170,666</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(164,085)</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3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6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920" w:type="dxa"/>
            <w:vAlign w:val="bottom"/>
            <w:gridSpan w:val="2"/>
            <w:vMerge w:val="continue"/>
          </w:tcPr>
          <w:p>
            <w:pPr>
              <w:spacing w:after="0"/>
              <w:rPr>
                <w:sz w:val="12"/>
                <w:szCs w:val="12"/>
                <w:color w:val="auto"/>
              </w:rPr>
            </w:pPr>
          </w:p>
        </w:tc>
        <w:tc>
          <w:tcPr>
            <w:tcW w:w="10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60" w:type="dxa"/>
            <w:vAlign w:val="bottom"/>
            <w:gridSpan w:val="5"/>
            <w:vMerge w:val="continue"/>
          </w:tcPr>
          <w:p>
            <w:pPr>
              <w:spacing w:after="0"/>
              <w:rPr>
                <w:sz w:val="15"/>
                <w:szCs w:val="15"/>
                <w:color w:val="auto"/>
              </w:rPr>
            </w:pP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000" w:type="dxa"/>
            <w:vAlign w:val="bottom"/>
            <w:gridSpan w:val="2"/>
            <w:vMerge w:val="continue"/>
          </w:tcPr>
          <w:p>
            <w:pPr>
              <w:spacing w:after="0"/>
              <w:rPr>
                <w:sz w:val="15"/>
                <w:szCs w:val="15"/>
                <w:color w:val="auto"/>
              </w:rPr>
            </w:pP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Borders>
              <w:top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2"/>
                <w:szCs w:val="12"/>
                <w:color w:val="auto"/>
              </w:rPr>
            </w:pPr>
          </w:p>
        </w:tc>
        <w:tc>
          <w:tcPr>
            <w:tcW w:w="92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000" w:type="dxa"/>
            <w:vAlign w:val="bottom"/>
            <w:gridSpan w:val="2"/>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2"/>
                <w:szCs w:val="12"/>
                <w:color w:val="auto"/>
              </w:rPr>
            </w:pPr>
          </w:p>
        </w:tc>
        <w:tc>
          <w:tcPr>
            <w:tcW w:w="94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2"/>
                <w:szCs w:val="12"/>
                <w:color w:val="auto"/>
              </w:rPr>
            </w:pPr>
          </w:p>
        </w:tc>
        <w:tc>
          <w:tcPr>
            <w:tcW w:w="560" w:type="dxa"/>
            <w:vAlign w:val="bottom"/>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April 1, 2023</w:t>
            </w: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564,214</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$ 160,050</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(153,601)</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6,067</w:t>
            </w: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6"/>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(1,648)</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0" w:type="dxa"/>
            <w:vAlign w:val="bottom"/>
          </w:tcPr>
          <w:p>
            <w:pPr>
              <w:spacing w:after="0"/>
              <w:rPr>
                <w:sz w:val="1"/>
                <w:szCs w:val="1"/>
                <w:color w:val="auto"/>
              </w:rPr>
            </w:pPr>
          </w:p>
        </w:tc>
      </w:tr>
      <w:tr>
        <w:trPr>
          <w:trHeight w:val="20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1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565,358</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$ 160,470</w:t>
            </w:r>
          </w:p>
        </w:tc>
        <w:tc>
          <w:tcPr>
            <w:tcW w:w="1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 (155,249)</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60" w:right="345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Stockholders’ Equity </w:t>
      </w:r>
      <w:r>
        <w:rPr>
          <w:rFonts w:ascii="Times New Roman" w:cs="Times New Roman" w:eastAsia="Times New Roman" w:hAnsi="Times New Roman"/>
          <w:sz w:val="18"/>
          <w:szCs w:val="18"/>
          <w:color w:val="auto"/>
        </w:rPr>
        <w:t>(in thousands, except share data)</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800" w:type="dxa"/>
            <w:vAlign w:val="bottom"/>
            <w:gridSpan w:val="7"/>
            <w:vMerge w:val="restart"/>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gridSpan w:val="4"/>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980" w:type="dxa"/>
            <w:vAlign w:val="bottom"/>
          </w:tcPr>
          <w:p>
            <w:pPr>
              <w:spacing w:after="0"/>
              <w:rPr>
                <w:sz w:val="15"/>
                <w:szCs w:val="15"/>
                <w:color w:val="auto"/>
              </w:rPr>
            </w:pPr>
          </w:p>
        </w:tc>
        <w:tc>
          <w:tcPr>
            <w:tcW w:w="1800" w:type="dxa"/>
            <w:vAlign w:val="bottom"/>
            <w:tcBorders>
              <w:bottom w:val="single" w:sz="8" w:color="auto"/>
            </w:tcBorders>
            <w:gridSpan w:val="7"/>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2"/>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80" w:type="dxa"/>
            <w:vAlign w:val="bottom"/>
            <w:gridSpan w:val="4"/>
            <w:vMerge w:val="continue"/>
          </w:tcPr>
          <w:p>
            <w:pPr>
              <w:spacing w:after="0"/>
              <w:rPr>
                <w:sz w:val="15"/>
                <w:szCs w:val="15"/>
                <w:color w:val="auto"/>
              </w:rPr>
            </w:pPr>
          </w:p>
        </w:tc>
        <w:tc>
          <w:tcPr>
            <w:tcW w:w="11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820" w:type="dxa"/>
            <w:vAlign w:val="bottom"/>
            <w:gridSpan w:val="2"/>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86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ind w:right="57"/>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4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2024</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714,590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162,979</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(159,957)</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0" w:type="dxa"/>
            <w:vAlign w:val="bottom"/>
          </w:tcPr>
          <w:p>
            <w:pPr>
              <w:spacing w:after="0"/>
              <w:rPr>
                <w:sz w:val="1"/>
                <w:szCs w:val="1"/>
                <w:color w:val="auto"/>
              </w:rPr>
            </w:pPr>
          </w:p>
        </w:tc>
      </w:tr>
      <w:tr>
        <w:trPr>
          <w:trHeight w:val="198"/>
        </w:trPr>
        <w:tc>
          <w:tcPr>
            <w:tcW w:w="29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Issuance of common stock in public</w:t>
            </w: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offering</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853,200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warrants in public offering</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0" w:type="dxa"/>
            <w:vAlign w:val="bottom"/>
          </w:tcPr>
          <w:p>
            <w:pPr>
              <w:spacing w:after="0"/>
              <w:rPr>
                <w:sz w:val="1"/>
                <w:szCs w:val="1"/>
                <w:color w:val="auto"/>
              </w:rPr>
            </w:pP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issuance costs</w:t>
            </w:r>
          </w:p>
        </w:tc>
        <w:tc>
          <w:tcPr>
            <w:tcW w:w="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(1,132)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warrants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1,628,178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0" w:type="dxa"/>
            <w:vAlign w:val="bottom"/>
          </w:tcPr>
          <w:p>
            <w:pPr>
              <w:spacing w:after="0"/>
              <w:rPr>
                <w:sz w:val="1"/>
                <w:szCs w:val="1"/>
                <w:color w:val="auto"/>
              </w:rPr>
            </w:pP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0" w:type="dxa"/>
            <w:vAlign w:val="bottom"/>
          </w:tcPr>
          <w:p>
            <w:pPr>
              <w:spacing w:after="0"/>
              <w:rPr>
                <w:sz w:val="1"/>
                <w:szCs w:val="1"/>
                <w:color w:val="auto"/>
              </w:rPr>
            </w:pP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4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(4,128)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0" w:type="dxa"/>
            <w:vAlign w:val="bottom"/>
          </w:tcPr>
          <w:p>
            <w:pPr>
              <w:spacing w:after="0"/>
              <w:rPr>
                <w:sz w:val="1"/>
                <w:szCs w:val="1"/>
                <w:color w:val="auto"/>
              </w:rPr>
            </w:pPr>
          </w:p>
        </w:tc>
      </w:tr>
      <w:tr>
        <w:trPr>
          <w:trHeight w:val="209"/>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8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3,198,196</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170,666</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 (164,085)</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48"/>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6,339</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0"/>
        </w:trPr>
        <w:tc>
          <w:tcPr>
            <w:tcW w:w="2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4"/>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3"/>
          </w:tcPr>
          <w:p>
            <w:pPr>
              <w:jc w:val="center"/>
              <w:ind w:left="2"/>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gridSpan w:val="8"/>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4"/>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540" w:type="dxa"/>
            <w:vAlign w:val="bottom"/>
            <w:tcBorders>
              <w:bottom w:val="single" w:sz="8" w:color="auto"/>
            </w:tcBorders>
            <w:gridSpan w:val="8"/>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gridSpan w:val="4"/>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112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gridSpan w:val="4"/>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6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4"/>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January 1, 2023</w:t>
            </w:r>
          </w:p>
        </w:tc>
        <w:tc>
          <w:tcPr>
            <w:tcW w:w="4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564,094</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$ 159,645</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(151,107)</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8,151</w:t>
            </w:r>
          </w:p>
        </w:tc>
        <w:tc>
          <w:tcPr>
            <w:tcW w:w="0" w:type="dxa"/>
            <w:vAlign w:val="bottom"/>
          </w:tcPr>
          <w:p>
            <w:pPr>
              <w:spacing w:after="0"/>
              <w:rPr>
                <w:sz w:val="1"/>
                <w:szCs w:val="1"/>
                <w:color w:val="auto"/>
              </w:rPr>
            </w:pP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Settlement of restricted stock units</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1,264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4"/>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4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16"/>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4"/>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(262)</w:t>
            </w: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gridSpan w:val="6"/>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(4,142)</w:t>
            </w:r>
          </w:p>
        </w:tc>
        <w:tc>
          <w:tcPr>
            <w:tcW w:w="80" w:type="dxa"/>
            <w:vAlign w:val="bottom"/>
            <w:shd w:val="clear" w:color="auto" w:fill="CCEEFF"/>
          </w:tcPr>
          <w:p>
            <w:pPr>
              <w:spacing w:after="0"/>
              <w:rPr>
                <w:sz w:val="18"/>
                <w:szCs w:val="18"/>
                <w:color w:val="auto"/>
              </w:rPr>
            </w:pPr>
          </w:p>
        </w:tc>
        <w:tc>
          <w:tcPr>
            <w:tcW w:w="10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0" w:type="dxa"/>
            <w:vAlign w:val="bottom"/>
          </w:tcPr>
          <w:p>
            <w:pPr>
              <w:spacing w:after="0"/>
              <w:rPr>
                <w:sz w:val="1"/>
                <w:szCs w:val="1"/>
                <w:color w:val="auto"/>
              </w:rPr>
            </w:pPr>
          </w:p>
        </w:tc>
      </w:tr>
      <w:tr>
        <w:trPr>
          <w:trHeight w:val="210"/>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480" w:type="dxa"/>
            <w:vAlign w:val="bottom"/>
          </w:tcPr>
          <w:p>
            <w:pPr>
              <w:spacing w:after="0"/>
              <w:rPr>
                <w:sz w:val="18"/>
                <w:szCs w:val="18"/>
                <w:color w:val="auto"/>
              </w:rPr>
            </w:pPr>
          </w:p>
        </w:tc>
        <w:tc>
          <w:tcPr>
            <w:tcW w:w="7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565,358</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$ 160,470</w:t>
            </w:r>
          </w:p>
        </w:tc>
        <w:tc>
          <w:tcPr>
            <w:tcW w:w="4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7"/>
              </w:rPr>
              <w:t>$ (155,249)</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4,572</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60" w:right="419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Unaudited Condensed Consolidated Statements of Cash Flows </w:t>
      </w:r>
      <w:r>
        <w:rPr>
          <w:rFonts w:ascii="Times New Roman" w:cs="Times New Roman" w:eastAsia="Times New Roman" w:hAnsi="Times New Roman"/>
          <w:sz w:val="18"/>
          <w:szCs w:val="18"/>
          <w:color w:val="auto"/>
        </w:rPr>
        <w:t>(in thousands)</w:t>
      </w:r>
    </w:p>
    <w:p>
      <w:pPr>
        <w:spacing w:after="0" w:line="188"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ind w:left="752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40" w:type="dxa"/>
        <w:tblCellMar>
          <w:top w:w="0" w:type="dxa"/>
          <w:left w:w="0" w:type="dxa"/>
          <w:bottom w:w="0" w:type="dxa"/>
          <w:right w:w="0" w:type="dxa"/>
        </w:tblCellMar>
      </w:tblPr>
      <w:tr>
        <w:trPr>
          <w:trHeight w:val="142"/>
        </w:trPr>
        <w:tc>
          <w:tcPr>
            <w:tcW w:w="660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6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(2,875)</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 loss (gain)</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Depreciation expense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Provision for (reversal of) inventory reserve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receivables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(349)</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Prepaid expense and other current assets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warrants</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issuance costs</w:t>
            </w:r>
          </w:p>
        </w:tc>
        <w:tc>
          <w:tcPr>
            <w:tcW w:w="2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(850)</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0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currency exchange rate changes on cash and cash equivalents</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5,182</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14,549</w:t>
            </w:r>
          </w:p>
        </w:tc>
        <w:tc>
          <w:tcPr>
            <w:tcW w:w="0" w:type="dxa"/>
            <w:vAlign w:val="bottom"/>
          </w:tcPr>
          <w:p>
            <w:pPr>
              <w:spacing w:after="0"/>
              <w:rPr>
                <w:sz w:val="1"/>
                <w:szCs w:val="1"/>
                <w:color w:val="auto"/>
              </w:rPr>
            </w:pPr>
          </w:p>
        </w:tc>
      </w:tr>
      <w:tr>
        <w:trPr>
          <w:trHeight w:val="20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and financing transactions: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warrant liability reclassified to equity on exercise of warrants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offering costs reclassified to equity upon public offering</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6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issuance costs included in accounts payable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Helius Medical Technologies, Inc.</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3" w:lineRule="exact"/>
        <w:rPr>
          <w:sz w:val="20"/>
          <w:szCs w:val="20"/>
          <w:color w:val="auto"/>
        </w:rPr>
      </w:pPr>
    </w:p>
    <w:p>
      <w:pPr>
        <w:ind w:left="360" w:hanging="310"/>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of Helius Medical Technologies, Inc. (together with its wholly owned subsidiaries the “Company”) have been prepared in accordance with the rules and regulations of the Securities and Exchange Commission ("SEC") and should be read in conjunction with the audited consolidated financial statements and notes included in the Company’s Annual Report on Form 10-K for the year ended December 31, 2023 that was filed with the Securities and Exchange Commission on March 28, 2024 (“2023 10-K”). Certain information and footnote disclosures normally included in financial statements prepared in accordance with generally accepted accounting principles in the United States of America ("GAAP") have been condensed or omitted.</w:t>
      </w:r>
    </w:p>
    <w:p>
      <w:pPr>
        <w:spacing w:after="0" w:line="189" w:lineRule="exact"/>
        <w:rPr>
          <w:sz w:val="20"/>
          <w:szCs w:val="20"/>
          <w:color w:val="auto"/>
        </w:rPr>
      </w:pPr>
    </w:p>
    <w:p>
      <w:pPr>
        <w:ind w:left="60" w:right="339"/>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the Company's significant accounting policies from those described in the 2023 Form 10-K. Certain prior period amounts have been reclassified to conform to the current period presentation.</w:t>
      </w:r>
    </w:p>
    <w:p>
      <w:pPr>
        <w:spacing w:after="0" w:line="162" w:lineRule="exact"/>
        <w:rPr>
          <w:sz w:val="20"/>
          <w:szCs w:val="20"/>
          <w:color w:val="auto"/>
        </w:rPr>
      </w:pPr>
    </w:p>
    <w:p>
      <w:pPr>
        <w:ind w:left="60" w:right="279"/>
        <w:spacing w:after="0" w:line="312"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management to make estimates and assumptions that affect the amounts reported in the financial statements. Actual results could differ from those estimates.</w:t>
      </w:r>
    </w:p>
    <w:p>
      <w:pPr>
        <w:spacing w:after="0" w:line="140"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In the opinion of management, the Unaudited Condensed Consolidated Financial Statements reflect all adjustments necessary for a fair statement of the results for the interim periods presented. All such adjustments, unless otherwise noted herein, are of a normal, recurring nature. The results of operations for the interim periods are not necessarily indicative of the results of operations to be expected for the full year.</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7" w:lineRule="exact"/>
        <w:rPr>
          <w:sz w:val="20"/>
          <w:szCs w:val="20"/>
          <w:color w:val="auto"/>
        </w:rPr>
      </w:pPr>
    </w:p>
    <w:p>
      <w:pPr>
        <w:ind w:left="60" w:right="279"/>
        <w:spacing w:after="0" w:line="258" w:lineRule="auto"/>
        <w:rPr>
          <w:sz w:val="20"/>
          <w:szCs w:val="20"/>
          <w:color w:val="auto"/>
        </w:rPr>
      </w:pPr>
      <w:r>
        <w:rPr>
          <w:rFonts w:ascii="Times New Roman" w:cs="Times New Roman" w:eastAsia="Times New Roman" w:hAnsi="Times New Roman"/>
          <w:sz w:val="18"/>
          <w:szCs w:val="18"/>
          <w:color w:val="auto"/>
        </w:rPr>
        <w:t>At the annual meeting of stockholders on May 24, 2023, our stockholders voted to approve a reverse stock split of our outstanding Class A common stock (“Common Stock”) at a ratio in the range of 1-for-10 to 1-for-80 to be determined at the discretion of the Company’s Board of Directors (the “Board”). On August 11, 2023, the Board approved a 1-for-50 reverse stock split of the Company’s issued and outstanding Common Stock (the “Reverse Stock Split”). Refer to Note 6 for additional information.</w:t>
      </w:r>
    </w:p>
    <w:p>
      <w:pPr>
        <w:spacing w:after="0" w:line="183" w:lineRule="exact"/>
        <w:rPr>
          <w:sz w:val="20"/>
          <w:szCs w:val="20"/>
          <w:color w:val="auto"/>
        </w:rPr>
      </w:pPr>
    </w:p>
    <w:p>
      <w:pPr>
        <w:ind w:left="60" w:right="119"/>
        <w:spacing w:after="0" w:line="269" w:lineRule="auto"/>
        <w:rPr>
          <w:sz w:val="20"/>
          <w:szCs w:val="20"/>
          <w:color w:val="auto"/>
        </w:rPr>
      </w:pPr>
      <w:r>
        <w:rPr>
          <w:rFonts w:ascii="Times New Roman" w:cs="Times New Roman" w:eastAsia="Times New Roman" w:hAnsi="Times New Roman"/>
          <w:sz w:val="17"/>
          <w:szCs w:val="17"/>
          <w:color w:val="auto"/>
        </w:rPr>
        <w:t>All issued and outstanding Common Stock and per share amounts contained in the financial statements have been retroactively adjusted to reflect this Reverse Stock Split for all periods presented. In addition, a proportionate adjustment was made to the per share exercise price and the number of shares issuable upon the exercise of all outstanding stock options, restricted stock units and warrants to purchase shares of Common Stock. In accordance with the terms of the warrant agreement for the public warrants described further in Note 6, the exercise price for these warrants was reset to the volume-weighted average price for the five days following the Reverse Stock Split. A proportionate adjustment was also made to the number of shares reserved for issuance pursuant to the Company’s equity incentive compensation plans to reflect the Reverse Stock Split. Any fraction of a share of Common Stock that was created as a result of the Reverse Stock Split was rounded down to the next whole share and stockholders received cash settlement equal to the market value of the fractional share, determined by multiplying such fraction by the closing sales price of the Company’s Common Stock as reported on Nasdaq on the last trading day before the Reverse Stock Split effective date. The authorized shares and par value of the Common Stock and preferred stock were not adjusted as a result of the Reverse Stock Split.</w:t>
      </w:r>
    </w:p>
    <w:p>
      <w:pPr>
        <w:spacing w:after="0" w:line="1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Going Concern Uncertainty</w:t>
      </w:r>
    </w:p>
    <w:p>
      <w:pPr>
        <w:spacing w:after="0" w:line="227" w:lineRule="exact"/>
        <w:rPr>
          <w:sz w:val="20"/>
          <w:szCs w:val="20"/>
          <w:color w:val="auto"/>
        </w:rPr>
      </w:pPr>
    </w:p>
    <w:p>
      <w:pPr>
        <w:ind w:left="60" w:right="139"/>
        <w:spacing w:after="0" w:line="256" w:lineRule="auto"/>
        <w:rPr>
          <w:sz w:val="20"/>
          <w:szCs w:val="20"/>
          <w:color w:val="auto"/>
        </w:rPr>
      </w:pPr>
      <w:r>
        <w:rPr>
          <w:rFonts w:ascii="Times New Roman" w:cs="Times New Roman" w:eastAsia="Times New Roman" w:hAnsi="Times New Roman"/>
          <w:sz w:val="18"/>
          <w:szCs w:val="18"/>
          <w:color w:val="auto"/>
        </w:rPr>
        <w:t>As of June 30, 2024, the Company had cash, cash equivalents of $6.4 million. For the six months ended June 30, 2024, the Company had an operating loss of $6.7 million, and as of June 30, 2024, its accumulated deficit was $164.1 million. For the six months ended June 30, 2024, the Company had $0.3 million of net revenue from the commercial sale of products. The Company expects to continue to incur operating losses and net cash outflows until such time as it generates a level of revenue to support its cost structure. There is no assurance that the Company will achieve profitable operations, and, if achieved, whether it will be sustained on a continued basis. These factors indicate substantial doubt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about the Company’s ability to continue as a going concern within one year after the date the consolidated financial statements are filed. The Company’s Unaudited Condensed Consolidated Financial Statements have been prepared on the basis of continuity of operations, realization of assets and satisfaction of liabilities in the ordinary course of business; no adjustments have been made relating to the recoverability and classification of recorded asset amounts and classification of liabilities that might be necessary should the Company not continue as a going concern.</w:t>
      </w:r>
    </w:p>
    <w:p>
      <w:pPr>
        <w:spacing w:after="0" w:line="183" w:lineRule="exact"/>
        <w:rPr>
          <w:sz w:val="20"/>
          <w:szCs w:val="20"/>
          <w:color w:val="auto"/>
        </w:rPr>
      </w:pPr>
    </w:p>
    <w:p>
      <w:pPr>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intends to fund ongoing activities by utilizing its current cash and cash equivalents on hand, cash received from the sale of its PoNS device in the U.S. and Canada and by raising additional capital through equity or debt financings. There can be no assurance that the Company will be successful in raising additional capital or that such capital, if available, will be on terms that are acceptable to the Company. If the Company is unable to raise sufficient additional capital, the Company may be compelled to reduce the scope of its operations.</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Global Economic Conditions</w:t>
      </w:r>
    </w:p>
    <w:p>
      <w:pPr>
        <w:spacing w:after="0" w:line="227" w:lineRule="exact"/>
        <w:rPr>
          <w:sz w:val="20"/>
          <w:szCs w:val="20"/>
          <w:color w:val="auto"/>
        </w:rPr>
      </w:pPr>
    </w:p>
    <w:p>
      <w:pPr>
        <w:ind w:left="60" w:right="99"/>
        <w:spacing w:after="0" w:line="255" w:lineRule="auto"/>
        <w:rPr>
          <w:sz w:val="20"/>
          <w:szCs w:val="20"/>
          <w:color w:val="auto"/>
        </w:rPr>
      </w:pPr>
      <w:r>
        <w:rPr>
          <w:rFonts w:ascii="Times New Roman" w:cs="Times New Roman" w:eastAsia="Times New Roman" w:hAnsi="Times New Roman"/>
          <w:sz w:val="18"/>
          <w:szCs w:val="18"/>
          <w:color w:val="auto"/>
        </w:rPr>
        <w:t>Generally, worldwide economic conditions remain uncertain, particularly due to the conflict between Russia and Ukraine, as well as in the Middle East between Israel and Hamas, disruptions in the banking system and financial markets and increased inflation. The general economic and capital market conditions both in the United States and worldwide, have been volatile in the past and at times have adversely affected the Company’s access to capital and increased the cost of capital. The capital and credit markets may not be available to support future capital raising activity on favorable terms. If economic conditions decline, the Company’s future cost of equity or debt capital and access to the capital markets could be adversely affected.</w:t>
      </w:r>
    </w:p>
    <w:p>
      <w:pPr>
        <w:spacing w:after="0" w:line="189" w:lineRule="exact"/>
        <w:rPr>
          <w:sz w:val="20"/>
          <w:szCs w:val="20"/>
          <w:color w:val="auto"/>
        </w:rPr>
      </w:pPr>
    </w:p>
    <w:p>
      <w:pPr>
        <w:ind w:left="60" w:right="119"/>
        <w:spacing w:after="0" w:line="256" w:lineRule="auto"/>
        <w:rPr>
          <w:sz w:val="20"/>
          <w:szCs w:val="20"/>
          <w:color w:val="auto"/>
        </w:rPr>
      </w:pPr>
      <w:r>
        <w:rPr>
          <w:rFonts w:ascii="Times New Roman" w:cs="Times New Roman" w:eastAsia="Times New Roman" w:hAnsi="Times New Roman"/>
          <w:sz w:val="18"/>
          <w:szCs w:val="18"/>
          <w:color w:val="auto"/>
        </w:rPr>
        <w:t>Changes in economic conditions, supply chain constraints, logistics challenges, labor shortages, the effects of conflicts in Ukraine and the Middle East, disruptions in the banking system and financial markets, high levels of inflation and an increase in interest rates have increased costs and have had and may continue to have a negative impact on the Company’s business. Although the Company has taken and may continue to take measures to mitigate these impacts, if these measures are not effective, the Company’s business, financial condition, results of operations, and liquidity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hanging="310"/>
        <w:spacing w:after="0"/>
        <w:tabs>
          <w:tab w:leader="none" w:pos="360" w:val="left"/>
        </w:tabs>
        <w:numPr>
          <w:ilvl w:val="0"/>
          <w:numId w:val="4"/>
        </w:numPr>
        <w:rPr>
          <w:rFonts w:ascii="Times New Roman" w:cs="Times New Roman" w:eastAsia="Times New Roman" w:hAnsi="Times New Roman"/>
          <w:sz w:val="18"/>
          <w:szCs w:val="18"/>
          <w:b w:val="1"/>
          <w:bCs w:val="1"/>
          <w:color w:val="212529"/>
        </w:rPr>
      </w:pPr>
      <w:r>
        <w:rPr>
          <w:rFonts w:ascii="Times New Roman" w:cs="Times New Roman" w:eastAsia="Times New Roman" w:hAnsi="Times New Roman"/>
          <w:sz w:val="18"/>
          <w:szCs w:val="18"/>
          <w:b w:val="1"/>
          <w:bCs w:val="1"/>
          <w:color w:val="212529"/>
        </w:rPr>
        <w:t>RECENT ACCOUNTING PRONOUNCEMENTS</w:t>
      </w:r>
    </w:p>
    <w:p>
      <w:pPr>
        <w:spacing w:after="0" w:line="229" w:lineRule="exact"/>
        <w:rPr>
          <w:sz w:val="20"/>
          <w:szCs w:val="20"/>
          <w:color w:val="auto"/>
        </w:rPr>
      </w:pPr>
    </w:p>
    <w:p>
      <w:pPr>
        <w:ind w:left="60" w:right="7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2023, 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The guidance requires expanded interim and annual disclosures of segment information including the disclosure of significant segment expenses that are regularly provided to the chief operating decision maker and included within segment profit and loss. The guidance is effective for the Company's fiscal 2024 Form 10-K and interim periods thereafter. The Company is currently evaluating the ASU to determine its impact on the Company's disclosures.</w:t>
      </w:r>
    </w:p>
    <w:p>
      <w:pPr>
        <w:spacing w:after="0" w:line="185"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The guidance requires expanded annual disclosures including the standardization and disaggregation of income tax rate reconciliation categories and the amount of income taxes paid by jurisdiction. The guidance is effective for the Company’s fiscal 2025 Form 10-K. The Company is currently evaluating the ASU to determine its impact on the Company’s disclosures.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hanging="310"/>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SUPPLEMENTAL BALANCE SHEET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Components of selected captions in the unaudited condensed consolidated balance sheets consisted of the following:</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Accounts receivable from product sales are net of allowance for credit losses of less than $1 thousand as of both June 30, 2024 and December 31, 2023.</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Inventory, net (in thousands)</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24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10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1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12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3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0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gross</w:t>
            </w:r>
          </w:p>
        </w:tc>
        <w:tc>
          <w:tcPr>
            <w:tcW w:w="1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w:t>
            </w:r>
          </w:p>
        </w:tc>
      </w:tr>
      <w:tr>
        <w:trPr>
          <w:trHeight w:val="216"/>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Inventory reserve</w:t>
            </w:r>
          </w:p>
        </w:tc>
        <w:tc>
          <w:tcPr>
            <w:tcW w:w="12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09"/>
        </w:trPr>
        <w:tc>
          <w:tcPr>
            <w:tcW w:w="5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 net</w:t>
            </w:r>
          </w:p>
        </w:tc>
        <w:tc>
          <w:tcPr>
            <w:tcW w:w="1240" w:type="dxa"/>
            <w:vAlign w:val="bottom"/>
            <w:tcBorders>
              <w:top w:val="single" w:sz="8" w:color="auto"/>
              <w:bottom w:val="single" w:sz="8" w:color="auto"/>
            </w:tcBorders>
          </w:tcPr>
          <w:p>
            <w:pPr>
              <w:jc w:val="right"/>
              <w:ind w:right="105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3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w:t>
            </w:r>
          </w:p>
        </w:tc>
      </w:tr>
      <w:tr>
        <w:trPr>
          <w:trHeight w:val="20"/>
        </w:trPr>
        <w:tc>
          <w:tcPr>
            <w:tcW w:w="5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During the six months ended June 30, 2024, $2 thousand of inventory was written off to the inventory reserve.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 (in thousands)</w:t>
      </w:r>
    </w:p>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0" w:type="dxa"/>
            <w:vAlign w:val="bottom"/>
          </w:tcPr>
          <w:p>
            <w:pPr>
              <w:spacing w:after="0"/>
              <w:rPr>
                <w:sz w:val="1"/>
                <w:szCs w:val="1"/>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Inventory related</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offering costs</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0"/>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1,162</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Accrued and other current liabilities (in thousands)</w:t>
            </w: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68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10"/>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0" w:type="dxa"/>
            <w:vAlign w:val="bottom"/>
          </w:tcPr>
          <w:p>
            <w:pPr>
              <w:spacing w:after="0"/>
              <w:rPr>
                <w:sz w:val="1"/>
                <w:szCs w:val="1"/>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Employees benefits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services</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tax</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0"/>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accrued and other current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8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Exclusive Distribution Agreement</w:t>
      </w:r>
    </w:p>
    <w:p>
      <w:pPr>
        <w:spacing w:after="0" w:line="227" w:lineRule="exact"/>
        <w:rPr>
          <w:sz w:val="20"/>
          <w:szCs w:val="20"/>
          <w:color w:val="auto"/>
        </w:rPr>
      </w:pPr>
    </w:p>
    <w:p>
      <w:pPr>
        <w:ind w:left="60" w:right="139"/>
        <w:spacing w:after="0" w:line="254" w:lineRule="auto"/>
        <w:rPr>
          <w:sz w:val="20"/>
          <w:szCs w:val="20"/>
          <w:color w:val="auto"/>
        </w:rPr>
      </w:pPr>
      <w:r>
        <w:rPr>
          <w:rFonts w:ascii="Times New Roman" w:cs="Times New Roman" w:eastAsia="Times New Roman" w:hAnsi="Times New Roman"/>
          <w:sz w:val="18"/>
          <w:szCs w:val="18"/>
          <w:color w:val="auto"/>
        </w:rPr>
        <w:t>Pursuant to an Exclusive Distribution Agreement with Health Tech Connex Inc. (“HTC”) (“Exclusivity Agreement”) entered into on March 3, 2023, subject to certain terms and conditions, the Company granted to HTC the exclusive right to provide PoNS Therapy in the Fraser Valley and Vancouver metro regions of British Columbia. HTC will purchase the PoNS devices for use in these regions exclusively from the Company and on terms no less favorable than the then-current standard terms and conditions. This Exclusivity Agreement replaced the previous Clinical Research and Co-Promotion Agreement (“Co-Promotion Agreement”) between the parties entered into in October 2019 that included a similar exclusive right provision. The exclusive right under the Exclusivity Agreement was granted for a value of CAD$273 thousand, which is represented by the unamortized up-front payment under the former Co-Promotion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Agreement. The initial term of the Exclusivity Agreement expires on December 31, 2027, and is renewable by HTC for one additional five-year term upon sixty days’ written notice to the Company.</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Deferred revenue as of both June 30, 2024 and December 31, 2023 is comprised of the remaining unamortized amount under the Exclusivity Agreement. Revenue recognized is included in Other revenue in the Unaudited Condensed Consolidated Statements of Operations and Comprehensive Loss.</w:t>
      </w:r>
    </w:p>
    <w:p>
      <w:pPr>
        <w:spacing w:after="0" w:line="172" w:lineRule="exact"/>
        <w:rPr>
          <w:sz w:val="20"/>
          <w:szCs w:val="20"/>
          <w:color w:val="auto"/>
        </w:rPr>
      </w:pPr>
    </w:p>
    <w:p>
      <w:pPr>
        <w:ind w:left="360" w:hanging="310"/>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The Company has an operating lease for office space with lease terms expiring in March 2025. The lease does not contain any options to extend. Operating lease costs for the three and six months ended June 30, 2024 and 2023 were $10 thousand and $20 thousand, $13 thousand and $27 thousand respectively.</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Maturities of operating lease liabilities as of June 30, 2024 were as follows (in thousands):</w:t>
            </w: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29"/>
        </w:trPr>
        <w:tc>
          <w:tcPr>
            <w:tcW w:w="7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16"/>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w:t>
            </w:r>
          </w:p>
        </w:tc>
        <w:tc>
          <w:tcPr>
            <w:tcW w:w="54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7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payments</w:t>
            </w: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7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Less: imputed interest</w:t>
            </w:r>
          </w:p>
        </w:tc>
        <w:tc>
          <w:tcPr>
            <w:tcW w:w="5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6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liabilities</w:t>
            </w:r>
          </w:p>
        </w:tc>
        <w:tc>
          <w:tcPr>
            <w:tcW w:w="54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76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360" w:hanging="310"/>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60" w:right="27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Fair value of an asset or liability considers assumptions that market participants would use in pricing the asset or liability, including consideration of non-performance risk. The inputs used to determine fair values are categorized in one of the following three levels of the fair value hierarchy:</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Level 1 – Quoted market prices in active markets for identical assets or liabilities.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Level 3 – Unobservable inputs that are not corroborated by market data.</w:t>
      </w:r>
    </w:p>
    <w:p>
      <w:pPr>
        <w:spacing w:after="0" w:line="225"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financial instruments for which the fair market value of such instruments may differ from amounts reflected on a historical cost basis. As of June 30, 2024 and December 31, 2023, financial instruments of the Company consist of cash equivalents, which were comprised of deposits of excess cash in an unrestricted money market savings account and a money market mutual fund. The carrying value of cash equivalents generally approximates fair value due to their short-term nature.</w:t>
      </w:r>
    </w:p>
    <w:p>
      <w:pPr>
        <w:spacing w:after="0" w:line="183" w:lineRule="exact"/>
        <w:rPr>
          <w:sz w:val="20"/>
          <w:szCs w:val="20"/>
          <w:color w:val="auto"/>
        </w:rPr>
      </w:pPr>
    </w:p>
    <w:p>
      <w:pPr>
        <w:ind w:left="60" w:right="379"/>
        <w:spacing w:after="0" w:line="258" w:lineRule="auto"/>
        <w:rPr>
          <w:sz w:val="20"/>
          <w:szCs w:val="20"/>
          <w:color w:val="auto"/>
        </w:rPr>
      </w:pPr>
      <w:r>
        <w:rPr>
          <w:rFonts w:ascii="Times New Roman" w:cs="Times New Roman" w:eastAsia="Times New Roman" w:hAnsi="Times New Roman"/>
          <w:sz w:val="18"/>
          <w:szCs w:val="18"/>
          <w:color w:val="auto"/>
        </w:rPr>
        <w:t>The Company’s derivative liability as of June 30, 2024 and December 31, 2023 is comprised of warrants issued in connection with the registered public offering completed in August 2022 (“August 2022 Public Offering”) discussed in more detail in Note 8 to our Consolidated Financial Statements included our 2023 10-K. The derivative liability is classified as Level 3 within the fair value hierarchy and is required to be recorded at fair value on a recurring basis. See Note 6 for further information on the fair value of the derivative liability.</w:t>
      </w:r>
    </w:p>
    <w:p>
      <w:pPr>
        <w:spacing w:after="0" w:line="183"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majority of the Company’s non-financial instruments, which include intangible assets, lease assets, inventories and property and equipment, are not required to be carried at fair value on a recurring basis. However, if certain triggering events occur (or at least annually for indefinite-lived intangible assets), a non-financial instrument is required to be evaluated for impairment. If the Company determines that the non-financial instrument is impaired, the Company would be required to write down the non-financial instrument to its fair value.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60" w:hanging="310"/>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 PREFERRED STOCK AND WARRANTS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Public Offering</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May 9, 2024, the Company closed on a registered public offering consisting of 704,999 shares of Common Stock (the “2024 Public Offering”), pre-funded warrants to purchase 2,147,222 shares of Common Stock (the “Pre-funded Warrants”) and accompanying Series A Warrants to purchase up to 2,852,221 shares of its Common Stock (“Series A Warrants”) and Series B Warrants to purchase up to 2,852,221 shares of its Common Stock (“Series B Warrants”, and together with the Series A Warrants, the “2024 Public Warrants”). The 2024 Public Offering price per share of Common Stock and accompanying Series A Warrants and Series B Warrants was $2.25, the public offering price per Pre-funded Warrant and accompanying Series A and Series B warrant was $2.249. The Pre-funded Warrants have an exercise price of $0.001 per share and 1,076,445 were exercised on the closing date. Net proceeds from the 2024 Public Offering, after deducting placement agent fees and expenses and other offering costs, were approximately $5.5 million.</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2024 Public Warrants have an exercise price of $2.25 per share and are exercisable upon issuance. The Series A Warrants will expire five years following the date of issuance and the Series B Warrants will expire twelve months following the date of issuance. The Pre-funded Warrants are exercisable upon issuance and may be exercised at any time until the Pre-funded Warrants are exercised in full.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June 23, 2023, the Company entered into a Sales Agreement (the “Sales Agreement”) with Roth Capital Partners, LLC (“Roth”) to create an at-the-market offering program (“ATM”) under which the Company may offer and sell shares with an aggregate offering price of up to $2.0 million. Roth is entitled to a fixed commission rate equal to up to 3% of the gross proceeds pursuant to the Sales Agreement. As of June 30, 2024, 201,211 shares have been sold under the ATM generating net proceeds of $1.8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Series B Preferred Stock</w:t>
      </w:r>
    </w:p>
    <w:p>
      <w:pPr>
        <w:spacing w:after="0" w:line="229" w:lineRule="exact"/>
        <w:rPr>
          <w:sz w:val="20"/>
          <w:szCs w:val="20"/>
          <w:color w:val="auto"/>
        </w:rPr>
      </w:pPr>
    </w:p>
    <w:p>
      <w:pPr>
        <w:ind w:left="60" w:right="59"/>
        <w:spacing w:after="0" w:line="266" w:lineRule="auto"/>
        <w:rPr>
          <w:sz w:val="20"/>
          <w:szCs w:val="20"/>
          <w:color w:val="auto"/>
        </w:rPr>
      </w:pPr>
      <w:r>
        <w:rPr>
          <w:rFonts w:ascii="Times New Roman" w:cs="Times New Roman" w:eastAsia="Times New Roman" w:hAnsi="Times New Roman"/>
          <w:sz w:val="18"/>
          <w:szCs w:val="18"/>
          <w:color w:val="auto"/>
        </w:rPr>
        <w:t>On March 23, 2023, the Board of Directors declared a dividend of one one-thousandth of a share of Series B Preferred Stock (“Series B Preferred Stock”) for each outstanding share of Common Stock held of record on April 3, 2023. The value of the Series B Preferred Stock issued in connection with the stock dividend was immaterial.</w:t>
      </w:r>
    </w:p>
    <w:p>
      <w:pPr>
        <w:spacing w:after="0" w:line="176"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The outstanding shares of Series B Preferred Stock voted together with the outstanding shares of the Company’s Common Stock, as a single class, exclusively with respect to a proposal giving the Board of Directors the authority, as it determines appropriate, to implement a reverse stock split within twelve months following the approval of such proposal by the Company’s stockholders as well as any proposal to adjourn any meeting of stockholders called for the purpose of voting on the foregoing matters.</w:t>
      </w:r>
    </w:p>
    <w:p>
      <w:pPr>
        <w:spacing w:after="0" w:line="183" w:lineRule="exact"/>
        <w:rPr>
          <w:sz w:val="20"/>
          <w:szCs w:val="20"/>
          <w:color w:val="auto"/>
        </w:rPr>
      </w:pPr>
    </w:p>
    <w:p>
      <w:pPr>
        <w:ind w:left="60" w:right="159"/>
        <w:spacing w:after="0" w:line="266" w:lineRule="auto"/>
        <w:rPr>
          <w:sz w:val="20"/>
          <w:szCs w:val="20"/>
          <w:color w:val="auto"/>
        </w:rPr>
      </w:pPr>
      <w:r>
        <w:rPr>
          <w:rFonts w:ascii="Times New Roman" w:cs="Times New Roman" w:eastAsia="Times New Roman" w:hAnsi="Times New Roman"/>
          <w:sz w:val="18"/>
          <w:szCs w:val="18"/>
          <w:color w:val="auto"/>
        </w:rPr>
        <w:t>Each share of Series B Preferred Stock entitled the holder to 1,000,000 votes per share and each fraction of a share of Series B Preferred Stock had a ratable number of votes. The holder of Series B Preferred Stock, as such, are not entitled to receive dividends.</w:t>
      </w:r>
    </w:p>
    <w:p>
      <w:pPr>
        <w:spacing w:after="0" w:line="176" w:lineRule="exact"/>
        <w:rPr>
          <w:sz w:val="20"/>
          <w:szCs w:val="20"/>
          <w:color w:val="auto"/>
        </w:rPr>
      </w:pPr>
    </w:p>
    <w:p>
      <w:pPr>
        <w:ind w:left="60" w:right="159"/>
        <w:spacing w:after="0" w:line="256" w:lineRule="auto"/>
        <w:rPr>
          <w:sz w:val="20"/>
          <w:szCs w:val="20"/>
          <w:color w:val="auto"/>
        </w:rPr>
      </w:pPr>
      <w:r>
        <w:rPr>
          <w:rFonts w:ascii="Times New Roman" w:cs="Times New Roman" w:eastAsia="Times New Roman" w:hAnsi="Times New Roman"/>
          <w:sz w:val="18"/>
          <w:szCs w:val="18"/>
          <w:color w:val="auto"/>
        </w:rPr>
        <w:t>At the annual meeting of stockholders of the Company held on May 24, 2023, the Company’s stockholders approved an amendment to the Company’s Certificate of Incorporation to effect a reverse stock split of its outstanding Common Stock. All shares of Series B Preferred Stock that did not vote in person or by proxy were redeemed in whole by the Company. Shares of Series B Preferred Stock that did vote in person or by proxy will need to request redemption from the Company at a rate of $0.001 per share in cash. As of June 30, 2024, no shareholders of Series B Preferred Stock have requested such redemption.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ind w:left="60" w:right="719"/>
        <w:spacing w:after="0" w:line="312" w:lineRule="auto"/>
        <w:rPr>
          <w:sz w:val="20"/>
          <w:szCs w:val="20"/>
          <w:color w:val="auto"/>
        </w:rPr>
      </w:pPr>
      <w:r>
        <w:rPr>
          <w:rFonts w:ascii="Times New Roman" w:cs="Times New Roman" w:eastAsia="Times New Roman" w:hAnsi="Times New Roman"/>
          <w:sz w:val="17"/>
          <w:szCs w:val="17"/>
          <w:color w:val="auto"/>
        </w:rPr>
        <w:t>The Company issued warrants to purchase an aggregate of 720,000 shares of Common Stock (“2022 Warrants”) in connection with the August 2022 Public Offering, as more fully described in Note 8 to our Consolidated Financial</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4" w:lineRule="auto"/>
        <w:rPr>
          <w:sz w:val="20"/>
          <w:szCs w:val="20"/>
          <w:color w:val="auto"/>
        </w:rPr>
      </w:pPr>
      <w:r>
        <w:rPr>
          <w:rFonts w:ascii="Times New Roman" w:cs="Times New Roman" w:eastAsia="Times New Roman" w:hAnsi="Times New Roman"/>
          <w:sz w:val="18"/>
          <w:szCs w:val="18"/>
          <w:color w:val="auto"/>
        </w:rPr>
        <w:t>Statements included our 2023 10-K. The 2022 Warrants did not meet the guidance for being classified as an equity instrument due to a potential price reset prompted by a change in an unrelated instrument’s conversion rate or, in the event of a fundamental transaction, settlement rights that differ from those of the underlying common stockholders. Accordingly, the 2022 Warrants are being accounted for as a derivative liability instrument. As a result of the Company’s Reverse Stock Split on August 16, 2023, refer to Note 1, the exercise price on the 2022 Warrants was reset to $6.9135 per share based on the volume-weighted average price (“VWAP”) for the five stock trading days immediately following the Reverse Stock Split. On May 9, 2024, in connection with the 2024 Public Offering, the exercise price of the 2022 Warrants was again reset to $1.6163 per share based on the VWAP for the five stock trading days immediately following the announcement of the 2024 Public Offering.</w:t>
      </w:r>
    </w:p>
    <w:p>
      <w:pPr>
        <w:spacing w:after="0" w:line="188" w:lineRule="exact"/>
        <w:rPr>
          <w:sz w:val="20"/>
          <w:szCs w:val="20"/>
          <w:color w:val="auto"/>
        </w:rPr>
      </w:pPr>
    </w:p>
    <w:p>
      <w:pPr>
        <w:ind w:left="60" w:right="139"/>
        <w:spacing w:after="0" w:line="261" w:lineRule="auto"/>
        <w:rPr>
          <w:sz w:val="20"/>
          <w:szCs w:val="20"/>
          <w:color w:val="auto"/>
        </w:rPr>
      </w:pPr>
      <w:r>
        <w:rPr>
          <w:rFonts w:ascii="Times New Roman" w:cs="Times New Roman" w:eastAsia="Times New Roman" w:hAnsi="Times New Roman"/>
          <w:sz w:val="18"/>
          <w:szCs w:val="18"/>
          <w:color w:val="auto"/>
        </w:rPr>
        <w:t>The fair value of the 2022 Warrants as of June 30, 2024 and December 31, 2023 was determined using both a Monte Carlo simulation model, which uses multiple input variables to determine the probability of the occurrence of a price reset or a fundamental transaction and the Black-Scholes option pricing model. The following table includes the share price and the inputs used to estimate the fair value of the warrants: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5"/>
        </w:trPr>
        <w:tc>
          <w:tcPr>
            <w:tcW w:w="6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10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7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5"/>
                <w:szCs w:val="15"/>
                <w:color w:val="auto"/>
              </w:rPr>
            </w:pPr>
          </w:p>
        </w:tc>
      </w:tr>
      <w:tr>
        <w:trPr>
          <w:trHeight w:val="209"/>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price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80" w:type="dxa"/>
            <w:vAlign w:val="bottom"/>
            <w:shd w:val="clear" w:color="auto" w:fill="CCEEFF"/>
          </w:tcPr>
          <w:p>
            <w:pPr>
              <w:spacing w:after="0"/>
              <w:rPr>
                <w:sz w:val="18"/>
                <w:szCs w:val="18"/>
                <w:color w:val="auto"/>
              </w:rPr>
            </w:pP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 term (in years)</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tcPr>
          <w:p>
            <w:pPr>
              <w:spacing w:after="0"/>
              <w:rPr>
                <w:sz w:val="18"/>
                <w:szCs w:val="18"/>
                <w:color w:val="auto"/>
              </w:rPr>
            </w:pP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87.00 %</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84.10 %</w:t>
            </w:r>
          </w:p>
        </w:tc>
      </w:tr>
      <w:tr>
        <w:trPr>
          <w:trHeight w:val="216"/>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4.51 %</w:t>
            </w:r>
          </w:p>
        </w:tc>
        <w:tc>
          <w:tcPr>
            <w:tcW w:w="2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3.96 %</w:t>
            </w:r>
          </w:p>
        </w:tc>
      </w:tr>
      <w:tr>
        <w:trPr>
          <w:trHeight w:val="216"/>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rate</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0.00 %</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0.00 %</w:t>
            </w:r>
          </w:p>
        </w:tc>
      </w:tr>
    </w:tbl>
    <w:p>
      <w:pPr>
        <w:spacing w:after="0" w:line="198" w:lineRule="exact"/>
        <w:rPr>
          <w:sz w:val="20"/>
          <w:szCs w:val="20"/>
          <w:color w:val="auto"/>
        </w:rPr>
      </w:pPr>
    </w:p>
    <w:p>
      <w:pPr>
        <w:ind w:left="60" w:right="99"/>
        <w:spacing w:after="0" w:line="254" w:lineRule="auto"/>
        <w:rPr>
          <w:sz w:val="20"/>
          <w:szCs w:val="20"/>
          <w:color w:val="auto"/>
        </w:rPr>
      </w:pPr>
      <w:r>
        <w:rPr>
          <w:rFonts w:ascii="Times New Roman" w:cs="Times New Roman" w:eastAsia="Times New Roman" w:hAnsi="Times New Roman"/>
          <w:sz w:val="18"/>
          <w:szCs w:val="18"/>
          <w:color w:val="auto"/>
        </w:rPr>
        <w:t>The fair value of the derivative liability associated with the 2022 Warrants as of June 30, 2024 and December 31, 2023 was $0.3 million and $3.3 million, respectively. The change in the fair value of the derivative liability was recognized as a component of nonoperating income (expense) in the Company’s Unaudited Condensed Consolidated Statements of Operations and Comprehensive Loss. 2022 Warrants were exercised to purchase of 23,400 shares of Common Stock at $6.9135 per share for $162 thousand in net proceeds and no 2022 Warrants were cancelled during the six months ended June 30, 2024. The portion of the derivative liability relating to the exercised warrants of $101 thousand was reclassified into stockholders’ equity based on the fair value on the date of reclassification. The remaining outstanding 2022 Warrants to purchase 603,690 shares of Common Stock are classified as a derivative liability as of June 30, 2024, are exercisable upon issuance and will expire five years following the date of issuance.</w:t>
      </w:r>
    </w:p>
    <w:p>
      <w:pPr>
        <w:spacing w:after="0" w:line="188" w:lineRule="exact"/>
        <w:rPr>
          <w:sz w:val="20"/>
          <w:szCs w:val="20"/>
          <w:color w:val="auto"/>
        </w:rPr>
      </w:pPr>
    </w:p>
    <w:p>
      <w:pPr>
        <w:ind w:left="60" w:right="139"/>
        <w:spacing w:after="0" w:line="258" w:lineRule="auto"/>
        <w:rPr>
          <w:sz w:val="20"/>
          <w:szCs w:val="20"/>
          <w:color w:val="auto"/>
        </w:rPr>
      </w:pPr>
      <w:r>
        <w:rPr>
          <w:rFonts w:ascii="Times New Roman" w:cs="Times New Roman" w:eastAsia="Times New Roman" w:hAnsi="Times New Roman"/>
          <w:sz w:val="18"/>
          <w:szCs w:val="18"/>
          <w:color w:val="auto"/>
        </w:rPr>
        <w:t>The Company has outstanding equity-classified warrants to purchase 6,399,466 shares of Common Stock at a weighted average exercise price of $3.34, with expiration dates ranging from March 2025 to May 2029. The weighted average exercise price includes 542,444 Pre-funded Warrants with a nominal exercise price of $0.001 outstanding as of June 30, 2024. The weighted average exercise price excluding the outstanding Pre-funded Warrants is $3.65. During the six months ended June 30, 2024, 1,604,778 equity-classified warrants were exercised.</w:t>
      </w:r>
    </w:p>
    <w:p>
      <w:pPr>
        <w:spacing w:after="0" w:line="179" w:lineRule="exact"/>
        <w:rPr>
          <w:sz w:val="20"/>
          <w:szCs w:val="20"/>
          <w:color w:val="auto"/>
        </w:rPr>
      </w:pPr>
    </w:p>
    <w:p>
      <w:pPr>
        <w:ind w:left="360" w:hanging="310"/>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left="60" w:right="79"/>
        <w:spacing w:after="0" w:line="253" w:lineRule="auto"/>
        <w:rPr>
          <w:sz w:val="20"/>
          <w:szCs w:val="20"/>
          <w:color w:val="auto"/>
        </w:rPr>
      </w:pPr>
      <w:r>
        <w:rPr>
          <w:rFonts w:ascii="Times New Roman" w:cs="Times New Roman" w:eastAsia="Times New Roman" w:hAnsi="Times New Roman"/>
          <w:sz w:val="18"/>
          <w:szCs w:val="18"/>
          <w:color w:val="auto"/>
        </w:rPr>
        <w:t>The Company may issue stock-based compensation awards under the Helius Medical Technologies, Inc. 2022 Equity Incentive Plan (as amended, the “2022 Plan”) or the Helius Medical Technologies, Inc. 2021 Inducement Plan (as amended, the “Inducement Plan”), as described more fully in the 2023 10-K. On January 1, 2023, pursuant to the automatic increase provision of the 2022 Plan, the number of shares authorized for issuance increased from 264,319 to 319,941. On May 30, 2024, the Board adopted a First Amendment (the “Amendment”) to the 2022 Plan. On June 27, 2024, at the annual meeting of stockholders, the stockholders of the Company approved the Amendment. Pursuant to the terms and conditions of the Amendment, the 2022 Plan was amended to increase the aggregate number of shares of Common Stock that may be issued under the 2022 Plan to 2,089,000 new shares with an automatic increase on January 1st of each year by an amount equal to 5% of the Fully Diluted Shares (as defined in the 2022 Plan) as of the last day of the preceding calendar year. As of June 30, 2024, the remaining shares available for grant were 1,846,187 under the 2022 Plan. On July 2, 2024, the Company approved an amendment to the Inducement Plan pursuant to which, the Inducement Plan was amended to increase the aggregate number of shares of Common Stock that may be issued under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the Inducement Plan to 150,000 new shares. As of July 2, 2024 there were 147,290 shares of common stock available for issuance under the Inducement Plan.</w:t>
      </w:r>
    </w:p>
    <w:p>
      <w:pPr>
        <w:spacing w:after="0" w:line="162" w:lineRule="exact"/>
        <w:rPr>
          <w:sz w:val="20"/>
          <w:szCs w:val="20"/>
          <w:color w:val="auto"/>
        </w:rPr>
      </w:pPr>
    </w:p>
    <w:p>
      <w:pPr>
        <w:ind w:left="60" w:right="319"/>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 Company did not grant any stock options or restricted stock units out of the 2022 Plan or the Inducement Plan.</w:t>
      </w:r>
    </w:p>
    <w:p>
      <w:pPr>
        <w:spacing w:after="0" w:line="162"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As of June 30, 2024, there were an aggregate of 245,523 stock options outstanding with a weighted average exercise price of $76.29 per share and no unvested restricted stock units outstanding.</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Total stock-based compensation expense was as follows (in thousands):</w:t>
      </w:r>
    </w:p>
    <w:p>
      <w:pPr>
        <w:spacing w:after="0" w:line="22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4"/>
          </w:tcPr>
          <w:p>
            <w:pPr>
              <w:jc w:val="right"/>
              <w:ind w:right="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5"/>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r>
      <w:tr>
        <w:trPr>
          <w:trHeight w:val="142"/>
        </w:trPr>
        <w:tc>
          <w:tcPr>
            <w:tcW w:w="49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09"/>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09"/>
        </w:trPr>
        <w:tc>
          <w:tcPr>
            <w:tcW w:w="4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0"/>
        </w:trPr>
        <w:tc>
          <w:tcPr>
            <w:tcW w:w="4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499"/>
        <w:spacing w:after="0" w:line="266" w:lineRule="auto"/>
        <w:rPr>
          <w:sz w:val="20"/>
          <w:szCs w:val="20"/>
          <w:color w:val="auto"/>
        </w:rPr>
      </w:pPr>
      <w:r>
        <w:rPr>
          <w:rFonts w:ascii="Times New Roman" w:cs="Times New Roman" w:eastAsia="Times New Roman" w:hAnsi="Times New Roman"/>
          <w:sz w:val="18"/>
          <w:szCs w:val="18"/>
          <w:color w:val="auto"/>
        </w:rPr>
        <w:t>As of June 30, 2024, the total remaining unrecognized compensation expense related to nonvested stock options and restricted stock units was $1.7 million which will be amortized over the weighted-average remaining requisite service period of 0.8 years.</w:t>
      </w:r>
    </w:p>
    <w:p>
      <w:pPr>
        <w:spacing w:after="0" w:line="172" w:lineRule="exact"/>
        <w:rPr>
          <w:sz w:val="20"/>
          <w:szCs w:val="20"/>
          <w:color w:val="auto"/>
        </w:rPr>
      </w:pPr>
    </w:p>
    <w:p>
      <w:pPr>
        <w:ind w:left="360" w:hanging="310"/>
        <w:spacing w:after="0"/>
        <w:tabs>
          <w:tab w:leader="none" w:pos="3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LOSS PER SHARE</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table below presents the computation of basic and diluted loss per share (in thousands, except share and per share information):</w:t>
      </w:r>
    </w:p>
    <w:p>
      <w:pPr>
        <w:spacing w:after="0" w:line="156"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20" w:type="dxa"/>
            <w:vAlign w:val="bottom"/>
            <w:gridSpan w:val="4"/>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20" w:type="dxa"/>
            <w:vAlign w:val="bottom"/>
            <w:gridSpan w:val="4"/>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2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rPr>
              <w:t>Net loss available to common stockholders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basic</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outstanding — basic </w:t>
            </w:r>
            <w:r>
              <w:rPr>
                <w:rFonts w:ascii="Times New Roman" w:cs="Times New Roman" w:eastAsia="Times New Roman" w:hAnsi="Times New Roman"/>
                <w:sz w:val="21"/>
                <w:szCs w:val="21"/>
                <w:color w:val="auto"/>
                <w:vertAlign w:val="superscript"/>
              </w:rPr>
              <w:t>(1)</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2,518,071</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99"/>
              </w:rPr>
              <w:t>564,423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1,667,699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564,279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Loss per share - basic</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shd w:val="clear" w:color="auto" w:fill="CCEEFF"/>
          </w:tcPr>
          <w:p>
            <w:pPr>
              <w:ind w:left="80"/>
              <w:spacing w:after="0" w:line="189" w:lineRule="exact"/>
              <w:rPr>
                <w:sz w:val="20"/>
                <w:szCs w:val="20"/>
                <w:color w:val="auto"/>
              </w:rPr>
            </w:pPr>
            <w:r>
              <w:rPr>
                <w:rFonts w:ascii="Times New Roman" w:cs="Times New Roman" w:eastAsia="Times New Roman" w:hAnsi="Times New Roman"/>
                <w:sz w:val="18"/>
                <w:szCs w:val="18"/>
                <w:color w:val="auto"/>
              </w:rPr>
              <w:t>Net loss available to common stockholders</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xml:space="preserve">— diluted </w:t>
            </w:r>
            <w:r>
              <w:rPr>
                <w:rFonts w:ascii="Times New Roman" w:cs="Times New Roman" w:eastAsia="Times New Roman" w:hAnsi="Times New Roman"/>
                <w:sz w:val="21"/>
                <w:szCs w:val="21"/>
                <w:color w:val="auto"/>
                <w:vertAlign w:val="superscript"/>
              </w:rPr>
              <w:t>(2)</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20" w:type="dxa"/>
            <w:vAlign w:val="bottom"/>
          </w:tcPr>
          <w:p>
            <w:pPr>
              <w:ind w:left="80"/>
              <w:spacing w:after="0" w:line="189" w:lineRule="exact"/>
              <w:rPr>
                <w:sz w:val="20"/>
                <w:szCs w:val="20"/>
                <w:color w:val="auto"/>
              </w:rPr>
            </w:pPr>
            <w:r>
              <w:rPr>
                <w:rFonts w:ascii="Times New Roman" w:cs="Times New Roman" w:eastAsia="Times New Roman" w:hAnsi="Times New Roman"/>
                <w:sz w:val="18"/>
                <w:szCs w:val="18"/>
                <w:color w:val="auto"/>
              </w:rPr>
              <w:t>Weighted average common shares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xml:space="preserve">outstanding — diluted </w:t>
            </w:r>
            <w:r>
              <w:rPr>
                <w:rFonts w:ascii="Times New Roman" w:cs="Times New Roman" w:eastAsia="Times New Roman" w:hAnsi="Times New Roman"/>
                <w:sz w:val="21"/>
                <w:szCs w:val="21"/>
                <w:color w:val="auto"/>
                <w:vertAlign w:val="superscript"/>
              </w:rPr>
              <w:t>(1)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2,518,071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99"/>
              </w:rPr>
              <w:t>564,423</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1,667,699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564,279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Loss per share — diluted</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80" w:right="79" w:hanging="317"/>
        <w:spacing w:after="0" w:line="247" w:lineRule="auto"/>
        <w:tabs>
          <w:tab w:leader="none" w:pos="8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In May 2024 in connection with the 2024 Public Offering the Company issued and sold Pre-funded Warrants exercisable for an aggregate of 2,147,222 shares of Common Stock. The total price of the Pre-funded Warrants is $2.25 per share, $2.249 of which was pre-funded and paid to the Company upon issuance of the Pre-funded Warrants. The exercise price of the Pre-funded Warrants is $0.001 per share. The Pre-funded Warrants are immediately exercisable and do not expire. As of June 30, 2024, 1,604,778 Pre-funded Warrants were exercised and 542,444 Pre-funded Warrants remained outstanding. As the remaining shares underlying the Pre-funded Warrants are exercisable for nominal consideration of $0.001 per share, 542,444 in common shares underlying the unexercised Pre-funded Warrants were considered outstanding for purposes of the calculation of loss per share as of June 30, 2024. Refer to Note 6 for additional information about the 2024 Public Offering and the Pre-funded Warrants.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880" w:hanging="317"/>
        <w:spacing w:after="0"/>
        <w:tabs>
          <w:tab w:leader="none" w:pos="880"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For the six months ended June 30, 2024 and 2023, no adjustment was made to the numerator.</w:t>
      </w:r>
    </w:p>
    <w:p>
      <w:pPr>
        <w:spacing w:after="0" w:line="198" w:lineRule="exact"/>
        <w:rPr>
          <w:sz w:val="20"/>
          <w:szCs w:val="20"/>
          <w:color w:val="auto"/>
        </w:rPr>
      </w:pPr>
    </w:p>
    <w:p>
      <w:pPr>
        <w:ind w:left="60" w:right="339"/>
        <w:spacing w:after="0" w:line="266" w:lineRule="auto"/>
        <w:rPr>
          <w:sz w:val="20"/>
          <w:szCs w:val="20"/>
          <w:color w:val="auto"/>
        </w:rPr>
      </w:pPr>
      <w:r>
        <w:rPr>
          <w:rFonts w:ascii="Times New Roman" w:cs="Times New Roman" w:eastAsia="Times New Roman" w:hAnsi="Times New Roman"/>
          <w:sz w:val="18"/>
          <w:szCs w:val="18"/>
          <w:color w:val="auto"/>
        </w:rPr>
        <w:t>The following outstanding securities, presented based on amounts outstanding as of the end of each period, were not included in the computation of diluted net loss per share for the periods indicated, as they would have been anti-dilutive due to the net loss in each period.</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840" w:type="dxa"/>
            <w:vAlign w:val="bottom"/>
            <w:gridSpan w:val="4"/>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00" w:type="dxa"/>
            <w:vAlign w:val="bottom"/>
            <w:gridSpan w:val="3"/>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360" w:type="dxa"/>
            <w:vAlign w:val="bottom"/>
          </w:tcPr>
          <w:p>
            <w:pPr>
              <w:spacing w:after="0"/>
              <w:rPr>
                <w:sz w:val="15"/>
                <w:szCs w:val="15"/>
                <w:color w:val="auto"/>
              </w:rPr>
            </w:pPr>
          </w:p>
        </w:tc>
        <w:tc>
          <w:tcPr>
            <w:tcW w:w="1840" w:type="dxa"/>
            <w:vAlign w:val="bottom"/>
            <w:gridSpan w:val="4"/>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700" w:type="dxa"/>
            <w:vAlign w:val="bottom"/>
            <w:gridSpan w:val="3"/>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42"/>
        </w:trPr>
        <w:tc>
          <w:tcPr>
            <w:tcW w:w="536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245,523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245,407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245,523</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245,407</w:t>
            </w:r>
          </w:p>
        </w:tc>
      </w:tr>
      <w:tr>
        <w:trPr>
          <w:trHeight w:val="21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5,540</w:t>
            </w:r>
          </w:p>
        </w:tc>
      </w:tr>
      <w:tr>
        <w:trPr>
          <w:trHeight w:val="216"/>
        </w:trPr>
        <w:tc>
          <w:tcPr>
            <w:tcW w:w="536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Warrants </w:t>
            </w:r>
            <w:r>
              <w:rPr>
                <w:rFonts w:ascii="Times New Roman" w:cs="Times New Roman" w:eastAsia="Times New Roman" w:hAnsi="Times New Roman"/>
                <w:sz w:val="21"/>
                <w:szCs w:val="21"/>
                <w:color w:val="auto"/>
                <w:vertAlign w:val="superscript"/>
              </w:rPr>
              <w:t>(1)</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6,460,712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731,853</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6,460,712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731,853</w:t>
            </w:r>
          </w:p>
        </w:tc>
      </w:tr>
    </w:tbl>
    <w:p>
      <w:pPr>
        <w:spacing w:after="0" w:line="9" w:lineRule="exact"/>
        <w:rPr>
          <w:sz w:val="20"/>
          <w:szCs w:val="20"/>
          <w:color w:val="auto"/>
        </w:rPr>
      </w:pPr>
    </w:p>
    <w:p>
      <w:pPr>
        <w:ind w:left="880" w:right="79" w:hanging="317"/>
        <w:spacing w:after="0" w:line="234" w:lineRule="auto"/>
        <w:tabs>
          <w:tab w:leader="none" w:pos="880" w:val="left"/>
        </w:tabs>
        <w:numPr>
          <w:ilvl w:val="1"/>
          <w:numId w:val="1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Anti-dilutive warrants include the 2022 Warrants, Series A Warrants, Series B Warrants and other equity classified warrants that are out-of-the-money.</w:t>
      </w:r>
    </w:p>
    <w:p>
      <w:pPr>
        <w:spacing w:after="0" w:line="200" w:lineRule="exact"/>
        <w:rPr>
          <w:rFonts w:ascii="Times New Roman" w:cs="Times New Roman" w:eastAsia="Times New Roman" w:hAnsi="Times New Roman"/>
          <w:sz w:val="22"/>
          <w:szCs w:val="22"/>
          <w:color w:val="auto"/>
          <w:vertAlign w:val="superscript"/>
        </w:rPr>
      </w:pPr>
    </w:p>
    <w:p>
      <w:pPr>
        <w:spacing w:after="0" w:line="238" w:lineRule="exact"/>
        <w:rPr>
          <w:rFonts w:ascii="Times New Roman" w:cs="Times New Roman" w:eastAsia="Times New Roman" w:hAnsi="Times New Roman"/>
          <w:sz w:val="22"/>
          <w:szCs w:val="22"/>
          <w:color w:val="auto"/>
          <w:vertAlign w:val="superscript"/>
        </w:rPr>
      </w:pPr>
    </w:p>
    <w:p>
      <w:pPr>
        <w:ind w:left="360" w:hanging="310"/>
        <w:spacing w:after="0"/>
        <w:tabs>
          <w:tab w:leader="none" w:pos="3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ind w:left="60" w:right="119"/>
        <w:spacing w:after="0" w:line="258" w:lineRule="auto"/>
        <w:rPr>
          <w:sz w:val="20"/>
          <w:szCs w:val="20"/>
          <w:color w:val="auto"/>
        </w:rPr>
      </w:pPr>
      <w:r>
        <w:rPr>
          <w:rFonts w:ascii="Times New Roman" w:cs="Times New Roman" w:eastAsia="Times New Roman" w:hAnsi="Times New Roman"/>
          <w:sz w:val="18"/>
          <w:szCs w:val="18"/>
          <w:color w:val="auto"/>
        </w:rPr>
        <w:t>The Company is obligated under a license agreement with Advanced NeuroRehabilitation, LLC to pay a 4% royalty on net revenue collected from the sale of devices covered by the patent-pending technology. During the three and six months ended June 30, 2024 and 2023, the Company recorded royalty expense from the sale of devices of approximately $7 thousand and $12 thousand, $10 thousand and $14 thousand, respectively, in its Unaudited Condensed Consolidated Statements of Operations and Comprehensive Loss.</w:t>
      </w:r>
    </w:p>
    <w:p>
      <w:pPr>
        <w:spacing w:after="0" w:line="179" w:lineRule="exact"/>
        <w:rPr>
          <w:sz w:val="20"/>
          <w:szCs w:val="20"/>
          <w:color w:val="auto"/>
        </w:rPr>
      </w:pPr>
    </w:p>
    <w:p>
      <w:pPr>
        <w:ind w:left="460" w:hanging="410"/>
        <w:spacing w:after="0"/>
        <w:tabs>
          <w:tab w:leader="none" w:pos="4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ENTERPRISE-WIDE DISCLOSURES</w:t>
      </w:r>
    </w:p>
    <w:p>
      <w:pPr>
        <w:spacing w:after="0" w:line="229" w:lineRule="exact"/>
        <w:rPr>
          <w:sz w:val="20"/>
          <w:szCs w:val="20"/>
          <w:color w:val="auto"/>
        </w:rPr>
      </w:pPr>
    </w:p>
    <w:p>
      <w:pPr>
        <w:ind w:left="60" w:right="79"/>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for which discrete financial information is available that is evaluated regularly by the chief operating decision maker (“CODM”) in deciding how to allocate resources and in assessing performance. Our CODM is the Chief Executive Officer. The Company operates and manages its business within one operating and reportable segment related to the sale of PoNS devices directly to patients in the United States and to clinics in Canada.</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the Company’s revenue disaggregated by geographic area (in thousands):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340" w:type="dxa"/>
            <w:vAlign w:val="bottom"/>
          </w:tcPr>
          <w:p>
            <w:pPr>
              <w:spacing w:after="0"/>
              <w:rPr>
                <w:sz w:val="13"/>
                <w:szCs w:val="13"/>
                <w:color w:val="auto"/>
              </w:rPr>
            </w:pPr>
          </w:p>
        </w:tc>
        <w:tc>
          <w:tcPr>
            <w:tcW w:w="2260" w:type="dxa"/>
            <w:vAlign w:val="bottom"/>
            <w:gridSpan w:val="4"/>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60" w:type="dxa"/>
            <w:vAlign w:val="bottom"/>
          </w:tcPr>
          <w:p>
            <w:pPr>
              <w:spacing w:after="0"/>
              <w:rPr>
                <w:sz w:val="13"/>
                <w:szCs w:val="13"/>
                <w:color w:val="auto"/>
              </w:rPr>
            </w:pPr>
          </w:p>
        </w:tc>
      </w:tr>
      <w:tr>
        <w:trPr>
          <w:trHeight w:val="173"/>
        </w:trPr>
        <w:tc>
          <w:tcPr>
            <w:tcW w:w="334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jc w:val="right"/>
              <w:ind w:right="61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60" w:type="dxa"/>
            <w:vAlign w:val="bottom"/>
            <w:tcBorders>
              <w:bottom w:val="single" w:sz="8" w:color="auto"/>
            </w:tcBorders>
          </w:tcPr>
          <w:p>
            <w:pPr>
              <w:spacing w:after="0"/>
              <w:rPr>
                <w:sz w:val="15"/>
                <w:szCs w:val="15"/>
                <w:color w:val="auto"/>
              </w:rPr>
            </w:pPr>
          </w:p>
        </w:tc>
      </w:tr>
      <w:tr>
        <w:trPr>
          <w:trHeight w:val="142"/>
        </w:trPr>
        <w:tc>
          <w:tcPr>
            <w:tcW w:w="33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8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7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0"/>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sales, net:</w:t>
            </w: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w:t>
            </w:r>
          </w:p>
        </w:tc>
        <w:tc>
          <w:tcPr>
            <w:tcW w:w="82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8"/>
                <w:szCs w:val="18"/>
                <w:color w:val="auto"/>
              </w:rPr>
            </w:pP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6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Pr>
          <w:p>
            <w:pPr>
              <w:spacing w:after="0"/>
              <w:rPr>
                <w:sz w:val="18"/>
                <w:szCs w:val="18"/>
                <w:color w:val="auto"/>
              </w:rPr>
            </w:pPr>
          </w:p>
        </w:tc>
        <w:tc>
          <w:tcPr>
            <w:tcW w:w="460" w:type="dxa"/>
            <w:vAlign w:val="bottom"/>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3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c>
          <w:tcPr>
            <w:tcW w:w="8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09"/>
        </w:trPr>
        <w:tc>
          <w:tcPr>
            <w:tcW w:w="3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product sales, net</w:t>
            </w: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16"/>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revenue</w:t>
            </w:r>
          </w:p>
        </w:tc>
        <w:tc>
          <w:tcPr>
            <w:tcW w:w="8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8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40" w:type="dxa"/>
            <w:vAlign w:val="bottom"/>
          </w:tcPr>
          <w:p>
            <w:pPr>
              <w:spacing w:after="0"/>
              <w:rPr>
                <w:sz w:val="18"/>
                <w:szCs w:val="18"/>
                <w:color w:val="auto"/>
              </w:rPr>
            </w:pPr>
          </w:p>
        </w:tc>
        <w:tc>
          <w:tcPr>
            <w:tcW w:w="8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40" w:type="dxa"/>
            <w:vAlign w:val="bottom"/>
          </w:tcPr>
          <w:p>
            <w:pPr>
              <w:spacing w:after="0"/>
              <w:rPr>
                <w:sz w:val="18"/>
                <w:szCs w:val="18"/>
                <w:color w:val="auto"/>
              </w:rPr>
            </w:pPr>
          </w:p>
        </w:tc>
        <w:tc>
          <w:tcPr>
            <w:tcW w:w="46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0"/>
        </w:trPr>
        <w:tc>
          <w:tcPr>
            <w:tcW w:w="3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Three customers accounted for 97% and two customers accounted for 88% of net product sales for the three and six months ended June 30, 2024, respectively, and two customers accounted for 64% and one customer accounted for 35% of net product sales for the three and six months ended June 30, 2023, respectively. A single customer accounted for 100% and 83% of accounts receivable, net as of June 30, 2024 and December 31, 2023, respectively.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33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9" w:lineRule="exact"/>
        <w:rPr>
          <w:sz w:val="20"/>
          <w:szCs w:val="20"/>
          <w:color w:val="auto"/>
        </w:rPr>
      </w:pPr>
    </w:p>
    <w:p>
      <w:pPr>
        <w:ind w:left="60" w:right="59"/>
        <w:spacing w:after="0" w:line="253" w:lineRule="auto"/>
        <w:rPr>
          <w:sz w:val="20"/>
          <w:szCs w:val="20"/>
          <w:color w:val="auto"/>
        </w:rPr>
      </w:pPr>
      <w:r>
        <w:rPr>
          <w:rFonts w:ascii="Times New Roman" w:cs="Times New Roman" w:eastAsia="Times New Roman" w:hAnsi="Times New Roman"/>
          <w:sz w:val="18"/>
          <w:szCs w:val="18"/>
          <w:color w:val="auto"/>
        </w:rPr>
        <w:t>Unless otherwise specified or the context otherwise requires, references to “we,” “us,” “our,” “Helius” or “Company” mean Helius Medical Technologies, Inc. and its wholly owned operating subsidiaries, Helius Medical, Inc. (“HMI”) and Helius Medical Technologies (Canada), Inc. (“HMC”). The interim financial statements and this Management’s Discussion and Analysis of Financial Condition and Results of Operations should be read in conjunction with the financial statements and notes thereto for the year ended December 31, 2023, and the related Management’s Discussion and Analysis of Financial Condition and Results of Operations, both of which are contained in our Annual Report on Form 10-K for the year ended December 31, 2023 filed with the Securities and Exchange Commission (“SEC”) on March 28, 2024 (the “2023 10-K”). All financial information is stated in U.S. dollars unless otherwise specified. Our Unaudited Condensed Consolidated Financial Statements are prepared in accordance with accounting principles generally accepted in the United States (“U.S. GAAP”).</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60" w:right="59"/>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risks and uncertainties, including statements regarding the Company’s market, strategy, competition, capital needs, business plans and expectations. Any statements contained herein that are not statements of historical facts may be deemed to be forward-looking statements. In some cases, you can identify forward-looking statements by terminology such as “may”, “will”, “should”, “expect”, “plan”, “intend”, “anticipate”, “believe”, “estimate”, “predict”, “potential” or “continue”, the negative of such terms or other comparable terminology. Forward-looking statements are made, without limitation, in relation to the Company’s future growth and operational progress including expected enrollment, receipt of prescriptions and progress of commercialization of the PoNS device in the U.S., the impacts of the current global macroeconomic environment on the Company, the issuance by the Centers for Medicare &amp; Medicaid Services (“CMS”) of rules regarding coverage of emerging technologies, clinical development plans, product development activities, the safety and effectiveness of the Company’s product, the manufacturing plans for the Company’s product, sufficiency of cash and availability of funds and operating costs and our ability to continue as a going concern and future liquidity. Such forward-looking statements involve risks and uncertainties, known and unknown, including capital requirements to achieve the Company’s business objectives, the impact on the Company of global macroeconomic conditions including effects from supply chain constraints, logistics challenges, labor shortages, disruptions in the banking system and financial markets, high levels of inflation and increased interest rates on the Company’s ability to operate its business and access capital markets, the success of the Company’s business plan, including the Company’s ability to secure contracts with rehabilitation clinics, obtain national Medicare coverage and a reimbursement code so that the PoNS device is covered by Medicare and Medicaid, to build internal commercial infrastructure, secure state distribution licenses, build a commercial team and build relationships with Key Opinion Leaders, neurology experts and neurorehabilitation centers, market awareness of the PoNS device, availability of funds, manufacturing, the Company’s ability to maintain and enforce its intellectual property rights, clinical trials and the clinical development process, the product development process, the regulatory submission review and approval process, the Company’s operating costs and use of cash, and the Company’s ability to achieve significant revenues and other factors discussed in the section entitled “Item 1A. Risk Factors” in our 2023 10-K and those described from time to time in the Company’s future reports filed with the SEC. While these forward-looking statements, and any assumptions upon which they are based, are made in good faith, based on information available to the Company as of the date hereof, and reflect the Company’s current judgment regarding its business plans, Helius cannot guarantee future results, events, levels of activity, performance or achievement and its actual results will almost always vary, sometimes materially, from any estimates, predictions, projections, assumptions or other future performance suggested herein. The Company does not intend, and undertakes no obligation, to update or revise any of the forward-looking statements as a result of new information, future events or otherwise or to conform these statements to actual results, except as required by applicable law, including the securities laws of the United States.</w:t>
      </w:r>
    </w:p>
    <w:p>
      <w:pPr>
        <w:spacing w:after="0" w:line="201"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the Company’s financial condition and results of operations should be read in conjunction with its unaudited condensed consolidated financial statements and related notes appearing elsewhere in this Quarterly Report on Form 10-Q.</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60" w:right="259"/>
        <w:spacing w:after="0" w:line="282" w:lineRule="auto"/>
        <w:rPr>
          <w:sz w:val="20"/>
          <w:szCs w:val="20"/>
          <w:color w:val="auto"/>
        </w:rPr>
      </w:pPr>
      <w:r>
        <w:rPr>
          <w:rFonts w:ascii="Times New Roman" w:cs="Times New Roman" w:eastAsia="Times New Roman" w:hAnsi="Times New Roman"/>
          <w:sz w:val="18"/>
          <w:szCs w:val="18"/>
          <w:color w:val="auto"/>
        </w:rPr>
        <w:t>We are a neurotechnology company focused on neurological wellness. Our purpose is to develop, license or acquire non-implantable technologies targeted at reducing symptoms of neurological disease or trauma.</w:t>
      </w:r>
    </w:p>
    <w:p>
      <w:pPr>
        <w:spacing w:after="0" w:line="154" w:lineRule="exact"/>
        <w:rPr>
          <w:sz w:val="20"/>
          <w:szCs w:val="20"/>
          <w:color w:val="auto"/>
        </w:rPr>
      </w:pPr>
    </w:p>
    <w:p>
      <w:pPr>
        <w:ind w:left="60" w:right="79"/>
        <w:spacing w:after="0" w:line="237" w:lineRule="auto"/>
        <w:rPr>
          <w:sz w:val="20"/>
          <w:szCs w:val="20"/>
          <w:color w:val="auto"/>
        </w:rPr>
      </w:pPr>
      <w:r>
        <w:rPr>
          <w:rFonts w:ascii="Times New Roman" w:cs="Times New Roman" w:eastAsia="Times New Roman" w:hAnsi="Times New Roman"/>
          <w:sz w:val="18"/>
          <w:szCs w:val="18"/>
          <w:color w:val="auto"/>
        </w:rPr>
        <w:t>Our product, known as the Portable Neuromodulation Stimulator, or PoNS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is an innovative non-implantable medical device, inclusive of a controller and mouthpiece, which delivers mild electrical stimulation to the surface of the tongue to provide treatment of gait deficit and chronic balance deficit. PoNS Therapy</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is integral to the overall PoNS solution and is the physical therapy applied by patients during use of the PoNS device. PoNS has marketing clearance in the U.S. for use as a short-term treatment of gait deficit due to mild-to-moderate symptoms for multiple sclerosis (“MS’) and is to be used as an adjunct to a supervised therapeutic exercise program in patients 22 years of age and over by prescription only. We began accepting prescriptions for PoNS in the U.S. in March 2022, and commercial sales of PoNS commenced in April 2022. PoNS is authorized for sale in Canada for three indications: (i) as a short term treatment (14 weeks) of chronic balance deficit due to mild-to-moderate traumatic brain injury and is to be used in conjunction with physical therapy; (ii) as a short term treatment (14 weeks) of gait deficit due to mild and moderate symptoms from MS and it is to be used in conjunction with physical therapy; and (iii) as a short term treatment (14 weeks) of gait deficit due to mild and moderate symptoms from stroke, to be used in conjunction with physical therapy. It has been commercially available in Canada since March 2019. PoNS is authorized for sale as a Class IIa medical device in Australia and we have been seeking a business partner to commercialize and distribute PoNS in Australia.</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Corporate Updates</w:t>
      </w:r>
    </w:p>
    <w:p>
      <w:pPr>
        <w:spacing w:after="0" w:line="22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On August 9, 2024, we received written notice (the “Notification Letter”) from The Nasdaq Stock Market LLC (“Nasdaq”) notifying us that the Company was not in compliance with the minimum bid price requirements set forth in Nasdaq Listing Rule 5550(a)(2) for continued listing on the Nasdaq Capital Market. Nasdaq Listing Rule 5550(a)(2) requires listed securities maintain a minimum closing bid price of $1.00 per share, and Nasdaq Listing Rule 5810(c)(3)(A) provides that a failure to meet the minimum closing bid price requirement exists if the deficiency continues for a period of 30 consecutive business days. Based on the closing bid price of the Company’s Class A common stock (“Common Stock”) for the 30 consecutive business days prior to the date of the Notification Letter, the Company did not meet the minimum closing bid price requirement. To regain compliance, the closing bid price of the Company’s Common Stock must be at least $1.00 per share for a minimum of 10 consecutive business days at any time prior to February 5, 2025. There can be no assurance that we will be able to regain compliance with the minimum bid price requirement and other Nasdaq listing criteria. If we fail to meet the applicable continued listing requirements for the Nasdaq Capital Market, Nasdaq may delist our Common Stock. If such delisting should occur, it would likely have a negative effect on the price of our Common Stock and would impair an investor’s ability to sell or purchase our Common Stock when desired.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 Additionally, Nasdaq rules allow an expedited delisting of securities of companies that have had one or more reverse stock splits with a cumulative ratio of one for 250 or more shares over the prior two-year period. Under these rules, if a company falls out of compliance with the $1.00 minimum bid price after completing reverse stock splits over the immediately preceding two years that cumulatively result in a ratio one for 250 shares, the company will not be able to avail itself of any compliance periods and Nasdaq will instead require the issuance of a Staff delisting determination, which is appealable to a hearings panel. Our ability to remain listed on the Nasdaq Capital Market may be negatively impacted by this Nasdaq rule.</w:t>
      </w:r>
    </w:p>
    <w:p>
      <w:pPr>
        <w:spacing w:after="0" w:line="20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discussed further in Note 6 to our unaudited condensed consolidated financial statements, in May 2024, the Company closed on a registered public offering of its Common Stock and warrants and received net proceeds of approximately $5.5 million.</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April 4, 2024, the Company received written notice from Nasdaq stating that the Company no longer complied with the minimum stockholders’ equity requirement under Nasdaq Listing Rule 5550(b)(1) for continued listing on The Nasdaq</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Stock Market LLC because the Company’s stockholders' equity, as reported in our 2023 10-K, had fallen below $2.5 million. The notice also indicated that the Company did not meet the alternative compliance standards. Under applicable Nasdaq rules, the Company had 45 calendar days from the date of the notice, or until May 20, 2024, to submit a plan to regain compliance. On May 31, 2024, the Company received formal notification from Nasdaq confirming that, following the consummation of a registered public offering on May 9, 2024, the Company regained compliance with the minimum stockholders’ equity requirement, and that the Company satisfies all other applicable criteria for continued listing on The Nasdaq Capital Market.</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second quarter of 2024, the Company received the first third-party reimbursement from a major insurance carrier at a 7% rebate, which results in pricing of $23,900 for the PoNS device, comprised of $16,554 for the PoNS controller and $7,347 for the PoNS mouthpiece, exclusive of rounding.</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During the first quarter of 2024, the Company partnered with Lovell Government Services (“Lovell”), an SBA-certified Service-Disabled Veteran-Owned Small Business (“SDVOSB”), to make the PoNS device available to federal healthcare systems. In May 2024, PoNS became available on the Veteran Affairs Federal Supply Schedule and General Services Administration Advantage Contracts at $23,843.72 for the PoNS device and $7,344.97 for the PoNS mouthpiece. In July 2024, PoNS became available to the Department of Defense and U.S. Military facilities on the Distribution and Pricing Agreement (“DAPA”) at $23,724.50 for the PoNS device and $7,308.25 for the PoNS mouthpiece.</w:t>
      </w:r>
    </w:p>
    <w:p>
      <w:pPr>
        <w:spacing w:after="0" w:line="1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June 2024, the Company began establishing sales representative agreements with organizations and individuals to sell PoNS devices to Veterans Affairs (“VA”) facilities in the U.S. The Company has since established agreements with representatives covering facilities in 13 states and Puerto Rico.</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Presently, PoNS Therapy is not covered by CMS or reimbursed under contract by any third-party payers in the U.S. We are pursuing commercial insurance coverage and Medicare reimbursement for PoNS within the Durable Medical Equipment (“DME”) benefit category. On February 29, 2024, CMS assigned HCPCS Level II codes to the PoNS controller and PoNS mouthpiece, effective April 1, 2024. On May 2, 2024, CMS published a proposed fee schedule payment rates for the PoNS controller and PoNS mouthpiece to be discussed at CMS' bi-annual Healthcare Common Procedure Coding System (“HCPCS”) public meeting to be held on May 29, 2024. For the PoNS Controller (HCPCS Code A4593), CMS preliminarily set pricing by mapping reimbursement to existing code E0745, (Neuromuscular stimulator, electronic shock unit), resulting in a capped fee of $1,206.53. For the PoNS Mouthpiece (HCPCS code A4594), CMS based pricing on the previously offered, temporary, cash pay price of $4,500, resulting in a total capped payment of $3,075.53.</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subsequently provided CMS additional information to support reimbursement economics and presented that information at the public meeting with CMS on May 29, 2024 for consideration by CMS for determination of the final reimbursement amount for each of the PoNS controller and mouthpiece. The Company expects that CMS will publish final reimbursement amounts in late August or early September to be effective October 1, 2024.</w:t>
      </w:r>
    </w:p>
    <w:p>
      <w:pPr>
        <w:spacing w:after="0" w:line="18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During the first quarter of 2024, the Company reached alignment with the FDA on a registrational program to evaluate the therapeutic benefit of PoNS on gait and balance deficits in chronic stroke subjects that consists of an investigator initiated clinical trial in collaboration with Medical University of South Carolina, which commenced in 2023 and is currently enrolling participants at two US sites, and a company-sponsored open label study, currently ongoing and, since the first quarter of 2024, enrolling participants at five additional US sites. To support national reimbursement in Canada, Helius has begun an additional study on the use of PoNS Therapy to treat stroke targeting enrollment of 40 to 60 subjects by the end of 2024 at three Canadian centers of excellence for stroke rehabilitation. The sites have started enrollment in July and the results from this study will be part of the data package submission to obtain FDA authorization for stroke in the United States. Enrollment for the registrational program is expected to be completed by the end of 2024 with a submission to FDA targeted for mid-to-late 2025. An outcome research program to assess the effect of on-label PoNS Therapy on the risk of falling in subjects with gait and balance deficit due to stroke, traumatic brain injury, and multiple sclerosis is ongoing in Canada with results expected by the end of 2024.</w:t>
      </w:r>
    </w:p>
    <w:p>
      <w:pPr>
        <w:spacing w:after="0" w:line="19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third quarter of 2023, the Company began implementing the transition of the manufacturing of PoNS device controllers and mouthpieces to Minnetronix, Inc. from its previous contract manufacturer, Key Tronic Corporation. The Company expects the transition to be fully completed in the third quarter of 2024.</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will continue to monitor the development of CMS’s new pathway for coverage of innovative new devices, Transitional Coverage of Emerging Technology (“TCET”), which is replacing the repealed Medicare Coverage of Innovative Technologies rule. CMS is expected to provide additional information about TCET to the public for comments in 2024. As we follow the evolution of TCET, we will continue to assess our evidence generation strategy to reach the greatest potential to gain CMS reimbursement benefits as a result of our breakthrough designation in MS.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also intend to provide broad access and reimbursement for the PoNS Therapy over time through commercial insurers. Prior to the initiation of CMS or broad commercial payer coverage, we anticipate the primary source of sales will be self-pay and VA patients. We expect to support the cost of the PoNS Therapy by working with advocacy groups and charitable organizations to help self-pay patients access our technology. In general, we anticipate that it will take at least 24 months to obtain broad coverage and reimbursement among government and private payers from the date that the HCPCS codes became effective.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Material Trends and Uncertainties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Global Economic Conditions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Generally, worldwide economic conditions remain uncertain, in part due to supply chain disruptions, labor shortages, global conflicts and increased inflation. The general economic and capital market conditions both in the U.S. and worldwide, have been volatile in recent years and at times have adversely affected our access to capital and have increased the cost of capital. The capital and credit markets may not be available to support future capital raising activity on favorable terms. If economic conditions continue to remain volatile or decline, our future cost of equity or debt capital and access to the capital markets could be adversely affected.</w:t>
      </w:r>
    </w:p>
    <w:p>
      <w:pPr>
        <w:spacing w:after="0" w:line="187" w:lineRule="exact"/>
        <w:rPr>
          <w:sz w:val="20"/>
          <w:szCs w:val="20"/>
          <w:color w:val="auto"/>
        </w:rPr>
      </w:pPr>
    </w:p>
    <w:p>
      <w:pPr>
        <w:ind w:left="60" w:right="119"/>
        <w:spacing w:after="0" w:line="255" w:lineRule="auto"/>
        <w:rPr>
          <w:sz w:val="20"/>
          <w:szCs w:val="20"/>
          <w:color w:val="auto"/>
        </w:rPr>
      </w:pPr>
      <w:r>
        <w:rPr>
          <w:rFonts w:ascii="Times New Roman" w:cs="Times New Roman" w:eastAsia="Times New Roman" w:hAnsi="Times New Roman"/>
          <w:sz w:val="18"/>
          <w:szCs w:val="18"/>
          <w:color w:val="auto"/>
        </w:rPr>
        <w:t>Our operating results could be materially impacted by changes in the overall macroeconomic environment and other economic factors. Changes in economic conditions, supply chain constraints, logistics challenges, labor shortages, global conflicts such as the conflicts in Ukraine and in the Middle East, and steps taken by governments and central banks as well as other stimulus and spending programs, have led to higher inflation, which has led to an increase in costs and has caused changes in fiscal and monetary policy, including increased interest rates. Although we may take measures to mitigate these impacts, if these measures are not effective, our business, financial condition, results of operations, and liquidity could be materially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compared to the Three Months Ended June 30, 2023</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2024 and 2023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16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5"/>
                <w:szCs w:val="15"/>
                <w:color w:val="auto"/>
              </w:rPr>
            </w:pPr>
          </w:p>
        </w:tc>
        <w:tc>
          <w:tcPr>
            <w:tcW w:w="80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0"/>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product sales, net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0"/>
        </w:trPr>
        <w:tc>
          <w:tcPr>
            <w:tcW w:w="58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3,334</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0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0"/>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Nonoperating income, net</w:t>
            </w:r>
          </w:p>
        </w:tc>
        <w:tc>
          <w:tcPr>
            <w:tcW w:w="1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0" w:right="379"/>
        <w:spacing w:after="0" w:line="261" w:lineRule="auto"/>
        <w:rPr>
          <w:sz w:val="20"/>
          <w:szCs w:val="20"/>
          <w:color w:val="auto"/>
        </w:rPr>
      </w:pPr>
      <w:r>
        <w:rPr>
          <w:rFonts w:ascii="Times New Roman" w:cs="Times New Roman" w:eastAsia="Times New Roman" w:hAnsi="Times New Roman"/>
          <w:sz w:val="18"/>
          <w:szCs w:val="18"/>
          <w:color w:val="auto"/>
        </w:rPr>
        <w:t>The decrease in net product sales for the three months ended June 30, 2024 as compared to the same period in the prior year was primarily attributable to a decrease in U.S. sales of PoNS systems after the termination of our Patient Therapy Access Program (“PTAP”) on June 30, 2023 as well as the termination of the previously offered temporary cash pay pricing in May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left="60" w:right="159"/>
        <w:spacing w:after="0" w:line="282" w:lineRule="auto"/>
        <w:rPr>
          <w:sz w:val="20"/>
          <w:szCs w:val="20"/>
          <w:color w:val="auto"/>
        </w:rPr>
      </w:pPr>
      <w:r>
        <w:rPr>
          <w:rFonts w:ascii="Times New Roman" w:cs="Times New Roman" w:eastAsia="Times New Roman" w:hAnsi="Times New Roman"/>
          <w:sz w:val="18"/>
          <w:szCs w:val="18"/>
          <w:color w:val="auto"/>
        </w:rPr>
        <w:t>The cost of revenue decrease for the three months ended June 30, 2024 was primarily attributable to lower sales compared to the same period in the prior year.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left="60" w:right="179"/>
        <w:spacing w:after="0" w:line="266" w:lineRule="auto"/>
        <w:rPr>
          <w:sz w:val="20"/>
          <w:szCs w:val="20"/>
          <w:color w:val="auto"/>
        </w:rPr>
      </w:pPr>
      <w:r>
        <w:rPr>
          <w:rFonts w:ascii="Times New Roman" w:cs="Times New Roman" w:eastAsia="Times New Roman" w:hAnsi="Times New Roman"/>
          <w:sz w:val="18"/>
          <w:szCs w:val="18"/>
          <w:color w:val="auto"/>
        </w:rPr>
        <w:t>Gross profit for the three months ended June 30, 2024 was $64 thousand compared to $72 thousand for the same period in the prior year. The decrease was primarily a result of an increase in fixed overhead costs, which were primarily comprised of salaries and benefits of employees involved in management of the supply chain.</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ind w:left="60" w:right="279"/>
        <w:spacing w:after="0" w:line="282" w:lineRule="auto"/>
        <w:rPr>
          <w:sz w:val="20"/>
          <w:szCs w:val="20"/>
          <w:color w:val="auto"/>
        </w:rPr>
      </w:pPr>
      <w:r>
        <w:rPr>
          <w:rFonts w:ascii="Times New Roman" w:cs="Times New Roman" w:eastAsia="Times New Roman" w:hAnsi="Times New Roman"/>
          <w:sz w:val="18"/>
          <w:szCs w:val="18"/>
          <w:color w:val="auto"/>
        </w:rPr>
        <w:t>The selling, general and administrative expenses in the first quarter of 2024 as compared to the same period in prior year remained relatively flat year to year.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expenses was driven primarily by an increase in clinical trial activities for stroke and risk of fall programs.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Amortization Expense</w:t>
      </w:r>
    </w:p>
    <w:p>
      <w:pPr>
        <w:spacing w:after="0" w:line="22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Amortization expense was primarily comprised of the amortization of acquired finite-lived intangible assets. The change in amortization expense period over period is primarily due to certain intangible assets becoming fully amortized.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27"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Net interest expense for the three months ended June 30, 2024 compared to net interest income in the prior year period resulted from lower cash balances earning interest income year to year, respectively, offset by interest expense related to lease commitments.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Liability</w:t>
      </w:r>
    </w:p>
    <w:p>
      <w:pPr>
        <w:spacing w:after="0" w:line="227"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As discussed in more detail in Note 6 to our Unaudited Condensed Consolidated Financial Statements, the warrants issued in connection with the public offering completed on August 9, 2022 are being accounted for as a derivative liability instrument. The gain on change in fair value of derivative liability for the three months ended June 30, 2024 of $1.7 million was primarily due to a decrease in our stock price.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Exchange Loss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change in foreign exchange (loss) gain was primarily due to fluctuations in the Canadian to U.S. dollar exchange rates.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Other income for the three months ended June 30, 2024 was primarily attributable to dividend income earned on investments of excess cash in money market mutual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the Six Months Ended June 30, 2023</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2024 and 2023 (in thousands):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0" w:type="dxa"/>
            <w:vAlign w:val="bottom"/>
          </w:tcPr>
          <w:p>
            <w:pPr>
              <w:spacing w:after="0"/>
              <w:rPr>
                <w:sz w:val="15"/>
                <w:szCs w:val="15"/>
                <w:color w:val="auto"/>
              </w:rPr>
            </w:pPr>
          </w:p>
        </w:tc>
        <w:tc>
          <w:tcPr>
            <w:tcW w:w="760" w:type="dxa"/>
            <w:vAlign w:val="bottom"/>
            <w:vMerge w:val="restart"/>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Product sales, net: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Canada</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product sales, net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revenue</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9"/>
        </w:trPr>
        <w:tc>
          <w:tcPr>
            <w:tcW w:w="5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profit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expense</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16"/>
        </w:trPr>
        <w:tc>
          <w:tcPr>
            <w:tcW w:w="5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0" w:type="dxa"/>
            <w:vAlign w:val="bottom"/>
          </w:tcPr>
          <w:p>
            <w:pPr>
              <w:spacing w:after="0"/>
              <w:rPr>
                <w:sz w:val="1"/>
                <w:szCs w:val="1"/>
                <w:color w:val="auto"/>
              </w:rPr>
            </w:pPr>
          </w:p>
        </w:tc>
      </w:tr>
      <w:tr>
        <w:trPr>
          <w:trHeight w:val="21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(429)</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0"/>
        </w:trPr>
        <w:tc>
          <w:tcPr>
            <w:tcW w:w="58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Nonoperating income (expense), 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2,558</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1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The decrease in net product sales for the six months ended June 30, 2024 as compared to the same period in the prior year was primarily attributable to decreased U.S. sales of PoNS systems after the termination of PTAP on June 30, 2023 and the temporary cash pay pricing in May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left="60" w:right="139"/>
        <w:spacing w:after="0" w:line="282" w:lineRule="auto"/>
        <w:rPr>
          <w:sz w:val="20"/>
          <w:szCs w:val="20"/>
          <w:color w:val="auto"/>
        </w:rPr>
      </w:pPr>
      <w:r>
        <w:rPr>
          <w:rFonts w:ascii="Times New Roman" w:cs="Times New Roman" w:eastAsia="Times New Roman" w:hAnsi="Times New Roman"/>
          <w:sz w:val="18"/>
          <w:szCs w:val="18"/>
          <w:color w:val="auto"/>
        </w:rPr>
        <w:t>The cost of revenue decrease for the six months ended June 30, 2024 was primarily attributable to lower sales compared to the same period in the prior year.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Gross profit for the six months ended June 30, 2024 was $76 thousand compared to $61 thousand for the same period in the prior year. The increase was primarily attributable to increased margin on U.S. sales of PoNS systems after the termination of PTAP on June 30, 2023.</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229" w:lineRule="exact"/>
        <w:rPr>
          <w:sz w:val="20"/>
          <w:szCs w:val="20"/>
          <w:color w:val="auto"/>
        </w:rPr>
      </w:pPr>
    </w:p>
    <w:p>
      <w:pPr>
        <w:jc w:val="both"/>
        <w:ind w:left="60" w:right="379"/>
        <w:spacing w:after="0" w:line="266" w:lineRule="auto"/>
        <w:rPr>
          <w:sz w:val="20"/>
          <w:szCs w:val="20"/>
          <w:color w:val="auto"/>
        </w:rPr>
      </w:pPr>
      <w:r>
        <w:rPr>
          <w:rFonts w:ascii="Times New Roman" w:cs="Times New Roman" w:eastAsia="Times New Roman" w:hAnsi="Times New Roman"/>
          <w:sz w:val="18"/>
          <w:szCs w:val="18"/>
          <w:color w:val="auto"/>
        </w:rPr>
        <w:t>The decrease in selling, general and administrative expenses in the six months ended June 30, 2024 as compared to the same period in prior year was primarily attributable to higher professional fees mostly related to securities filings in the prior year period.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w:t>
      </w:r>
    </w:p>
    <w:p>
      <w:pPr>
        <w:spacing w:after="0" w:line="229" w:lineRule="exact"/>
        <w:rPr>
          <w:sz w:val="20"/>
          <w:szCs w:val="20"/>
          <w:color w:val="auto"/>
        </w:rPr>
      </w:pPr>
    </w:p>
    <w:p>
      <w:pPr>
        <w:ind w:left="60" w:right="439"/>
        <w:spacing w:after="0" w:line="282" w:lineRule="auto"/>
        <w:rPr>
          <w:sz w:val="20"/>
          <w:szCs w:val="20"/>
          <w:color w:val="auto"/>
        </w:rPr>
      </w:pPr>
      <w:r>
        <w:rPr>
          <w:rFonts w:ascii="Times New Roman" w:cs="Times New Roman" w:eastAsia="Times New Roman" w:hAnsi="Times New Roman"/>
          <w:sz w:val="18"/>
          <w:szCs w:val="18"/>
          <w:color w:val="auto"/>
        </w:rPr>
        <w:t>The increase in research and development expenses year-to-year was primarily comprised of clinical trial activities for stroke and risk of fall programs.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Amortization Expense</w:t>
      </w:r>
    </w:p>
    <w:p>
      <w:pPr>
        <w:spacing w:after="0" w:line="229" w:lineRule="exact"/>
        <w:rPr>
          <w:sz w:val="20"/>
          <w:szCs w:val="20"/>
          <w:color w:val="auto"/>
        </w:rPr>
      </w:pPr>
    </w:p>
    <w:p>
      <w:pPr>
        <w:ind w:left="60" w:right="99"/>
        <w:spacing w:after="0" w:line="282" w:lineRule="auto"/>
        <w:rPr>
          <w:sz w:val="20"/>
          <w:szCs w:val="20"/>
          <w:color w:val="auto"/>
        </w:rPr>
      </w:pPr>
      <w:r>
        <w:rPr>
          <w:rFonts w:ascii="Times New Roman" w:cs="Times New Roman" w:eastAsia="Times New Roman" w:hAnsi="Times New Roman"/>
          <w:sz w:val="18"/>
          <w:szCs w:val="18"/>
          <w:color w:val="auto"/>
        </w:rPr>
        <w:t>Amortization expense was primarily comprised of the amortization of acquired finite-lived intangible assets. The change in amortization expense period over period is primarily due to certain intangible assets becoming fully amortized.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Nonoperating income (expense)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(Expense), Net</w:t>
      </w:r>
    </w:p>
    <w:p>
      <w:pPr>
        <w:spacing w:after="0" w:line="227" w:lineRule="exact"/>
        <w:rPr>
          <w:sz w:val="20"/>
          <w:szCs w:val="20"/>
          <w:color w:val="auto"/>
        </w:rPr>
      </w:pPr>
    </w:p>
    <w:p>
      <w:pPr>
        <w:ind w:left="60" w:right="319"/>
        <w:spacing w:after="0" w:line="266" w:lineRule="auto"/>
        <w:rPr>
          <w:sz w:val="20"/>
          <w:szCs w:val="20"/>
          <w:color w:val="auto"/>
        </w:rPr>
      </w:pPr>
      <w:r>
        <w:rPr>
          <w:rFonts w:ascii="Times New Roman" w:cs="Times New Roman" w:eastAsia="Times New Roman" w:hAnsi="Times New Roman"/>
          <w:sz w:val="18"/>
          <w:szCs w:val="18"/>
          <w:color w:val="auto"/>
        </w:rPr>
        <w:t>Net interest expense for the six months ended June 30, 2024 compared to net interest income in the prior year period resulted from lower cash balances earning interest income year to year, respectively, offset by interest expense related to lease commitments.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Derivative Liability</w:t>
      </w:r>
    </w:p>
    <w:p>
      <w:pPr>
        <w:spacing w:after="0" w:line="227" w:lineRule="exact"/>
        <w:rPr>
          <w:sz w:val="20"/>
          <w:szCs w:val="20"/>
          <w:color w:val="auto"/>
        </w:rPr>
      </w:pPr>
    </w:p>
    <w:p>
      <w:pPr>
        <w:ind w:left="60" w:right="159"/>
        <w:spacing w:after="0" w:line="261" w:lineRule="auto"/>
        <w:rPr>
          <w:sz w:val="20"/>
          <w:szCs w:val="20"/>
          <w:color w:val="auto"/>
        </w:rPr>
      </w:pPr>
      <w:r>
        <w:rPr>
          <w:rFonts w:ascii="Times New Roman" w:cs="Times New Roman" w:eastAsia="Times New Roman" w:hAnsi="Times New Roman"/>
          <w:sz w:val="18"/>
          <w:szCs w:val="18"/>
          <w:color w:val="auto"/>
        </w:rPr>
        <w:t>As discussed in more detail in Note 6 to our Unaudited Condensed Consolidated Financial Statements, the warrants issued in connection with the public offering completed on August 9, 2022 are being accounted for as a derivative liability instrument. The gain on change in fair value of derivative liability for the six months ended June 30, 2024 of $2.9 million was primarily due to a decrease in our stock price.</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Foreign Exchange Loss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change in foreign exchange (loss) gain was primarily due to fluctuations in the Canadian to U.S. dollar exchange rates.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Other income for the six months ended June 30, 2024 was primarily attributable to dividend income earned on investments of excess cash in money market mutual funds.</w:t>
      </w:r>
    </w:p>
    <w:p>
      <w:pPr>
        <w:spacing w:after="0" w:line="3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cash and cash equivalents and working capital as of the end of the periods indicated in the table below (in thousands):</w:t>
      </w:r>
    </w:p>
    <w:p>
      <w:pPr>
        <w:spacing w:after="0" w:line="15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5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96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9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5,182</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r>
    </w:tbl>
    <w:p>
      <w:pPr>
        <w:spacing w:after="0" w:line="395" w:lineRule="exact"/>
        <w:rPr>
          <w:sz w:val="20"/>
          <w:szCs w:val="20"/>
          <w:color w:val="auto"/>
        </w:rPr>
      </w:pPr>
    </w:p>
    <w:p>
      <w:pPr>
        <w:ind w:left="60" w:right="79"/>
        <w:spacing w:after="0" w:line="255" w:lineRule="auto"/>
        <w:rPr>
          <w:sz w:val="20"/>
          <w:szCs w:val="20"/>
          <w:color w:val="auto"/>
        </w:rPr>
      </w:pPr>
      <w:r>
        <w:rPr>
          <w:rFonts w:ascii="Times New Roman" w:cs="Times New Roman" w:eastAsia="Times New Roman" w:hAnsi="Times New Roman"/>
          <w:sz w:val="18"/>
          <w:szCs w:val="18"/>
          <w:color w:val="auto"/>
        </w:rPr>
        <w:t>Our available capital resources have been primarily used to expand our U.S. commercialization efforts, fund manufacturing activities for the PoNS device, conduct clinical trials and for working capital and general corporate purposes. Our primary sources of cash and cash equivalents have been proceeds from public and private offerings of our Common Stock, which included $16.3 million in net proceeds we received from a public offering of our Common Stock and warrants completed in August 2022 as discussed in more detail in Note 8 to our Consolidated Financial Statements included our 2023 10-K. As discussed in more detail in Note 6 to our Unaudited Condensed Consolidated Financial Statements, the Company entered into a sales agreement related to our at-the-market offering program (“ATM”) under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which we may offer and sell shares having gross proceeds up to $2.0 million. During the six months ended June 30, 2024 the Company issued and sold shares with gross proceeds of $1.4 million under the ATM. As discussed in more detail in Note 6, the Company received gross proceeds of $0.2 million from the issuance of shares upon the exercise of warrants and a $5.5 million net proceeds from the 2024 Public Offering in the six months ended June 30, 2024.</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our cash flows for the six months ended June 30, 2024 and 2023 (in thousands):</w:t>
      </w:r>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2480" w:type="dxa"/>
            <w:vAlign w:val="bottom"/>
            <w:gridSpan w:val="6"/>
          </w:tcPr>
          <w:p>
            <w:pPr>
              <w:ind w:left="7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42"/>
        </w:trPr>
        <w:tc>
          <w:tcPr>
            <w:tcW w:w="4620" w:type="dxa"/>
            <w:vAlign w:val="bottom"/>
            <w:tcBorders>
              <w:bottom w:val="single" w:sz="8" w:color="CCEEFF"/>
            </w:tcBorders>
          </w:tcPr>
          <w:p>
            <w:pPr>
              <w:spacing w:after="0"/>
              <w:rPr>
                <w:sz w:val="12"/>
                <w:szCs w:val="12"/>
                <w:color w:val="auto"/>
              </w:rPr>
            </w:pPr>
          </w:p>
        </w:tc>
        <w:tc>
          <w:tcPr>
            <w:tcW w:w="7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7,103</w:t>
            </w:r>
          </w:p>
        </w:tc>
        <w:tc>
          <w:tcPr>
            <w:tcW w:w="0" w:type="dxa"/>
            <w:vAlign w:val="bottom"/>
          </w:tcPr>
          <w:p>
            <w:pPr>
              <w:spacing w:after="0"/>
              <w:rPr>
                <w:sz w:val="1"/>
                <w:szCs w:val="1"/>
                <w:color w:val="auto"/>
              </w:rPr>
            </w:pPr>
          </w:p>
        </w:tc>
      </w:tr>
      <w:tr>
        <w:trPr>
          <w:trHeight w:val="216"/>
        </w:trPr>
        <w:tc>
          <w:tcPr>
            <w:tcW w:w="46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7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46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7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(5,950)</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9" w:lineRule="exact"/>
        <w:rPr>
          <w:sz w:val="20"/>
          <w:szCs w:val="20"/>
          <w:color w:val="auto"/>
        </w:rPr>
      </w:pPr>
    </w:p>
    <w:p>
      <w:pPr>
        <w:jc w:val="both"/>
        <w:ind w:left="60" w:right="499"/>
        <w:spacing w:after="0" w:line="282" w:lineRule="auto"/>
        <w:rPr>
          <w:sz w:val="20"/>
          <w:szCs w:val="20"/>
          <w:color w:val="auto"/>
        </w:rPr>
      </w:pPr>
      <w:r>
        <w:rPr>
          <w:rFonts w:ascii="Times New Roman" w:cs="Times New Roman" w:eastAsia="Times New Roman" w:hAnsi="Times New Roman"/>
          <w:sz w:val="18"/>
          <w:szCs w:val="18"/>
          <w:color w:val="auto"/>
        </w:rPr>
        <w:t>The lower level of cash used in operating activities in the six months ended June 30, 2024 primarily resulted from the decrease in selling, general and administrative expenses as compared with the same period in the prior year.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investing activities are primarily related to the purchases of property and equipment.</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we received net proceeds of $5.5 million from the issuance of Common Stock and warrants under the 2024 Public Offering, and $1.3 million from the issuance and sale of shares under the ATM. In addition, we received $0.2 million in net proceeds from the exercise of warrants.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Requirements</w:t>
      </w:r>
    </w:p>
    <w:p>
      <w:pPr>
        <w:spacing w:after="0" w:line="229" w:lineRule="exact"/>
        <w:rPr>
          <w:sz w:val="20"/>
          <w:szCs w:val="20"/>
          <w:color w:val="auto"/>
        </w:rPr>
      </w:pPr>
    </w:p>
    <w:p>
      <w:pPr>
        <w:ind w:left="60" w:right="299"/>
        <w:spacing w:after="0" w:line="256" w:lineRule="auto"/>
        <w:rPr>
          <w:sz w:val="20"/>
          <w:szCs w:val="20"/>
          <w:color w:val="auto"/>
        </w:rPr>
      </w:pPr>
      <w:r>
        <w:rPr>
          <w:rFonts w:ascii="Times New Roman" w:cs="Times New Roman" w:eastAsia="Times New Roman" w:hAnsi="Times New Roman"/>
          <w:sz w:val="18"/>
          <w:szCs w:val="18"/>
          <w:color w:val="auto"/>
        </w:rPr>
        <w:t>Our ability to generate product revenues sufficient to achieve profitability will depend heavily on the successful commercialization of PoNS Therapy in the U.S. Our net loss was $4.1 million for each of the six months ended June 30, 2024 and 2023. As of June 30, 2024, we had an accumulated deficit of $164.1 million. We expect to continue to incur significant expenses and operating losses for the foreseeable future. These and other factors indicate substantial doubt about our ability to continue as a going concern. Refer to Note 1 to our Unaudited Condensed Consolidated Financial Statements for additional discussion about our going concern uncertainty.</w:t>
      </w:r>
    </w:p>
    <w:p>
      <w:pPr>
        <w:spacing w:after="0" w:line="187" w:lineRule="exact"/>
        <w:rPr>
          <w:sz w:val="20"/>
          <w:szCs w:val="20"/>
          <w:color w:val="auto"/>
        </w:rPr>
      </w:pPr>
    </w:p>
    <w:p>
      <w:pPr>
        <w:ind w:left="60" w:right="259"/>
        <w:spacing w:after="0" w:line="254" w:lineRule="auto"/>
        <w:rPr>
          <w:sz w:val="20"/>
          <w:szCs w:val="20"/>
          <w:color w:val="auto"/>
        </w:rPr>
      </w:pPr>
      <w:r>
        <w:rPr>
          <w:rFonts w:ascii="Times New Roman" w:cs="Times New Roman" w:eastAsia="Times New Roman" w:hAnsi="Times New Roman"/>
          <w:sz w:val="18"/>
          <w:szCs w:val="18"/>
          <w:color w:val="auto"/>
        </w:rPr>
        <w:t>We intend to use our available capital resources primarily to expand our U.S. commercialization efforts, fund manufacturing activities for the PoNS device, conduct clinical trials and for working capital and general corporate purposes. We believe that our existing capital resources, as well as the $5.5 million net proceeds from the issuance of Common Stock and warrants in May 2024 will be sufficient to fund our operations into 2025, but we will be required to seek additional funding through the sale of equity or debt financing to continue to fund our operations thereafter. We will need additional funding for our planned clinical trial for stroke. The amount required to fund operations thereafter will depend on various factors, including timing of approval of clinical trials, duration and result of clinical trials and other factors that affect the cost of the clinical trial, manufacturing costs of product, development of our product for new indications and demand for our authorized products in the market.</w:t>
      </w:r>
    </w:p>
    <w:p>
      <w:pPr>
        <w:spacing w:after="0" w:line="188"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There can be no assurance that we will be successful in raising additional capital or that such capital, if available, will be on terms that are acceptable to us. If we are unable to raise sufficient additional capital, we may be compelled to reduce the scope of our operations and planned capital expenditure or sell certain assets, including intellectual property, and we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99"/>
        <w:spacing w:after="0" w:line="282" w:lineRule="auto"/>
        <w:rPr>
          <w:sz w:val="20"/>
          <w:szCs w:val="20"/>
          <w:color w:val="auto"/>
        </w:rPr>
      </w:pPr>
      <w:r>
        <w:rPr>
          <w:rFonts w:ascii="Times New Roman" w:cs="Times New Roman" w:eastAsia="Times New Roman" w:hAnsi="Times New Roman"/>
          <w:sz w:val="18"/>
          <w:szCs w:val="18"/>
          <w:color w:val="auto"/>
        </w:rPr>
        <w:t>may be forced to cease or wind down operations, seek protection under the provisions of the U.S. Bankruptcy Code, or liquidate and dissolve our company.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left="60" w:right="219"/>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upon our Unaudited Condensed Consolidated Financial Statements that have been prepared in accordance with U.S. GAAP. This preparation requires management to make estimates and assumptions that affect the reported amounts of assets, liabilities, revenues and expenses and the disclosure of contingent assets and liabilities.</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Our critical accounting policies and estimates are described in Item 7 “Management’s Discussion and Analysis of Financial Condition and Results of Operations — Critical Accounting Policies and Estimates” of our 2023 10-K. There have been no changes in critical accounting policies in the current year from those described in our 2023 10-K.</w:t>
      </w:r>
    </w:p>
    <w:p>
      <w:pPr>
        <w:spacing w:after="0" w:line="172"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left="60" w:right="139"/>
        <w:spacing w:after="0" w:line="255" w:lineRule="auto"/>
        <w:rPr>
          <w:sz w:val="20"/>
          <w:szCs w:val="20"/>
          <w:color w:val="auto"/>
        </w:rPr>
      </w:pPr>
      <w:r>
        <w:rPr>
          <w:rFonts w:ascii="Times New Roman" w:cs="Times New Roman" w:eastAsia="Times New Roman" w:hAnsi="Times New Roman"/>
          <w:sz w:val="18"/>
          <w:szCs w:val="18"/>
          <w:color w:val="auto"/>
        </w:rPr>
        <w:t>As required by Rule 13a-15(b) under the Securities Exchange Act of 1934, as amended, or the Exchange Act, under the direction of our Chief Executive Officer and our Chief Financial Officer, we have evaluated our disclosure controls and procedures as of the end of the period covered by this Quarterly Report on Form 10-Q. Based on this evaluation, our Chief Executive Officer and our Chief Financial Officer have concluded that our disclosure controls and procedures were effective as of the end of the period covered by this report. Our management has concluded that the financial statements included elsewhere in this Quarterly Report on Form 10-Q present fairly, in all material respects, our financial position, results of operations and cash flows in conformity with generally accepted accounting principles.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has not been any change in our internal control over financial reporting (as such term is defined in Rule 13a-15(f) and 15d-15(f) under the Exchange Act)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left="60" w:right="119"/>
        <w:spacing w:after="0" w:line="266" w:lineRule="auto"/>
        <w:rPr>
          <w:sz w:val="20"/>
          <w:szCs w:val="20"/>
          <w:color w:val="auto"/>
        </w:rPr>
      </w:pPr>
      <w:r>
        <w:rPr>
          <w:rFonts w:ascii="Times New Roman" w:cs="Times New Roman" w:eastAsia="Times New Roman" w:hAnsi="Times New Roman"/>
          <w:sz w:val="18"/>
          <w:szCs w:val="18"/>
          <w:color w:val="auto"/>
        </w:rPr>
        <w:t>From time to time, we are subject to litigation and claims arising in the ordinary course of business. We are not currently a party to any material legal proceedings, and we are not aware of any pending or threatened legal proceeding against us that we believe could have a material adverse effect on our business, operating results or financial condition.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business is subject to risks and events that, if they occur, could adversely affect our financial condition and results of operations and the trading price of our securities. During the six months ended June 30, 2024, our risk factors have not changed materially from those risk factors previously disclosed in our 2023 10-K except as set forth below. You should carefully consider the risk factors discussed in Part I, “Item 1A. Risk Factors” in our 2023 10-K. The risks described in our 2023 10-K are not the only risks facing us. Additional risks and uncertainties not currently known to us or that we currently deem to be immaterial also may materially and adversely affect our business, financial condition and/or operating results.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Nasdaq may delist our Common Stock from its exchange which could limit your ability to make transactions in our securities and subject us to additional trading restrictions.</w:t>
      </w:r>
    </w:p>
    <w:p>
      <w:pPr>
        <w:spacing w:after="0" w:line="16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August 9, 2024, we received a Notification Letter from the Listing Qualifications Staff (the “Staff”) of Nasdaq notifying us that because the closing bid price of our Common Stock was below $1.00 per share for the prior 30 consecutive business days, we are not in compliance with the minimum bid price requirement for continued listing on The Nasdaq Capital Market, as set forth in Nasdaq Marketplace Rule 5550(a)(2) (the “Minimum Bid Price Requirement”).</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accordance with Nasdaq Marketplace Rule 5810(c)(3)(A), we have a period of 180 calendar days from August 9, 2024, or until February 5, 2025, to regain compliance with the Minimum Bid Price Requirement. If at any time before February 5, 2025, the closing bid price of our Common Stock closes at or above $1.00 per share for a minimum of 10 consecutive business days (which number days may be extended by Nasdaq), Nasdaq will provide written notification that we have achieved compliance with the Minimum Bid Price Requirement, and the matter would be resolved.</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Notification Letter also disclosed that in the event we do not regain compliance with the Rule by February 5, 2025, we may be eligible for additional time. To qualify for additional time, we would be required to meet the applicable market value of publicly held shares requirement for continued listing and all other applicable standards for initial listing on The Nasdaq Capital Market, with the exception of the bid price requirement, and would need to provide written notice of our intention to cure the deficiency during the second compliance period. If we meet these requirements, Nasdaq will inform us that it has been granted an additional 180 calendar days. However, if it appears to the Staff that we will not be able to cure the deficiency, or if we are otherwise not eligible, Nasdaq will provide notice that our securities will be subject to delisting.</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intend to continue actively monitor the closing bid price for our Common Stock between now and February 5, 2025, and will consider available options to resolve the deficiency and regain compliance with the Minimum Bid Price Requirement. If we do not regain compliance within the allotted compliance period, including any extensions that may be granted by Nasdaq, Nasdaq will provide notice that our Common Stock will be subject to delisting. We would then be entitled to appeal that determination to a Nasdaq hearings panel. There can be no assurance that we will regain compliance with the Minimum Bid Price Requirement during the 180-day compliance period, secure a second period of 180 calendar days to regain compliance, or maintain compliance with the other Nasdaq listing requirements.</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If our Common Stock is delisted from Nasdaq, our ability to raise capital through public offerings of our securities and to finance our operations could be adversely affected. We also believe that delisting would likely result in decreased liquidity and/or increased volatility in our Common Stock and could harm our business and future prospects. In addition, we believe that, if our Common Stock is delisted, our stockholders would likely find it more difficult to obtain accurate quotations as to the price of the Common Stock and it may be more difficult for stockholders to buy or sell our Common Stock at competitive market prices, or at all.</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Reliance on Third Parties</w:t>
      </w:r>
    </w:p>
    <w:p>
      <w:pPr>
        <w:spacing w:after="0" w:line="227" w:lineRule="exact"/>
        <w:rPr>
          <w:sz w:val="20"/>
          <w:szCs w:val="20"/>
          <w:color w:val="auto"/>
        </w:rPr>
      </w:pPr>
    </w:p>
    <w:p>
      <w:pPr>
        <w:jc w:val="both"/>
        <w:ind w:left="60" w:right="59"/>
        <w:spacing w:after="0" w:line="284" w:lineRule="auto"/>
        <w:rPr>
          <w:sz w:val="20"/>
          <w:szCs w:val="20"/>
          <w:color w:val="auto"/>
        </w:rPr>
      </w:pPr>
      <w:r>
        <w:rPr>
          <w:rFonts w:ascii="Times New Roman" w:cs="Times New Roman" w:eastAsia="Times New Roman" w:hAnsi="Times New Roman"/>
          <w:sz w:val="18"/>
          <w:szCs w:val="18"/>
          <w:i w:val="1"/>
          <w:iCs w:val="1"/>
          <w:color w:val="auto"/>
        </w:rPr>
        <w:t>We are currently in the process of transitioning our manufacturing functions to a new contract manufacturer and any delays in the manufacturing process as a result of this transition could harm our business.</w:t>
      </w:r>
    </w:p>
    <w:p>
      <w:pPr>
        <w:spacing w:after="0" w:line="160" w:lineRule="exact"/>
        <w:rPr>
          <w:sz w:val="20"/>
          <w:szCs w:val="20"/>
          <w:color w:val="auto"/>
        </w:rPr>
      </w:pPr>
    </w:p>
    <w:p>
      <w:pPr>
        <w:ind w:left="60" w:right="199"/>
        <w:spacing w:after="0" w:line="256" w:lineRule="auto"/>
        <w:rPr>
          <w:sz w:val="20"/>
          <w:szCs w:val="20"/>
          <w:color w:val="auto"/>
        </w:rPr>
      </w:pPr>
      <w:r>
        <w:rPr>
          <w:rFonts w:ascii="Times New Roman" w:cs="Times New Roman" w:eastAsia="Times New Roman" w:hAnsi="Times New Roman"/>
          <w:sz w:val="18"/>
          <w:szCs w:val="18"/>
          <w:color w:val="auto"/>
        </w:rPr>
        <w:t>We have depended on our third-party contract manufacturing partner, Key Tronic Corporation, to manufacture and supply our PoNS device for clinical and commercial purposes. During the third quarter of 2023, the Company began implementing the transition of the manufacturing of PoNS systems and mouthpieces to Minnetronix, Inc. While the Company expects this transition to be fully completed in the third quarter of 2024, it is possible that the transition could create delays or disruptions in the manufacturing process. Any delays or disruptions in the manufacturing of our PoNS device during this transition could negatively impact our business.</w:t>
      </w:r>
    </w:p>
    <w:p>
      <w:pPr>
        <w:spacing w:after="0" w:line="183"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Rule 10b5-1 Trading Plans – Directors and Section 16 Officers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2024, none of the Company’s directors or Section 16 officers adopted or terminated any contract, instruction or written plan for the purchase or sale of Company securities that was intended to satisfy the affirmative defense conditions of Rule 10b5-1(c) of the Exchange Act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920" w:type="dxa"/>
            <w:vAlign w:val="bottom"/>
            <w:gridSpan w:val="29"/>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169"/>
        </w:trPr>
        <w:tc>
          <w:tcPr>
            <w:tcW w:w="78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4"/>
                <w:szCs w:val="14"/>
                <w:color w:val="auto"/>
              </w:rPr>
            </w:pPr>
          </w:p>
        </w:tc>
        <w:tc>
          <w:tcPr>
            <w:tcW w:w="7380" w:type="dxa"/>
            <w:vAlign w:val="bottom"/>
            <w:tcBorders>
              <w:top w:val="single" w:sz="8" w:color="auto"/>
              <w:bottom w:val="single" w:sz="8" w:color="0000EE"/>
            </w:tcBorders>
            <w:gridSpan w:val="15"/>
          </w:tcPr>
          <w:p>
            <w:pPr>
              <w:spacing w:after="0" w:line="169"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Certificate of Conversion filed with the Delaware Secretary of State on July 18, 2018 (incorporated by</w:t>
              </w:r>
            </w:hyperlink>
          </w:p>
        </w:tc>
        <w:tc>
          <w:tcPr>
            <w:tcW w:w="520" w:type="dxa"/>
            <w:vAlign w:val="bottom"/>
            <w:tcBorders>
              <w:top w:val="single" w:sz="8" w:color="auto"/>
            </w:tcBorders>
            <w:gridSpan w:val="13"/>
          </w:tcPr>
          <w:p>
            <w:pPr>
              <w:spacing w:after="0"/>
              <w:rPr>
                <w:sz w:val="14"/>
                <w:szCs w:val="14"/>
                <w:color w:val="auto"/>
              </w:rPr>
            </w:pPr>
          </w:p>
        </w:tc>
        <w:tc>
          <w:tcPr>
            <w:tcW w:w="20" w:type="dxa"/>
            <w:vAlign w:val="bottom"/>
          </w:tcPr>
          <w:p>
            <w:pPr>
              <w:spacing w:after="0"/>
              <w:rPr>
                <w:sz w:val="14"/>
                <w:szCs w:val="14"/>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reference to Exhibit 3.1 to the Form 10-Q filed August 9, 2018)</w:t>
              </w:r>
            </w:hyperlink>
          </w:p>
        </w:tc>
        <w:tc>
          <w:tcPr>
            <w:tcW w:w="3340" w:type="dxa"/>
            <w:vAlign w:val="bottom"/>
            <w:gridSpan w:val="17"/>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7"/>
                <w:szCs w:val="17"/>
                <w:color w:val="auto"/>
              </w:rPr>
            </w:pPr>
          </w:p>
        </w:tc>
        <w:tc>
          <w:tcPr>
            <w:tcW w:w="75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Certificate of Incorporation, as corrected (incorporated by reference to Exhibit 3.1 to the Form 8-K filed</w:t>
              </w:r>
            </w:hyperlink>
          </w:p>
        </w:tc>
        <w:tc>
          <w:tcPr>
            <w:tcW w:w="420" w:type="dxa"/>
            <w:vAlign w:val="bottom"/>
            <w:gridSpan w:val="13"/>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41">
              <w:r>
                <w:rPr>
                  <w:rFonts w:ascii="Times New Roman" w:cs="Times New Roman" w:eastAsia="Times New Roman" w:hAnsi="Times New Roman"/>
                  <w:sz w:val="18"/>
                  <w:szCs w:val="18"/>
                  <w:color w:val="0000EE"/>
                  <w:w w:val="98"/>
                </w:rPr>
                <w:t>October 30, 2018)</w:t>
              </w:r>
            </w:hyperlink>
          </w:p>
        </w:tc>
        <w:tc>
          <w:tcPr>
            <w:tcW w:w="6600" w:type="dxa"/>
            <w:vAlign w:val="bottom"/>
            <w:gridSpan w:val="26"/>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220" w:type="dxa"/>
            <w:vAlign w:val="bottom"/>
          </w:tcPr>
          <w:p>
            <w:pPr>
              <w:spacing w:after="0"/>
              <w:rPr>
                <w:sz w:val="17"/>
                <w:szCs w:val="17"/>
                <w:color w:val="auto"/>
              </w:rPr>
            </w:pPr>
          </w:p>
        </w:tc>
        <w:tc>
          <w:tcPr>
            <w:tcW w:w="7920" w:type="dxa"/>
            <w:vAlign w:val="bottom"/>
            <w:gridSpan w:val="29"/>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Certificate of Amendment to Certificate of Incorporation (incorporated by reference to Exhibit 3.1 to the</w:t>
              </w:r>
            </w:hyperlink>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Form 8-K filed on December 31, 2020)</w:t>
              </w:r>
            </w:hyperlink>
          </w:p>
        </w:tc>
        <w:tc>
          <w:tcPr>
            <w:tcW w:w="4680" w:type="dxa"/>
            <w:vAlign w:val="bottom"/>
            <w:tcBorders>
              <w:top w:val="single" w:sz="8" w:color="0000EE"/>
            </w:tcBorders>
            <w:gridSpan w:val="10"/>
          </w:tcPr>
          <w:p>
            <w:pPr>
              <w:spacing w:after="0"/>
              <w:rPr>
                <w:sz w:val="17"/>
                <w:szCs w:val="17"/>
                <w:color w:val="auto"/>
              </w:rPr>
            </w:pPr>
          </w:p>
        </w:tc>
        <w:tc>
          <w:tcPr>
            <w:tcW w:w="400" w:type="dxa"/>
            <w:vAlign w:val="bottom"/>
            <w:gridSpan w:val="12"/>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17"/>
                <w:szCs w:val="17"/>
                <w:color w:val="auto"/>
              </w:rPr>
            </w:pPr>
          </w:p>
        </w:tc>
        <w:tc>
          <w:tcPr>
            <w:tcW w:w="7920" w:type="dxa"/>
            <w:vAlign w:val="bottom"/>
            <w:gridSpan w:val="29"/>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Certificate of Designation of the Series B Preferred Stock of the Registrant (incorporated by reference to</w:t>
              </w:r>
            </w:hyperlink>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9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43">
              <w:r>
                <w:rPr>
                  <w:rFonts w:ascii="Times New Roman" w:cs="Times New Roman" w:eastAsia="Times New Roman" w:hAnsi="Times New Roman"/>
                  <w:sz w:val="18"/>
                  <w:szCs w:val="18"/>
                  <w:color w:val="0000EE"/>
                  <w:w w:val="99"/>
                </w:rPr>
                <w:t>Exhibit 3.1(a) to the Registrant’s Registration Statement on Form 8-A, filed on March 24, 2023)</w:t>
              </w:r>
            </w:hyperlink>
          </w:p>
        </w:tc>
        <w:tc>
          <w:tcPr>
            <w:tcW w:w="600" w:type="dxa"/>
            <w:vAlign w:val="bottom"/>
            <w:tcBorders>
              <w:top w:val="single" w:sz="8" w:color="0000EE"/>
            </w:tcBorders>
            <w:gridSpan w:val="4"/>
          </w:tcPr>
          <w:p>
            <w:pPr>
              <w:spacing w:after="0"/>
              <w:rPr>
                <w:sz w:val="17"/>
                <w:szCs w:val="17"/>
                <w:color w:val="auto"/>
              </w:rPr>
            </w:pPr>
          </w:p>
        </w:tc>
        <w:tc>
          <w:tcPr>
            <w:tcW w:w="400" w:type="dxa"/>
            <w:vAlign w:val="bottom"/>
            <w:gridSpan w:val="12"/>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7"/>
                <w:szCs w:val="17"/>
                <w:color w:val="auto"/>
              </w:rPr>
            </w:pPr>
          </w:p>
        </w:tc>
        <w:tc>
          <w:tcPr>
            <w:tcW w:w="7840" w:type="dxa"/>
            <w:vAlign w:val="bottom"/>
            <w:tcBorders>
              <w:bottom w:val="single" w:sz="8" w:color="0000EE"/>
            </w:tcBorders>
            <w:gridSpan w:val="27"/>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Corrected Certificate of Amendment to Certificate of Incorporation (incorporated by reference to Exhibit 3.1</w:t>
              </w:r>
            </w:hyperlink>
          </w:p>
        </w:tc>
        <w:tc>
          <w:tcPr>
            <w:tcW w:w="80" w:type="dxa"/>
            <w:vAlign w:val="bottom"/>
            <w:gridSpan w:val="2"/>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to the Form 8-K filed on August 16, 2023)</w:t>
              </w:r>
            </w:hyperlink>
          </w:p>
        </w:tc>
        <w:tc>
          <w:tcPr>
            <w:tcW w:w="4860" w:type="dxa"/>
            <w:vAlign w:val="bottom"/>
            <w:gridSpan w:val="21"/>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3.6</w:t>
            </w:r>
          </w:p>
        </w:tc>
        <w:tc>
          <w:tcPr>
            <w:tcW w:w="220" w:type="dxa"/>
            <w:vAlign w:val="bottom"/>
          </w:tcPr>
          <w:p>
            <w:pPr>
              <w:spacing w:after="0"/>
              <w:rPr>
                <w:sz w:val="17"/>
                <w:szCs w:val="17"/>
                <w:color w:val="auto"/>
              </w:rPr>
            </w:pPr>
          </w:p>
        </w:tc>
        <w:tc>
          <w:tcPr>
            <w:tcW w:w="7920" w:type="dxa"/>
            <w:vAlign w:val="bottom"/>
            <w:gridSpan w:val="29"/>
          </w:tcPr>
          <w:p>
            <w:pPr>
              <w:spacing w:after="0" w:line="196" w:lineRule="exact"/>
              <w:rPr>
                <w:rFonts w:ascii="Times New Roman" w:cs="Times New Roman" w:eastAsia="Times New Roman" w:hAnsi="Times New Roman"/>
                <w:sz w:val="18"/>
                <w:szCs w:val="18"/>
                <w:color w:val="0000EE"/>
                <w:w w:val="99"/>
              </w:rPr>
            </w:pPr>
            <w:hyperlink r:id="rId45">
              <w:r>
                <w:rPr>
                  <w:rFonts w:ascii="Times New Roman" w:cs="Times New Roman" w:eastAsia="Times New Roman" w:hAnsi="Times New Roman"/>
                  <w:sz w:val="18"/>
                  <w:szCs w:val="18"/>
                  <w:color w:val="0000EE"/>
                  <w:w w:val="99"/>
                </w:rPr>
                <w:t>Second Amended and Restated Bylaws (incorporated by reference to Exhibit 3.1 to the Form 8-K filed March</w:t>
              </w:r>
            </w:hyperlink>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5"/>
              </w:rPr>
            </w:pPr>
            <w:hyperlink r:id="rId45">
              <w:r>
                <w:rPr>
                  <w:rFonts w:ascii="Times New Roman" w:cs="Times New Roman" w:eastAsia="Times New Roman" w:hAnsi="Times New Roman"/>
                  <w:sz w:val="18"/>
                  <w:szCs w:val="18"/>
                  <w:color w:val="0000EE"/>
                  <w:w w:val="95"/>
                </w:rPr>
                <w:t>15, 2024)</w:t>
              </w:r>
            </w:hyperlink>
          </w:p>
        </w:tc>
        <w:tc>
          <w:tcPr>
            <w:tcW w:w="64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3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17"/>
                <w:szCs w:val="17"/>
                <w:color w:val="auto"/>
              </w:rPr>
            </w:pPr>
          </w:p>
        </w:tc>
        <w:tc>
          <w:tcPr>
            <w:tcW w:w="778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Form of Series A Warrant to purchase shares of Common Stock (incorporated by reference to Exhibit 4.1 to</w:t>
              </w:r>
            </w:hyperlink>
          </w:p>
        </w:tc>
        <w:tc>
          <w:tcPr>
            <w:tcW w:w="140" w:type="dxa"/>
            <w:vAlign w:val="bottom"/>
            <w:gridSpan w:val="5"/>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20" w:type="dxa"/>
            <w:vAlign w:val="bottom"/>
            <w:gridSpan w:val="29"/>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the Form 8-K filed May 9, 2024)</w:t>
              </w:r>
            </w:hyperlink>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7"/>
                <w:szCs w:val="17"/>
                <w:color w:val="auto"/>
              </w:rPr>
            </w:pPr>
          </w:p>
        </w:tc>
        <w:tc>
          <w:tcPr>
            <w:tcW w:w="7920" w:type="dxa"/>
            <w:vAlign w:val="bottom"/>
            <w:gridSpan w:val="29"/>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Form of Series B Warrant to purchase shares of Common Stock (incorporated by reference to Exhibit 4.2 to</w:t>
              </w:r>
            </w:hyperlink>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4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the Form 8-K filed May 9, 2024)</w:t>
              </w:r>
            </w:hyperlink>
          </w:p>
        </w:tc>
        <w:tc>
          <w:tcPr>
            <w:tcW w:w="180" w:type="dxa"/>
            <w:vAlign w:val="bottom"/>
            <w:gridSpan w:val="7"/>
          </w:tcPr>
          <w:p>
            <w:pPr>
              <w:spacing w:after="0"/>
              <w:rPr>
                <w:sz w:val="17"/>
                <w:szCs w:val="17"/>
                <w:color w:val="auto"/>
              </w:rPr>
            </w:pP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76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4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7"/>
                <w:szCs w:val="17"/>
                <w:color w:val="auto"/>
              </w:rPr>
            </w:pPr>
          </w:p>
        </w:tc>
        <w:tc>
          <w:tcPr>
            <w:tcW w:w="7920" w:type="dxa"/>
            <w:vAlign w:val="bottom"/>
            <w:gridSpan w:val="29"/>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Form of Placement Agent Warrant to purchase shares of Common Stock (incorporated by reference to</w:t>
              </w:r>
            </w:hyperlink>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48">
              <w:r>
                <w:rPr>
                  <w:rFonts w:ascii="Times New Roman" w:cs="Times New Roman" w:eastAsia="Times New Roman" w:hAnsi="Times New Roman"/>
                  <w:sz w:val="18"/>
                  <w:szCs w:val="18"/>
                  <w:color w:val="0000EE"/>
                  <w:w w:val="99"/>
                </w:rPr>
                <w:t>Exhibit 4.3 to the Form 8-K filed May 9, 2024)</w:t>
              </w:r>
            </w:hyperlink>
          </w:p>
        </w:tc>
        <w:tc>
          <w:tcPr>
            <w:tcW w:w="3940" w:type="dxa"/>
            <w:vAlign w:val="bottom"/>
            <w:tcBorders>
              <w:top w:val="single" w:sz="8" w:color="0000EE"/>
            </w:tcBorders>
            <w:gridSpan w:val="5"/>
          </w:tcPr>
          <w:p>
            <w:pPr>
              <w:spacing w:after="0"/>
              <w:rPr>
                <w:sz w:val="17"/>
                <w:szCs w:val="17"/>
                <w:color w:val="auto"/>
              </w:rPr>
            </w:pPr>
          </w:p>
        </w:tc>
        <w:tc>
          <w:tcPr>
            <w:tcW w:w="580" w:type="dxa"/>
            <w:vAlign w:val="bottom"/>
            <w:gridSpan w:val="15"/>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17"/>
                <w:szCs w:val="17"/>
                <w:color w:val="auto"/>
              </w:rPr>
            </w:pPr>
          </w:p>
        </w:tc>
        <w:tc>
          <w:tcPr>
            <w:tcW w:w="780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Form of Pre-Funded Warrant to purchase shares of Common Stock (incorporated by reference to Exhibit 4.4</w:t>
              </w:r>
            </w:hyperlink>
          </w:p>
        </w:tc>
        <w:tc>
          <w:tcPr>
            <w:tcW w:w="120" w:type="dxa"/>
            <w:vAlign w:val="bottom"/>
            <w:gridSpan w:val="4"/>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49">
              <w:r>
                <w:rPr>
                  <w:rFonts w:ascii="Times New Roman" w:cs="Times New Roman" w:eastAsia="Times New Roman" w:hAnsi="Times New Roman"/>
                  <w:sz w:val="18"/>
                  <w:szCs w:val="18"/>
                  <w:color w:val="0000EE"/>
                  <w:w w:val="99"/>
                </w:rPr>
                <w:t>to the Form 8-K filed May 9, 2024)</w:t>
              </w:r>
            </w:hyperlink>
          </w:p>
        </w:tc>
        <w:tc>
          <w:tcPr>
            <w:tcW w:w="5360" w:type="dxa"/>
            <w:vAlign w:val="bottom"/>
            <w:gridSpan w:val="24"/>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20" w:type="dxa"/>
            <w:vAlign w:val="bottom"/>
          </w:tcPr>
          <w:p>
            <w:pPr>
              <w:spacing w:after="0"/>
              <w:rPr>
                <w:sz w:val="17"/>
                <w:szCs w:val="17"/>
                <w:color w:val="auto"/>
              </w:rPr>
            </w:pPr>
          </w:p>
        </w:tc>
        <w:tc>
          <w:tcPr>
            <w:tcW w:w="76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50">
              <w:r>
                <w:rPr>
                  <w:rFonts w:ascii="Times New Roman" w:cs="Times New Roman" w:eastAsia="Times New Roman" w:hAnsi="Times New Roman"/>
                  <w:sz w:val="18"/>
                  <w:szCs w:val="18"/>
                  <w:color w:val="0000EE"/>
                  <w:w w:val="99"/>
                </w:rPr>
                <w:t>Placement Agency Agreement dated as of May 6, 2024 by and between Helius Medical Technologies, Inc.</w:t>
              </w:r>
            </w:hyperlink>
          </w:p>
        </w:tc>
        <w:tc>
          <w:tcPr>
            <w:tcW w:w="240" w:type="dxa"/>
            <w:vAlign w:val="bottom"/>
            <w:gridSpan w:val="9"/>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20" w:type="dxa"/>
            <w:vAlign w:val="bottom"/>
            <w:gridSpan w:val="29"/>
          </w:tcPr>
          <w:p>
            <w:pPr>
              <w:spacing w:after="0" w:line="196" w:lineRule="exact"/>
              <w:rPr>
                <w:rFonts w:ascii="Times New Roman" w:cs="Times New Roman" w:eastAsia="Times New Roman" w:hAnsi="Times New Roman"/>
                <w:sz w:val="18"/>
                <w:szCs w:val="18"/>
                <w:color w:val="0000EE"/>
              </w:rPr>
            </w:pPr>
            <w:hyperlink r:id="rId50">
              <w:r>
                <w:rPr>
                  <w:rFonts w:ascii="Times New Roman" w:cs="Times New Roman" w:eastAsia="Times New Roman" w:hAnsi="Times New Roman"/>
                  <w:sz w:val="18"/>
                  <w:szCs w:val="18"/>
                  <w:color w:val="0000EE"/>
                </w:rPr>
                <w:t>and Craig-Hallum Capital Group LLC (incorporated by reference to Exhibit 10.1 to the Form 8-K filed May</w:t>
              </w:r>
            </w:hyperlink>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50">
              <w:r>
                <w:rPr>
                  <w:rFonts w:ascii="Times New Roman" w:cs="Times New Roman" w:eastAsia="Times New Roman" w:hAnsi="Times New Roman"/>
                  <w:sz w:val="18"/>
                  <w:szCs w:val="18"/>
                  <w:color w:val="0000EE"/>
                  <w:w w:val="96"/>
                </w:rPr>
                <w:t>9, 2024)</w:t>
              </w:r>
            </w:hyperlink>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0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980" w:type="dxa"/>
            <w:vAlign w:val="bottom"/>
            <w:tcBorders>
              <w:top w:val="single" w:sz="8" w:color="0000EE"/>
            </w:tcBorders>
          </w:tcPr>
          <w:p>
            <w:pPr>
              <w:spacing w:after="0"/>
              <w:rPr>
                <w:sz w:val="17"/>
                <w:szCs w:val="17"/>
                <w:color w:val="auto"/>
              </w:rPr>
            </w:pPr>
          </w:p>
        </w:tc>
        <w:tc>
          <w:tcPr>
            <w:tcW w:w="23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10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762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Amendment to the Helius Medical Technologies, Inc. 2022 Equity Incentive Plan, effective as of June 27,</w:t>
              </w:r>
            </w:hyperlink>
          </w:p>
        </w:tc>
        <w:tc>
          <w:tcPr>
            <w:tcW w:w="300" w:type="dxa"/>
            <w:vAlign w:val="bottom"/>
            <w:gridSpan w:val="11"/>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20" w:type="dxa"/>
            <w:vAlign w:val="bottom"/>
            <w:gridSpan w:val="29"/>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2024 (incorporated by reference to Exhibit 10.1 to the Current Report on Form 8-K filed on June 28, 2024)</w:t>
              </w:r>
            </w:hyperlink>
          </w:p>
        </w:tc>
      </w:tr>
      <w:tr>
        <w:trPr>
          <w:trHeight w:val="196"/>
        </w:trPr>
        <w:tc>
          <w:tcPr>
            <w:tcW w:w="100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7660" w:type="dxa"/>
            <w:vAlign w:val="bottom"/>
            <w:tcBorders>
              <w:top w:val="single" w:sz="8" w:color="0000EE"/>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Amendment to the Helius Medical Technologies, Inc. 2021 Inducement Plan (incorporated by reference to</w:t>
              </w:r>
            </w:hyperlink>
          </w:p>
        </w:tc>
        <w:tc>
          <w:tcPr>
            <w:tcW w:w="40" w:type="dxa"/>
            <w:vAlign w:val="bottom"/>
            <w:tcBorders>
              <w:top w:val="single" w:sz="8" w:color="0000EE"/>
            </w:tcBorders>
            <w:gridSpan w:val="2"/>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20" w:type="dxa"/>
            <w:vAlign w:val="bottom"/>
            <w:gridSpan w:val="29"/>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Exhibit 4.8 to the Form S-8 filed July 24, 2024)</w:t>
              </w:r>
            </w:hyperlink>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gridSpan w:val="6"/>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100" w:type="dxa"/>
            <w:vAlign w:val="bottom"/>
            <w:gridSpan w:val="1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7"/>
                <w:szCs w:val="17"/>
                <w:color w:val="auto"/>
              </w:rPr>
            </w:pPr>
          </w:p>
        </w:tc>
        <w:tc>
          <w:tcPr>
            <w:tcW w:w="782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and Rule 15d-14(a), as adopted pursuant</w:t>
            </w:r>
          </w:p>
        </w:tc>
        <w:tc>
          <w:tcPr>
            <w:tcW w:w="100" w:type="dxa"/>
            <w:vAlign w:val="bottom"/>
            <w:gridSpan w:val="3"/>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to Section 302 of the Sarbanes-Oxley Act of 2002</w:t>
            </w:r>
          </w:p>
        </w:tc>
        <w:tc>
          <w:tcPr>
            <w:tcW w:w="4320" w:type="dxa"/>
            <w:vAlign w:val="bottom"/>
            <w:gridSpan w:val="18"/>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17"/>
                <w:szCs w:val="17"/>
                <w:color w:val="auto"/>
              </w:rPr>
            </w:pPr>
          </w:p>
        </w:tc>
        <w:tc>
          <w:tcPr>
            <w:tcW w:w="7780" w:type="dxa"/>
            <w:vAlign w:val="bottom"/>
            <w:tcBorders>
              <w:bottom w:val="single" w:sz="8" w:color="0000EE"/>
            </w:tcBorders>
            <w:gridSpan w:val="24"/>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 and Rule 15d-14(a), as adopted pursuant</w:t>
            </w:r>
          </w:p>
        </w:tc>
        <w:tc>
          <w:tcPr>
            <w:tcW w:w="140" w:type="dxa"/>
            <w:vAlign w:val="bottom"/>
            <w:gridSpan w:val="5"/>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to Section 302 of the Sarbanes-Oxley Act of 2002</w:t>
            </w:r>
          </w:p>
        </w:tc>
        <w:tc>
          <w:tcPr>
            <w:tcW w:w="4320" w:type="dxa"/>
            <w:vAlign w:val="bottom"/>
            <w:gridSpan w:val="18"/>
          </w:tcPr>
          <w:p>
            <w:pPr>
              <w:spacing w:after="0"/>
              <w:rPr>
                <w:sz w:val="17"/>
                <w:szCs w:val="17"/>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17"/>
                <w:szCs w:val="17"/>
                <w:color w:val="auto"/>
              </w:rPr>
            </w:pPr>
          </w:p>
        </w:tc>
        <w:tc>
          <w:tcPr>
            <w:tcW w:w="776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18 U.S.C. Section 1350, as adopted pursuant to Section</w:t>
            </w:r>
          </w:p>
        </w:tc>
        <w:tc>
          <w:tcPr>
            <w:tcW w:w="160" w:type="dxa"/>
            <w:vAlign w:val="bottom"/>
            <w:gridSpan w:val="6"/>
          </w:tcPr>
          <w:p>
            <w:pPr>
              <w:spacing w:after="0"/>
              <w:rPr>
                <w:sz w:val="17"/>
                <w:szCs w:val="17"/>
                <w:color w:val="auto"/>
              </w:rPr>
            </w:pP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9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906 of the Sarbanes-Oxley Act of 2002</w:t>
            </w:r>
          </w:p>
        </w:tc>
      </w:tr>
      <w:tr>
        <w:trPr>
          <w:trHeight w:val="20"/>
        </w:trPr>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20" w:type="dxa"/>
            <w:vAlign w:val="bottom"/>
            <w:gridSpan w:val="6"/>
            <w:shd w:val="clear" w:color="auto" w:fill="0000EE"/>
          </w:tcPr>
          <w:p>
            <w:pPr>
              <w:spacing w:after="0" w:line="20" w:lineRule="exact"/>
              <w:rPr>
                <w:sz w:val="1"/>
                <w:szCs w:val="1"/>
                <w:color w:val="auto"/>
              </w:rPr>
            </w:pPr>
          </w:p>
        </w:tc>
        <w:tc>
          <w:tcPr>
            <w:tcW w:w="4880" w:type="dxa"/>
            <w:vAlign w:val="bottom"/>
            <w:gridSpan w:val="15"/>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r>
      <w:tr>
        <w:trPr>
          <w:trHeight w:val="196"/>
        </w:trPr>
        <w:tc>
          <w:tcPr>
            <w:tcW w:w="7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17"/>
                <w:szCs w:val="17"/>
                <w:color w:val="auto"/>
              </w:rPr>
            </w:pPr>
          </w:p>
        </w:tc>
        <w:tc>
          <w:tcPr>
            <w:tcW w:w="7920" w:type="dxa"/>
            <w:vAlign w:val="bottom"/>
            <w:gridSpan w:val="2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w:t>
            </w:r>
          </w:p>
        </w:tc>
      </w:tr>
      <w:tr>
        <w:trPr>
          <w:trHeight w:val="196"/>
        </w:trPr>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00" w:type="dxa"/>
            <w:vAlign w:val="bottom"/>
            <w:tcBorders>
              <w:top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906 of the Sarbanes-Oxley Act of 2002</w:t>
            </w:r>
          </w:p>
        </w:tc>
        <w:tc>
          <w:tcPr>
            <w:tcW w:w="220" w:type="dxa"/>
            <w:vAlign w:val="bottom"/>
            <w:gridSpan w:val="8"/>
          </w:tcPr>
          <w:p>
            <w:pPr>
              <w:spacing w:after="0"/>
              <w:rPr>
                <w:sz w:val="17"/>
                <w:szCs w:val="17"/>
                <w:color w:val="auto"/>
              </w:rPr>
            </w:pPr>
          </w:p>
        </w:tc>
      </w:tr>
      <w:tr>
        <w:trPr>
          <w:trHeight w:val="218"/>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82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5100" w:type="dxa"/>
            <w:vAlign w:val="bottom"/>
            <w:gridSpan w:val="23"/>
          </w:tcPr>
          <w:p>
            <w:pPr>
              <w:spacing w:after="0"/>
              <w:rPr>
                <w:sz w:val="18"/>
                <w:szCs w:val="18"/>
                <w:color w:val="auto"/>
              </w:rPr>
            </w:pP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792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792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792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792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792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34"/>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7920" w:type="dxa"/>
            <w:vAlign w:val="bottom"/>
            <w:gridSpan w:val="2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78" w:lineRule="exact"/>
        <w:rPr>
          <w:sz w:val="20"/>
          <w:szCs w:val="20"/>
          <w:color w:val="auto"/>
        </w:rPr>
      </w:pPr>
    </w:p>
    <w:p>
      <w:pPr>
        <w:ind w:left="380" w:hanging="330"/>
        <w:spacing w:after="0"/>
        <w:tabs>
          <w:tab w:leader="none" w:pos="3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380" w:hanging="330"/>
        <w:spacing w:after="0"/>
        <w:tabs>
          <w:tab w:leader="none" w:pos="3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a management contract or compensatory plan.</w:t>
      </w:r>
    </w:p>
    <w:p>
      <w:pPr>
        <w:spacing w:after="0" w:line="9" w:lineRule="exact"/>
        <w:rPr>
          <w:sz w:val="20"/>
          <w:szCs w:val="20"/>
          <w:color w:val="auto"/>
        </w:rPr>
      </w:pPr>
    </w:p>
    <w:p>
      <w:pPr>
        <w:jc w:val="both"/>
        <w:ind w:left="380" w:right="79" w:hanging="330"/>
        <w:spacing w:after="0" w:line="253" w:lineRule="auto"/>
        <w:tabs>
          <w:tab w:leader="none" w:pos="3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certifications are being furnished solely to accompany this quarterly report pursuant to 18 U.S.C. Section 1350, and are not being filed for purposes of Section 18 of the Securities Exchange Act of 1934, as amended, and are not to be incorporated by reference into any filing of the registrant, whether made before or after the date hereof, regardless of any general incorporation language in such filing.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080" w:type="dxa"/>
            <w:vAlign w:val="bottom"/>
          </w:tcPr>
          <w:p>
            <w:pPr>
              <w:spacing w:after="0"/>
              <w:rPr>
                <w:sz w:val="20"/>
                <w:szCs w:val="20"/>
                <w:color w:val="auto"/>
              </w:rPr>
            </w:pPr>
          </w:p>
        </w:tc>
        <w:tc>
          <w:tcPr>
            <w:tcW w:w="58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HELIUS MEDICAL TECHNOLOGIES, INC.</w:t>
            </w:r>
          </w:p>
        </w:tc>
      </w:tr>
      <w:tr>
        <w:trPr>
          <w:trHeight w:val="432"/>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12, 2024</w:t>
            </w:r>
          </w:p>
        </w:tc>
        <w:tc>
          <w:tcPr>
            <w:tcW w:w="18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Dane C. Andreeff</w:t>
            </w:r>
          </w:p>
        </w:tc>
      </w:tr>
      <w:tr>
        <w:trPr>
          <w:trHeight w:val="189"/>
        </w:trPr>
        <w:tc>
          <w:tcPr>
            <w:tcW w:w="30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Dane C. Andreeff</w:t>
            </w:r>
          </w:p>
        </w:tc>
      </w:tr>
      <w:tr>
        <w:trPr>
          <w:trHeight w:val="236"/>
        </w:trPr>
        <w:tc>
          <w:tcPr>
            <w:tcW w:w="30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432"/>
        </w:trPr>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Dated: August 12, 2024</w:t>
            </w:r>
          </w:p>
        </w:tc>
        <w:tc>
          <w:tcPr>
            <w:tcW w:w="18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S. Mathiesen</w:t>
            </w:r>
          </w:p>
        </w:tc>
      </w:tr>
      <w:tr>
        <w:trPr>
          <w:trHeight w:val="189"/>
        </w:trPr>
        <w:tc>
          <w:tcPr>
            <w:tcW w:w="30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Jeffrey S. Mathiesen</w:t>
            </w:r>
          </w:p>
        </w:tc>
      </w:tr>
      <w:tr>
        <w:trPr>
          <w:trHeight w:val="216"/>
        </w:trPr>
        <w:tc>
          <w:tcPr>
            <w:tcW w:w="30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Treasurer and Secretary</w:t>
            </w:r>
          </w:p>
        </w:tc>
      </w:tr>
      <w:tr>
        <w:trPr>
          <w:trHeight w:val="216"/>
        </w:trPr>
        <w:tc>
          <w:tcPr>
            <w:tcW w:w="30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w:t>
            </w:r>
          </w:p>
        </w:tc>
      </w:tr>
      <w:tr>
        <w:trPr>
          <w:trHeight w:val="236"/>
        </w:trPr>
        <w:tc>
          <w:tcPr>
            <w:tcW w:w="30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Dane C. Andreeff,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June 30, 2024 of Helius Medical Technologies, Inc.</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40" w:firstLine="640"/>
        <w:spacing w:after="0" w:line="282" w:lineRule="auto"/>
        <w:tabs>
          <w:tab w:leader="none" w:pos="131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2024</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Dane C. Andreeff</w:t>
            </w:r>
          </w:p>
        </w:tc>
      </w:tr>
      <w:tr>
        <w:trPr>
          <w:trHeight w:val="191"/>
        </w:trPr>
        <w:tc>
          <w:tcPr>
            <w:tcW w:w="5160" w:type="dxa"/>
            <w:vAlign w:val="bottom"/>
          </w:tcPr>
          <w:p>
            <w:pPr>
              <w:spacing w:after="0"/>
              <w:rPr>
                <w:sz w:val="16"/>
                <w:szCs w:val="16"/>
                <w:color w:val="auto"/>
              </w:rPr>
            </w:pP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Dane C. Andreeff</w:t>
            </w:r>
          </w:p>
        </w:tc>
      </w:tr>
      <w:tr>
        <w:trPr>
          <w:trHeight w:val="234"/>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992"/>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Jeffrey S. Mathiesen,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for the period ended June 30, 2024 of Helius Medical Technologies, Inc.</w:t>
      </w:r>
    </w:p>
    <w:p>
      <w:pPr>
        <w:spacing w:after="0" w:line="22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jc w:val="both"/>
        <w:ind w:left="340" w:hanging="8"/>
        <w:spacing w:after="0" w:line="266" w:lineRule="auto"/>
        <w:tabs>
          <w:tab w:leader="none" w:pos="6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340" w:firstLine="640"/>
        <w:spacing w:after="0" w:line="266" w:lineRule="auto"/>
        <w:tabs>
          <w:tab w:leader="none" w:pos="131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340" w:firstLine="640"/>
        <w:spacing w:after="0" w:line="282" w:lineRule="auto"/>
        <w:tabs>
          <w:tab w:leader="none" w:pos="131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2024</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S. Mathiesen</w:t>
            </w:r>
          </w:p>
        </w:tc>
      </w:tr>
      <w:tr>
        <w:trPr>
          <w:trHeight w:val="205"/>
        </w:trPr>
        <w:tc>
          <w:tcPr>
            <w:tcW w:w="5160" w:type="dxa"/>
            <w:vAlign w:val="bottom"/>
          </w:tcPr>
          <w:p>
            <w:pPr>
              <w:spacing w:after="0"/>
              <w:rPr>
                <w:sz w:val="17"/>
                <w:szCs w:val="17"/>
                <w:color w:val="auto"/>
              </w:rPr>
            </w:pPr>
          </w:p>
        </w:tc>
        <w:tc>
          <w:tcPr>
            <w:tcW w:w="47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Jeffrey S. Mathiesen</w:t>
            </w:r>
          </w:p>
        </w:tc>
      </w:tr>
      <w:tr>
        <w:trPr>
          <w:trHeight w:val="234"/>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047"/>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HELIUS MEDICAL TECHNOLOGIES, INC. FORM 10-Q FOR THE QUARTER ENDED JUNE 30, 2024 PURSUANT TO 18 U.S.C. SECTION 1350, AS ADOPTED PURSUANT TO SECTION 906 OF THE SARBANES-OXLEY ACT OF 2002</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 am the Chief Executive Officer of Helius Medical Technologies, Inc., a Delaware corporation (the “Company”). I am delivering this certificate in connection with the Form 10-Q of the Company for the quarter ended June 30, 2024 and filed with the Securities and Exchange Commission (“Form 10-Q”).</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2024</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Dane C. Andreeff</w:t>
            </w:r>
          </w:p>
        </w:tc>
      </w:tr>
      <w:tr>
        <w:trPr>
          <w:trHeight w:val="191"/>
        </w:trPr>
        <w:tc>
          <w:tcPr>
            <w:tcW w:w="5160" w:type="dxa"/>
            <w:vAlign w:val="bottom"/>
          </w:tcPr>
          <w:p>
            <w:pPr>
              <w:spacing w:after="0"/>
              <w:rPr>
                <w:sz w:val="16"/>
                <w:szCs w:val="16"/>
                <w:color w:val="auto"/>
              </w:rPr>
            </w:pP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Dane C. Andreeff</w:t>
            </w:r>
          </w:p>
        </w:tc>
      </w:tr>
      <w:tr>
        <w:trPr>
          <w:trHeight w:val="234"/>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777"/>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7" w:right="99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HELIUS MEDICAL TECHNOLOGIES, INC. FORM 10-Q FOR THE QUARTER ENDED JUNE 30, 2024 PURSUANT TO 18 U.S.C. SECTION 1350, AS ADOPTED PURSUANT TO SECTION 906 OF THE SARBANES-OXLEY ACT OF 2002</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 am the Chief Financial Officer of Helius Medical Technologies, Inc., a Delaware corporation (the “Company”). I am delivering this certificate in connection with the Form 10-Q of the Company for the quarter ended June 30, 2024 and filed with the Securities and Exchange Commission (“Form 10-Q”).</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hereby certify that, to the best of my knowledge, the Form 10-Q fully complies with the requirements of Section 13(a) or Section 15(d) of the Securities Exchange Act of 1934 and that the information contained in the Form 10-Q fairly presents, in all material respects, the financial condition and results of operations of the Company.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12, 2024</w:t>
            </w:r>
          </w:p>
        </w:tc>
        <w:tc>
          <w:tcPr>
            <w:tcW w:w="4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Jeffrey S. Mathiesen</w:t>
            </w:r>
          </w:p>
        </w:tc>
      </w:tr>
      <w:tr>
        <w:trPr>
          <w:trHeight w:val="191"/>
        </w:trPr>
        <w:tc>
          <w:tcPr>
            <w:tcW w:w="5160" w:type="dxa"/>
            <w:vAlign w:val="bottom"/>
          </w:tcPr>
          <w:p>
            <w:pPr>
              <w:spacing w:after="0"/>
              <w:rPr>
                <w:sz w:val="16"/>
                <w:szCs w:val="16"/>
                <w:color w:val="auto"/>
              </w:rPr>
            </w:pPr>
          </w:p>
        </w:tc>
        <w:tc>
          <w:tcPr>
            <w:tcW w:w="4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Jeffrey S. Mathiesen</w:t>
            </w:r>
          </w:p>
        </w:tc>
      </w:tr>
      <w:tr>
        <w:trPr>
          <w:trHeight w:val="234"/>
        </w:trPr>
        <w:tc>
          <w:tcPr>
            <w:tcW w:w="5160" w:type="dxa"/>
            <w:vAlign w:val="bottom"/>
          </w:tcPr>
          <w:p>
            <w:pPr>
              <w:spacing w:after="0"/>
              <w:rPr>
                <w:sz w:val="20"/>
                <w:szCs w:val="20"/>
                <w:color w:val="auto"/>
              </w:rPr>
            </w:pPr>
          </w:p>
        </w:tc>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777"/>
        </w:trPr>
        <w:tc>
          <w:tcPr>
            <w:tcW w:w="516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2"/>
    </w:lvl>
  </w:abstractNum>
  <w:abstractNum w:abstractNumId="4">
    <w:nsid w:val="140E0F76"/>
    <w:multiLevelType w:val="hybridMultilevel"/>
    <w:lvl w:ilvl="0">
      <w:lvlJc w:val="left"/>
      <w:lvlText w:val="%1."/>
      <w:numFmt w:val="decimal"/>
      <w:start w:val="3"/>
    </w:lvl>
  </w:abstractNum>
  <w:abstractNum w:abstractNumId="5">
    <w:nsid w:val="3352255A"/>
    <w:multiLevelType w:val="hybridMultilevel"/>
    <w:lvl w:ilvl="0">
      <w:lvlJc w:val="left"/>
      <w:lvlText w:val="%1."/>
      <w:numFmt w:val="decimal"/>
      <w:start w:val="4"/>
    </w:lvl>
  </w:abstractNum>
  <w:abstractNum w:abstractNumId="6">
    <w:nsid w:val="109CF92E"/>
    <w:multiLevelType w:val="hybridMultilevel"/>
    <w:lvl w:ilvl="0">
      <w:lvlJc w:val="left"/>
      <w:lvlText w:val="%1."/>
      <w:numFmt w:val="decimal"/>
      <w:start w:val="5"/>
    </w:lvl>
  </w:abstractNum>
  <w:abstractNum w:abstractNumId="7">
    <w:nsid w:val="DED7263"/>
    <w:multiLevelType w:val="hybridMultilevel"/>
    <w:lvl w:ilvl="0">
      <w:lvlJc w:val="left"/>
      <w:lvlText w:val="%1."/>
      <w:numFmt w:val="decimal"/>
      <w:start w:val="6"/>
    </w:lvl>
  </w:abstractNum>
  <w:abstractNum w:abstractNumId="8">
    <w:nsid w:val="7FDCC233"/>
    <w:multiLevelType w:val="hybridMultilevel"/>
    <w:lvl w:ilvl="0">
      <w:lvlJc w:val="left"/>
      <w:lvlText w:val="%1."/>
      <w:numFmt w:val="decimal"/>
      <w:start w:val="7"/>
    </w:lvl>
  </w:abstractNum>
  <w:abstractNum w:abstractNumId="9">
    <w:nsid w:val="1BEFD79F"/>
    <w:multiLevelType w:val="hybridMultilevel"/>
    <w:lvl w:ilvl="0">
      <w:lvlJc w:val="left"/>
      <w:lvlText w:val="%1."/>
      <w:numFmt w:val="decimal"/>
      <w:start w:val="8"/>
    </w:lvl>
  </w:abstractNum>
  <w:abstractNum w:abstractNumId="10">
    <w:nsid w:val="41A7C4C9"/>
    <w:multiLevelType w:val="hybridMultilevel"/>
    <w:lvl w:ilvl="0">
      <w:lvlJc w:val="left"/>
      <w:lvlText w:val="(%1)"/>
      <w:numFmt w:val="decimal"/>
      <w:start w:val="1"/>
    </w:lvl>
  </w:abstractNum>
  <w:abstractNum w:abstractNumId="11">
    <w:nsid w:val="6B68079A"/>
    <w:multiLevelType w:val="hybridMultilevel"/>
    <w:lvl w:ilvl="0">
      <w:lvlJc w:val="left"/>
      <w:lvlText w:val="(%1)"/>
      <w:numFmt w:val="decimal"/>
      <w:start w:val="2"/>
    </w:lvl>
  </w:abstractNum>
  <w:abstractNum w:abstractNumId="12">
    <w:nsid w:val="4E6AFB66"/>
    <w:multiLevelType w:val="hybridMultilevel"/>
    <w:lvl w:ilvl="0">
      <w:lvlJc w:val="left"/>
      <w:lvlText w:val="%1"/>
      <w:numFmt w:val="decimal"/>
      <w:start w:val="1"/>
    </w:lvl>
    <w:lvl w:ilvl="1">
      <w:lvlJc w:val="left"/>
      <w:lvlText w:val="(%2)"/>
      <w:numFmt w:val="decimal"/>
      <w:start w:val="1"/>
    </w:lvl>
  </w:abstractNum>
  <w:abstractNum w:abstractNumId="13">
    <w:nsid w:val="25E45D32"/>
    <w:multiLevelType w:val="hybridMultilevel"/>
    <w:lvl w:ilvl="0">
      <w:lvlJc w:val="left"/>
      <w:lvlText w:val="%1."/>
      <w:numFmt w:val="decimal"/>
      <w:start w:val="9"/>
    </w:lvl>
    <w:lvl w:ilvl="1">
      <w:lvlJc w:val="left"/>
      <w:lvlText w:val="%2"/>
      <w:numFmt w:val="decimal"/>
      <w:start w:val="1"/>
    </w:lvl>
  </w:abstractNum>
  <w:abstractNum w:abstractNumId="14">
    <w:nsid w:val="519B500D"/>
    <w:multiLevelType w:val="hybridMultilevel"/>
    <w:lvl w:ilvl="0">
      <w:lvlJc w:val="left"/>
      <w:lvlText w:val="%1."/>
      <w:numFmt w:val="decimal"/>
      <w:start w:val="10"/>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40" Type="http://schemas.openxmlformats.org/officeDocument/2006/relationships/hyperlink" Target="https://www.sec.gov/Archives/edgar/data/0001610853/000156459018020736/hsdt-ex31_66.htm" TargetMode="External"/><Relationship Id="rId41" Type="http://schemas.openxmlformats.org/officeDocument/2006/relationships/hyperlink" Target="https://www.sec.gov/Archives/edgar/data/0001610853/000119312518312155/d646047dex31.htm" TargetMode="External"/><Relationship Id="rId42" Type="http://schemas.openxmlformats.org/officeDocument/2006/relationships/hyperlink" Target="https://www.sec.gov/Archives/edgar/data/0001610853/000156459020058917/hsdt-ex31_7.htm" TargetMode="External"/><Relationship Id="rId43" Type="http://schemas.openxmlformats.org/officeDocument/2006/relationships/hyperlink" Target="https://www.sec.gov/Archives/edgar/data/1610853/000110465923036609/tm2310398d1_ex3-1.htm" TargetMode="External"/><Relationship Id="rId44" Type="http://schemas.openxmlformats.org/officeDocument/2006/relationships/hyperlink" Target="https://www.sec.gov/Archives/edgar/data/1610853/000110465923092276/tm2323789d1_ex3-1.htm" TargetMode="External"/><Relationship Id="rId45" Type="http://schemas.openxmlformats.org/officeDocument/2006/relationships/hyperlink" Target="https://www.sec.gov/Archives/edgar/data/1610853/000155837024003414/hsdt-20240312xex3d1.htm" TargetMode="External"/><Relationship Id="rId46" Type="http://schemas.openxmlformats.org/officeDocument/2006/relationships/hyperlink" Target="https://www.sec.gov/Archives/edgar/data/1610853/000110465924059372/tm2411553d9_ex4-1.htm" TargetMode="External"/><Relationship Id="rId47" Type="http://schemas.openxmlformats.org/officeDocument/2006/relationships/hyperlink" Target="https://www.sec.gov/Archives/edgar/data/1610853/000110465924059372/tm2411553d9_ex4-2.htm" TargetMode="External"/><Relationship Id="rId48" Type="http://schemas.openxmlformats.org/officeDocument/2006/relationships/hyperlink" Target="https://www.sec.gov/Archives/edgar/data/1610853/000110465924059372/tm2411553d9_ex4-3.htm" TargetMode="External"/><Relationship Id="rId49" Type="http://schemas.openxmlformats.org/officeDocument/2006/relationships/hyperlink" Target="https://www.sec.gov/Archives/edgar/data/1610853/000110465924059372/tm2411553d9_ex4-4.htm" TargetMode="External"/><Relationship Id="rId50" Type="http://schemas.openxmlformats.org/officeDocument/2006/relationships/hyperlink" Target="https://www.sec.gov/Archives/edgar/data/1610853/000110465924059372/tm2411553d9_ex10-1.htm" TargetMode="External"/><Relationship Id="rId51" Type="http://schemas.openxmlformats.org/officeDocument/2006/relationships/hyperlink" Target="https://www.sec.gov/Archives/edgar/data/1610853/000155837024009613/hsdt-20240627xex10d1.htm" TargetMode="External"/><Relationship Id="rId52" Type="http://schemas.openxmlformats.org/officeDocument/2006/relationships/hyperlink" Target="https://www.sec.gov/Archives/edgar/data/1610853/000110465924082337/tm2420001d1_ex4-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2024-08-12T16:10:25Z</dcterms:created>
  <dcterms:modified xsi:type="dcterms:W3CDTF">2024-08-12T16:10:25Z</dcterms:modified>
</cp:coreProperties>
</file>