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4618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46189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Danilov Yuri P</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05/14/2015</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HELIUS MEDICAL TECHNOLOGIES, INC.</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HSDT</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60" w:type="dxa"/>
            <w:vAlign w:val="bottom"/>
          </w:tcPr>
          <w:p>
            <w:pPr>
              <w:spacing w:after="0"/>
              <w:rPr>
                <w:sz w:val="20"/>
                <w:szCs w:val="20"/>
                <w:color w:val="auto"/>
              </w:rPr>
            </w:pPr>
            <w:r>
              <w:rPr>
                <w:rFonts w:ascii="Arial" w:cs="Arial" w:eastAsia="Arial" w:hAnsi="Arial"/>
                <w:sz w:val="9"/>
                <w:szCs w:val="9"/>
                <w:color w:val="auto"/>
              </w:rPr>
              <w:t>(Last)</w:t>
            </w:r>
          </w:p>
        </w:tc>
        <w:tc>
          <w:tcPr>
            <w:tcW w:w="1340" w:type="dxa"/>
            <w:vAlign w:val="bottom"/>
          </w:tcPr>
          <w:p>
            <w:pPr>
              <w:ind w:left="240"/>
              <w:spacing w:after="0"/>
              <w:rPr>
                <w:sz w:val="20"/>
                <w:szCs w:val="20"/>
                <w:color w:val="auto"/>
              </w:rPr>
            </w:pPr>
            <w:r>
              <w:rPr>
                <w:rFonts w:ascii="Arial" w:cs="Arial" w:eastAsia="Arial" w:hAnsi="Arial"/>
                <w:sz w:val="9"/>
                <w:szCs w:val="9"/>
                <w:color w:val="auto"/>
              </w:rPr>
              <w:t>(First)</w:t>
            </w:r>
          </w:p>
        </w:tc>
        <w:tc>
          <w:tcPr>
            <w:tcW w:w="1080" w:type="dxa"/>
            <w:vAlign w:val="bottom"/>
          </w:tcPr>
          <w:p>
            <w:pPr>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Arial" w:cs="Arial" w:eastAsia="Arial" w:hAnsi="Arial"/>
                <w:sz w:val="12"/>
                <w:szCs w:val="12"/>
                <w:color w:val="0000FF"/>
                <w:w w:val="95"/>
              </w:rPr>
              <w:t>HELIUS MEDICAL TECHNOLOGIES, INC.</w:t>
            </w:r>
          </w:p>
        </w:tc>
        <w:tc>
          <w:tcPr>
            <w:tcW w:w="108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2200" w:type="dxa"/>
            <w:vAlign w:val="bottom"/>
            <w:gridSpan w:val="2"/>
          </w:tcPr>
          <w:p>
            <w:pPr>
              <w:spacing w:after="0"/>
              <w:rPr>
                <w:sz w:val="20"/>
                <w:szCs w:val="20"/>
                <w:color w:val="auto"/>
              </w:rPr>
            </w:pPr>
            <w:r>
              <w:rPr>
                <w:rFonts w:ascii="Arial" w:cs="Arial" w:eastAsia="Arial" w:hAnsi="Arial"/>
                <w:sz w:val="12"/>
                <w:szCs w:val="12"/>
                <w:color w:val="0000FF"/>
              </w:rPr>
              <w:t>SUITE 400, 41 UNIVERSITY DRIVE</w:t>
            </w:r>
          </w:p>
        </w:tc>
        <w:tc>
          <w:tcPr>
            <w:tcW w:w="108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r>
      <w:tr>
        <w:trPr>
          <w:trHeight w:val="177"/>
        </w:trPr>
        <w:tc>
          <w:tcPr>
            <w:tcW w:w="900" w:type="dxa"/>
            <w:vAlign w:val="bottom"/>
            <w:gridSpan w:val="2"/>
          </w:tcPr>
          <w:p>
            <w:pPr>
              <w:spacing w:after="0"/>
              <w:rPr>
                <w:sz w:val="20"/>
                <w:szCs w:val="20"/>
                <w:color w:val="auto"/>
              </w:rPr>
            </w:pPr>
            <w:r>
              <w:rPr>
                <w:rFonts w:ascii="Arial" w:cs="Arial" w:eastAsia="Arial" w:hAnsi="Arial"/>
                <w:sz w:val="9"/>
                <w:szCs w:val="9"/>
                <w:color w:val="auto"/>
              </w:rPr>
              <w:t>(Street)</w:t>
            </w: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2"/>
                <w:szCs w:val="12"/>
                <w:color w:val="0000FF"/>
              </w:rPr>
              <w:t>NEWTOWN</w:t>
            </w:r>
          </w:p>
        </w:tc>
        <w:tc>
          <w:tcPr>
            <w:tcW w:w="1340" w:type="dxa"/>
            <w:vAlign w:val="bottom"/>
          </w:tcPr>
          <w:p>
            <w:pPr>
              <w:ind w:left="240"/>
              <w:spacing w:after="0"/>
              <w:rPr>
                <w:sz w:val="20"/>
                <w:szCs w:val="20"/>
                <w:color w:val="auto"/>
              </w:rPr>
            </w:pPr>
            <w:r>
              <w:rPr>
                <w:rFonts w:ascii="Arial" w:cs="Arial" w:eastAsia="Arial" w:hAnsi="Arial"/>
                <w:sz w:val="12"/>
                <w:szCs w:val="12"/>
                <w:color w:val="0000FF"/>
              </w:rPr>
              <w:t>PA</w:t>
            </w:r>
          </w:p>
        </w:tc>
        <w:tc>
          <w:tcPr>
            <w:tcW w:w="1080" w:type="dxa"/>
            <w:vAlign w:val="bottom"/>
          </w:tcPr>
          <w:p>
            <w:pPr>
              <w:spacing w:after="0"/>
              <w:rPr>
                <w:sz w:val="20"/>
                <w:szCs w:val="20"/>
                <w:color w:val="auto"/>
              </w:rPr>
            </w:pPr>
            <w:r>
              <w:rPr>
                <w:rFonts w:ascii="Arial" w:cs="Arial" w:eastAsia="Arial" w:hAnsi="Arial"/>
                <w:sz w:val="12"/>
                <w:szCs w:val="12"/>
                <w:color w:val="0000FF"/>
              </w:rPr>
              <w:t>18940</w:t>
            </w:r>
          </w:p>
        </w:tc>
      </w:tr>
    </w:tbl>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93"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6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60" w:type="dxa"/>
            <w:vAlign w:val="bottom"/>
            <w:gridSpan w:val="2"/>
          </w:tcPr>
          <w:p>
            <w:pPr>
              <w:ind w:left="6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6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0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(Instr. 4)</w:t>
            </w:r>
          </w:p>
        </w:tc>
        <w:tc>
          <w:tcPr>
            <w:tcW w:w="9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6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960" w:type="dxa"/>
            <w:vAlign w:val="bottom"/>
            <w:vMerge w:val="restart"/>
          </w:tcPr>
          <w:p>
            <w:pPr>
              <w:ind w:left="3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6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2000" w:type="dxa"/>
            <w:vAlign w:val="bottom"/>
          </w:tcPr>
          <w:p>
            <w:pPr>
              <w:spacing w:after="0"/>
              <w:rPr>
                <w:sz w:val="8"/>
                <w:szCs w:val="8"/>
                <w:color w:val="auto"/>
              </w:rPr>
            </w:pPr>
          </w:p>
        </w:tc>
        <w:tc>
          <w:tcPr>
            <w:tcW w:w="960" w:type="dxa"/>
            <w:vAlign w:val="bottom"/>
          </w:tcPr>
          <w:p>
            <w:pPr>
              <w:ind w:left="3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00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960" w:type="dxa"/>
            <w:vAlign w:val="bottom"/>
          </w:tcPr>
          <w:p>
            <w:pPr>
              <w:ind w:left="3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Stock Option (Right to Buy)</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8"/>
                <w:szCs w:val="8"/>
                <w:color w:val="008000"/>
              </w:rPr>
              <w:t>(1)</w:t>
            </w:r>
          </w:p>
        </w:tc>
        <w:tc>
          <w:tcPr>
            <w:tcW w:w="560" w:type="dxa"/>
            <w:vAlign w:val="bottom"/>
            <w:tcBorders>
              <w:bottom w:val="single" w:sz="8" w:color="2C2C2C"/>
            </w:tcBorders>
          </w:tcPr>
          <w:p>
            <w:pPr>
              <w:jc w:val="right"/>
              <w:ind w:right="35"/>
              <w:spacing w:after="0"/>
              <w:rPr>
                <w:sz w:val="20"/>
                <w:szCs w:val="20"/>
                <w:color w:val="auto"/>
              </w:rPr>
            </w:pPr>
            <w:r>
              <w:rPr>
                <w:rFonts w:ascii="Arial" w:cs="Arial" w:eastAsia="Arial" w:hAnsi="Arial"/>
                <w:sz w:val="9"/>
                <w:szCs w:val="9"/>
                <w:color w:val="0000FF"/>
              </w:rPr>
              <w:t>06/18/2019</w:t>
            </w:r>
          </w:p>
        </w:tc>
        <w:tc>
          <w:tcPr>
            <w:tcW w:w="2000" w:type="dxa"/>
            <w:vAlign w:val="bottom"/>
            <w:tcBorders>
              <w:bottom w:val="single" w:sz="8" w:color="2C2C2C"/>
            </w:tcBorders>
          </w:tcPr>
          <w:p>
            <w:pPr>
              <w:ind w:left="580"/>
              <w:spacing w:after="0"/>
              <w:rPr>
                <w:sz w:val="20"/>
                <w:szCs w:val="20"/>
                <w:color w:val="auto"/>
              </w:rPr>
            </w:pPr>
            <w:r>
              <w:rPr>
                <w:rFonts w:ascii="Arial" w:cs="Arial" w:eastAsia="Arial" w:hAnsi="Arial"/>
                <w:sz w:val="12"/>
                <w:szCs w:val="12"/>
                <w:color w:val="0000FF"/>
              </w:rPr>
              <w:t>Class A Common Stock</w:t>
            </w:r>
          </w:p>
        </w:tc>
        <w:tc>
          <w:tcPr>
            <w:tcW w:w="960" w:type="dxa"/>
            <w:vAlign w:val="bottom"/>
            <w:tcBorders>
              <w:bottom w:val="single" w:sz="8" w:color="2C2C2C"/>
            </w:tcBorders>
          </w:tcPr>
          <w:p>
            <w:pPr>
              <w:jc w:val="right"/>
              <w:ind w:right="112"/>
              <w:spacing w:after="0"/>
              <w:rPr>
                <w:sz w:val="20"/>
                <w:szCs w:val="20"/>
                <w:color w:val="auto"/>
              </w:rPr>
            </w:pPr>
            <w:r>
              <w:rPr>
                <w:rFonts w:ascii="Arial" w:cs="Arial" w:eastAsia="Arial" w:hAnsi="Arial"/>
                <w:sz w:val="12"/>
                <w:szCs w:val="12"/>
                <w:color w:val="0000FF"/>
              </w:rPr>
              <w:t>400,000</w:t>
            </w:r>
          </w:p>
        </w:tc>
        <w:tc>
          <w:tcPr>
            <w:tcW w:w="800" w:type="dxa"/>
            <w:vAlign w:val="bottom"/>
            <w:tcBorders>
              <w:bottom w:val="single" w:sz="8" w:color="2C2C2C"/>
            </w:tcBorders>
          </w:tcPr>
          <w:p>
            <w:pPr>
              <w:ind w:left="280"/>
              <w:spacing w:after="0"/>
              <w:rPr>
                <w:sz w:val="20"/>
                <w:szCs w:val="20"/>
                <w:color w:val="auto"/>
              </w:rPr>
            </w:pPr>
            <w:r>
              <w:rPr>
                <w:rFonts w:ascii="Arial" w:cs="Arial" w:eastAsia="Arial" w:hAnsi="Arial"/>
                <w:sz w:val="12"/>
                <w:szCs w:val="12"/>
                <w:color w:val="0000FF"/>
              </w:rPr>
              <w:t>0.5</w:t>
            </w:r>
            <w:r>
              <w:rPr>
                <w:rFonts w:ascii="Arial" w:cs="Arial" w:eastAsia="Arial" w:hAnsi="Arial"/>
                <w:sz w:val="15"/>
                <w:szCs w:val="15"/>
                <w:color w:val="008000"/>
                <w:vertAlign w:val="superscript"/>
              </w:rPr>
              <w:t>(2)</w:t>
            </w:r>
          </w:p>
        </w:tc>
        <w:tc>
          <w:tcPr>
            <w:tcW w:w="900" w:type="dxa"/>
            <w:vAlign w:val="bottom"/>
            <w:tcBorders>
              <w:bottom w:val="single" w:sz="8" w:color="2C2C2C"/>
            </w:tcBorders>
          </w:tcPr>
          <w:p>
            <w:pPr>
              <w:ind w:left="400"/>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100" w:hanging="81"/>
        <w:spacing w:after="0"/>
        <w:tabs>
          <w:tab w:leader="none" w:pos="100" w:val="left"/>
        </w:tabs>
        <w:numPr>
          <w:ilvl w:val="0"/>
          <w:numId w:val="4"/>
        </w:numPr>
        <w:rPr>
          <w:rFonts w:ascii="Arial" w:cs="Arial" w:eastAsia="Arial" w:hAnsi="Arial"/>
          <w:sz w:val="9"/>
          <w:szCs w:val="9"/>
          <w:color w:val="008000"/>
        </w:rPr>
      </w:pPr>
      <w:r>
        <w:rPr>
          <w:rFonts w:ascii="Arial" w:cs="Arial" w:eastAsia="Arial" w:hAnsi="Arial"/>
          <w:sz w:val="9"/>
          <w:szCs w:val="9"/>
          <w:color w:val="008000"/>
        </w:rPr>
        <w:t>One-third of the shares subject to this option vested on June 19, 2014 and the remaining shares will vest in equal amounts on each of June 19, 2015 and June 19, 2016.</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4"/>
        </w:numPr>
        <w:rPr>
          <w:rFonts w:ascii="Arial" w:cs="Arial" w:eastAsia="Arial" w:hAnsi="Arial"/>
          <w:sz w:val="9"/>
          <w:szCs w:val="9"/>
          <w:color w:val="008000"/>
        </w:rPr>
      </w:pPr>
      <w:r>
        <w:rPr>
          <w:rFonts w:ascii="Arial" w:cs="Arial" w:eastAsia="Arial" w:hAnsi="Arial"/>
          <w:sz w:val="9"/>
          <w:szCs w:val="9"/>
          <w:color w:val="008000"/>
        </w:rPr>
        <w:t>Translated into U.S. dollars from Canadian dollars based on the noon buying rate from the Federal Reserve Bank of USD$1.00 = CAD$1.2086 on May 8, 2015, based on an option exercise price of CAD$0.60.</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9"/>
          <w:szCs w:val="9"/>
          <w:color w:val="008000"/>
        </w:rPr>
        <w:t>Remarks: Exhibit 24 - Power of Attorney</w:t>
      </w:r>
    </w:p>
    <w:p>
      <w:pPr>
        <w:spacing w:after="0" w:line="36"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140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8"/>
              </w:rPr>
              <w:t>Charles Lee, Attorney-in-Fact</w:t>
            </w:r>
          </w:p>
        </w:tc>
        <w:tc>
          <w:tcPr>
            <w:tcW w:w="88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05/14/2015</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5"/>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147"/>
        <w:spacing w:after="0"/>
        <w:rPr>
          <w:sz w:val="20"/>
          <w:szCs w:val="20"/>
          <w:color w:val="auto"/>
        </w:rPr>
      </w:pPr>
      <w:r>
        <w:rPr>
          <w:rFonts w:ascii="Courier New" w:cs="Courier New" w:eastAsia="Courier New" w:hAnsi="Courier New"/>
          <w:sz w:val="12"/>
          <w:szCs w:val="12"/>
          <w:color w:val="auto"/>
        </w:rPr>
        <w:t>LIMITED POWER OF ATTORNEY FOR</w:t>
      </w:r>
    </w:p>
    <w:p>
      <w:pPr>
        <w:spacing w:after="0" w:line="134" w:lineRule="exact"/>
        <w:rPr>
          <w:sz w:val="20"/>
          <w:szCs w:val="20"/>
          <w:color w:val="auto"/>
        </w:rPr>
      </w:pPr>
    </w:p>
    <w:p>
      <w:pPr>
        <w:ind w:left="147"/>
        <w:spacing w:after="0"/>
        <w:rPr>
          <w:sz w:val="20"/>
          <w:szCs w:val="20"/>
          <w:color w:val="auto"/>
        </w:rPr>
      </w:pPr>
      <w:r>
        <w:rPr>
          <w:rFonts w:ascii="Courier New" w:cs="Courier New" w:eastAsia="Courier New" w:hAnsi="Courier New"/>
          <w:sz w:val="12"/>
          <w:szCs w:val="12"/>
          <w:color w:val="auto"/>
        </w:rPr>
        <w:t>SECTION 16 REPORTING PURPOSES</w:t>
      </w:r>
    </w:p>
    <w:p>
      <w:pPr>
        <w:spacing w:after="0" w:line="200" w:lineRule="exact"/>
        <w:rPr>
          <w:sz w:val="20"/>
          <w:szCs w:val="20"/>
          <w:color w:val="auto"/>
        </w:rPr>
      </w:pPr>
    </w:p>
    <w:p>
      <w:pPr>
        <w:spacing w:after="0" w:line="209"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Know all by these presents, that the undersigned hereby makes, constitutes and appoints each of Philippe Deschamps, Amanda Tseng, Trevor Chaplick, Frank Zarb, Cha</w:t>
      </w:r>
    </w:p>
    <w:p>
      <w:pPr>
        <w:spacing w:after="0" w:line="200" w:lineRule="exact"/>
        <w:rPr>
          <w:sz w:val="20"/>
          <w:szCs w:val="20"/>
          <w:color w:val="auto"/>
        </w:rPr>
      </w:pPr>
    </w:p>
    <w:p>
      <w:pPr>
        <w:spacing w:after="0" w:line="216" w:lineRule="exact"/>
        <w:rPr>
          <w:sz w:val="20"/>
          <w:szCs w:val="20"/>
          <w:color w:val="auto"/>
        </w:rPr>
      </w:pPr>
    </w:p>
    <w:p>
      <w:pPr>
        <w:ind w:left="287" w:hanging="287"/>
        <w:spacing w:after="0"/>
        <w:tabs>
          <w:tab w:leader="none" w:pos="287"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Helius Medical Technologies, Inc. (the "Company")</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287" w:hanging="287"/>
        <w:spacing w:after="0"/>
        <w:tabs>
          <w:tab w:leader="none" w:pos="287"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seek or obtain, as the undersigned's representative and on the undersigned's behalf, information on transactions in the Company's securities from any third pa</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287" w:hanging="287"/>
        <w:spacing w:after="0"/>
        <w:tabs>
          <w:tab w:leader="none" w:pos="287"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prepare, complete and execute any such Form 3, 4 o</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287" w:hanging="287"/>
        <w:spacing w:after="0"/>
        <w:tabs>
          <w:tab w:leader="none" w:pos="287"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7"/>
        <w:spacing w:after="0"/>
        <w:rPr>
          <w:rFonts w:ascii="Courier New" w:cs="Courier New" w:eastAsia="Courier New" w:hAnsi="Courier New"/>
          <w:sz w:val="11"/>
          <w:szCs w:val="11"/>
          <w:color w:val="auto"/>
        </w:rPr>
      </w:pPr>
      <w:r>
        <w:rPr>
          <w:rFonts w:ascii="Courier New" w:cs="Courier New" w:eastAsia="Courier New" w:hAnsi="Courier New"/>
          <w:sz w:val="11"/>
          <w:szCs w:val="11"/>
          <w:color w:val="auto"/>
        </w:rPr>
        <w:t>The undersigned hereby gives and grants to each such attorney-in-fact full power and authority to do and perform any and every act and thing whatsoever requisite,</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7"/>
        <w:spacing w:after="0"/>
        <w:rPr>
          <w:rFonts w:ascii="Courier New" w:cs="Courier New" w:eastAsia="Courier New" w:hAnsi="Courier New"/>
          <w:sz w:val="11"/>
          <w:szCs w:val="11"/>
          <w:color w:val="auto"/>
        </w:rPr>
      </w:pPr>
      <w:r>
        <w:rPr>
          <w:rFonts w:ascii="Courier New" w:cs="Courier New" w:eastAsia="Courier New" w:hAnsi="Courier New"/>
          <w:sz w:val="11"/>
          <w:szCs w:val="11"/>
          <w:color w:val="auto"/>
        </w:rPr>
        <w:t>The undersigned hereby acknowledges that (a) the foregoing attorneys-in-fact are serving in such capacity at the request of the undersigned; (b) this Limited Powe</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7"/>
        <w:spacing w:after="0"/>
        <w:rPr>
          <w:rFonts w:ascii="Courier New" w:cs="Courier New" w:eastAsia="Courier New" w:hAnsi="Courier New"/>
          <w:sz w:val="11"/>
          <w:szCs w:val="11"/>
          <w:color w:val="auto"/>
        </w:rPr>
      </w:pPr>
      <w:r>
        <w:rPr>
          <w:rFonts w:ascii="Courier New" w:cs="Courier New" w:eastAsia="Courier New" w:hAnsi="Courier New"/>
          <w:sz w:val="11"/>
          <w:szCs w:val="11"/>
          <w:color w:val="auto"/>
        </w:rPr>
        <w:t>This Power of Attorney shall remain in full force and effect until the undersigned is no longer required to file Forms 3, 4 and 5 with respect to the undersigned'</w:t>
      </w:r>
    </w:p>
    <w:p>
      <w:pPr>
        <w:spacing w:after="0" w:line="200" w:lineRule="exact"/>
        <w:rPr>
          <w:rFonts w:ascii="Courier New" w:cs="Courier New" w:eastAsia="Courier New" w:hAnsi="Courier New"/>
          <w:sz w:val="11"/>
          <w:szCs w:val="11"/>
          <w:color w:val="auto"/>
        </w:rPr>
      </w:pPr>
    </w:p>
    <w:p>
      <w:pPr>
        <w:spacing w:after="0" w:line="211" w:lineRule="exact"/>
        <w:rPr>
          <w:rFonts w:ascii="Courier New" w:cs="Courier New" w:eastAsia="Courier New" w:hAnsi="Courier New"/>
          <w:sz w:val="11"/>
          <w:szCs w:val="11"/>
          <w:color w:val="auto"/>
        </w:rPr>
      </w:pPr>
    </w:p>
    <w:p>
      <w:pPr>
        <w:ind w:left="7"/>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IN WITNESS WHEREOF, the undersigned has caused this Power of Attorney to be executed as of this _____ day of March, 2015.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87"/>
        <w:spacing w:after="0"/>
        <w:rPr>
          <w:sz w:val="20"/>
          <w:szCs w:val="20"/>
          <w:color w:val="auto"/>
        </w:rPr>
      </w:pPr>
      <w:r>
        <w:rPr>
          <w:rFonts w:ascii="Courier New" w:cs="Courier New" w:eastAsia="Courier New" w:hAnsi="Courier New"/>
          <w:sz w:val="12"/>
          <w:szCs w:val="12"/>
          <w:color w:val="auto"/>
        </w:rPr>
        <w:t>/s/ Yuri P. Danilov</w:t>
      </w:r>
    </w:p>
    <w:p>
      <w:pPr>
        <w:spacing w:after="0" w:line="134" w:lineRule="exact"/>
        <w:rPr>
          <w:sz w:val="20"/>
          <w:szCs w:val="20"/>
          <w:color w:val="auto"/>
        </w:rPr>
      </w:pPr>
    </w:p>
    <w:p>
      <w:pPr>
        <w:ind w:left="287"/>
        <w:spacing w:after="0"/>
        <w:rPr>
          <w:sz w:val="20"/>
          <w:szCs w:val="20"/>
          <w:color w:val="auto"/>
        </w:rPr>
      </w:pPr>
      <w:r>
        <w:rPr>
          <w:rFonts w:ascii="Courier New" w:cs="Courier New" w:eastAsia="Courier New" w:hAnsi="Courier New"/>
          <w:sz w:val="12"/>
          <w:szCs w:val="12"/>
          <w:color w:val="auto"/>
        </w:rPr>
        <w:t>Yuri P. Danilov</w:t>
      </w:r>
    </w:p>
    <w:sectPr>
      <w:pgSz w:w="11900" w:h="16838" w:orient="portrait"/>
      <w:cols w:equalWidth="0" w:num="1">
        <w:col w:w="11387"/>
      </w:cols>
      <w:pgMar w:left="353"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38292" TargetMode="External"/><Relationship Id="rId12" Type="http://schemas.openxmlformats.org/officeDocument/2006/relationships/hyperlink" Target="http://www.sec.gov/cgi-bin/browse-edgar?action=getcompany&amp;CIK=00016108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2020-01-22T08:30:34Z</dcterms:created>
  <dcterms:modified xsi:type="dcterms:W3CDTF">2020-01-22T08:30:34Z</dcterms:modified>
</cp:coreProperties>
</file>