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hsdt-20260331x10q.htm"/>
        <w:bookmarkStart w:id="1" w:name="kshsdt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0"/>
        <w:ind w:left="0" w:right="0" w:hanging="0"/>
        <w:jc w:val="center"/>
        <w:rPr/>
      </w:pPr>
      <w:r>
        <w:rPr/>
        <w:t>​</w:t>
      </w:r>
    </w:p>
    <w:p>
      <w:pPr>
        <w:pStyle w:val="TextBody"/>
        <w:pBdr>
          <w:bottom w:val="single" w:sz="2" w:space="1" w:color="000000"/>
        </w:pBdr>
        <w:bidi w:val="0"/>
        <w:spacing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c5c7021f_f6d4_4b60_b13b_acf1421354ae"/>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60"/>
        <w:ind w:left="0" w:right="0" w:hanging="0"/>
        <w:jc w:val="left"/>
        <w:rPr/>
      </w:pPr>
      <w:r>
        <w:rPr/>
        <w:t>​</w:t>
      </w:r>
    </w:p>
    <w:p>
      <w:pPr>
        <w:pStyle w:val="Normal"/>
        <w:bidi w:val="0"/>
        <w:spacing w:before="0" w:after="0"/>
        <w:jc w:val="left"/>
        <w:rPr>
          <w:sz w:val="4"/>
          <w:szCs w:val="4"/>
        </w:rPr>
      </w:pPr>
      <w:r>
        <w:rPr>
          <w:sz w:val="4"/>
          <w:szCs w:val="4"/>
        </w:rPr>
      </w:r>
      <w:bookmarkStart w:id="3" w:name="Tc_P8J0utQl7EK4P_kdWkVuRQ_1_1"/>
      <w:bookmarkStart w:id="4" w:name="_729391a9_f110_4b4b_b425_6a3a17cca1bc"/>
      <w:bookmarkStart w:id="5" w:name="Tc_P8J0utQl7EK4P_kdWkVuRQ_1_1"/>
      <w:bookmarkStart w:id="6" w:name="_729391a9_f110_4b4b_b425_6a3a17cca1bc"/>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2026</w:t>
      </w:r>
    </w:p>
    <w:p>
      <w:pPr>
        <w:pStyle w:val="TextBody"/>
        <w:bidi w:val="0"/>
        <w:spacing w:before="0" w:after="120"/>
        <w:ind w:left="0" w:right="0" w:hanging="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or</w:t>
      </w:r>
    </w:p>
    <w:p>
      <w:pPr>
        <w:pStyle w:val="Normal"/>
        <w:bidi w:val="0"/>
        <w:spacing w:before="0" w:after="0"/>
        <w:jc w:val="left"/>
        <w:rPr>
          <w:sz w:val="4"/>
          <w:szCs w:val="4"/>
        </w:rPr>
      </w:pPr>
      <w:r>
        <w:rPr>
          <w:sz w:val="4"/>
          <w:szCs w:val="4"/>
        </w:rPr>
      </w:r>
      <w:bookmarkStart w:id="7" w:name="Tc_2NQSkyRf4kGk-oEPES4tqg_1_1"/>
      <w:bookmarkStart w:id="8" w:name="_9f9e2559_491d_42ce_898c_0eb64dc41123"/>
      <w:bookmarkStart w:id="9" w:name="Tc_2NQSkyRf4kGk-oEPES4tqg_1_1"/>
      <w:bookmarkStart w:id="10" w:name="_9f9e2559_491d_42ce_898c_0eb64dc41123"/>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Commission File No. 001-38445</w:t>
      </w:r>
    </w:p>
    <w:p>
      <w:pPr>
        <w:pStyle w:val="TextBody"/>
        <w:bidi w:val="0"/>
        <w:spacing w:before="0" w:after="120"/>
        <w:ind w:left="0" w:right="0" w:hanging="0"/>
        <w:jc w:val="center"/>
        <w:rPr/>
      </w:pPr>
      <w:r>
        <w:rPr/>
        <w:drawing>
          <wp:inline distT="0" distB="0" distL="0" distR="0">
            <wp:extent cx="574040" cy="50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4040" cy="50800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SOLANA COMPANY</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Normal"/>
        <w:bidi w:val="0"/>
        <w:spacing w:before="0" w:after="0"/>
        <w:jc w:val="left"/>
        <w:rPr>
          <w:sz w:val="4"/>
          <w:szCs w:val="4"/>
        </w:rPr>
      </w:pPr>
      <w:r>
        <w:rPr>
          <w:sz w:val="4"/>
          <w:szCs w:val="4"/>
        </w:rPr>
      </w:r>
      <w:bookmarkStart w:id="11" w:name="Tc_wf8WvvADjkyAv_PXmchV4A_2_2"/>
      <w:bookmarkStart w:id="12" w:name="Tc_arijEVWmS0q5eni_I1fcaA_2_0"/>
      <w:bookmarkStart w:id="13" w:name="_7edaf331_1936_4209_9799_46c13f470a82"/>
      <w:bookmarkStart w:id="14" w:name="Tc_wf8WvvADjkyAv_PXmchV4A_2_2"/>
      <w:bookmarkStart w:id="15" w:name="Tc_arijEVWmS0q5eni_I1fcaA_2_0"/>
      <w:bookmarkStart w:id="16" w:name="_7edaf331_1936_4209_9799_46c13f470a82"/>
      <w:bookmarkEnd w:id="14"/>
      <w:bookmarkEnd w:id="15"/>
      <w:bookmarkEnd w:id="16"/>
    </w:p>
    <w:tbl>
      <w:tblPr>
        <w:tblW w:w="4053" w:type="dxa"/>
        <w:jc w:val="left"/>
        <w:tblInd w:w="0" w:type="dxa"/>
        <w:tblLayout w:type="fixed"/>
        <w:tblCellMar>
          <w:top w:w="0" w:type="dxa"/>
          <w:left w:w="0" w:type="dxa"/>
          <w:bottom w:w="0" w:type="dxa"/>
          <w:right w:w="0" w:type="dxa"/>
        </w:tblCellMar>
      </w:tblPr>
      <w:tblGrid>
        <w:gridCol w:w="2461"/>
        <w:gridCol w:w="346"/>
        <w:gridCol w:w="1246"/>
      </w:tblGrid>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346" w:type="dxa"/>
            <w:tcBorders/>
            <w:vAlign w:val="center"/>
          </w:tcPr>
          <w:p>
            <w:pPr>
              <w:pStyle w:val="TableContents"/>
              <w:bidi w:val="0"/>
              <w:spacing w:before="0" w:after="0"/>
              <w:ind w:left="0" w:right="0" w:hanging="0"/>
              <w:jc w:val="center"/>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36-4787690</w:t>
            </w:r>
          </w:p>
        </w:tc>
      </w:tr>
      <w:tr>
        <w:trPr/>
        <w:tc>
          <w:tcPr>
            <w:tcW w:w="2461"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center"/>
              <w:rPr/>
            </w:pPr>
            <w:r>
              <w:rPr/>
              <w:t>​</w:t>
            </w:r>
          </w:p>
        </w:tc>
        <w:tc>
          <w:tcPr>
            <w:tcW w:w="1246" w:type="dxa"/>
            <w:tcBorders/>
            <w:vAlign w:val="center"/>
          </w:tcPr>
          <w:p>
            <w:pPr>
              <w:pStyle w:val="TableContents"/>
              <w:bidi w:val="0"/>
              <w:spacing w:before="0" w:after="240"/>
              <w:ind w:left="0" w:right="0" w:hanging="0"/>
              <w:jc w:val="center"/>
              <w:rPr/>
            </w:pPr>
            <w:r>
              <w:rPr/>
              <w:t>​</w:t>
            </w:r>
          </w:p>
        </w:tc>
      </w:tr>
      <w:tr>
        <w:trPr/>
        <w:tc>
          <w:tcPr>
            <w:tcW w:w="2461" w:type="dxa"/>
            <w:tcBorders/>
            <w:vAlign w:val="center"/>
          </w:tcPr>
          <w:p>
            <w:pPr>
              <w:pStyle w:val="TableContents"/>
              <w:bidi w:val="0"/>
              <w:spacing w:before="0" w:after="160"/>
              <w:ind w:left="0" w:right="0" w:hanging="0"/>
              <w:jc w:val="center"/>
              <w:rPr>
                <w:rFonts w:ascii="Times New Roman;Times;serif" w:hAnsi="Times New Roman;Times;serif"/>
                <w:sz w:val="14"/>
              </w:rPr>
            </w:pPr>
            <w:r>
              <w:rPr>
                <w:rFonts w:ascii="Times New Roman;Times;serif" w:hAnsi="Times New Roman;Times;serif"/>
                <w:b/>
                <w:sz w:val="14"/>
              </w:rPr>
              <w:t>(State or other jurisdiction of</w:t>
            </w:r>
            <w:r>
              <w:rPr>
                <w:rFonts w:ascii="Times New Roman;Times;serif" w:hAnsi="Times New Roman;Times;serif"/>
                <w:sz w:val="14"/>
              </w:rPr>
              <w:br/>
            </w:r>
            <w:r>
              <w:rPr>
                <w:rFonts w:ascii="Times New Roman;Times;serif" w:hAnsi="Times New Roman;Times;serif"/>
                <w:b/>
                <w:sz w:val="14"/>
              </w:rPr>
              <w:t>incorporation or organization)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642 Newtown Yardley Road, Suite 100</w:t>
            </w:r>
            <w:r>
              <w:rPr>
                <w:rFonts w:ascii="Times New Roman;Times;serif" w:hAnsi="Times New Roman;Times;serif"/>
                <w:sz w:val="14"/>
              </w:rPr>
              <w:br/>
            </w:r>
            <w:r>
              <w:rPr>
                <w:rFonts w:ascii="Times New Roman;Times;serif" w:hAnsi="Times New Roman;Times;serif"/>
                <w:b/>
                <w:sz w:val="14"/>
              </w:rPr>
              <w:t>Newtown, Pennsylvania</w:t>
            </w:r>
            <w:r>
              <w:rPr>
                <w:rFonts w:ascii="Times New Roman;Times;serif" w:hAnsi="Times New Roman;Times;serif"/>
                <w:sz w:val="14"/>
              </w:rPr>
              <w:br/>
            </w:r>
            <w:r>
              <w:rPr>
                <w:rFonts w:ascii="Times New Roman;Times;serif" w:hAnsi="Times New Roman;Times;serif"/>
                <w:b/>
                <w:sz w:val="14"/>
              </w:rPr>
              <w:t xml:space="preserve">(Address of principal executive offices) </w:t>
            </w:r>
          </w:p>
        </w:tc>
        <w:tc>
          <w:tcPr>
            <w:tcW w:w="346" w:type="dxa"/>
            <w:tcBorders/>
            <w:vAlign w:val="center"/>
          </w:tcPr>
          <w:p>
            <w:pPr>
              <w:pStyle w:val="TableContents"/>
              <w:bidi w:val="0"/>
              <w:spacing w:before="0" w:after="240"/>
              <w:ind w:left="0" w:right="0" w:hanging="0"/>
              <w:jc w:val="center"/>
              <w:rPr/>
            </w:pPr>
            <w:r>
              <w:rPr/>
              <w:t>​</w:t>
            </w:r>
          </w:p>
        </w:tc>
        <w:tc>
          <w:tcPr>
            <w:tcW w:w="1246" w:type="dxa"/>
            <w:tcBorders/>
            <w:vAlign w:val="center"/>
          </w:tcPr>
          <w:p>
            <w:pPr>
              <w:pStyle w:val="TableContents"/>
              <w:bidi w:val="0"/>
              <w:spacing w:before="0" w:after="160"/>
              <w:ind w:left="0" w:right="0" w:hanging="0"/>
              <w:jc w:val="center"/>
              <w:rPr>
                <w:rFonts w:ascii="Times New Roman;Times;serif" w:hAnsi="Times New Roman;Times;serif"/>
                <w:sz w:val="14"/>
              </w:rPr>
            </w:pPr>
            <w:r>
              <w:rPr>
                <w:rFonts w:ascii="Times New Roman;Times;serif" w:hAnsi="Times New Roman;Times;serif"/>
                <w:b/>
                <w:sz w:val="14"/>
              </w:rPr>
              <w:t>(I.R.S. Employer</w:t>
            </w:r>
            <w:r>
              <w:rPr>
                <w:rFonts w:ascii="Times New Roman;Times;serif" w:hAnsi="Times New Roman;Times;serif"/>
                <w:sz w:val="14"/>
              </w:rPr>
              <w:br/>
            </w:r>
            <w:r>
              <w:rPr>
                <w:rFonts w:ascii="Times New Roman;Times;serif" w:hAnsi="Times New Roman;Times;serif"/>
                <w:b/>
                <w:sz w:val="14"/>
              </w:rPr>
              <w:t>Identification No.)</w:t>
            </w:r>
          </w:p>
          <w:p>
            <w:pPr>
              <w:pStyle w:val="TableContents"/>
              <w:bidi w:val="0"/>
              <w:spacing w:before="0" w:after="160"/>
              <w:ind w:left="0" w:right="0" w:hanging="0"/>
              <w:jc w:val="center"/>
              <w:rPr>
                <w:rFonts w:ascii="Times New Roman;Times;serif" w:hAnsi="Times New Roman;Times;serif"/>
                <w:b/>
                <w:sz w:val="14"/>
              </w:rPr>
            </w:pPr>
            <w:r>
              <w:rPr>
                <w:rFonts w:ascii="Times New Roman;Times;serif" w:hAnsi="Times New Roman;Times;serif"/>
                <w:b/>
                <w:sz w:val="14"/>
              </w:rPr>
              <w:t>18940</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(215) 944-6100</w:t>
      </w:r>
    </w:p>
    <w:p>
      <w:pPr>
        <w:pStyle w:val="TextBody"/>
        <w:bidi w:val="0"/>
        <w:spacing w:before="0" w:after="12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7" w:name="Tc_lapNCwUjIUiqr0_hDENoPg_2_4"/>
      <w:bookmarkStart w:id="18" w:name="Tc_Ww-I6cMqmUWGpfaM-WItpA_2_2"/>
      <w:bookmarkStart w:id="19" w:name="Tc_mNWKdJgqX0CQgJbsrIqVNw_2_0"/>
      <w:bookmarkStart w:id="20" w:name="_7877f930_cae4_4c13_8ffe_69656bfdece0"/>
      <w:bookmarkStart w:id="21" w:name="Tc_lapNCwUjIUiqr0_hDENoPg_2_4"/>
      <w:bookmarkStart w:id="22" w:name="Tc_Ww-I6cMqmUWGpfaM-WItpA_2_2"/>
      <w:bookmarkStart w:id="23" w:name="Tc_mNWKdJgqX0CQgJbsrIqVNw_2_0"/>
      <w:bookmarkStart w:id="24" w:name="_7877f930_cae4_4c13_8ffe_69656bfdece0"/>
      <w:bookmarkEnd w:id="21"/>
      <w:bookmarkEnd w:id="22"/>
      <w:bookmarkEnd w:id="23"/>
      <w:bookmarkEnd w:id="24"/>
    </w:p>
    <w:tbl>
      <w:tblPr>
        <w:tblW w:w="9425" w:type="dxa"/>
        <w:jc w:val="left"/>
        <w:tblInd w:w="0" w:type="dxa"/>
        <w:tblLayout w:type="fixed"/>
        <w:tblCellMar>
          <w:top w:w="0" w:type="dxa"/>
          <w:left w:w="0" w:type="dxa"/>
          <w:bottom w:w="0" w:type="dxa"/>
          <w:right w:w="0" w:type="dxa"/>
        </w:tblCellMar>
      </w:tblPr>
      <w:tblGrid>
        <w:gridCol w:w="3811"/>
        <w:gridCol w:w="286"/>
        <w:gridCol w:w="1561"/>
        <w:gridCol w:w="286"/>
        <w:gridCol w:w="3481"/>
      </w:tblGrid>
      <w:tr>
        <w:trPr/>
        <w:tc>
          <w:tcPr>
            <w:tcW w:w="38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pPr>
            <w:r>
              <w:rPr/>
              <w:t>​</w:t>
            </w:r>
          </w:p>
        </w:tc>
      </w:tr>
      <w:tr>
        <w:trPr/>
        <w:tc>
          <w:tcPr>
            <w:tcW w:w="3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286" w:type="dxa"/>
            <w:tcBorders/>
            <w:vAlign w:val="center"/>
          </w:tcPr>
          <w:p>
            <w:pPr>
              <w:pStyle w:val="TableContents"/>
              <w:bidi w:val="0"/>
              <w:spacing w:before="0" w:after="0"/>
              <w:ind w:left="0" w:right="0" w:hanging="0"/>
              <w:jc w:val="center"/>
              <w:rPr/>
            </w:pPr>
            <w:r>
              <w:rPr/>
              <w:t>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286" w:type="dxa"/>
            <w:tcBorders/>
            <w:vAlign w:val="center"/>
          </w:tcPr>
          <w:p>
            <w:pPr>
              <w:pStyle w:val="TableContents"/>
              <w:bidi w:val="0"/>
              <w:spacing w:before="0" w:after="0"/>
              <w:ind w:left="0" w:right="0" w:hanging="0"/>
              <w:jc w:val="center"/>
              <w:rPr/>
            </w:pPr>
            <w:r>
              <w:rPr/>
              <w:t>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8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 $0.001 par value per share</w:t>
            </w:r>
          </w:p>
        </w:tc>
        <w:tc>
          <w:tcPr>
            <w:tcW w:w="286" w:type="dxa"/>
            <w:tcBorders/>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HSDT</w:t>
            </w:r>
          </w:p>
        </w:tc>
        <w:tc>
          <w:tcPr>
            <w:tcW w:w="286" w:type="dxa"/>
            <w:tcBorders/>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5" w:name="Tc_PHV_BKwKDEGgTGNUkAcl7Q_4_0"/>
      <w:bookmarkStart w:id="26" w:name="Tc_j9-A2UNF6Uifp0Iozqu13g_3_2"/>
      <w:bookmarkStart w:id="27" w:name="Tc_vryeOuRtCkO_6L2czBxwgg_3_1"/>
      <w:bookmarkStart w:id="28" w:name="Tc_v7RWqWQUwU2maxpKey6SpA_2_3"/>
      <w:bookmarkStart w:id="29" w:name="Tc_pk7Lv923_0Okbik7xkFRyw_2_2"/>
      <w:bookmarkStart w:id="30" w:name="Tc_janEBDLEc0GDVSWBqo9jYw_2_1"/>
      <w:bookmarkStart w:id="31" w:name="Tc_6gjaZnMl8kSWcE7oKpokDg_2_0"/>
      <w:bookmarkStart w:id="32" w:name="_7d256f44_76a3_4314_a5c5_72bde4cb671c"/>
      <w:bookmarkStart w:id="33" w:name="Tc_PHV_BKwKDEGgTGNUkAcl7Q_4_0"/>
      <w:bookmarkStart w:id="34" w:name="Tc_j9-A2UNF6Uifp0Iozqu13g_3_2"/>
      <w:bookmarkStart w:id="35" w:name="Tc_vryeOuRtCkO_6L2czBxwgg_3_1"/>
      <w:bookmarkStart w:id="36" w:name="Tc_v7RWqWQUwU2maxpKey6SpA_2_3"/>
      <w:bookmarkStart w:id="37" w:name="Tc_pk7Lv923_0Okbik7xkFRyw_2_2"/>
      <w:bookmarkStart w:id="38" w:name="Tc_janEBDLEc0GDVSWBqo9jYw_2_1"/>
      <w:bookmarkStart w:id="39" w:name="Tc_6gjaZnMl8kSWcE7oKpokDg_2_0"/>
      <w:bookmarkStart w:id="40" w:name="_7d256f44_76a3_4314_a5c5_72bde4cb671c"/>
      <w:bookmarkEnd w:id="33"/>
      <w:bookmarkEnd w:id="34"/>
      <w:bookmarkEnd w:id="35"/>
      <w:bookmarkEnd w:id="36"/>
      <w:bookmarkEnd w:id="37"/>
      <w:bookmarkEnd w:id="38"/>
      <w:bookmarkEnd w:id="39"/>
      <w:bookmarkEnd w:id="40"/>
    </w:p>
    <w:tbl>
      <w:tblPr>
        <w:tblW w:w="4759" w:type="dxa"/>
        <w:jc w:val="left"/>
        <w:tblInd w:w="0" w:type="dxa"/>
        <w:tblLayout w:type="fixed"/>
        <w:tblCellMar>
          <w:top w:w="0" w:type="dxa"/>
          <w:left w:w="0" w:type="dxa"/>
          <w:bottom w:w="0" w:type="dxa"/>
          <w:right w:w="0" w:type="dxa"/>
        </w:tblCellMar>
      </w:tblPr>
      <w:tblGrid>
        <w:gridCol w:w="2056"/>
        <w:gridCol w:w="316"/>
        <w:gridCol w:w="2026"/>
        <w:gridCol w:w="361"/>
      </w:tblGrid>
      <w:tr>
        <w:trPr/>
        <w:tc>
          <w:tcPr>
            <w:tcW w:w="20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As of May 12, 2026, the registrant had 58,386,675 shares of Class A common stock, $0.001 par value per share, outstanding.</w:t>
      </w:r>
    </w:p>
    <w:p>
      <w:pPr>
        <w:pStyle w:val="TextBody"/>
        <w:bidi w:val="0"/>
        <w:spacing w:before="0" w:after="24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_4adb4e76_2253_4177_8172_4940e465f2c2"/>
      <w:bookmarkEnd w:id="41"/>
      <w:r>
        <w:rPr>
          <w:rFonts w:ascii="Times New Roman;Times;serif" w:hAnsi="Times New Roman;Times;serif"/>
          <w:b/>
          <w:sz w:val="20"/>
        </w:rPr>
        <w:t>SOLANA COMPANY</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976"/>
        <w:gridCol w:w="8868"/>
        <w:gridCol w:w="36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19760" cy="175260"/>
                      <wp:effectExtent l="0" t="0" r="0" b="0"/>
                      <wp:wrapNone/>
                      <wp:docPr id="2" name="Frame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631180" cy="175260"/>
                      <wp:effectExtent l="0" t="0" r="0" b="0"/>
                      <wp:wrapNone/>
                      <wp:docPr id="3" name="Frame2"/>
                      <a:graphic xmlns:a="http://schemas.openxmlformats.org/drawingml/2006/main">
                        <a:graphicData uri="http://schemas.microsoft.com/office/word/2010/wordprocessingShape">
                          <wps:wsp>
                            <wps:cNvSpPr txBox="1"/>
                            <wps:spPr>
                              <a:xfrm>
                                <a:off x="0" y="0"/>
                                <a:ext cx="563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76" w:type="dxa"/>
            <w:tcBorders/>
            <w:vAlign w:val="center"/>
          </w:tcPr>
          <w:p>
            <w:pPr>
              <w:pStyle w:val="TableContents"/>
              <w:pBdr/>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Part I.</w:t>
              </w:r>
            </w:hyperlink>
          </w:p>
        </w:tc>
        <w:tc>
          <w:tcPr>
            <w:tcW w:w="8868"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Financial Information</w:t>
              </w:r>
            </w:hyperlink>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1CondensedConsolidatedFinancial">
              <w:r>
                <w:rPr>
                  <w:rStyle w:val="InternetLink"/>
                  <w:rFonts w:ascii="Times New Roman;Times;serif" w:hAnsi="Times New Roman;Times;serif"/>
                  <w:b w:val="false"/>
                  <w:i w:val="false"/>
                  <w:caps w:val="false"/>
                  <w:smallCaps w:val="false"/>
                  <w:sz w:val="20"/>
                </w:rPr>
                <w:t>Item 1.</w:t>
              </w:r>
            </w:hyperlink>
          </w:p>
        </w:tc>
        <w:tc>
          <w:tcPr>
            <w:tcW w:w="8868" w:type="dxa"/>
            <w:tcBorders/>
            <w:vAlign w:val="center"/>
          </w:tcPr>
          <w:p>
            <w:pPr>
              <w:pStyle w:val="TableContents"/>
              <w:bidi w:val="0"/>
              <w:spacing w:before="0" w:after="0"/>
              <w:ind w:left="0" w:right="0" w:hanging="0"/>
              <w:jc w:val="left"/>
              <w:rPr/>
            </w:pPr>
            <w:hyperlink w:anchor="ITEM1CondensedConsolidatedFinancial">
              <w:r>
                <w:rPr>
                  <w:rStyle w:val="InternetLink"/>
                  <w:rFonts w:ascii="Times New Roman;Times;serif" w:hAnsi="Times New Roman;Times;serif"/>
                  <w:b w:val="false"/>
                  <w:i w:val="false"/>
                  <w:caps w:val="false"/>
                  <w:smallCaps w:val="false"/>
                  <w:sz w:val="20"/>
                </w:rPr>
                <w:t>Condensed Consolidated 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UnauditedCondensedConsolidatedBalance">
              <w:r>
                <w:rPr>
                  <w:rStyle w:val="InternetLink"/>
                  <w:rFonts w:ascii="Times New Roman;Times;serif" w:hAnsi="Times New Roman;Times;serif"/>
                  <w:b w:val="false"/>
                  <w:i w:val="false"/>
                  <w:caps w:val="false"/>
                  <w:smallCaps w:val="false"/>
                  <w:sz w:val="20"/>
                </w:rPr>
                <w:t>Condensed Consolidated Balance Sheets as of March 31, 2026 (Unaudited) and December 31, 2025</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StatementsofOperationsandComprehensi">
              <w:r>
                <w:rPr>
                  <w:rStyle w:val="InternetLink"/>
                  <w:rFonts w:ascii="Times New Roman;Times;serif" w:hAnsi="Times New Roman;Times;serif"/>
                  <w:b w:val="false"/>
                  <w:i w:val="false"/>
                  <w:caps w:val="false"/>
                  <w:smallCaps w:val="false"/>
                  <w:sz w:val="20"/>
                </w:rPr>
                <w:t>Unaudited Condensed Consolidated Statements of Operations and Comprehensive Loss for the three months ended March 31, 2026 and 2025</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StatementsofStockholdersEquity_245144">
              <w:r>
                <w:rPr>
                  <w:rStyle w:val="InternetLink"/>
                  <w:rFonts w:ascii="Times New Roman;Times;serif" w:hAnsi="Times New Roman;Times;serif"/>
                  <w:b w:val="false"/>
                  <w:i w:val="false"/>
                  <w:caps w:val="false"/>
                  <w:smallCaps w:val="false"/>
                  <w:sz w:val="20"/>
                </w:rPr>
                <w:t>Unaudited Condensed Consolidated Statements of Stockholders’ Equity for the three months ended March 31, 2026 and 2025</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ConsolidatedStatementsofCashFlows">
              <w:r>
                <w:rPr>
                  <w:rStyle w:val="InternetLink"/>
                  <w:rFonts w:ascii="Times New Roman;Times;serif" w:hAnsi="Times New Roman;Times;serif"/>
                  <w:b w:val="false"/>
                  <w:i w:val="false"/>
                  <w:caps w:val="false"/>
                  <w:smallCaps w:val="false"/>
                  <w:sz w:val="20"/>
                </w:rPr>
                <w:t>Unaudited Condensed Consolidated Statements of Cash Flows for the three months ended March 31, 2026 and 2025</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68"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68"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4ControlsandProcedures_561590">
              <w:r>
                <w:rPr>
                  <w:rStyle w:val="InternetLink"/>
                  <w:rFonts w:ascii="Times New Roman;Times;serif" w:hAnsi="Times New Roman;Times;serif"/>
                  <w:b w:val="false"/>
                  <w:i w:val="false"/>
                  <w:caps w:val="false"/>
                  <w:smallCaps w:val="false"/>
                  <w:sz w:val="20"/>
                </w:rPr>
                <w:t>Item 4.</w:t>
              </w:r>
            </w:hyperlink>
          </w:p>
        </w:tc>
        <w:tc>
          <w:tcPr>
            <w:tcW w:w="8868" w:type="dxa"/>
            <w:tcBorders/>
            <w:vAlign w:val="center"/>
          </w:tcPr>
          <w:p>
            <w:pPr>
              <w:pStyle w:val="TableContents"/>
              <w:bidi w:val="0"/>
              <w:spacing w:before="0" w:after="0"/>
              <w:ind w:left="0" w:right="0" w:hanging="0"/>
              <w:jc w:val="left"/>
              <w:rPr/>
            </w:pPr>
            <w:hyperlink w:anchor="ITEM4ControlsandProcedures_561590">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PARTIIOTHERINFORMATION_747688">
              <w:r>
                <w:rPr>
                  <w:rStyle w:val="InternetLink"/>
                  <w:rFonts w:ascii="Times New Roman;Times;serif" w:hAnsi="Times New Roman;Times;serif"/>
                  <w:b/>
                  <w:i w:val="false"/>
                  <w:caps w:val="false"/>
                  <w:smallCaps w:val="false"/>
                  <w:sz w:val="20"/>
                </w:rPr>
                <w:t>Part II.</w:t>
              </w:r>
            </w:hyperlink>
          </w:p>
        </w:tc>
        <w:tc>
          <w:tcPr>
            <w:tcW w:w="8868" w:type="dxa"/>
            <w:tcBorders/>
            <w:vAlign w:val="center"/>
          </w:tcPr>
          <w:p>
            <w:pPr>
              <w:pStyle w:val="TableContents"/>
              <w:bidi w:val="0"/>
              <w:spacing w:before="0" w:after="0"/>
              <w:ind w:left="0" w:right="0" w:hanging="0"/>
              <w:jc w:val="left"/>
              <w:rPr/>
            </w:pPr>
            <w:hyperlink w:anchor="PARTIIOTHERINFORMATION_747688">
              <w:r>
                <w:rPr>
                  <w:rStyle w:val="InternetLink"/>
                  <w:rFonts w:ascii="Times New Roman;Times;serif" w:hAnsi="Times New Roman;Times;serif"/>
                  <w:b/>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1LegalProceedings_648425">
              <w:r>
                <w:rPr>
                  <w:rStyle w:val="InternetLink"/>
                  <w:rFonts w:ascii="Times New Roman;Times;serif" w:hAnsi="Times New Roman;Times;serif"/>
                  <w:b w:val="false"/>
                  <w:i w:val="false"/>
                  <w:caps w:val="false"/>
                  <w:smallCaps w:val="false"/>
                  <w:sz w:val="20"/>
                </w:rPr>
                <w:t>Item 1.</w:t>
              </w:r>
            </w:hyperlink>
          </w:p>
        </w:tc>
        <w:tc>
          <w:tcPr>
            <w:tcW w:w="8868" w:type="dxa"/>
            <w:tcBorders/>
            <w:vAlign w:val="center"/>
          </w:tcPr>
          <w:p>
            <w:pPr>
              <w:pStyle w:val="TableContents"/>
              <w:bidi w:val="0"/>
              <w:spacing w:before="0" w:after="0"/>
              <w:ind w:left="0" w:right="0" w:hanging="0"/>
              <w:jc w:val="left"/>
              <w:rPr/>
            </w:pPr>
            <w:hyperlink w:anchor="Item1LegalProceedings_648425">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1ARiskFactors_376125">
              <w:r>
                <w:rPr>
                  <w:rStyle w:val="InternetLink"/>
                  <w:rFonts w:ascii="Times New Roman;Times;serif" w:hAnsi="Times New Roman;Times;serif"/>
                  <w:b w:val="false"/>
                  <w:i w:val="false"/>
                  <w:caps w:val="false"/>
                  <w:smallCaps w:val="false"/>
                  <w:sz w:val="20"/>
                </w:rPr>
                <w:t>Item 1A.</w:t>
              </w:r>
            </w:hyperlink>
          </w:p>
        </w:tc>
        <w:tc>
          <w:tcPr>
            <w:tcW w:w="8868" w:type="dxa"/>
            <w:tcBorders/>
            <w:vAlign w:val="center"/>
          </w:tcPr>
          <w:p>
            <w:pPr>
              <w:pStyle w:val="TableContents"/>
              <w:bidi w:val="0"/>
              <w:spacing w:before="0" w:after="0"/>
              <w:ind w:left="0" w:right="0" w:hanging="0"/>
              <w:jc w:val="left"/>
              <w:rPr/>
            </w:pPr>
            <w:hyperlink w:anchor="Item1ARiskFactors_376125">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68"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3DefaultsuponSeniorSecurities_357636">
              <w:r>
                <w:rPr>
                  <w:rStyle w:val="InternetLink"/>
                  <w:rFonts w:ascii="Times New Roman;Times;serif" w:hAnsi="Times New Roman;Times;serif"/>
                  <w:b w:val="false"/>
                  <w:i w:val="false"/>
                  <w:caps w:val="false"/>
                  <w:smallCaps w:val="false"/>
                  <w:sz w:val="20"/>
                </w:rPr>
                <w:t>Item 3.</w:t>
              </w:r>
            </w:hyperlink>
          </w:p>
        </w:tc>
        <w:tc>
          <w:tcPr>
            <w:tcW w:w="8868" w:type="dxa"/>
            <w:tcBorders/>
            <w:vAlign w:val="center"/>
          </w:tcPr>
          <w:p>
            <w:pPr>
              <w:pStyle w:val="TableContents"/>
              <w:bidi w:val="0"/>
              <w:spacing w:before="0" w:after="0"/>
              <w:ind w:left="0" w:right="0" w:hanging="0"/>
              <w:jc w:val="left"/>
              <w:rPr/>
            </w:pPr>
            <w:hyperlink w:anchor="Item3DefaultsuponSeniorSecurities_357636">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4MineSafetyDisclosures_501310">
              <w:r>
                <w:rPr>
                  <w:rStyle w:val="InternetLink"/>
                  <w:rFonts w:ascii="Times New Roman;Times;serif" w:hAnsi="Times New Roman;Times;serif"/>
                  <w:b w:val="false"/>
                  <w:i w:val="false"/>
                  <w:caps w:val="false"/>
                  <w:smallCaps w:val="false"/>
                  <w:sz w:val="20"/>
                </w:rPr>
                <w:t>Item 4.</w:t>
              </w:r>
            </w:hyperlink>
          </w:p>
        </w:tc>
        <w:tc>
          <w:tcPr>
            <w:tcW w:w="8868" w:type="dxa"/>
            <w:tcBorders/>
            <w:vAlign w:val="center"/>
          </w:tcPr>
          <w:p>
            <w:pPr>
              <w:pStyle w:val="TableContents"/>
              <w:bidi w:val="0"/>
              <w:spacing w:before="0" w:after="0"/>
              <w:ind w:left="0" w:right="0" w:hanging="0"/>
              <w:jc w:val="left"/>
              <w:rPr/>
            </w:pPr>
            <w:hyperlink w:anchor="Item4MineSafetyDisclosures_501310">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5OtherInformation_487176">
              <w:r>
                <w:rPr>
                  <w:rStyle w:val="InternetLink"/>
                  <w:rFonts w:ascii="Times New Roman;Times;serif" w:hAnsi="Times New Roman;Times;serif"/>
                  <w:b w:val="false"/>
                  <w:i w:val="false"/>
                  <w:caps w:val="false"/>
                  <w:smallCaps w:val="false"/>
                  <w:sz w:val="20"/>
                </w:rPr>
                <w:t>Item 5.</w:t>
              </w:r>
            </w:hyperlink>
          </w:p>
        </w:tc>
        <w:tc>
          <w:tcPr>
            <w:tcW w:w="8868" w:type="dxa"/>
            <w:tcBorders/>
            <w:vAlign w:val="center"/>
          </w:tcPr>
          <w:p>
            <w:pPr>
              <w:pStyle w:val="TableContents"/>
              <w:bidi w:val="0"/>
              <w:spacing w:before="0" w:after="0"/>
              <w:ind w:left="0" w:right="0" w:hanging="0"/>
              <w:jc w:val="left"/>
              <w:rPr/>
            </w:pPr>
            <w:hyperlink w:anchor="Item5OtherInformation_487176">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6Exhibits_175156">
              <w:r>
                <w:rPr>
                  <w:rStyle w:val="InternetLink"/>
                  <w:rFonts w:ascii="Times New Roman;Times;serif" w:hAnsi="Times New Roman;Times;serif"/>
                  <w:b w:val="false"/>
                  <w:i w:val="false"/>
                  <w:caps w:val="false"/>
                  <w:smallCaps w:val="false"/>
                  <w:sz w:val="20"/>
                </w:rPr>
                <w:t>Item 6.</w:t>
              </w:r>
            </w:hyperlink>
          </w:p>
        </w:tc>
        <w:tc>
          <w:tcPr>
            <w:tcW w:w="8868" w:type="dxa"/>
            <w:tcBorders/>
            <w:vAlign w:val="center"/>
          </w:tcPr>
          <w:p>
            <w:pPr>
              <w:pStyle w:val="TableContents"/>
              <w:bidi w:val="0"/>
              <w:spacing w:before="0" w:after="0"/>
              <w:ind w:left="0" w:right="0" w:hanging="0"/>
              <w:jc w:val="left"/>
              <w:rPr/>
            </w:pPr>
            <w:hyperlink w:anchor="Item6Exhibits_175156">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SIGNATURES_395744">
              <w:r>
                <w:rPr>
                  <w:rStyle w:val="InternetLink"/>
                  <w:rFonts w:ascii="Times New Roman;Times;serif" w:hAnsi="Times New Roman;Times;serif"/>
                  <w:b w:val="false"/>
                  <w:i w:val="false"/>
                  <w:caps w:val="false"/>
                  <w:smallCaps w:val="false"/>
                  <w:sz w:val="20"/>
                </w:rPr>
                <w:t>Signatures</w:t>
              </w:r>
            </w:hyperlink>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3" w:name="PART_I_FINANCIAL_INFORMATION"/>
      <w:bookmarkStart w:id="44" w:name="_d02a2553_0a59_4284_ac43_b5257fc851f7"/>
      <w:bookmarkEnd w:id="43"/>
      <w:bookmarkEnd w:id="44"/>
      <w:r>
        <w:rPr>
          <w:rFonts w:ascii="Times New Roman;Times;serif" w:hAnsi="Times New Roman;Times;serif"/>
          <w:b/>
          <w:sz w:val="20"/>
        </w:rPr>
        <w:t>PART I. FINANCIAL INFORMATION</w:t>
      </w:r>
    </w:p>
    <w:p>
      <w:pPr>
        <w:pStyle w:val="TextBody"/>
        <w:bidi w:val="0"/>
        <w:spacing w:before="0" w:after="240"/>
        <w:ind w:left="0" w:right="0" w:hanging="0"/>
        <w:jc w:val="both"/>
        <w:rPr>
          <w:rFonts w:ascii="Times New Roman;Times;serif" w:hAnsi="Times New Roman;Times;serif"/>
          <w:sz w:val="20"/>
        </w:rPr>
      </w:pPr>
      <w:bookmarkStart w:id="45" w:name="ITEM1CondensedConsolidatedFinancial"/>
      <w:bookmarkEnd w:id="45"/>
      <w:r>
        <w:rPr>
          <w:rFonts w:ascii="Times New Roman;Times;serif" w:hAnsi="Times New Roman;Times;serif"/>
          <w:sz w:val="20"/>
        </w:rPr>
        <w:t>ITEM 1. Condensed Consolidated Financial Statements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Solana Company</w:t>
      </w:r>
    </w:p>
    <w:p>
      <w:pPr>
        <w:pStyle w:val="TextBody"/>
        <w:bidi w:val="0"/>
        <w:spacing w:before="0" w:after="0"/>
        <w:ind w:left="0" w:right="0" w:hanging="0"/>
        <w:jc w:val="left"/>
        <w:rPr>
          <w:rFonts w:ascii="Times New Roman;Times;serif" w:hAnsi="Times New Roman;Times;serif"/>
          <w:b/>
          <w:sz w:val="20"/>
        </w:rPr>
      </w:pPr>
      <w:bookmarkStart w:id="46" w:name="UnauditedCondensedConsolidatedBalance"/>
      <w:bookmarkEnd w:id="46"/>
      <w:r>
        <w:rPr>
          <w:rFonts w:ascii="Times New Roman;Times;serif" w:hAnsi="Times New Roman;Times;serif"/>
          <w:b/>
          <w:sz w:val="20"/>
        </w:rPr>
        <w:t>Condensed Consolidated Balance Sheets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7" w:name="Tc_2Mgm0piMAEaFpkAaAAueUQ_26_5"/>
      <w:bookmarkStart w:id="48" w:name="Tc_Yzm-MEYxPU2PwxwCVoCoFA_26_2"/>
      <w:bookmarkStart w:id="49" w:name="Tc_cwH4fsuSQEyjBnKeif-uJg_26_0"/>
      <w:bookmarkStart w:id="50" w:name="Tc_uSWzRKhJrEqEU7BOKH0qdQ_25_0"/>
      <w:bookmarkStart w:id="51" w:name="Tc_aoOEpKudAU2Pm9iYkeWeyw_24_0"/>
      <w:bookmarkStart w:id="52" w:name="Tc_Q71xalJq1k-yZ2E9nznccw_23_0"/>
      <w:bookmarkStart w:id="53" w:name="Tc_FjMDG7XVvEq7QksN7SZiqQ_22_6"/>
      <w:bookmarkStart w:id="54" w:name="Tc_EGAox-plA0SIoAvoJj5wUQ_22_0"/>
      <w:bookmarkStart w:id="55" w:name="Tc_zEoLnOe2Y0a1AHK3a158yg_21_0"/>
      <w:bookmarkStart w:id="56" w:name="Tc_dHZ8SmwkcUKHeWWVL6H_wg_20_0"/>
      <w:bookmarkStart w:id="57" w:name="Tc_8s9opHeoHE6oBr07PYM2mQ_19_0"/>
      <w:bookmarkStart w:id="58" w:name="Tc_jOfQGv2BkEOrwLwew9FnFg_18_0"/>
      <w:bookmarkStart w:id="59" w:name="Tc_XsK17Tu80EG7LcF1RcmdwQ_17_0"/>
      <w:bookmarkStart w:id="60" w:name="Tc_M7EoQkw0v0OJ0b5g6xsjxA_16_2"/>
      <w:bookmarkStart w:id="61" w:name="Tc_ZFgLf2Mp2UKM4xYska6mWQ_16_0"/>
      <w:bookmarkStart w:id="62" w:name="Tc_8x6EE40DOkmBDhtfuxDG9g_15_0"/>
      <w:bookmarkStart w:id="63" w:name="Tc_CC5XFqLU2EWa5K9bD_fkxQ_14_0"/>
      <w:bookmarkStart w:id="64" w:name="Tc_bvbEdYLO0UCZu75faPPi2A_13_5"/>
      <w:bookmarkStart w:id="65" w:name="Tc_FksDyKg4g029GLqZIkyDug_13_2"/>
      <w:bookmarkStart w:id="66" w:name="Tc_rDq1Ug6svk2pWbIVezCDfQ_13_0"/>
      <w:bookmarkStart w:id="67" w:name="Tc_b0BCV7zFW0mU2GhdixJtlQ_12_0"/>
      <w:bookmarkStart w:id="68" w:name="Tc_G5e73EUdwUOePO7jXhlODw_11_0"/>
      <w:bookmarkStart w:id="69" w:name="Tc_Ei9f_UaEx0qHw3h_OwooNg_10_0"/>
      <w:bookmarkStart w:id="70" w:name="Tc_IfqIZWaAmEqnP-JJchLkow_9_0"/>
      <w:bookmarkStart w:id="71" w:name="Tc_dmlZkmnuzUGTG4pcnpFcrA_8_0"/>
      <w:bookmarkStart w:id="72" w:name="Tc_fRcdQ5_hx0SjR9E8SWFW5Q_7_0"/>
      <w:bookmarkStart w:id="73" w:name="Tc_olsoJoqT-0eRUC6Z36ejZg_6_0"/>
      <w:bookmarkStart w:id="74" w:name="Tc_Itq1luduqkO-lruqELWf4w_5_0"/>
      <w:bookmarkStart w:id="75" w:name="Tc_F6ROTA5fZkOHALocQzh7vQ_4_5"/>
      <w:bookmarkStart w:id="76" w:name="Tc_c5XRakZCv0eQkw_LltpiRA_4_2"/>
      <w:bookmarkStart w:id="77" w:name="Tc_Z54EWc8u5EeAcxwr45R14A_4_0"/>
      <w:bookmarkStart w:id="78" w:name="Tc_d-Y2YX9U5U-DHwmGTz3npA_3_0"/>
      <w:bookmarkStart w:id="79" w:name="Tc_16BvqcXc7ECvMVO3M2G3fQ_2_0"/>
      <w:bookmarkStart w:id="80" w:name="Tc_KraKsEzxskaI5FK8Bbkpuw_1_5"/>
      <w:bookmarkStart w:id="81" w:name="Tc_Rd3w5sjJYk-41e0p9Yu6Cw_1_2"/>
      <w:bookmarkStart w:id="82" w:name="_e48f6a30_a86c_46ed_89c7_8ba36391284f"/>
      <w:bookmarkStart w:id="83" w:name="Tc_2Mgm0piMAEaFpkAaAAueUQ_26_5"/>
      <w:bookmarkStart w:id="84" w:name="Tc_Yzm-MEYxPU2PwxwCVoCoFA_26_2"/>
      <w:bookmarkStart w:id="85" w:name="Tc_cwH4fsuSQEyjBnKeif-uJg_26_0"/>
      <w:bookmarkStart w:id="86" w:name="Tc_uSWzRKhJrEqEU7BOKH0qdQ_25_0"/>
      <w:bookmarkStart w:id="87" w:name="Tc_aoOEpKudAU2Pm9iYkeWeyw_24_0"/>
      <w:bookmarkStart w:id="88" w:name="Tc_Q71xalJq1k-yZ2E9nznccw_23_0"/>
      <w:bookmarkStart w:id="89" w:name="Tc_FjMDG7XVvEq7QksN7SZiqQ_22_6"/>
      <w:bookmarkStart w:id="90" w:name="Tc_EGAox-plA0SIoAvoJj5wUQ_22_0"/>
      <w:bookmarkStart w:id="91" w:name="Tc_zEoLnOe2Y0a1AHK3a158yg_21_0"/>
      <w:bookmarkStart w:id="92" w:name="Tc_dHZ8SmwkcUKHeWWVL6H_wg_20_0"/>
      <w:bookmarkStart w:id="93" w:name="Tc_8s9opHeoHE6oBr07PYM2mQ_19_0"/>
      <w:bookmarkStart w:id="94" w:name="Tc_jOfQGv2BkEOrwLwew9FnFg_18_0"/>
      <w:bookmarkStart w:id="95" w:name="Tc_XsK17Tu80EG7LcF1RcmdwQ_17_0"/>
      <w:bookmarkStart w:id="96" w:name="Tc_M7EoQkw0v0OJ0b5g6xsjxA_16_2"/>
      <w:bookmarkStart w:id="97" w:name="Tc_ZFgLf2Mp2UKM4xYska6mWQ_16_0"/>
      <w:bookmarkStart w:id="98" w:name="Tc_8x6EE40DOkmBDhtfuxDG9g_15_0"/>
      <w:bookmarkStart w:id="99" w:name="Tc_CC5XFqLU2EWa5K9bD_fkxQ_14_0"/>
      <w:bookmarkStart w:id="100" w:name="Tc_bvbEdYLO0UCZu75faPPi2A_13_5"/>
      <w:bookmarkStart w:id="101" w:name="Tc_FksDyKg4g029GLqZIkyDug_13_2"/>
      <w:bookmarkStart w:id="102" w:name="Tc_rDq1Ug6svk2pWbIVezCDfQ_13_0"/>
      <w:bookmarkStart w:id="103" w:name="Tc_b0BCV7zFW0mU2GhdixJtlQ_12_0"/>
      <w:bookmarkStart w:id="104" w:name="Tc_G5e73EUdwUOePO7jXhlODw_11_0"/>
      <w:bookmarkStart w:id="105" w:name="Tc_Ei9f_UaEx0qHw3h_OwooNg_10_0"/>
      <w:bookmarkStart w:id="106" w:name="Tc_IfqIZWaAmEqnP-JJchLkow_9_0"/>
      <w:bookmarkStart w:id="107" w:name="Tc_dmlZkmnuzUGTG4pcnpFcrA_8_0"/>
      <w:bookmarkStart w:id="108" w:name="Tc_fRcdQ5_hx0SjR9E8SWFW5Q_7_0"/>
      <w:bookmarkStart w:id="109" w:name="Tc_olsoJoqT-0eRUC6Z36ejZg_6_0"/>
      <w:bookmarkStart w:id="110" w:name="Tc_Itq1luduqkO-lruqELWf4w_5_0"/>
      <w:bookmarkStart w:id="111" w:name="Tc_F6ROTA5fZkOHALocQzh7vQ_4_5"/>
      <w:bookmarkStart w:id="112" w:name="Tc_c5XRakZCv0eQkw_LltpiRA_4_2"/>
      <w:bookmarkStart w:id="113" w:name="Tc_Z54EWc8u5EeAcxwr45R14A_4_0"/>
      <w:bookmarkStart w:id="114" w:name="Tc_d-Y2YX9U5U-DHwmGTz3npA_3_0"/>
      <w:bookmarkStart w:id="115" w:name="Tc_16BvqcXc7ECvMVO3M2G3fQ_2_0"/>
      <w:bookmarkStart w:id="116" w:name="Tc_KraKsEzxskaI5FK8Bbkpuw_1_5"/>
      <w:bookmarkStart w:id="117" w:name="Tc_Rd3w5sjJYk-41e0p9Yu6Cw_1_2"/>
      <w:bookmarkStart w:id="118" w:name="_e48f6a30_a86c_46ed_89c7_8ba36391284f"/>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tbl>
      <w:tblPr>
        <w:tblW w:w="10205" w:type="dxa"/>
        <w:jc w:val="left"/>
        <w:tblInd w:w="0" w:type="dxa"/>
        <w:tblLayout w:type="fixed"/>
        <w:tblCellMar>
          <w:top w:w="0" w:type="dxa"/>
          <w:left w:w="0" w:type="dxa"/>
          <w:bottom w:w="0" w:type="dxa"/>
          <w:right w:w="0" w:type="dxa"/>
        </w:tblCellMar>
      </w:tblPr>
      <w:tblGrid>
        <w:gridCol w:w="7143"/>
        <w:gridCol w:w="109"/>
        <w:gridCol w:w="252"/>
        <w:gridCol w:w="1009"/>
        <w:gridCol w:w="146"/>
        <w:gridCol w:w="297"/>
        <w:gridCol w:w="1249"/>
      </w:tblGrid>
      <w:tr>
        <w:trPr/>
        <w:tc>
          <w:tcPr>
            <w:tcW w:w="7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535805" cy="175260"/>
                      <wp:effectExtent l="0" t="0" r="0" b="0"/>
                      <wp:wrapNone/>
                      <wp:docPr id="5" name="Frame4"/>
                      <a:graphic xmlns:a="http://schemas.openxmlformats.org/drawingml/2006/main">
                        <a:graphicData uri="http://schemas.microsoft.com/office/word/2010/wordprocessingShape">
                          <wps:wsp>
                            <wps:cNvSpPr txBox="1"/>
                            <wps:spPr>
                              <a:xfrm>
                                <a:off x="0" y="0"/>
                                <a:ext cx="4535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6"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60020" cy="175260"/>
                      <wp:effectExtent l="0" t="0" r="0" b="0"/>
                      <wp:wrapNone/>
                      <wp:docPr id="7" name="Frame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0715" cy="175260"/>
                      <wp:effectExtent l="0" t="0" r="0" b="0"/>
                      <wp:wrapNone/>
                      <wp:docPr id="8" name="Frame7"/>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2710" cy="175260"/>
                      <wp:effectExtent l="0" t="0" r="0" b="0"/>
                      <wp:wrapNone/>
                      <wp:docPr id="9" name="Frame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88595" cy="175260"/>
                      <wp:effectExtent l="0" t="0" r="0" b="0"/>
                      <wp:wrapNone/>
                      <wp:docPr id="10" name="Frame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93115" cy="175260"/>
                      <wp:effectExtent l="0" t="0" r="0" b="0"/>
                      <wp:wrapNone/>
                      <wp:docPr id="11" name="Frame1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4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7143"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center"/>
              <w:rPr/>
            </w:pPr>
            <w:r>
              <w:rPr/>
              <w:t>​</w:t>
            </w:r>
          </w:p>
        </w:tc>
        <w:tc>
          <w:tcPr>
            <w:tcW w:w="1009"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  ​</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4,395</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7,282</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21,000</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21,000</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2,873</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27,838</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31,155</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127,587</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196,724</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restricted</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23,564</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39,219</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receivable</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18,347</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31,139</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fund investment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3,304</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5,617</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200,708</w:t>
            </w:r>
          </w:p>
        </w:tc>
        <w:tc>
          <w:tcPr>
            <w:tcW w:w="14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303,929</w:t>
            </w:r>
          </w:p>
        </w:tc>
      </w:tr>
      <w:tr>
        <w:trPr/>
        <w:tc>
          <w:tcPr>
            <w:tcW w:w="7143"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pPr>
            <w:r>
              <w:rPr/>
              <w:t>​</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1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2,811</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pPr>
            <w:r>
              <w:rPr/>
              <w:t>​</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common stock, $0.001 par value; 800,000,000 shares authorized; 56,565,079 shares issued and 54,961,108 outstanding and 43,744,207 shares issued and outstanding as of March 31, 2026 and December 31, 2025, respectively</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513,796</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513,719</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(3,524)</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(312,388)</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(212,589)</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197,897</w:t>
            </w:r>
          </w:p>
        </w:tc>
        <w:tc>
          <w:tcPr>
            <w:tcW w:w="1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300,913</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200,708</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303,929</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19" w:name="_180abfe2_7dde_4507_adf2_1747865e3faa"/>
      <w:bookmarkEnd w:id="119"/>
      <w:r>
        <w:rPr>
          <w:rFonts w:ascii="Times New Roman;Times;serif" w:hAnsi="Times New Roman;Times;serif"/>
          <w:b/>
          <w:sz w:val="20"/>
        </w:rPr>
        <w:t>Solana Company</w:t>
      </w:r>
    </w:p>
    <w:p>
      <w:pPr>
        <w:pStyle w:val="TextBody"/>
        <w:bidi w:val="0"/>
        <w:spacing w:before="0" w:after="0"/>
        <w:ind w:left="0" w:right="0" w:hanging="0"/>
        <w:jc w:val="left"/>
        <w:rPr>
          <w:rFonts w:ascii="Times New Roman;Times;serif" w:hAnsi="Times New Roman;Times;serif"/>
          <w:b/>
          <w:sz w:val="20"/>
        </w:rPr>
      </w:pPr>
      <w:bookmarkStart w:id="120" w:name="StatementsofOperationsandComprehensi"/>
      <w:bookmarkEnd w:id="120"/>
      <w:r>
        <w:rPr>
          <w:rFonts w:ascii="Times New Roman;Times;serif" w:hAnsi="Times New Roman;Times;serif"/>
          <w:b/>
          <w:sz w:val="20"/>
        </w:rPr>
        <w:t>Unaudited Condensed Consolidated Statements of Operations and Comprehensive Loss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21" w:name="Tc_Y1p8enVSO0uIMFHqGeMtuQ_31_0"/>
      <w:bookmarkStart w:id="122" w:name="Tc_mWAiaPRIjUWy-_2ws4NTgg_30_0"/>
      <w:bookmarkStart w:id="123" w:name="Tc_5k_Yvb3liU2YCILwHZ7UNw_29_5"/>
      <w:bookmarkStart w:id="124" w:name="Tc_At8eV61ADkWLOCR6jSItjw_29_2"/>
      <w:bookmarkStart w:id="125" w:name="Tc_ZCKvM86mSUi1Mc0wk52umw_29_0"/>
      <w:bookmarkStart w:id="126" w:name="Tc_2hd8ZH0dmUi-OLMtA2pcrA_28_0"/>
      <w:bookmarkStart w:id="127" w:name="Tc_eC8l-hfRykqOphWzyL1FXw_27_5"/>
      <w:bookmarkStart w:id="128" w:name="Tc_5yPt4y8d00-WCJhN6bs5dg_27_2"/>
      <w:bookmarkStart w:id="129" w:name="Tc_iAke-T2_WEiUQJ2-ofPQdA_27_0"/>
      <w:bookmarkStart w:id="130" w:name="Tc_cFMq7JGu5UuNSR3_pSIIaQ_26_0"/>
      <w:bookmarkStart w:id="131" w:name="Tc_OPnWvjgoFEGahHPT1r-NVQ_25_0"/>
      <w:bookmarkStart w:id="132" w:name="Tc_WzFP3ZKZ-0yGXO3ZbHuPCA_24_0"/>
      <w:bookmarkStart w:id="133" w:name="Tc_GSLJbIs9MUqTg9dkzix91w_23_0"/>
      <w:bookmarkStart w:id="134" w:name="Tc_p2HXYStunEqkAjjFOjPrBg_22_0"/>
      <w:bookmarkStart w:id="135" w:name="Tc_ltCGpDkC5UqBd0EK7g8iWQ_21_0"/>
      <w:bookmarkStart w:id="136" w:name="Tc_izlm6AGbqU2rocOwwCJ_uQ_20_0"/>
      <w:bookmarkStart w:id="137" w:name="Tc_B0gkyAE0lkSx3_dHtO7rhg_19_3"/>
      <w:bookmarkStart w:id="138" w:name="Tc_lalWkDq85EmvZNSkC8Eh2Q_19_0"/>
      <w:bookmarkStart w:id="139" w:name="Tc_0jxbd2sf3kuSvBauRa862g_18_0"/>
      <w:bookmarkStart w:id="140" w:name="Tc_N7cCKC3n10KvFbRpDWUT3Q_17_0"/>
      <w:bookmarkStart w:id="141" w:name="Tc_pXv9-Pz50EOpYQz4X7d7ew_16_0"/>
      <w:bookmarkStart w:id="142" w:name="Tc_s1D1_LF_oECkYJYWx139pQ_15_6"/>
      <w:bookmarkStart w:id="143" w:name="Tc_WtYRrGUvLEGSl0igPFknHg_15_0"/>
      <w:bookmarkStart w:id="144" w:name="Tc_MSh2yuPQaEGGtjwCX-r_aA_14_6"/>
      <w:bookmarkStart w:id="145" w:name="Tc_zZnmZO7Rn0mxpxHliuxW1w_14_0"/>
      <w:bookmarkStart w:id="146" w:name="Tc_c2D6Ce1_7kmW4HPI6_3utg_13_6"/>
      <w:bookmarkStart w:id="147" w:name="Tc_Sz-efKPR30a8OIq8GvAMjQ_13_0"/>
      <w:bookmarkStart w:id="148" w:name="Tc_yIRR1fZFiUqNEJ-MLVNlWA_12_0"/>
      <w:bookmarkStart w:id="149" w:name="Tc_PO1EjT-Hk0y5ORJXrgBUeA_11_0"/>
      <w:bookmarkStart w:id="150" w:name="Tc_9bxYMzQ4pEuAg7LnnDTemg_10_0"/>
      <w:bookmarkStart w:id="151" w:name="Tc_tWyTXCij802hm0lxO2K-7Q_9_0"/>
      <w:bookmarkStart w:id="152" w:name="Tc_8ekWBWdHNU6Dk-heeE4MnA_8_0"/>
      <w:bookmarkStart w:id="153" w:name="Tc_dQQ5_MeWREieJt9rzmXbmg_7_0"/>
      <w:bookmarkStart w:id="154" w:name="Tc_eHlCmUa_Vkm8uTkk8UQBGw_6_6"/>
      <w:bookmarkStart w:id="155" w:name="Tc_yTW5uC_UMU6_TN8TegGj2A_6_5"/>
      <w:bookmarkStart w:id="156" w:name="Tc_GnQwMPCD0UKkOgDuLvjlnw_6_2"/>
      <w:bookmarkStart w:id="157" w:name="Tc_yVldSMIs9Ui19F0eQkbXbg_6_0"/>
      <w:bookmarkStart w:id="158" w:name="Tc_jjQrOFk8i0a8wnngZk4JEw_5_0"/>
      <w:bookmarkStart w:id="159" w:name="Tc_e0x0OnZ3DEi2VxK9qVLc8g_3_5"/>
      <w:bookmarkStart w:id="160" w:name="Tc_majgBxQgCUO2ETiq8T-UwQ_3_2"/>
      <w:bookmarkStart w:id="161" w:name="Tc_2iJLASx9TESDeymzrJ4YlA_2_2"/>
      <w:bookmarkStart w:id="162" w:name="Tc_yFJ5ioYGWkmrG4NWDbZw9A_1_2"/>
      <w:bookmarkStart w:id="163" w:name="_c0fb68e0_bef2_477c_8aff_5e73db344d49"/>
      <w:bookmarkStart w:id="164" w:name="_bf1a1ba5_f6fe_4161_bf3b_a0f3b4f90688"/>
      <w:bookmarkStart w:id="165" w:name="Tc_Y1p8enVSO0uIMFHqGeMtuQ_31_0"/>
      <w:bookmarkStart w:id="166" w:name="Tc_mWAiaPRIjUWy-_2ws4NTgg_30_0"/>
      <w:bookmarkStart w:id="167" w:name="Tc_5k_Yvb3liU2YCILwHZ7UNw_29_5"/>
      <w:bookmarkStart w:id="168" w:name="Tc_At8eV61ADkWLOCR6jSItjw_29_2"/>
      <w:bookmarkStart w:id="169" w:name="Tc_ZCKvM86mSUi1Mc0wk52umw_29_0"/>
      <w:bookmarkStart w:id="170" w:name="Tc_2hd8ZH0dmUi-OLMtA2pcrA_28_0"/>
      <w:bookmarkStart w:id="171" w:name="Tc_eC8l-hfRykqOphWzyL1FXw_27_5"/>
      <w:bookmarkStart w:id="172" w:name="Tc_5yPt4y8d00-WCJhN6bs5dg_27_2"/>
      <w:bookmarkStart w:id="173" w:name="Tc_iAke-T2_WEiUQJ2-ofPQdA_27_0"/>
      <w:bookmarkStart w:id="174" w:name="Tc_cFMq7JGu5UuNSR3_pSIIaQ_26_0"/>
      <w:bookmarkStart w:id="175" w:name="Tc_OPnWvjgoFEGahHPT1r-NVQ_25_0"/>
      <w:bookmarkStart w:id="176" w:name="Tc_WzFP3ZKZ-0yGXO3ZbHuPCA_24_0"/>
      <w:bookmarkStart w:id="177" w:name="Tc_GSLJbIs9MUqTg9dkzix91w_23_0"/>
      <w:bookmarkStart w:id="178" w:name="Tc_p2HXYStunEqkAjjFOjPrBg_22_0"/>
      <w:bookmarkStart w:id="179" w:name="Tc_ltCGpDkC5UqBd0EK7g8iWQ_21_0"/>
      <w:bookmarkStart w:id="180" w:name="Tc_izlm6AGbqU2rocOwwCJ_uQ_20_0"/>
      <w:bookmarkStart w:id="181" w:name="Tc_B0gkyAE0lkSx3_dHtO7rhg_19_3"/>
      <w:bookmarkStart w:id="182" w:name="Tc_lalWkDq85EmvZNSkC8Eh2Q_19_0"/>
      <w:bookmarkStart w:id="183" w:name="Tc_0jxbd2sf3kuSvBauRa862g_18_0"/>
      <w:bookmarkStart w:id="184" w:name="Tc_N7cCKC3n10KvFbRpDWUT3Q_17_0"/>
      <w:bookmarkStart w:id="185" w:name="Tc_pXv9-Pz50EOpYQz4X7d7ew_16_0"/>
      <w:bookmarkStart w:id="186" w:name="Tc_s1D1_LF_oECkYJYWx139pQ_15_6"/>
      <w:bookmarkStart w:id="187" w:name="Tc_WtYRrGUvLEGSl0igPFknHg_15_0"/>
      <w:bookmarkStart w:id="188" w:name="Tc_MSh2yuPQaEGGtjwCX-r_aA_14_6"/>
      <w:bookmarkStart w:id="189" w:name="Tc_zZnmZO7Rn0mxpxHliuxW1w_14_0"/>
      <w:bookmarkStart w:id="190" w:name="Tc_c2D6Ce1_7kmW4HPI6_3utg_13_6"/>
      <w:bookmarkStart w:id="191" w:name="Tc_Sz-efKPR30a8OIq8GvAMjQ_13_0"/>
      <w:bookmarkStart w:id="192" w:name="Tc_yIRR1fZFiUqNEJ-MLVNlWA_12_0"/>
      <w:bookmarkStart w:id="193" w:name="Tc_PO1EjT-Hk0y5ORJXrgBUeA_11_0"/>
      <w:bookmarkStart w:id="194" w:name="Tc_9bxYMzQ4pEuAg7LnnDTemg_10_0"/>
      <w:bookmarkStart w:id="195" w:name="Tc_tWyTXCij802hm0lxO2K-7Q_9_0"/>
      <w:bookmarkStart w:id="196" w:name="Tc_8ekWBWdHNU6Dk-heeE4MnA_8_0"/>
      <w:bookmarkStart w:id="197" w:name="Tc_dQQ5_MeWREieJt9rzmXbmg_7_0"/>
      <w:bookmarkStart w:id="198" w:name="Tc_eHlCmUa_Vkm8uTkk8UQBGw_6_6"/>
      <w:bookmarkStart w:id="199" w:name="Tc_yTW5uC_UMU6_TN8TegGj2A_6_5"/>
      <w:bookmarkStart w:id="200" w:name="Tc_GnQwMPCD0UKkOgDuLvjlnw_6_2"/>
      <w:bookmarkStart w:id="201" w:name="Tc_yVldSMIs9Ui19F0eQkbXbg_6_0"/>
      <w:bookmarkStart w:id="202" w:name="Tc_jjQrOFk8i0a8wnngZk4JEw_5_0"/>
      <w:bookmarkStart w:id="203" w:name="Tc_e0x0OnZ3DEi2VxK9qVLc8g_3_5"/>
      <w:bookmarkStart w:id="204" w:name="Tc_majgBxQgCUO2ETiq8T-UwQ_3_2"/>
      <w:bookmarkStart w:id="205" w:name="Tc_2iJLASx9TESDeymzrJ4YlA_2_2"/>
      <w:bookmarkStart w:id="206" w:name="Tc_yFJ5ioYGWkmrG4NWDbZw9A_1_2"/>
      <w:bookmarkStart w:id="207" w:name="_c0fb68e0_bef2_477c_8aff_5e73db344d49"/>
      <w:bookmarkStart w:id="208" w:name="_bf1a1ba5_f6fe_4161_bf3b_a0f3b4f90688"/>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tbl>
      <w:tblPr>
        <w:tblW w:w="8032" w:type="dxa"/>
        <w:jc w:val="left"/>
        <w:tblInd w:w="0" w:type="dxa"/>
        <w:tblLayout w:type="fixed"/>
        <w:tblCellMar>
          <w:top w:w="0" w:type="dxa"/>
          <w:left w:w="0" w:type="dxa"/>
          <w:bottom w:w="0" w:type="dxa"/>
          <w:right w:w="0" w:type="dxa"/>
        </w:tblCellMar>
      </w:tblPr>
      <w:tblGrid>
        <w:gridCol w:w="5041"/>
        <w:gridCol w:w="346"/>
        <w:gridCol w:w="211"/>
        <w:gridCol w:w="1036"/>
        <w:gridCol w:w="346"/>
        <w:gridCol w:w="211"/>
        <w:gridCol w:w="841"/>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201035" cy="175260"/>
                      <wp:effectExtent l="0" t="0" r="0" b="0"/>
                      <wp:wrapNone/>
                      <wp:docPr id="12" name="Frame11"/>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34035" cy="175260"/>
                      <wp:effectExtent l="0" t="0" r="0" b="0"/>
                      <wp:wrapNone/>
                      <wp:docPr id="18" name="Frame1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Staking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3,939</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digital assets and digital assets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loss on digital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digital assets fund 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3,939</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(4,011)</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(3,889)</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(382.29)</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76,736,156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10,039</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09" w:name="_da4ceaad_845e_4f0c_9e70_602a4243a686"/>
      <w:bookmarkEnd w:id="209"/>
      <w:r>
        <w:rPr>
          <w:rFonts w:ascii="Times New Roman;Times;serif" w:hAnsi="Times New Roman;Times;serif"/>
          <w:b/>
          <w:sz w:val="20"/>
        </w:rPr>
        <w:t>Solana Company</w:t>
      </w:r>
    </w:p>
    <w:p>
      <w:pPr>
        <w:pStyle w:val="TextBody"/>
        <w:bidi w:val="0"/>
        <w:spacing w:before="0" w:after="0"/>
        <w:ind w:left="0" w:right="0" w:hanging="0"/>
        <w:jc w:val="left"/>
        <w:rPr>
          <w:rFonts w:ascii="Times New Roman;Times;serif" w:hAnsi="Times New Roman;Times;serif"/>
          <w:b/>
          <w:sz w:val="20"/>
        </w:rPr>
      </w:pPr>
      <w:bookmarkStart w:id="210" w:name="StatementsofStockholdersEquity_245144"/>
      <w:bookmarkEnd w:id="210"/>
      <w:r>
        <w:rPr>
          <w:rFonts w:ascii="Times New Roman;Times;serif" w:hAnsi="Times New Roman;Times;serif"/>
          <w:b/>
          <w:sz w:val="20"/>
        </w:rPr>
        <w:t xml:space="preserve">Unaudited Condensed Consolidated Statements of Stockholders’ Equity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data)</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11" w:name="Tc_5jLH10Y2w0uaOR0P8oGahA_11_21"/>
      <w:bookmarkStart w:id="212" w:name="Tc_VfsnN33Wq0iHPI4sBtCWhQ_11_18"/>
      <w:bookmarkStart w:id="213" w:name="Tc_LkBszOZISECqRSwxZMoO3Q_11_15"/>
      <w:bookmarkStart w:id="214" w:name="Tc_wSRHp90xlEKKJAPPgpLlfQ_11_12"/>
      <w:bookmarkStart w:id="215" w:name="Tc_52SaIP3-hEOz_I3X1PD3jw_11_7"/>
      <w:bookmarkStart w:id="216" w:name="Tc_I4X4mdYUU06HIy37H6faxA_11_4"/>
      <w:bookmarkStart w:id="217" w:name="Tc_TTSWb-qN1U2dTqnhIjNFsw_11_0"/>
      <w:bookmarkStart w:id="218" w:name="Tc_OAfvxhPGf0mIYL511LmmQg_10_19"/>
      <w:bookmarkStart w:id="219" w:name="Tc_z27tG5n8vk2074LpVr_cpw_10_13"/>
      <w:bookmarkStart w:id="220" w:name="Tc_qKl7YBy_MkOMjlG24GYtyQ_10_10"/>
      <w:bookmarkStart w:id="221" w:name="Tc_JfGBPF9kbE-JRRTtbPZpEQ_10_8"/>
      <w:bookmarkStart w:id="222" w:name="Tc_6ufY52sq-kubw36Gm6THJQ_10_5"/>
      <w:bookmarkStart w:id="223" w:name="Tc_7McFfGc-L0GqG9t5tL8Jng_10_2"/>
      <w:bookmarkStart w:id="224" w:name="Tc_1-sWhmZXG0-0G3jVPIyYbg_10_0"/>
      <w:bookmarkStart w:id="225" w:name="Tc_dREefAyaXk660hjhF7VCfA_9_16"/>
      <w:bookmarkStart w:id="226" w:name="Tc_WjSKlIMwu0K7X0xhHhukvQ_9_13"/>
      <w:bookmarkStart w:id="227" w:name="Tc_XiKVr5lyd0W2WLJIHDiHLQ_9_10"/>
      <w:bookmarkStart w:id="228" w:name="Tc_eHt2KrnMmU68brA_sDNOgg_9_8"/>
      <w:bookmarkStart w:id="229" w:name="Tc_UyhiR2fNsUGQMZkKeSJPxQ_9_5"/>
      <w:bookmarkStart w:id="230" w:name="Tc_t1YmJzWQOUqFilY_vC2nAw_9_2"/>
      <w:bookmarkStart w:id="231" w:name="Tc_te_LMjjSjUyUTwwMIdUJdQ_9_0"/>
      <w:bookmarkStart w:id="232" w:name="Tc_8OEi8ANfpEGRnv6rlAgTRw_8_19"/>
      <w:bookmarkStart w:id="233" w:name="Tc_erIONM-K0Ei7IXuoUgP_Pw_8_16"/>
      <w:bookmarkStart w:id="234" w:name="Tc_s9EKlXdkS0KChfMgI85h6A_8_13"/>
      <w:bookmarkStart w:id="235" w:name="Tc_d81nuiWxA0qiQIQCEhbAoA_8_10"/>
      <w:bookmarkStart w:id="236" w:name="Tc_ztpHu-ihpEiYoCzXYuv5Vw_8_5"/>
      <w:bookmarkStart w:id="237" w:name="Tc_gNEn6PrHy0WLYNvgADowEg_8_2"/>
      <w:bookmarkStart w:id="238" w:name="Tc_T3EbJeLOf0i2qZybjA4Z3w_8_0"/>
      <w:bookmarkStart w:id="239" w:name="Tc_r8wPIhpmnEmCqJVgXB-vcQ_7_22"/>
      <w:bookmarkStart w:id="240" w:name="Tc_9HLlBmHuOkCmDablzosT_A_7_19"/>
      <w:bookmarkStart w:id="241" w:name="Tc_3q-2WPOz3kWMSKfofIwQkw_7_16"/>
      <w:bookmarkStart w:id="242" w:name="Tc_-1QWfsV6O0yVUpWjCorsEw_7_13"/>
      <w:bookmarkStart w:id="243" w:name="Tc_K5JeEiFEEESfhHsgHUV3Gg_7_10"/>
      <w:bookmarkStart w:id="244" w:name="Tc_j8cRjhHnz06fF71ssoGXsQ_7_0"/>
      <w:bookmarkStart w:id="245" w:name="Tc_b7tbv-U10UulyPowcEJ3Og_6_19"/>
      <w:bookmarkStart w:id="246" w:name="Tc_JYPGEpS-jE6tSXTSK9qF7w_6_16"/>
      <w:bookmarkStart w:id="247" w:name="Tc_ypE05-j_5E6ZOzMNMeqqjA_6_8"/>
      <w:bookmarkStart w:id="248" w:name="Tc_k0cr8iZyKUaREoqmKHCiqQ_6_5"/>
      <w:bookmarkStart w:id="249" w:name="Tc__qCt7I0tfUy5CIYTdct4BA_6_2"/>
      <w:bookmarkStart w:id="250" w:name="Tc_FXSyNdJr7k-cj-qdTJixag_6_0"/>
      <w:bookmarkStart w:id="251" w:name="Tc_JPBm5QNDU0mTG3xwvTJi5A_5_21"/>
      <w:bookmarkStart w:id="252" w:name="Tc_Hy26AU4ackWjEGIde-5hOw_5_18"/>
      <w:bookmarkStart w:id="253" w:name="Tc_jJmPjljEREWmglY5h6nAcg_5_15"/>
      <w:bookmarkStart w:id="254" w:name="Tc_KFNRH87PrEa2g9dEdzl6LA_5_13"/>
      <w:bookmarkStart w:id="255" w:name="Tc_EG5UOdlAR0eoumauTL3DJA_5_12"/>
      <w:bookmarkStart w:id="256" w:name="Tc_iGcOWzcZbk2VVVRVUos6Sg_5_10"/>
      <w:bookmarkStart w:id="257" w:name="Tc_v2kcTNAuYES3w7gPBpACSw_5_7"/>
      <w:bookmarkStart w:id="258" w:name="Tc_J_POzopeG0W0lBM_6p2Oew_5_4"/>
      <w:bookmarkStart w:id="259" w:name="Tc_qV2znL-MyE60MROlU_rO_A_5_0"/>
      <w:bookmarkStart w:id="260" w:name="Tc_kaUFnaakUU6CImhnfR0RGg_4_21"/>
      <w:bookmarkStart w:id="261" w:name="Tc_Z_Ef_4MHMUOai2I8bKfR7A_4_18"/>
      <w:bookmarkStart w:id="262" w:name="Tc_fARJEO2aV0umDsMGC41CNg_4_15"/>
      <w:bookmarkStart w:id="263" w:name="Tc_zaab2VeELkujlQsHZTmFbA_4_12"/>
      <w:bookmarkStart w:id="264" w:name="Tc__H64NAzWY0uLln7W8yev3g_4_10"/>
      <w:bookmarkStart w:id="265" w:name="Tc_MUKdU_Ex0k6mmGtZsTLApA_4_7"/>
      <w:bookmarkStart w:id="266" w:name="Tc_IFL5rxpuxUakqAL2di3Dsw_4_4"/>
      <w:bookmarkStart w:id="267" w:name="Tc_vKK_TLjVCk6aRctpqS0t_g_4_2"/>
      <w:bookmarkStart w:id="268" w:name="Tc_8WOvKHZOukOKGpzExbWWVQ_3_18"/>
      <w:bookmarkStart w:id="269" w:name="Tc_A7AnFb8Ee0ObIJLSo4iIGw_3_15"/>
      <w:bookmarkStart w:id="270" w:name="Tc_itOAE7ySGEelF0H2xdEMxA_3_10"/>
      <w:bookmarkStart w:id="271" w:name="Tc_ALXjLssZW0-0S_ildjFDTQ_3_7"/>
      <w:bookmarkStart w:id="272" w:name="Tc_s4YBw3MyhUC-Xlg55dAKMQ_3_2"/>
      <w:bookmarkStart w:id="273" w:name="Tc_87zh99we8k-na0ASaXsKBg_2_18"/>
      <w:bookmarkStart w:id="274" w:name="Tc_lN15iXMgjUa4F5z1GbEQkA_2_7"/>
      <w:bookmarkStart w:id="275" w:name="Tc_tYKNzeLIvUu3AoxVE5W_Ng_1_18"/>
      <w:bookmarkStart w:id="276" w:name="_5843d6f0_582c_4a2f_89ca_e5689a9613ad"/>
      <w:bookmarkStart w:id="277" w:name="Tc_5jLH10Y2w0uaOR0P8oGahA_11_21"/>
      <w:bookmarkStart w:id="278" w:name="Tc_VfsnN33Wq0iHPI4sBtCWhQ_11_18"/>
      <w:bookmarkStart w:id="279" w:name="Tc_LkBszOZISECqRSwxZMoO3Q_11_15"/>
      <w:bookmarkStart w:id="280" w:name="Tc_wSRHp90xlEKKJAPPgpLlfQ_11_12"/>
      <w:bookmarkStart w:id="281" w:name="Tc_52SaIP3-hEOz_I3X1PD3jw_11_7"/>
      <w:bookmarkStart w:id="282" w:name="Tc_I4X4mdYUU06HIy37H6faxA_11_4"/>
      <w:bookmarkStart w:id="283" w:name="Tc_TTSWb-qN1U2dTqnhIjNFsw_11_0"/>
      <w:bookmarkStart w:id="284" w:name="Tc_OAfvxhPGf0mIYL511LmmQg_10_19"/>
      <w:bookmarkStart w:id="285" w:name="Tc_z27tG5n8vk2074LpVr_cpw_10_13"/>
      <w:bookmarkStart w:id="286" w:name="Tc_qKl7YBy_MkOMjlG24GYtyQ_10_10"/>
      <w:bookmarkStart w:id="287" w:name="Tc_JfGBPF9kbE-JRRTtbPZpEQ_10_8"/>
      <w:bookmarkStart w:id="288" w:name="Tc_6ufY52sq-kubw36Gm6THJQ_10_5"/>
      <w:bookmarkStart w:id="289" w:name="Tc_7McFfGc-L0GqG9t5tL8Jng_10_2"/>
      <w:bookmarkStart w:id="290" w:name="Tc_1-sWhmZXG0-0G3jVPIyYbg_10_0"/>
      <w:bookmarkStart w:id="291" w:name="Tc_dREefAyaXk660hjhF7VCfA_9_16"/>
      <w:bookmarkStart w:id="292" w:name="Tc_WjSKlIMwu0K7X0xhHhukvQ_9_13"/>
      <w:bookmarkStart w:id="293" w:name="Tc_XiKVr5lyd0W2WLJIHDiHLQ_9_10"/>
      <w:bookmarkStart w:id="294" w:name="Tc_eHt2KrnMmU68brA_sDNOgg_9_8"/>
      <w:bookmarkStart w:id="295" w:name="Tc_UyhiR2fNsUGQMZkKeSJPxQ_9_5"/>
      <w:bookmarkStart w:id="296" w:name="Tc_t1YmJzWQOUqFilY_vC2nAw_9_2"/>
      <w:bookmarkStart w:id="297" w:name="Tc_te_LMjjSjUyUTwwMIdUJdQ_9_0"/>
      <w:bookmarkStart w:id="298" w:name="Tc_8OEi8ANfpEGRnv6rlAgTRw_8_19"/>
      <w:bookmarkStart w:id="299" w:name="Tc_erIONM-K0Ei7IXuoUgP_Pw_8_16"/>
      <w:bookmarkStart w:id="300" w:name="Tc_s9EKlXdkS0KChfMgI85h6A_8_13"/>
      <w:bookmarkStart w:id="301" w:name="Tc_d81nuiWxA0qiQIQCEhbAoA_8_10"/>
      <w:bookmarkStart w:id="302" w:name="Tc_ztpHu-ihpEiYoCzXYuv5Vw_8_5"/>
      <w:bookmarkStart w:id="303" w:name="Tc_gNEn6PrHy0WLYNvgADowEg_8_2"/>
      <w:bookmarkStart w:id="304" w:name="Tc_T3EbJeLOf0i2qZybjA4Z3w_8_0"/>
      <w:bookmarkStart w:id="305" w:name="Tc_r8wPIhpmnEmCqJVgXB-vcQ_7_22"/>
      <w:bookmarkStart w:id="306" w:name="Tc_9HLlBmHuOkCmDablzosT_A_7_19"/>
      <w:bookmarkStart w:id="307" w:name="Tc_3q-2WPOz3kWMSKfofIwQkw_7_16"/>
      <w:bookmarkStart w:id="308" w:name="Tc_-1QWfsV6O0yVUpWjCorsEw_7_13"/>
      <w:bookmarkStart w:id="309" w:name="Tc_K5JeEiFEEESfhHsgHUV3Gg_7_10"/>
      <w:bookmarkStart w:id="310" w:name="Tc_j8cRjhHnz06fF71ssoGXsQ_7_0"/>
      <w:bookmarkStart w:id="311" w:name="Tc_b7tbv-U10UulyPowcEJ3Og_6_19"/>
      <w:bookmarkStart w:id="312" w:name="Tc_JYPGEpS-jE6tSXTSK9qF7w_6_16"/>
      <w:bookmarkStart w:id="313" w:name="Tc_ypE05-j_5E6ZOzMNMeqqjA_6_8"/>
      <w:bookmarkStart w:id="314" w:name="Tc_k0cr8iZyKUaREoqmKHCiqQ_6_5"/>
      <w:bookmarkStart w:id="315" w:name="Tc__qCt7I0tfUy5CIYTdct4BA_6_2"/>
      <w:bookmarkStart w:id="316" w:name="Tc_FXSyNdJr7k-cj-qdTJixag_6_0"/>
      <w:bookmarkStart w:id="317" w:name="Tc_JPBm5QNDU0mTG3xwvTJi5A_5_21"/>
      <w:bookmarkStart w:id="318" w:name="Tc_Hy26AU4ackWjEGIde-5hOw_5_18"/>
      <w:bookmarkStart w:id="319" w:name="Tc_jJmPjljEREWmglY5h6nAcg_5_15"/>
      <w:bookmarkStart w:id="320" w:name="Tc_KFNRH87PrEa2g9dEdzl6LA_5_13"/>
      <w:bookmarkStart w:id="321" w:name="Tc_EG5UOdlAR0eoumauTL3DJA_5_12"/>
      <w:bookmarkStart w:id="322" w:name="Tc_iGcOWzcZbk2VVVRVUos6Sg_5_10"/>
      <w:bookmarkStart w:id="323" w:name="Tc_v2kcTNAuYES3w7gPBpACSw_5_7"/>
      <w:bookmarkStart w:id="324" w:name="Tc_J_POzopeG0W0lBM_6p2Oew_5_4"/>
      <w:bookmarkStart w:id="325" w:name="Tc_qV2znL-MyE60MROlU_rO_A_5_0"/>
      <w:bookmarkStart w:id="326" w:name="Tc_kaUFnaakUU6CImhnfR0RGg_4_21"/>
      <w:bookmarkStart w:id="327" w:name="Tc_Z_Ef_4MHMUOai2I8bKfR7A_4_18"/>
      <w:bookmarkStart w:id="328" w:name="Tc_fARJEO2aV0umDsMGC41CNg_4_15"/>
      <w:bookmarkStart w:id="329" w:name="Tc_zaab2VeELkujlQsHZTmFbA_4_12"/>
      <w:bookmarkStart w:id="330" w:name="Tc__H64NAzWY0uLln7W8yev3g_4_10"/>
      <w:bookmarkStart w:id="331" w:name="Tc_MUKdU_Ex0k6mmGtZsTLApA_4_7"/>
      <w:bookmarkStart w:id="332" w:name="Tc_IFL5rxpuxUakqAL2di3Dsw_4_4"/>
      <w:bookmarkStart w:id="333" w:name="Tc_vKK_TLjVCk6aRctpqS0t_g_4_2"/>
      <w:bookmarkStart w:id="334" w:name="Tc_8WOvKHZOukOKGpzExbWWVQ_3_18"/>
      <w:bookmarkStart w:id="335" w:name="Tc_A7AnFb8Ee0ObIJLSo4iIGw_3_15"/>
      <w:bookmarkStart w:id="336" w:name="Tc_itOAE7ySGEelF0H2xdEMxA_3_10"/>
      <w:bookmarkStart w:id="337" w:name="Tc_ALXjLssZW0-0S_ildjFDTQ_3_7"/>
      <w:bookmarkStart w:id="338" w:name="Tc_s4YBw3MyhUC-Xlg55dAKMQ_3_2"/>
      <w:bookmarkStart w:id="339" w:name="Tc_87zh99we8k-na0ASaXsKBg_2_18"/>
      <w:bookmarkStart w:id="340" w:name="Tc_lN15iXMgjUa4F5z1GbEQkA_2_7"/>
      <w:bookmarkStart w:id="341" w:name="Tc_tYKNzeLIvUu3AoxVE5W_Ng_1_18"/>
      <w:bookmarkStart w:id="342" w:name="_5843d6f0_582c_4a2f_89ca_e5689a9613ad"/>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tbl>
      <w:tblPr>
        <w:tblW w:w="11856" w:type="dxa"/>
        <w:jc w:val="left"/>
        <w:tblInd w:w="0" w:type="dxa"/>
        <w:tblLayout w:type="fixed"/>
        <w:tblCellMar>
          <w:top w:w="0" w:type="dxa"/>
          <w:left w:w="0" w:type="dxa"/>
          <w:bottom w:w="0" w:type="dxa"/>
          <w:right w:w="0" w:type="dxa"/>
        </w:tblCellMar>
      </w:tblPr>
      <w:tblGrid>
        <w:gridCol w:w="1351"/>
        <w:gridCol w:w="346"/>
        <w:gridCol w:w="1036"/>
        <w:gridCol w:w="346"/>
        <w:gridCol w:w="261"/>
        <w:gridCol w:w="430"/>
        <w:gridCol w:w="346"/>
        <w:gridCol w:w="211"/>
        <w:gridCol w:w="781"/>
        <w:gridCol w:w="346"/>
        <w:gridCol w:w="931"/>
        <w:gridCol w:w="286"/>
        <w:gridCol w:w="211"/>
        <w:gridCol w:w="631"/>
        <w:gridCol w:w="286"/>
        <w:gridCol w:w="211"/>
        <w:gridCol w:w="841"/>
        <w:gridCol w:w="346"/>
        <w:gridCol w:w="370"/>
        <w:gridCol w:w="846"/>
        <w:gridCol w:w="346"/>
        <w:gridCol w:w="211"/>
        <w:gridCol w:w="88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857885" cy="175260"/>
                      <wp:effectExtent l="0" t="0" r="0" b="0"/>
                      <wp:wrapNone/>
                      <wp:docPr id="19" name="Frame18"/>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21" name="Frame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65735" cy="175260"/>
                      <wp:effectExtent l="0" t="0" r="0" b="0"/>
                      <wp:wrapNone/>
                      <wp:docPr id="23" name="Frame2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73050" cy="175260"/>
                      <wp:effectExtent l="0" t="0" r="0" b="0"/>
                      <wp:wrapNone/>
                      <wp:docPr id="24" name="Frame23"/>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95935" cy="175260"/>
                      <wp:effectExtent l="0" t="0" r="0" b="0"/>
                      <wp:wrapNone/>
                      <wp:docPr id="27" name="Frame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91185" cy="175260"/>
                      <wp:effectExtent l="0" t="0" r="0" b="0"/>
                      <wp:wrapNone/>
                      <wp:docPr id="29" name="Frame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81610" cy="175260"/>
                      <wp:effectExtent l="0" t="0" r="0" b="0"/>
                      <wp:wrapNone/>
                      <wp:docPr id="30" name="Frame2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00685" cy="175260"/>
                      <wp:effectExtent l="0" t="0" r="0" b="0"/>
                      <wp:wrapNone/>
                      <wp:docPr id="32" name="Frame3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81610" cy="175260"/>
                      <wp:effectExtent l="0" t="0" r="0" b="0"/>
                      <wp:wrapNone/>
                      <wp:docPr id="33" name="Frame3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34035" cy="175260"/>
                      <wp:effectExtent l="0" t="0" r="0" b="0"/>
                      <wp:wrapNone/>
                      <wp:docPr id="35" name="Frame3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34950" cy="175260"/>
                      <wp:effectExtent l="0" t="0" r="0" b="0"/>
                      <wp:wrapNone/>
                      <wp:docPr id="37" name="Frame36"/>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37210" cy="175260"/>
                      <wp:effectExtent l="0" t="0" r="0" b="0"/>
                      <wp:wrapNone/>
                      <wp:docPr id="38" name="Frame37"/>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62610" cy="175260"/>
                      <wp:effectExtent l="0" t="0" r="0" b="0"/>
                      <wp:wrapNone/>
                      <wp:docPr id="41" name="Frame4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3"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2059" w:type="dxa"/>
            <w:gridSpan w:val="4"/>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Common Stock</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8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86" w:type="dxa"/>
            <w:tcBorders/>
            <w:vAlign w:val="center"/>
          </w:tcPr>
          <w:p>
            <w:pPr>
              <w:pStyle w:val="TableContents"/>
              <w:bidi w:val="0"/>
              <w:spacing w:before="0" w:after="0"/>
              <w:ind w:left="0" w:right="0" w:hanging="0"/>
              <w:jc w:val="left"/>
              <w:rPr/>
            </w:pPr>
            <w:r>
              <w:rPr/>
              <w:t>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86" w:type="dxa"/>
            <w:tcBorders/>
            <w:vAlign w:val="center"/>
          </w:tcPr>
          <w:p>
            <w:pPr>
              <w:pStyle w:val="TableContents"/>
              <w:bidi w:val="0"/>
              <w:spacing w:before="0" w:after="0"/>
              <w:ind w:left="0" w:right="0" w:hanging="0"/>
              <w:jc w:val="left"/>
              <w:rPr/>
            </w:pPr>
            <w:r>
              <w:rPr/>
              <w:t>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43,744,207</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513,719</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(212,589)</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300,913</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1,603,971</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(3,524)</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(3,524)</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12,820,872</w:t>
            </w:r>
          </w:p>
        </w:tc>
        <w:tc>
          <w:tcPr>
            <w:tcW w:w="34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(99,799)</w:t>
            </w:r>
          </w:p>
        </w:tc>
        <w:tc>
          <w:tcPr>
            <w:tcW w:w="34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(99,799)</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56,565,079</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513,796</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1,603,971</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(3,524)</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(312,388)</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197,897</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3" w:name="Tc_fft_Z2K5vEizj_ARcaLnvQ_11_21"/>
      <w:bookmarkStart w:id="344" w:name="Tc_t6YElC4rOEG7LWxwpOgY8w_11_18"/>
      <w:bookmarkStart w:id="345" w:name="Tc_h1HAKJTVxEW5Qo1-PxxneQ_11_15"/>
      <w:bookmarkStart w:id="346" w:name="Tc__RtRr4r1F0WT1CzxSen26w_11_7"/>
      <w:bookmarkStart w:id="347" w:name="Tc_zdV48NXukk6AeHt7N7zG7Q_11_5"/>
      <w:bookmarkStart w:id="348" w:name="Tc_IwEo-5nuxkSo1cpX-kasgA_11_4"/>
      <w:bookmarkStart w:id="349" w:name="Tc_ldUgGRbejUGWFgOvAVzkzw_11_0"/>
      <w:bookmarkStart w:id="350" w:name="Tc_80n37kXIw0eq1UgVCwfdNw_10_19"/>
      <w:bookmarkStart w:id="351" w:name="Tc_f4sR7fN0T0OSu5e98yUJHg_10_13"/>
      <w:bookmarkStart w:id="352" w:name="Tc_0jjzz5CoGUq61YMwrqm65Q_10_10"/>
      <w:bookmarkStart w:id="353" w:name="Tc_4o1IwNrAP0ug6UwyBgGmvQ_10_8"/>
      <w:bookmarkStart w:id="354" w:name="Tc_tJ-T87C9g0WRBUhGjaSWow_10_5"/>
      <w:bookmarkStart w:id="355" w:name="Tc_6TrgQ_T_hkqYFVgI5JFrNQ_10_2"/>
      <w:bookmarkStart w:id="356" w:name="Tc_lvFqp4UY80q8cZYd-mfopA_10_0"/>
      <w:bookmarkStart w:id="357" w:name="Tc_T8YDTeo1_U2nACjoYqnzQw_9_16"/>
      <w:bookmarkStart w:id="358" w:name="Tc_7sqhG5I2SkKwf9QfJicjew_9_13"/>
      <w:bookmarkStart w:id="359" w:name="Tc_mt4fmvgIRkiUO9aLDZ3Evw_9_10"/>
      <w:bookmarkStart w:id="360" w:name="Tc_r6svJr1ShkaOrcOxmjx6Og_9_8"/>
      <w:bookmarkStart w:id="361" w:name="Tc_8LqEBQDSm0aWBKpUfiWbCg_9_5"/>
      <w:bookmarkStart w:id="362" w:name="Tc_3EbJaDBkzUy42XCpv_r4eg_9_2"/>
      <w:bookmarkStart w:id="363" w:name="Tc_Nf56CPB8kk2CGjZO-ttB0w_9_0"/>
      <w:bookmarkStart w:id="364" w:name="Tc_zz82Vet7FUOfM-UbY9wzjg_8_19"/>
      <w:bookmarkStart w:id="365" w:name="Tc_f_Hq6HVlsEWQ3bQDfTCY8w_8_16"/>
      <w:bookmarkStart w:id="366" w:name="Tc_FjrGwDQxZEuDBRJ-xlnUJg_8_13"/>
      <w:bookmarkStart w:id="367" w:name="Tc_HaMaFlenPEWhSNTKRNH8Jg_8_10"/>
      <w:bookmarkStart w:id="368" w:name="Tc_6AEO8FT2sEiajlBv8e5OwA_8_5"/>
      <w:bookmarkStart w:id="369" w:name="Tc_pqX2gGsPEU2rZsNy8a-VpQ_8_2"/>
      <w:bookmarkStart w:id="370" w:name="Tc_0KUUiL2huUqLQkCakMHUCQ_8_0"/>
      <w:bookmarkStart w:id="371" w:name="Tc_i8DRP-Tey0aCtAiik0iIcA_7_19"/>
      <w:bookmarkStart w:id="372" w:name="Tc_HZaOLgYR0kqo3MwuQRuZew_7_16"/>
      <w:bookmarkStart w:id="373" w:name="Tc_WBmKaAPD1Eafa2FR7k1LnA_7_5"/>
      <w:bookmarkStart w:id="374" w:name="Tc_ds3y4vIH60aB_KKcNVGAZw_7_0"/>
      <w:bookmarkStart w:id="375" w:name="Tc_E0gjtqV__kuD76ND84mf6Q_6_19"/>
      <w:bookmarkStart w:id="376" w:name="Tc_Nrynj2fCrUmjHb0uxNWYlA_6_16"/>
      <w:bookmarkStart w:id="377" w:name="Tc__S_05VdBdUu1nHj9_lJEyQ_6_13"/>
      <w:bookmarkStart w:id="378" w:name="Tc_UCmZvMfVhk6pGbb0MSqexA_6_10"/>
      <w:bookmarkStart w:id="379" w:name="Tc_LGWNSBWuTUeXDwBm-bx0jg_6_5"/>
      <w:bookmarkStart w:id="380" w:name="Tc_VV3nO8vpRk-nQLlyS5bnww_6_0"/>
      <w:bookmarkStart w:id="381" w:name="Tc_c74-viRq10-qBoiB_UVc2Q_5_21"/>
      <w:bookmarkStart w:id="382" w:name="Tc_YNNckUDe5ka1TbpnivXBpg_5_18"/>
      <w:bookmarkStart w:id="383" w:name="Tc_mdW3AEoDhkOq9BhQ3kokfg_5_15"/>
      <w:bookmarkStart w:id="384" w:name="Tc_QCacBzPy4kqIfsY1C_4agw_5_13"/>
      <w:bookmarkStart w:id="385" w:name="Tc_45_EmJtOPkOFlscCcqsbFQ_5_12"/>
      <w:bookmarkStart w:id="386" w:name="Tc_jGuAdhEh0EmY2TWKgzsxFw_5_10"/>
      <w:bookmarkStart w:id="387" w:name="Tc_xo0_KTg0dk6-Y_52hajQuw_5_7"/>
      <w:bookmarkStart w:id="388" w:name="Tc_3gV6fUGnmUyTGRR2sXtm_A_5_5"/>
      <w:bookmarkStart w:id="389" w:name="Tc_6Jg15HD7uUyGt7US8dN7Cw_5_4"/>
      <w:bookmarkStart w:id="390" w:name="Tc_phhc38R_Kk-ctYs52DFJMw_5_0"/>
      <w:bookmarkStart w:id="391" w:name="Tc_t22o2TIV-kSDE6PwYukrEA_4_21"/>
      <w:bookmarkStart w:id="392" w:name="Tc_hB-4EJOqqkCCLxxlX43N5g_4_18"/>
      <w:bookmarkStart w:id="393" w:name="Tc_JuOr-PT6fUCepi5ysO37xg_4_15"/>
      <w:bookmarkStart w:id="394" w:name="Tc_ALjbSa1o_0-6V414-QTRqA_4_12"/>
      <w:bookmarkStart w:id="395" w:name="Tc_dgrw_6OaB0ib96Y02hn4Xw_4_10"/>
      <w:bookmarkStart w:id="396" w:name="Tc_DtNmG6BI-EWBpGV_d9J2AA_4_7"/>
      <w:bookmarkStart w:id="397" w:name="Tc_XJst1EIQak6UKhsTY0oSAA_4_4"/>
      <w:bookmarkStart w:id="398" w:name="Tc_PqkHQVITrUiWqRnCRkqSaA_4_2"/>
      <w:bookmarkStart w:id="399" w:name="Tc_HvKK10TjR0OHJ1xCIibLhg_3_18"/>
      <w:bookmarkStart w:id="400" w:name="Tc_dj2krf7s9ESbcHAMAy3ItA_3_15"/>
      <w:bookmarkStart w:id="401" w:name="Tc_N9HCz3_S8U2dhEUtert80g_3_10"/>
      <w:bookmarkStart w:id="402" w:name="Tc_7-MWMra1zkyKwac8L3J3vw_3_7"/>
      <w:bookmarkStart w:id="403" w:name="Tc_30SmYdOb5kqyu0_CAmE0cw_3_2"/>
      <w:bookmarkStart w:id="404" w:name="Tc_eWnjhNfo3UikZNRYfBDhlQ_2_18"/>
      <w:bookmarkStart w:id="405" w:name="Tc_4FJ-WAOokEmbQLJHbgTzxg_2_7"/>
      <w:bookmarkStart w:id="406" w:name="Tc_o1cDYUtY60yct3m58yePKg_1_19"/>
      <w:bookmarkStart w:id="407" w:name="_ad37c6c9_f3b7_4124_b8e6_bc294e84dc30"/>
      <w:bookmarkStart w:id="408" w:name="Tc_fft_Z2K5vEizj_ARcaLnvQ_11_21"/>
      <w:bookmarkStart w:id="409" w:name="Tc_t6YElC4rOEG7LWxwpOgY8w_11_18"/>
      <w:bookmarkStart w:id="410" w:name="Tc_h1HAKJTVxEW5Qo1-PxxneQ_11_15"/>
      <w:bookmarkStart w:id="411" w:name="Tc__RtRr4r1F0WT1CzxSen26w_11_7"/>
      <w:bookmarkStart w:id="412" w:name="Tc_zdV48NXukk6AeHt7N7zG7Q_11_5"/>
      <w:bookmarkStart w:id="413" w:name="Tc_IwEo-5nuxkSo1cpX-kasgA_11_4"/>
      <w:bookmarkStart w:id="414" w:name="Tc_ldUgGRbejUGWFgOvAVzkzw_11_0"/>
      <w:bookmarkStart w:id="415" w:name="Tc_80n37kXIw0eq1UgVCwfdNw_10_19"/>
      <w:bookmarkStart w:id="416" w:name="Tc_f4sR7fN0T0OSu5e98yUJHg_10_13"/>
      <w:bookmarkStart w:id="417" w:name="Tc_0jjzz5CoGUq61YMwrqm65Q_10_10"/>
      <w:bookmarkStart w:id="418" w:name="Tc_4o1IwNrAP0ug6UwyBgGmvQ_10_8"/>
      <w:bookmarkStart w:id="419" w:name="Tc_tJ-T87C9g0WRBUhGjaSWow_10_5"/>
      <w:bookmarkStart w:id="420" w:name="Tc_6TrgQ_T_hkqYFVgI5JFrNQ_10_2"/>
      <w:bookmarkStart w:id="421" w:name="Tc_lvFqp4UY80q8cZYd-mfopA_10_0"/>
      <w:bookmarkStart w:id="422" w:name="Tc_T8YDTeo1_U2nACjoYqnzQw_9_16"/>
      <w:bookmarkStart w:id="423" w:name="Tc_7sqhG5I2SkKwf9QfJicjew_9_13"/>
      <w:bookmarkStart w:id="424" w:name="Tc_mt4fmvgIRkiUO9aLDZ3Evw_9_10"/>
      <w:bookmarkStart w:id="425" w:name="Tc_r6svJr1ShkaOrcOxmjx6Og_9_8"/>
      <w:bookmarkStart w:id="426" w:name="Tc_8LqEBQDSm0aWBKpUfiWbCg_9_5"/>
      <w:bookmarkStart w:id="427" w:name="Tc_3EbJaDBkzUy42XCpv_r4eg_9_2"/>
      <w:bookmarkStart w:id="428" w:name="Tc_Nf56CPB8kk2CGjZO-ttB0w_9_0"/>
      <w:bookmarkStart w:id="429" w:name="Tc_zz82Vet7FUOfM-UbY9wzjg_8_19"/>
      <w:bookmarkStart w:id="430" w:name="Tc_f_Hq6HVlsEWQ3bQDfTCY8w_8_16"/>
      <w:bookmarkStart w:id="431" w:name="Tc_FjrGwDQxZEuDBRJ-xlnUJg_8_13"/>
      <w:bookmarkStart w:id="432" w:name="Tc_HaMaFlenPEWhSNTKRNH8Jg_8_10"/>
      <w:bookmarkStart w:id="433" w:name="Tc_6AEO8FT2sEiajlBv8e5OwA_8_5"/>
      <w:bookmarkStart w:id="434" w:name="Tc_pqX2gGsPEU2rZsNy8a-VpQ_8_2"/>
      <w:bookmarkStart w:id="435" w:name="Tc_0KUUiL2huUqLQkCakMHUCQ_8_0"/>
      <w:bookmarkStart w:id="436" w:name="Tc_i8DRP-Tey0aCtAiik0iIcA_7_19"/>
      <w:bookmarkStart w:id="437" w:name="Tc_HZaOLgYR0kqo3MwuQRuZew_7_16"/>
      <w:bookmarkStart w:id="438" w:name="Tc_WBmKaAPD1Eafa2FR7k1LnA_7_5"/>
      <w:bookmarkStart w:id="439" w:name="Tc_ds3y4vIH60aB_KKcNVGAZw_7_0"/>
      <w:bookmarkStart w:id="440" w:name="Tc_E0gjtqV__kuD76ND84mf6Q_6_19"/>
      <w:bookmarkStart w:id="441" w:name="Tc_Nrynj2fCrUmjHb0uxNWYlA_6_16"/>
      <w:bookmarkStart w:id="442" w:name="Tc__S_05VdBdUu1nHj9_lJEyQ_6_13"/>
      <w:bookmarkStart w:id="443" w:name="Tc_UCmZvMfVhk6pGbb0MSqexA_6_10"/>
      <w:bookmarkStart w:id="444" w:name="Tc_LGWNSBWuTUeXDwBm-bx0jg_6_5"/>
      <w:bookmarkStart w:id="445" w:name="Tc_VV3nO8vpRk-nQLlyS5bnww_6_0"/>
      <w:bookmarkStart w:id="446" w:name="Tc_c74-viRq10-qBoiB_UVc2Q_5_21"/>
      <w:bookmarkStart w:id="447" w:name="Tc_YNNckUDe5ka1TbpnivXBpg_5_18"/>
      <w:bookmarkStart w:id="448" w:name="Tc_mdW3AEoDhkOq9BhQ3kokfg_5_15"/>
      <w:bookmarkStart w:id="449" w:name="Tc_QCacBzPy4kqIfsY1C_4agw_5_13"/>
      <w:bookmarkStart w:id="450" w:name="Tc_45_EmJtOPkOFlscCcqsbFQ_5_12"/>
      <w:bookmarkStart w:id="451" w:name="Tc_jGuAdhEh0EmY2TWKgzsxFw_5_10"/>
      <w:bookmarkStart w:id="452" w:name="Tc_xo0_KTg0dk6-Y_52hajQuw_5_7"/>
      <w:bookmarkStart w:id="453" w:name="Tc_3gV6fUGnmUyTGRR2sXtm_A_5_5"/>
      <w:bookmarkStart w:id="454" w:name="Tc_6Jg15HD7uUyGt7US8dN7Cw_5_4"/>
      <w:bookmarkStart w:id="455" w:name="Tc_phhc38R_Kk-ctYs52DFJMw_5_0"/>
      <w:bookmarkStart w:id="456" w:name="Tc_t22o2TIV-kSDE6PwYukrEA_4_21"/>
      <w:bookmarkStart w:id="457" w:name="Tc_hB-4EJOqqkCCLxxlX43N5g_4_18"/>
      <w:bookmarkStart w:id="458" w:name="Tc_JuOr-PT6fUCepi5ysO37xg_4_15"/>
      <w:bookmarkStart w:id="459" w:name="Tc_ALjbSa1o_0-6V414-QTRqA_4_12"/>
      <w:bookmarkStart w:id="460" w:name="Tc_dgrw_6OaB0ib96Y02hn4Xw_4_10"/>
      <w:bookmarkStart w:id="461" w:name="Tc_DtNmG6BI-EWBpGV_d9J2AA_4_7"/>
      <w:bookmarkStart w:id="462" w:name="Tc_XJst1EIQak6UKhsTY0oSAA_4_4"/>
      <w:bookmarkStart w:id="463" w:name="Tc_PqkHQVITrUiWqRnCRkqSaA_4_2"/>
      <w:bookmarkStart w:id="464" w:name="Tc_HvKK10TjR0OHJ1xCIibLhg_3_18"/>
      <w:bookmarkStart w:id="465" w:name="Tc_dj2krf7s9ESbcHAMAy3ItA_3_15"/>
      <w:bookmarkStart w:id="466" w:name="Tc_N9HCz3_S8U2dhEUtert80g_3_10"/>
      <w:bookmarkStart w:id="467" w:name="Tc_7-MWMra1zkyKwac8L3J3vw_3_7"/>
      <w:bookmarkStart w:id="468" w:name="Tc_30SmYdOb5kqyu0_CAmE0cw_3_2"/>
      <w:bookmarkStart w:id="469" w:name="Tc_eWnjhNfo3UikZNRYfBDhlQ_2_18"/>
      <w:bookmarkStart w:id="470" w:name="Tc_4FJ-WAOokEmbQLJHbgTzxg_2_7"/>
      <w:bookmarkStart w:id="471" w:name="Tc_o1cDYUtY60yct3m58yePKg_1_19"/>
      <w:bookmarkStart w:id="472" w:name="_ad37c6c9_f3b7_4124_b8e6_bc294e84dc30"/>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tbl>
      <w:tblPr>
        <w:tblW w:w="10660" w:type="dxa"/>
        <w:jc w:val="left"/>
        <w:tblInd w:w="0" w:type="dxa"/>
        <w:tblLayout w:type="fixed"/>
        <w:tblCellMar>
          <w:top w:w="0" w:type="dxa"/>
          <w:left w:w="0" w:type="dxa"/>
          <w:bottom w:w="0" w:type="dxa"/>
          <w:right w:w="0" w:type="dxa"/>
        </w:tblCellMar>
      </w:tblPr>
      <w:tblGrid>
        <w:gridCol w:w="1351"/>
        <w:gridCol w:w="346"/>
        <w:gridCol w:w="586"/>
        <w:gridCol w:w="346"/>
        <w:gridCol w:w="261"/>
        <w:gridCol w:w="430"/>
        <w:gridCol w:w="346"/>
        <w:gridCol w:w="211"/>
        <w:gridCol w:w="781"/>
        <w:gridCol w:w="346"/>
        <w:gridCol w:w="586"/>
        <w:gridCol w:w="286"/>
        <w:gridCol w:w="211"/>
        <w:gridCol w:w="571"/>
        <w:gridCol w:w="346"/>
        <w:gridCol w:w="211"/>
        <w:gridCol w:w="841"/>
        <w:gridCol w:w="346"/>
        <w:gridCol w:w="211"/>
        <w:gridCol w:w="1051"/>
        <w:gridCol w:w="109"/>
        <w:gridCol w:w="211"/>
        <w:gridCol w:w="67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857885" cy="175260"/>
                      <wp:effectExtent l="0" t="0" r="0" b="0"/>
                      <wp:wrapNone/>
                      <wp:docPr id="42" name="Frame41"/>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72110" cy="175260"/>
                      <wp:effectExtent l="0" t="0" r="0" b="0"/>
                      <wp:wrapNone/>
                      <wp:docPr id="44" name="Frame4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65735" cy="175260"/>
                      <wp:effectExtent l="0" t="0" r="0" b="0"/>
                      <wp:wrapNone/>
                      <wp:docPr id="46" name="Frame4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73050" cy="175260"/>
                      <wp:effectExtent l="0" t="0" r="0" b="0"/>
                      <wp:wrapNone/>
                      <wp:docPr id="47" name="Frame46"/>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95935" cy="175260"/>
                      <wp:effectExtent l="0" t="0" r="0" b="0"/>
                      <wp:wrapNone/>
                      <wp:docPr id="50" name="Frame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72110" cy="175260"/>
                      <wp:effectExtent l="0" t="0" r="0" b="0"/>
                      <wp:wrapNone/>
                      <wp:docPr id="52" name="Frame5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81610" cy="175260"/>
                      <wp:effectExtent l="0" t="0" r="0" b="0"/>
                      <wp:wrapNone/>
                      <wp:docPr id="53" name="Frame5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62585" cy="175260"/>
                      <wp:effectExtent l="0" t="0" r="0" b="0"/>
                      <wp:wrapNone/>
                      <wp:docPr id="55" name="Frame5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34035" cy="175260"/>
                      <wp:effectExtent l="0" t="0" r="0" b="0"/>
                      <wp:wrapNone/>
                      <wp:docPr id="58" name="Frame5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7385" cy="175260"/>
                      <wp:effectExtent l="0" t="0" r="0" b="0"/>
                      <wp:wrapNone/>
                      <wp:docPr id="61" name="Frame6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29260" cy="175260"/>
                      <wp:effectExtent l="0" t="0" r="0" b="0"/>
                      <wp:wrapNone/>
                      <wp:docPr id="64" name="Frame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23"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23"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654"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Common Stock</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to be Issued</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86" w:type="dxa"/>
            <w:tcBorders/>
            <w:vAlign w:val="center"/>
          </w:tcPr>
          <w:p>
            <w:pPr>
              <w:pStyle w:val="TableContents"/>
              <w:bidi w:val="0"/>
              <w:spacing w:before="0" w:after="0"/>
              <w:ind w:left="0" w:right="0" w:hanging="0"/>
              <w:jc w:val="left"/>
              <w:rPr/>
            </w:pPr>
            <w:r>
              <w:rPr/>
              <w:t>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2025</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4,936</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172,425</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ATM</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warrants in public offering</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3,421</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March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8,132</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174,692</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1,280</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73" w:name="_74607d02_386d_4434_8672_f1c3a0bd20d3"/>
      <w:bookmarkEnd w:id="473"/>
      <w:r>
        <w:rPr>
          <w:rFonts w:ascii="Times New Roman;Times;serif" w:hAnsi="Times New Roman;Times;serif"/>
          <w:b/>
          <w:sz w:val="20"/>
        </w:rPr>
        <w:t>Solana Company</w:t>
      </w:r>
    </w:p>
    <w:p>
      <w:pPr>
        <w:pStyle w:val="TextBody"/>
        <w:bidi w:val="0"/>
        <w:spacing w:before="0" w:after="0"/>
        <w:ind w:left="0" w:right="0" w:hanging="0"/>
        <w:jc w:val="left"/>
        <w:rPr>
          <w:rFonts w:ascii="Times New Roman;Times;serif" w:hAnsi="Times New Roman;Times;serif"/>
          <w:b/>
          <w:sz w:val="20"/>
        </w:rPr>
      </w:pPr>
      <w:bookmarkStart w:id="474" w:name="ConsolidatedStatementsofCashFlows"/>
      <w:bookmarkEnd w:id="474"/>
      <w:r>
        <w:rPr>
          <w:rFonts w:ascii="Times New Roman;Times;serif" w:hAnsi="Times New Roman;Times;serif"/>
          <w:b/>
          <w:sz w:val="20"/>
        </w:rPr>
        <w:t>Unaudited Condensed Consolidated Statements of 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w:t>
      </w:r>
    </w:p>
    <w:p>
      <w:pPr>
        <w:pStyle w:val="Normal"/>
        <w:bidi w:val="0"/>
        <w:spacing w:before="0" w:after="0"/>
        <w:jc w:val="left"/>
        <w:rPr>
          <w:sz w:val="4"/>
          <w:szCs w:val="4"/>
        </w:rPr>
      </w:pPr>
      <w:r>
        <w:rPr>
          <w:sz w:val="4"/>
          <w:szCs w:val="4"/>
        </w:rPr>
      </w:r>
      <w:bookmarkStart w:id="475" w:name="Tc_GRKXOnVRG0Gh00LHaNcfHg_37_5"/>
      <w:bookmarkStart w:id="476" w:name="Tc_FaHm2prlFUGyRaD2inHyog_37_3"/>
      <w:bookmarkStart w:id="477" w:name="Tc_9UMVC3zw1Eyr7GYaWYN24g_37_2"/>
      <w:bookmarkStart w:id="478" w:name="Tc_XJCsIZyTB0yNRux7gaUbQg_37_0"/>
      <w:bookmarkStart w:id="479" w:name="Tc_-zOW8-8P4Uy81-DdJGddFw_36_5"/>
      <w:bookmarkStart w:id="480" w:name="Tc_kTHqnexOnk2jcRiRn7KpsA_36_3"/>
      <w:bookmarkStart w:id="481" w:name="Tc_GcYKqDCaAE-A-c5ijfUzaQ_36_2"/>
      <w:bookmarkStart w:id="482" w:name="Tc_mGlf45rgE0-qBHLeS-M6TA_36_0"/>
      <w:bookmarkStart w:id="483" w:name="Tc_KrXz_hsy6EGVMe1CKa3lVg_35_6"/>
      <w:bookmarkStart w:id="484" w:name="Tc_IdMmSRXSG0u3zBIrJeWDXw_35_5"/>
      <w:bookmarkStart w:id="485" w:name="Tc_v_-j6aqQv0egXS89K7RlfQ_35_2"/>
      <w:bookmarkStart w:id="486" w:name="Tc_SBOWfXpqNEWeRCJWDzso0g_35_0"/>
      <w:bookmarkStart w:id="487" w:name="Tc_S2kXJEDFKUKXfU09k3_UOA_34_6"/>
      <w:bookmarkStart w:id="488" w:name="Tc_hIryfjog2EKEcSoBB868gA_34_5"/>
      <w:bookmarkStart w:id="489" w:name="Tc_oikWAgz5T0GtgNPXN3Ndmg_34_2"/>
      <w:bookmarkStart w:id="490" w:name="Tc_zcTCWMqzTkqFZBrQL0xgrw_34_0"/>
      <w:bookmarkStart w:id="491" w:name="Tc_XN6hO7SD_Uiem5Qy6Dkgbw_33_0"/>
      <w:bookmarkStart w:id="492" w:name="Tc_au4-gsOlhky0kk3d9gXgeg_32_0"/>
      <w:bookmarkStart w:id="493" w:name="Tc_Xlzg5lbK-UKgWbtJMZNpBw_31_5"/>
      <w:bookmarkStart w:id="494" w:name="Tc_YJmDigFEM06ZP9QUKIptdw_31_2"/>
      <w:bookmarkStart w:id="495" w:name="Tc_rJOcOths-0y8N7eskF5vYg_31_0"/>
      <w:bookmarkStart w:id="496" w:name="Tc_zLaSQpEk2UWlYU9nKzm2EQ_30_0"/>
      <w:bookmarkStart w:id="497" w:name="Tc_-nw97rdZYUygIE7zkKMToQ_29_0"/>
      <w:bookmarkStart w:id="498" w:name="Tc_vZvtcFz450atfla7Exe57A_28_0"/>
      <w:bookmarkStart w:id="499" w:name="Tc_du9LjQGDgkidMq6xAwDn2w_27_3"/>
      <w:bookmarkStart w:id="500" w:name="Tc__m6l3pGlok6j9vogg8yT6Q_27_0"/>
      <w:bookmarkStart w:id="501" w:name="Tc_eqRO36Avrkir7zrgD2HJFA_26_6"/>
      <w:bookmarkStart w:id="502" w:name="Tc_TDLoUCMas0eYuxwlMkyZcQ_26_0"/>
      <w:bookmarkStart w:id="503" w:name="Tc_pF_c9K8V00qg0cgUb5kZ_Q_25_3"/>
      <w:bookmarkStart w:id="504" w:name="Tc_HShKsmOZfECiRTtCS6Ia8A_25_0"/>
      <w:bookmarkStart w:id="505" w:name="Tc_8U_YyGXw0kCgdi7d1nhmgw_24_3"/>
      <w:bookmarkStart w:id="506" w:name="Tc_LyUD91IRzkOcirNgPpGYYg_24_0"/>
      <w:bookmarkStart w:id="507" w:name="Tc_EO-d2UWkCU2vetTKxTN1zA_23_0"/>
      <w:bookmarkStart w:id="508" w:name="Tc_AWOrSZ1pSkGNJp0raj80QQ_22_6"/>
      <w:bookmarkStart w:id="509" w:name="Tc_VDpUo9hCTkW9Yfz6xRJxoQ_22_0"/>
      <w:bookmarkStart w:id="510" w:name="Tc_TXzYAhHLaUGmlRrl-gd67Q_21_6"/>
      <w:bookmarkStart w:id="511" w:name="Tc_l7zqbRgUDEKBs19olBXfqg_21_0"/>
      <w:bookmarkStart w:id="512" w:name="Tc_NySsUHj8rEefLHNzCEggZQ_20_0"/>
      <w:bookmarkStart w:id="513" w:name="Tc_wJPXx6gUBkmTWLkFMh0gyA_19_0"/>
      <w:bookmarkStart w:id="514" w:name="Tc_So61iFIShEaLIWixQncc_A_18_3"/>
      <w:bookmarkStart w:id="515" w:name="Tc_T2DU7ilJz0W9rui7DBTHIg_18_0"/>
      <w:bookmarkStart w:id="516" w:name="Tc_74pS4xomE0SpaT1LvW2EHw_17_0"/>
      <w:bookmarkStart w:id="517" w:name="Tc_X83-ffy5QE6y4-Y7rez1cA_16_0"/>
      <w:bookmarkStart w:id="518" w:name="Tc_Ux74zn_IKEywsIf5BHbWYw_15_0"/>
      <w:bookmarkStart w:id="519" w:name="Tc_6uptcZ-v6kykX0IxFEzXjw_14_0"/>
      <w:bookmarkStart w:id="520" w:name="Tc_-R2uxaheLEis1UynzxOatQ_13_0"/>
      <w:bookmarkStart w:id="521" w:name="Tc_ZFy2TgEKiE-q7ltzvm-6Rw_12_0"/>
      <w:bookmarkStart w:id="522" w:name="Tc_U4_9VcpAnUmxBz-oBLALmA_11_6"/>
      <w:bookmarkStart w:id="523" w:name="Tc_yegx5einOUe-JFuGgIPxzw_11_0"/>
      <w:bookmarkStart w:id="524" w:name="Tc_DkwyofcAIk6TlZMs6O8PNw_10_6"/>
      <w:bookmarkStart w:id="525" w:name="Tc_bWkFiKQcFUqXuLZci9QE0g_10_0"/>
      <w:bookmarkStart w:id="526" w:name="Tc_Nybar854bEKhqSpdQdFKjw_9_6"/>
      <w:bookmarkStart w:id="527" w:name="Tc_u3xDKNJBX0eqefCTzo7YAg_9_0"/>
      <w:bookmarkStart w:id="528" w:name="Tc_jbrKY1wdWUacwG8UELvrlA_8_3"/>
      <w:bookmarkStart w:id="529" w:name="Tc_fPz_H0iwOEaPzeDXi1I1DQ_8_0"/>
      <w:bookmarkStart w:id="530" w:name="Tc_IJgX7IGglkWZi_cC6ACkyA_7_6"/>
      <w:bookmarkStart w:id="531" w:name="Tc_r0iEkOaQF0yaVuqelmAi9w_7_0"/>
      <w:bookmarkStart w:id="532" w:name="Tc_8ux5khG3a0ioEuwPNhcfiA_6_0"/>
      <w:bookmarkStart w:id="533" w:name="Tc_t78rE3XQRkCyDcYQ9SAx-Q_5_5"/>
      <w:bookmarkStart w:id="534" w:name="Tc_baxRFgVOFEq0_h9Ic2eHUA_5_2"/>
      <w:bookmarkStart w:id="535" w:name="Tc_CZOfQI2qqUOjIi1A0UohKA_5_0"/>
      <w:bookmarkStart w:id="536" w:name="Tc_WEzShZR2qUSywQoFOphhJA_4_0"/>
      <w:bookmarkStart w:id="537" w:name="Tc_P3TnIFkBp0uFS-3whvKWKA_3_5"/>
      <w:bookmarkStart w:id="538" w:name="Tc_5nXHbDv8yEqkoiQE5N3L6g_3_2"/>
      <w:bookmarkStart w:id="539" w:name="Tc_AbRSuLBRlUC4F2vwNv6avw_2_2"/>
      <w:bookmarkStart w:id="540" w:name="Tc_CySAlJYekUmqUmYFKWyVKA_1_2"/>
      <w:bookmarkStart w:id="541" w:name="_f39bc365_c84b_477c_930f_0427cc694de1"/>
      <w:bookmarkStart w:id="542" w:name="Tc_GRKXOnVRG0Gh00LHaNcfHg_37_5"/>
      <w:bookmarkStart w:id="543" w:name="Tc_FaHm2prlFUGyRaD2inHyog_37_3"/>
      <w:bookmarkStart w:id="544" w:name="Tc_9UMVC3zw1Eyr7GYaWYN24g_37_2"/>
      <w:bookmarkStart w:id="545" w:name="Tc_XJCsIZyTB0yNRux7gaUbQg_37_0"/>
      <w:bookmarkStart w:id="546" w:name="Tc_-zOW8-8P4Uy81-DdJGddFw_36_5"/>
      <w:bookmarkStart w:id="547" w:name="Tc_kTHqnexOnk2jcRiRn7KpsA_36_3"/>
      <w:bookmarkStart w:id="548" w:name="Tc_GcYKqDCaAE-A-c5ijfUzaQ_36_2"/>
      <w:bookmarkStart w:id="549" w:name="Tc_mGlf45rgE0-qBHLeS-M6TA_36_0"/>
      <w:bookmarkStart w:id="550" w:name="Tc_KrXz_hsy6EGVMe1CKa3lVg_35_6"/>
      <w:bookmarkStart w:id="551" w:name="Tc_IdMmSRXSG0u3zBIrJeWDXw_35_5"/>
      <w:bookmarkStart w:id="552" w:name="Tc_v_-j6aqQv0egXS89K7RlfQ_35_2"/>
      <w:bookmarkStart w:id="553" w:name="Tc_SBOWfXpqNEWeRCJWDzso0g_35_0"/>
      <w:bookmarkStart w:id="554" w:name="Tc_S2kXJEDFKUKXfU09k3_UOA_34_6"/>
      <w:bookmarkStart w:id="555" w:name="Tc_hIryfjog2EKEcSoBB868gA_34_5"/>
      <w:bookmarkStart w:id="556" w:name="Tc_oikWAgz5T0GtgNPXN3Ndmg_34_2"/>
      <w:bookmarkStart w:id="557" w:name="Tc_zcTCWMqzTkqFZBrQL0xgrw_34_0"/>
      <w:bookmarkStart w:id="558" w:name="Tc_XN6hO7SD_Uiem5Qy6Dkgbw_33_0"/>
      <w:bookmarkStart w:id="559" w:name="Tc_au4-gsOlhky0kk3d9gXgeg_32_0"/>
      <w:bookmarkStart w:id="560" w:name="Tc_Xlzg5lbK-UKgWbtJMZNpBw_31_5"/>
      <w:bookmarkStart w:id="561" w:name="Tc_YJmDigFEM06ZP9QUKIptdw_31_2"/>
      <w:bookmarkStart w:id="562" w:name="Tc_rJOcOths-0y8N7eskF5vYg_31_0"/>
      <w:bookmarkStart w:id="563" w:name="Tc_zLaSQpEk2UWlYU9nKzm2EQ_30_0"/>
      <w:bookmarkStart w:id="564" w:name="Tc_-nw97rdZYUygIE7zkKMToQ_29_0"/>
      <w:bookmarkStart w:id="565" w:name="Tc_vZvtcFz450atfla7Exe57A_28_0"/>
      <w:bookmarkStart w:id="566" w:name="Tc_du9LjQGDgkidMq6xAwDn2w_27_3"/>
      <w:bookmarkStart w:id="567" w:name="Tc__m6l3pGlok6j9vogg8yT6Q_27_0"/>
      <w:bookmarkStart w:id="568" w:name="Tc_eqRO36Avrkir7zrgD2HJFA_26_6"/>
      <w:bookmarkStart w:id="569" w:name="Tc_TDLoUCMas0eYuxwlMkyZcQ_26_0"/>
      <w:bookmarkStart w:id="570" w:name="Tc_pF_c9K8V00qg0cgUb5kZ_Q_25_3"/>
      <w:bookmarkStart w:id="571" w:name="Tc_HShKsmOZfECiRTtCS6Ia8A_25_0"/>
      <w:bookmarkStart w:id="572" w:name="Tc_8U_YyGXw0kCgdi7d1nhmgw_24_3"/>
      <w:bookmarkStart w:id="573" w:name="Tc_LyUD91IRzkOcirNgPpGYYg_24_0"/>
      <w:bookmarkStart w:id="574" w:name="Tc_EO-d2UWkCU2vetTKxTN1zA_23_0"/>
      <w:bookmarkStart w:id="575" w:name="Tc_AWOrSZ1pSkGNJp0raj80QQ_22_6"/>
      <w:bookmarkStart w:id="576" w:name="Tc_VDpUo9hCTkW9Yfz6xRJxoQ_22_0"/>
      <w:bookmarkStart w:id="577" w:name="Tc_TXzYAhHLaUGmlRrl-gd67Q_21_6"/>
      <w:bookmarkStart w:id="578" w:name="Tc_l7zqbRgUDEKBs19olBXfqg_21_0"/>
      <w:bookmarkStart w:id="579" w:name="Tc_NySsUHj8rEefLHNzCEggZQ_20_0"/>
      <w:bookmarkStart w:id="580" w:name="Tc_wJPXx6gUBkmTWLkFMh0gyA_19_0"/>
      <w:bookmarkStart w:id="581" w:name="Tc_So61iFIShEaLIWixQncc_A_18_3"/>
      <w:bookmarkStart w:id="582" w:name="Tc_T2DU7ilJz0W9rui7DBTHIg_18_0"/>
      <w:bookmarkStart w:id="583" w:name="Tc_74pS4xomE0SpaT1LvW2EHw_17_0"/>
      <w:bookmarkStart w:id="584" w:name="Tc_X83-ffy5QE6y4-Y7rez1cA_16_0"/>
      <w:bookmarkStart w:id="585" w:name="Tc_Ux74zn_IKEywsIf5BHbWYw_15_0"/>
      <w:bookmarkStart w:id="586" w:name="Tc_6uptcZ-v6kykX0IxFEzXjw_14_0"/>
      <w:bookmarkStart w:id="587" w:name="Tc_-R2uxaheLEis1UynzxOatQ_13_0"/>
      <w:bookmarkStart w:id="588" w:name="Tc_ZFy2TgEKiE-q7ltzvm-6Rw_12_0"/>
      <w:bookmarkStart w:id="589" w:name="Tc_U4_9VcpAnUmxBz-oBLALmA_11_6"/>
      <w:bookmarkStart w:id="590" w:name="Tc_yegx5einOUe-JFuGgIPxzw_11_0"/>
      <w:bookmarkStart w:id="591" w:name="Tc_DkwyofcAIk6TlZMs6O8PNw_10_6"/>
      <w:bookmarkStart w:id="592" w:name="Tc_bWkFiKQcFUqXuLZci9QE0g_10_0"/>
      <w:bookmarkStart w:id="593" w:name="Tc_Nybar854bEKhqSpdQdFKjw_9_6"/>
      <w:bookmarkStart w:id="594" w:name="Tc_u3xDKNJBX0eqefCTzo7YAg_9_0"/>
      <w:bookmarkStart w:id="595" w:name="Tc_jbrKY1wdWUacwG8UELvrlA_8_3"/>
      <w:bookmarkStart w:id="596" w:name="Tc_fPz_H0iwOEaPzeDXi1I1DQ_8_0"/>
      <w:bookmarkStart w:id="597" w:name="Tc_IJgX7IGglkWZi_cC6ACkyA_7_6"/>
      <w:bookmarkStart w:id="598" w:name="Tc_r0iEkOaQF0yaVuqelmAi9w_7_0"/>
      <w:bookmarkStart w:id="599" w:name="Tc_8ux5khG3a0ioEuwPNhcfiA_6_0"/>
      <w:bookmarkStart w:id="600" w:name="Tc_t78rE3XQRkCyDcYQ9SAx-Q_5_5"/>
      <w:bookmarkStart w:id="601" w:name="Tc_baxRFgVOFEq0_h9Ic2eHUA_5_2"/>
      <w:bookmarkStart w:id="602" w:name="Tc_CZOfQI2qqUOjIi1A0UohKA_5_0"/>
      <w:bookmarkStart w:id="603" w:name="Tc_WEzShZR2qUSywQoFOphhJA_4_0"/>
      <w:bookmarkStart w:id="604" w:name="Tc_P3TnIFkBp0uFS-3whvKWKA_3_5"/>
      <w:bookmarkStart w:id="605" w:name="Tc_5nXHbDv8yEqkoiQE5N3L6g_3_2"/>
      <w:bookmarkStart w:id="606" w:name="Tc_AbRSuLBRlUC4F2vwNv6avw_2_2"/>
      <w:bookmarkStart w:id="607" w:name="Tc_CySAlJYekUmqUmYFKWyVKA_1_2"/>
      <w:bookmarkStart w:id="608" w:name="_f39bc365_c84b_477c_930f_0427cc694de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tbl>
      <w:tblPr>
        <w:tblW w:w="10205" w:type="dxa"/>
        <w:jc w:val="left"/>
        <w:tblInd w:w="0" w:type="dxa"/>
        <w:tblLayout w:type="fixed"/>
        <w:tblCellMar>
          <w:top w:w="0" w:type="dxa"/>
          <w:left w:w="0" w:type="dxa"/>
          <w:bottom w:w="0" w:type="dxa"/>
          <w:right w:w="0" w:type="dxa"/>
        </w:tblCellMar>
      </w:tblPr>
      <w:tblGrid>
        <w:gridCol w:w="7563"/>
        <w:gridCol w:w="346"/>
        <w:gridCol w:w="211"/>
        <w:gridCol w:w="793"/>
        <w:gridCol w:w="346"/>
        <w:gridCol w:w="211"/>
        <w:gridCol w:w="735"/>
      </w:tblGrid>
      <w:tr>
        <w:trPr/>
        <w:tc>
          <w:tcPr>
            <w:tcW w:w="7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802505" cy="175260"/>
                      <wp:effectExtent l="0" t="0" r="0" b="0"/>
                      <wp:wrapNone/>
                      <wp:docPr id="65" name="Frame64"/>
                      <a:graphic xmlns:a="http://schemas.openxmlformats.org/drawingml/2006/main">
                        <a:graphicData uri="http://schemas.microsoft.com/office/word/2010/wordprocessingShape">
                          <wps:wsp>
                            <wps:cNvSpPr txBox="1"/>
                            <wps:spPr>
                              <a:xfrm>
                                <a:off x="0" y="0"/>
                                <a:ext cx="4802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03555" cy="175260"/>
                      <wp:effectExtent l="0" t="0" r="0" b="0"/>
                      <wp:wrapNone/>
                      <wp:docPr id="68" name="Frame67"/>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66725" cy="175260"/>
                      <wp:effectExtent l="0" t="0" r="0" b="0"/>
                      <wp:wrapNone/>
                      <wp:docPr id="71" name="Frame70"/>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9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5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5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  ​</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Staking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fair value of digital assets and digital assets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fair value of digital assets fund 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loss on sale of digital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pPr>
            <w:r>
              <w:rPr/>
              <w:t> </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(3,536)</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pPr>
            <w:r>
              <w:rPr/>
              <w:t>  ​</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  ​</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issuances of common stock in ATM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3,733</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3,557</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pPr>
            <w:r>
              <w:rPr/>
              <w:t>  ​</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investing and financing transactions: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 transferred from digital assets receivable to digital assets upon restricted SOL unlock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 distributed from digital asset fund investment to digital assets upon restricted SOL unlock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pPr>
            <w:r>
              <w:rPr/>
              <w:t>—</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offering costs reclassified to equity upon public offering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costs included in 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240"/>
        <w:ind w:left="0" w:right="0" w:hanging="0"/>
        <w:jc w:val="left"/>
        <w:rPr/>
      </w:pPr>
      <w:bookmarkStart w:id="609" w:name="_4bc4caa1_0716_4b99_99eb_d16c33481257"/>
      <w:bookmarkEnd w:id="609"/>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Solana Company</w:t>
      </w:r>
    </w:p>
    <w:p>
      <w:pPr>
        <w:pStyle w:val="TextBody"/>
        <w:bidi w:val="0"/>
        <w:spacing w:before="0" w:after="240"/>
        <w:ind w:left="0" w:right="0" w:hanging="0"/>
        <w:jc w:val="left"/>
        <w:rPr>
          <w:rFonts w:ascii="Times New Roman;Times;serif" w:hAnsi="Times New Roman;Times;serif"/>
          <w:b/>
          <w:sz w:val="20"/>
        </w:rPr>
      </w:pPr>
      <w:bookmarkStart w:id="610" w:name="NotestoUnauditedCondensedConsolidatedFin"/>
      <w:bookmarkEnd w:id="610"/>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OVERVIEW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Background and Nature of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Solana Company (the “Company” or “we”) is a listed digital asset treasury (“DAT”) dedicated to acquiring and holding Solana tokens (“SOL”). Solana Company’s DAT objective is to maximize SOL per share through strategic use of capital markets and on-chain opportunities, offering public market investors direct exposure to Solana.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Management’s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of this Quarterly Report on Form 10-Q (“10-Q”) have been prepared assuming the Company will continue as a going concern, which contemplates, among other things, the realization of assets and satisfaction of liabilities in the ordinary course of business. The Company had an accumulated deficit of $312.4 million and working capital of $25.0 million at March 31, 2026, incurred a net loss of $99.8 million and used $4.8 million of cash in operating activities during the three months ended March 31, 2026. The Company had a cash balance of approximately $4.4 million at March 31, 2026. Based on our forecasted cash flows, the Company believes its existing cash balance and working capital will be sufficient to meet our liquidity needs through at least May 2027.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financial condition is substantially dependent on the market price and liquidity of SOL, which are subject to extreme volatility and limited trading venues. Substantially all of the Company’s treasury assets are concentrated in SOL, the native cryptocurrency of the Solana protocol, or exposed to SOL indirectly. SOL has experienced significant price volatility, and the Company’s financial results and carrying value of its digital assets, digital assets, restricted, digital assets receivable and digital asset fund investment will fluctuate materially based on SOL price movements. The Company depends on the continued success and adoption of the Solana protocol for the value of its treasury holdings. While the Company plans to hold its digital assets as part of a long-term treasury strategy, and deploy its assets for productive purposes including staking, the Company’s management has the discretion and ability to sell its digital assets as needed to cover liquidity obligations. Our ability to liquidate SOL to meet our obligations is subject to the liquidity of SOL and the SOL market price and there is no guarantee that we will be able to liquidate SOL at all or at terms that are preferrable to Company.</w:t>
      </w:r>
    </w:p>
    <w:p>
      <w:pPr>
        <w:pStyle w:val="TextBody"/>
        <w:pBdr/>
        <w:bidi w:val="0"/>
        <w:spacing w:before="0" w:after="0"/>
        <w:ind w:left="0" w:right="0" w:hanging="0"/>
        <w:jc w:val="left"/>
        <w:rPr>
          <w:rFonts w:ascii="Times New Roman;Times;serif" w:hAnsi="Times New Roman;Times;serif"/>
          <w:b/>
          <w:color w:val="212529"/>
          <w:sz w:val="20"/>
          <w:shd w:fill="FFFFFF" w:val="clear"/>
        </w:rPr>
      </w:pPr>
      <w:r>
        <w:rPr>
          <w:rFonts w:ascii="Times New Roman;Times;serif" w:hAnsi="Times New Roman;Times;serif"/>
          <w:b/>
          <w:color w:val="212529"/>
          <w:sz w:val="20"/>
          <w:shd w:fill="FFFFFF" w:val="clear"/>
        </w:rPr>
        <w:t>2.    SUMMARY OF SIGNIFICANT ACCOUNTING POLICIES</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accounting principles generally accepted in the United States of America (“U.S. GAAP”) for interim financial information and with the instructions to Form 10-Q and Article 8 of Regulation S-X. Accordingly, they do not include all of the information and disclosures required by U.S. GAAP for complete financial statements. In the opinion of management, such statements include all adjustments (consisting only of normal recurring items) which are considered necessary for a fair presentation of the unaudited condensed consolidated financial statements of the Company as of March 31, 2026 and for the three months ended March 31, 2026 and 2025. The results of operations for the three months ended March 31, 2026 are not necessarily indicative of the operating results for the full year ending December 31, 2026 or any other period. These unaudited condensed consolidated financial statements should be read in conjunction with the audited financial statements and related disclosures of the Company as of December 31, 2025 and for the year then ended, which were included in the Company’s Annual Report on Form 10-K for the year ended December 31, 2025, filed with the Securities and Exchange Commission (“SEC”) on March 31, 2026 (the “2025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Accounting Estimates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preparation of the Company’s condensed consolidated financial statements in conformity with GAAP requires management to make estimates and assumptions that affect the reported amounts of assets and liabilities at the date of the financial statements and the reported amounts of revenues and expenses during the reporting periods. Actual results could differ from those estimates and assumptions. Within this report, certain dollar amounts and percentages have been rounded to their approximate values.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Reclassifications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amounts recorded in the prior period consolidated financial statements have been reclassified to conform to the current period financial statement presentation. These reclassifications had no effect on previously reported operating results.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Reverse Stock Splits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21, 2025, at the annual meeting of stockholders the stockholders of the Company approved a potential reverse stock split at a ratio of 1-to-</w:t>
      </w:r>
      <w:r>
        <w:rPr>
          <w:rFonts w:ascii="Times New Roman;Times;serif" w:hAnsi="Times New Roman;Times;serif"/>
          <w:b w:val="false"/>
          <w:i w:val="false"/>
          <w:caps w:val="false"/>
          <w:smallCaps w:val="false"/>
          <w:sz w:val="20"/>
        </w:rPr>
        <w:t>2</w:t>
      </w:r>
      <w:r>
        <w:rPr>
          <w:rFonts w:ascii="Times New Roman;Times;serif" w:hAnsi="Times New Roman;Times;serif"/>
          <w:sz w:val="20"/>
        </w:rPr>
        <w:t> to 1-to-</w:t>
      </w:r>
      <w:r>
        <w:rPr>
          <w:rFonts w:ascii="Times New Roman;Times;serif" w:hAnsi="Times New Roman;Times;serif"/>
          <w:b w:val="false"/>
          <w:i w:val="false"/>
          <w:caps w:val="false"/>
          <w:smallCaps w:val="false"/>
          <w:sz w:val="20"/>
        </w:rPr>
        <w:t>30</w:t>
      </w:r>
      <w:r>
        <w:rPr>
          <w:rFonts w:ascii="Times New Roman;Times;serif" w:hAnsi="Times New Roman;Times;serif"/>
          <w:sz w:val="20"/>
        </w:rPr>
        <w:t>. The Board subsequently approved a reverse stock split of 1-for-</w:t>
      </w:r>
      <w:r>
        <w:rPr>
          <w:rFonts w:ascii="Times New Roman;Times;serif" w:hAnsi="Times New Roman;Times;serif"/>
          <w:b w:val="false"/>
          <w:i w:val="false"/>
          <w:caps w:val="false"/>
          <w:smallCaps w:val="false"/>
          <w:sz w:val="20"/>
        </w:rPr>
        <w:t>15</w:t>
      </w:r>
      <w:r>
        <w:rPr>
          <w:rFonts w:ascii="Times New Roman;Times;serif" w:hAnsi="Times New Roman;Times;serif"/>
          <w:sz w:val="20"/>
        </w:rPr>
        <w:t>, which became effective on May 2, 2025 (the “May 2025 Reverse Stock Split”).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23, 2025, at a special meeting of stockholders the stockholders of the Company approved a potential reverse stock split at a ratio of 1-to-</w:t>
      </w:r>
      <w:r>
        <w:rPr>
          <w:rFonts w:ascii="Times New Roman;Times;serif" w:hAnsi="Times New Roman;Times;serif"/>
          <w:b w:val="false"/>
          <w:i w:val="false"/>
          <w:caps w:val="false"/>
          <w:smallCaps w:val="false"/>
          <w:sz w:val="20"/>
        </w:rPr>
        <w:t>2</w:t>
      </w:r>
      <w:r>
        <w:rPr>
          <w:rFonts w:ascii="Times New Roman;Times;serif" w:hAnsi="Times New Roman;Times;serif"/>
          <w:sz w:val="20"/>
        </w:rPr>
        <w:t> to 1-to-</w:t>
      </w:r>
      <w:r>
        <w:rPr>
          <w:rFonts w:ascii="Times New Roman;Times;serif" w:hAnsi="Times New Roman;Times;serif"/>
          <w:b w:val="false"/>
          <w:i w:val="false"/>
          <w:caps w:val="false"/>
          <w:smallCaps w:val="false"/>
          <w:sz w:val="20"/>
        </w:rPr>
        <w:t>250</w:t>
      </w:r>
      <w:r>
        <w:rPr>
          <w:rFonts w:ascii="Times New Roman;Times;serif" w:hAnsi="Times New Roman;Times;serif"/>
          <w:sz w:val="20"/>
        </w:rPr>
        <w:t>. The Board subsequently approved a reverse stock split of 1-for-</w:t>
      </w:r>
      <w:r>
        <w:rPr>
          <w:rFonts w:ascii="Times New Roman;Times;serif" w:hAnsi="Times New Roman;Times;serif"/>
          <w:b w:val="false"/>
          <w:i w:val="false"/>
          <w:caps w:val="false"/>
          <w:smallCaps w:val="false"/>
          <w:sz w:val="20"/>
        </w:rPr>
        <w:t>50</w:t>
      </w:r>
      <w:r>
        <w:rPr>
          <w:rFonts w:ascii="Times New Roman;Times;serif" w:hAnsi="Times New Roman;Times;serif"/>
          <w:sz w:val="20"/>
        </w:rPr>
        <w:t>, which became effective on July 1, 2025 (the “July 2025 Reverse Stock Split” and together with the May 2025 Reverse Stock Split, the “Reverse Stock Splits”).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issued and outstanding Class A common stock and per share amounts contained in the consolidated financial statements have been retroactively adjusted to reflect the Reverse Stock Splits for all periods presented. In addition, a proportionate adjustment was made to the per share exercise price and the number of shares issuable upon the exercise of all outstanding stock options and warrants to purchase shares of Class A common stock. A proportionate adjustment was also made to the number of shares reserved for issuance pursuant to the Company’s equity incentive compensation plans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reflect the Reverse Stock Splits. Any fraction of a share of Class A common stock that was created as a result of the Reverse Stock Splits was rounded down to the next whole share and stockholders received cash settlement equal to the market value of the fractional share, determined by multiplying such fraction by the closing sales price of the Company’s Class A common stock as reported on Nasdaq on the last trading day before the Reverse Stock Splits effective dates. The authorized shares and par value of the Class A common stock and preferred stock were not adjusted as a result of the Reverse Stock Splits.</w:t>
      </w:r>
    </w:p>
    <w:p>
      <w:pPr>
        <w:pStyle w:val="TextBody"/>
        <w:bidi w:val="0"/>
        <w:spacing w:before="0" w:after="240"/>
        <w:ind w:left="0" w:right="0" w:hanging="0"/>
        <w:jc w:val="both"/>
        <w:rPr>
          <w:rFonts w:ascii="Times New Roman;Times;serif" w:hAnsi="Times New Roman;Times;serif"/>
          <w:b/>
          <w:color w:val="212529"/>
          <w:sz w:val="20"/>
          <w:shd w:fill="FFFFFF" w:val="clear"/>
        </w:rPr>
      </w:pPr>
      <w:r>
        <w:rPr>
          <w:rFonts w:ascii="Times New Roman;Times;serif" w:hAnsi="Times New Roman;Times;serif"/>
          <w:b/>
          <w:color w:val="212529"/>
          <w:sz w:val="20"/>
          <w:shd w:fill="FFFFFF" w:val="clear"/>
        </w:rPr>
        <w:t>Treasury Stock</w:t>
      </w:r>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Company accounts for treasury stock using the cost method.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color w:val="212529"/>
          <w:sz w:val="20"/>
          <w:shd w:fill="FFFFFF" w:val="clear"/>
        </w:rPr>
      </w:pPr>
      <w:r>
        <w:rPr>
          <w:rFonts w:ascii="Times New Roman;Times;serif" w:hAnsi="Times New Roman;Times;serif"/>
          <w:b/>
          <w:color w:val="212529"/>
          <w:sz w:val="20"/>
          <w:shd w:fill="FFFFFF" w:val="clear"/>
        </w:rPr>
        <w:t>Segment Information</w:t>
      </w:r>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Operating segments are components of an enterprise for which separate financial information is available and are evaluated regularly by the Company’s chief operating decision maker (“CODM”) in deciding how to allocate resources and assessing performance. The Company’s CODM is its Executive Chairman. The Company’s Executive Chairman views the Company’s operations and manages its business based solely on consolidated financial results and does not evaluate these operating segments separately, therefore, the Company has a single reporting segment and the determination of the single segment is consistent with the information provided to the CODM. The CODM reviews assets as presented on the consolidated balance sheets and reviews significant segment expenses in the same manner that they are reviewed on the consolidated statement of operations and comprehensive loss.</w:t>
      </w:r>
    </w:p>
    <w:p>
      <w:pPr>
        <w:pStyle w:val="TextBody"/>
        <w:bidi w:val="0"/>
        <w:spacing w:before="0" w:after="240"/>
        <w:ind w:left="0" w:right="0" w:hanging="0"/>
        <w:jc w:val="left"/>
        <w:rPr>
          <w:rFonts w:ascii="Times New Roman;Times;serif" w:hAnsi="Times New Roman;Times;serif"/>
          <w:b/>
          <w:color w:val="212529"/>
          <w:sz w:val="20"/>
          <w:shd w:fill="FFFFFF" w:val="clear"/>
        </w:rPr>
      </w:pPr>
      <w:r>
        <w:rPr>
          <w:rFonts w:ascii="Times New Roman;Times;serif" w:hAnsi="Times New Roman;Times;serif"/>
          <w:b/>
          <w:color w:val="212529"/>
          <w:sz w:val="20"/>
          <w:shd w:fill="FFFFFF" w:val="clear"/>
        </w:rPr>
        <w:t>Recent Accounting Pronouncements Not Yet Adopted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the FASB issued Accounting Standards Update (“ASU”) 2024-03, Income Statement—Reporting Comprehensive Income—Expense Disaggregation Disclosures (Subtopic 220-40): Disaggregation of Income Statement Expenses (“ASU 2024-03”). ASU 2024-03 requires interim and annual tabular disclosure of disaggregated information for certain income statement expense captions. Specific expense categories required to be disclosed quantitatively include inventory purchases, employee compensation, depreciation, and intangible asset amortization, as well as other specified expense categories currently disclosed under existing disclosure requirements. Additionally, any remaining amounts that are not separately disaggregated are required to be described qualitatively. ASU 2024-03 also requires separate disclosure of total selling expenses incurred each reporting period, with annual disclosure of the entity's definition of selling expenses. The annual disclosures required by ASU 2024-03 are effective for the Company beginning in its fiscal year ending December 31, 2027, with interim disclosures effective beginning in its fiscal year ending December 31, 2028. The provisions of ASU 2024-03 are to be applied prospectively, although retrospective application is permitted. Early adoption is also permitted. The Company is currently evaluating the ASU to determine its impact on the Company’s disclosures.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DIGITAL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2026, the Company’s holdings of digital assets were concentrated to two custodians the Company uses to custody digital assets, including unrestricted SOL (“Unlocked SOL”), which unless qualified otherwise, shall only refer to unrestricted SOL tokens that are readily transferable on-chain on the Solana network or staked SOL subject to the normal unbonding period and restricted SOL subject to contractual lock-up (“Locked SOL”). The Company primarily holds SOL at custodians but may also hold cash and cash equivalents and as of March 31, 2026, the Company held $0.6 million in fiat currency at custodians. The Company does not hold a significant portion of digital assets at an exchange. As of March 31, 2026, the Company held less than 1% of the total supply of SOL.</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Digital Assets Subject to Lock-up Schedules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digital assets, digital assets receivable and digital assets underlying equity investments are subject to sale restrictions through lock-up schedules typically associated with lock-up agreements with digital asset foundations such as the Solana Foundation.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Locked SOL that are held directly in the Company’s custodial digital asset wallets are recorded as digital assets, restricted on the consolidated balance sheets, and include the Locked SOL contributed to the Company as part of the September 2025 private placement (“Locked PIPE SOL”), see Note 7 for additional details. The underlying restricted SOL for the Locked PIPE SOL unlock on a monthly basis in relatively even intervals and amounts through January 2028.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11" w:name="Tc_h0hs9ruvhUiCw6QPXWr2-w_8_8"/>
      <w:bookmarkStart w:id="612" w:name="Tc_etzpeH9nAE6tf3trrlYzLw_8_5"/>
      <w:bookmarkStart w:id="613" w:name="Tc_zRKmqaXFTU2AqFxdba9FYQ_8_2"/>
      <w:bookmarkStart w:id="614" w:name="Tc_wk3M0tDaYkCH1-WBLOCSmA_8_0"/>
      <w:bookmarkStart w:id="615" w:name="Tc_HAz2rBmKZkKfPzP8ob_xfw_7_0"/>
      <w:bookmarkStart w:id="616" w:name="Tc_Zw75mO_KwUq1OakNJHuL4g_6_0"/>
      <w:bookmarkStart w:id="617" w:name="Tc_RrzJW9WW_0OUfPzlZujkZA_5_0"/>
      <w:bookmarkStart w:id="618" w:name="Tc_qh4cjNKtTkqoGV8KUGb1uQ_4_6"/>
      <w:bookmarkStart w:id="619" w:name="Tc_DNRtaJdAj0OevDYINq93kQ_4_0"/>
      <w:bookmarkStart w:id="620" w:name="Tc_3u-gi6FpPk6_7r-i1_-P4Q_3_8"/>
      <w:bookmarkStart w:id="621" w:name="Tc_nwYhub0XlEm9gpsrJStWaw_3_5"/>
      <w:bookmarkStart w:id="622" w:name="Tc_6sCtVHg8y0eQBB4gkJfqsQ_3_2"/>
      <w:bookmarkStart w:id="623" w:name="Tc_lRk9nxQfw0eC4jf0TkM7Wg_3_0"/>
      <w:bookmarkStart w:id="624" w:name="Tc_OOOjrzbB9UOt4bTLQiXakQ_2_8"/>
      <w:bookmarkStart w:id="625" w:name="Tc_QtJgCMKpnUybUxhjAafzzA_2_5"/>
      <w:bookmarkStart w:id="626" w:name="Tc_GpgbUPGKDE2OmtOlB3A4Gg_2_2"/>
      <w:bookmarkStart w:id="627" w:name="Tc_Lt-odAoVC0afFsXV2s5mJA_1_2"/>
      <w:bookmarkStart w:id="628" w:name="_a5c123d0_9fdb_4017_9c24_1345c249381c"/>
      <w:bookmarkStart w:id="629" w:name="Tc_6epZoE--gEmB2TPWCpcYnw_4_9"/>
      <w:bookmarkStart w:id="630" w:name="Tc_0ROfVgdZQkaFsiZe4gaDPA_4_6"/>
      <w:bookmarkStart w:id="631" w:name="Tc_xIVZ0QVhQEy4f0RTsYIVww_4_0"/>
      <w:bookmarkStart w:id="632" w:name="Tc_mobIp4L6-Eqq_wpG2wPf7w_3_0"/>
      <w:bookmarkStart w:id="633" w:name="Tc_DlUqtxI5TkaG155NyNt0mQ_2_9"/>
      <w:bookmarkStart w:id="634" w:name="Tc_EtTcSssbDkGBD1Y0wCLyPA_2_6"/>
      <w:bookmarkStart w:id="635" w:name="Tc__ahqxycBBkeuZwmUyBNdVQ_2_0"/>
      <w:bookmarkStart w:id="636" w:name="Tc_EqAsWVNKrkevf_jXhdEsHg_1_9"/>
      <w:bookmarkStart w:id="637" w:name="Tc_mIuXSNj0iUaoPoHLIM8Gkg_1_6"/>
      <w:bookmarkStart w:id="638" w:name="Tc_S6iWOlGPbkWug1VVt-rf3g_1_4"/>
      <w:bookmarkStart w:id="639" w:name="Tc_v-9fMXOpeUaQgWkrU82Efw_1_2"/>
      <w:bookmarkStart w:id="640" w:name="Tc_k7JlS0jBPk-aGVnMVH-LnQ_5_0"/>
      <w:bookmarkStart w:id="641" w:name="Tc_TWf4c4Nu00-wu9Aq69H3eg_4_0"/>
      <w:bookmarkStart w:id="642" w:name="Tc_uLzujfiOsk-G_KRxf2RHbg_3_0"/>
      <w:bookmarkStart w:id="643" w:name="Tc_EF1vz3ZdLEebYD0yBl9dEg_2_0"/>
      <w:bookmarkStart w:id="644" w:name="Tc_HR9Uek492ke_qwWrrlOedQ_1_2"/>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r>
        <w:rPr>
          <w:rFonts w:ascii="Times New Roman;Times;serif" w:hAnsi="Times New Roman;Times;serif"/>
          <w:sz w:val="20"/>
        </w:rPr>
        <w:t xml:space="preserve">The following table presents the quantity of tokens that will unlock for the Company’s Locked PIPE SOL summarized by year as of March 31, 2026: </w:t>
      </w:r>
    </w:p>
    <w:p>
      <w:pPr>
        <w:pStyle w:val="TextBody"/>
        <w:bidi w:val="0"/>
        <w:spacing w:before="0" w:after="0"/>
        <w:ind w:left="0" w:right="0" w:hanging="0"/>
        <w:jc w:val="left"/>
        <w:rPr/>
      </w:pPr>
      <w:r>
        <w:rPr/>
        <w:t>​</w:t>
      </w:r>
    </w:p>
    <w:tbl>
      <w:tblPr>
        <w:tblW w:w="2661" w:type="dxa"/>
        <w:jc w:val="left"/>
        <w:tblInd w:w="0" w:type="dxa"/>
        <w:tblLayout w:type="fixed"/>
        <w:tblCellMar>
          <w:top w:w="0" w:type="dxa"/>
          <w:left w:w="0" w:type="dxa"/>
          <w:bottom w:w="0" w:type="dxa"/>
          <w:right w:w="0" w:type="dxa"/>
        </w:tblCellMar>
      </w:tblPr>
      <w:tblGrid>
        <w:gridCol w:w="601"/>
        <w:gridCol w:w="109"/>
        <w:gridCol w:w="1951"/>
      </w:tblGrid>
      <w:tr>
        <w:trPr/>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81635" cy="175260"/>
                      <wp:effectExtent l="0" t="0" r="0" b="0"/>
                      <wp:wrapNone/>
                      <wp:docPr id="72" name="Frame7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38885" cy="175260"/>
                      <wp:effectExtent l="0" t="0" r="0" b="0"/>
                      <wp:wrapNone/>
                      <wp:docPr id="74" name="Frame73"/>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Locked PIPE SOL</w:t>
            </w:r>
          </w:p>
        </w:tc>
      </w:tr>
      <w:tr>
        <w:trPr/>
        <w:tc>
          <w:tcPr>
            <w:tcW w:w="60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195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107,141</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2027</w:t>
            </w:r>
          </w:p>
        </w:tc>
        <w:tc>
          <w:tcPr>
            <w:tcW w:w="109"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159,313</w:t>
            </w:r>
          </w:p>
        </w:tc>
      </w:tr>
      <w:tr>
        <w:trPr/>
        <w:tc>
          <w:tcPr>
            <w:tcW w:w="60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1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17,034</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w:t>
            </w:r>
          </w:p>
        </w:tc>
        <w:tc>
          <w:tcPr>
            <w:tcW w:w="109" w:type="dxa"/>
            <w:tcBorders/>
            <w:vAlign w:val="center"/>
          </w:tcPr>
          <w:p>
            <w:pPr>
              <w:pStyle w:val="TableContents"/>
              <w:bidi w:val="0"/>
              <w:spacing w:before="0" w:after="0"/>
              <w:ind w:left="0" w:right="0" w:hanging="0"/>
              <w:jc w:val="left"/>
              <w:rPr/>
            </w:pPr>
            <w:r>
              <w:rPr/>
              <w:t>​</w:t>
            </w:r>
          </w:p>
        </w:tc>
        <w:tc>
          <w:tcPr>
            <w:tcW w:w="1951"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283,488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Staked Digital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has staked the majority of its digital assets as of March 31, 2026 as shown in the table below. The Company’s ability to sell or transfer staked digital assets is subject to restrictions related to the unbonding period on the blockchain. As of March 31, 2026, all the Company’s staked digital assets were SOL and were staked on the Solana network and the unbonding period is between 2 and 3 days.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Digital Asset Holdings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digital assets holdings as of March 31, 2026:</w:t>
      </w:r>
    </w:p>
    <w:p>
      <w:pPr>
        <w:pStyle w:val="TextBody"/>
        <w:bidi w:val="0"/>
        <w:spacing w:before="0" w:after="0"/>
        <w:ind w:left="0" w:right="0" w:hanging="0"/>
        <w:jc w:val="left"/>
        <w:rPr/>
      </w:pPr>
      <w:r>
        <w:rPr/>
        <w:t>​</w:t>
      </w:r>
    </w:p>
    <w:tbl>
      <w:tblPr>
        <w:tblW w:w="8029" w:type="dxa"/>
        <w:jc w:val="left"/>
        <w:tblInd w:w="0" w:type="dxa"/>
        <w:tblLayout w:type="fixed"/>
        <w:tblCellMar>
          <w:top w:w="0" w:type="dxa"/>
          <w:left w:w="0" w:type="dxa"/>
          <w:bottom w:w="0" w:type="dxa"/>
          <w:right w:w="0" w:type="dxa"/>
        </w:tblCellMar>
      </w:tblPr>
      <w:tblGrid>
        <w:gridCol w:w="1846"/>
        <w:gridCol w:w="109"/>
        <w:gridCol w:w="1066"/>
        <w:gridCol w:w="109"/>
        <w:gridCol w:w="1696"/>
        <w:gridCol w:w="109"/>
        <w:gridCol w:w="298"/>
        <w:gridCol w:w="1172"/>
        <w:gridCol w:w="109"/>
        <w:gridCol w:w="278"/>
        <w:gridCol w:w="1237"/>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172210" cy="175260"/>
                      <wp:effectExtent l="0" t="0" r="0" b="0"/>
                      <wp:wrapNone/>
                      <wp:docPr id="75" name="Frame74"/>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6"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76910" cy="175260"/>
                      <wp:effectExtent l="0" t="0" r="0" b="0"/>
                      <wp:wrapNone/>
                      <wp:docPr id="77" name="Frame7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076960" cy="175260"/>
                      <wp:effectExtent l="0" t="0" r="0" b="0"/>
                      <wp:wrapNone/>
                      <wp:docPr id="79" name="Frame78"/>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89230" cy="175260"/>
                      <wp:effectExtent l="0" t="0" r="0" b="0"/>
                      <wp:wrapNone/>
                      <wp:docPr id="81" name="Frame80"/>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44220" cy="175260"/>
                      <wp:effectExtent l="0" t="0" r="0" b="0"/>
                      <wp:wrapNone/>
                      <wp:docPr id="82" name="Frame81"/>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76530" cy="175260"/>
                      <wp:effectExtent l="0" t="0" r="0" b="0"/>
                      <wp:wrapNone/>
                      <wp:docPr id="84" name="Frame83"/>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785495" cy="175260"/>
                      <wp:effectExtent l="0" t="0" r="0" b="0"/>
                      <wp:wrapNone/>
                      <wp:docPr id="85" name="Frame84"/>
                      <a:graphic xmlns:a="http://schemas.openxmlformats.org/drawingml/2006/main">
                        <a:graphicData uri="http://schemas.microsoft.com/office/word/2010/wordprocessingShape">
                          <wps:wsp>
                            <wps:cNvSpPr txBox="1"/>
                            <wps:spPr>
                              <a:xfrm>
                                <a:off x="0" y="0"/>
                                <a:ext cx="785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Quantity</w:t>
            </w:r>
          </w:p>
        </w:tc>
        <w:tc>
          <w:tcPr>
            <w:tcW w:w="109" w:type="dxa"/>
            <w:tcBorders/>
            <w:vAlign w:val="center"/>
          </w:tcPr>
          <w:p>
            <w:pPr>
              <w:pStyle w:val="TableContents"/>
              <w:bidi w:val="0"/>
              <w:spacing w:before="0" w:after="0"/>
              <w:ind w:left="0" w:right="0" w:hanging="0"/>
              <w:jc w:val="left"/>
              <w:rPr/>
            </w:pPr>
            <w:r>
              <w:rPr/>
              <w:t>​</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Quantity Staked</w:t>
            </w:r>
          </w:p>
        </w:tc>
        <w:tc>
          <w:tcPr>
            <w:tcW w:w="109" w:type="dxa"/>
            <w:tcBorders/>
            <w:vAlign w:val="center"/>
          </w:tcPr>
          <w:p>
            <w:pPr>
              <w:pStyle w:val="TableContents"/>
              <w:bidi w:val="0"/>
              <w:spacing w:before="0" w:after="0"/>
              <w:ind w:left="0" w:right="0" w:hanging="0"/>
              <w:jc w:val="lef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Cost Basis </w:t>
              <w:br/>
              <w:t>(in thousands)</w:t>
            </w:r>
          </w:p>
        </w:tc>
        <w:tc>
          <w:tcPr>
            <w:tcW w:w="109" w:type="dxa"/>
            <w:tcBorders/>
            <w:vAlign w:val="center"/>
          </w:tcPr>
          <w:p>
            <w:pPr>
              <w:pStyle w:val="TableContents"/>
              <w:bidi w:val="0"/>
              <w:spacing w:before="0" w:after="0"/>
              <w:ind w:left="0" w:right="0" w:hanging="0"/>
              <w:jc w:val="left"/>
              <w:rPr/>
            </w:pPr>
            <w:r>
              <w:rPr/>
              <w:t>​</w:t>
            </w:r>
          </w:p>
        </w:tc>
        <w:tc>
          <w:tcPr>
            <w:tcW w:w="1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Fair Value</w:t>
              <w:br/>
              <w:t>(in thousands)</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SOL</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1,787,639</w:t>
            </w:r>
          </w:p>
        </w:tc>
        <w:tc>
          <w:tcPr>
            <w:tcW w:w="109" w:type="dxa"/>
            <w:tcBorders/>
            <w:shd w:fill="CCEEFF" w:val="clear"/>
            <w:vAlign w:val="center"/>
          </w:tcPr>
          <w:p>
            <w:pPr>
              <w:pStyle w:val="TableContents"/>
              <w:bidi w:val="0"/>
              <w:spacing w:before="0" w:after="0"/>
              <w:ind w:left="0" w:right="0" w:hanging="0"/>
              <w:jc w:val="left"/>
              <w:rPr/>
            </w:pPr>
            <w:r>
              <w:rPr/>
              <w:t>​</w:t>
            </w:r>
          </w:p>
        </w:tc>
        <w:tc>
          <w:tcPr>
            <w:tcW w:w="169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1,170,346</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388,250</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237"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148,587</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Locked PIPE SOL</w:t>
            </w:r>
          </w:p>
        </w:tc>
        <w:tc>
          <w:tcPr>
            <w:tcW w:w="109"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283,488</w:t>
            </w:r>
          </w:p>
        </w:tc>
        <w:tc>
          <w:tcPr>
            <w:tcW w:w="109" w:type="dxa"/>
            <w:tcBorders/>
            <w:vAlign w:val="center"/>
          </w:tcPr>
          <w:p>
            <w:pPr>
              <w:pStyle w:val="TableContents"/>
              <w:bidi w:val="0"/>
              <w:spacing w:before="0" w:after="0"/>
              <w:ind w:left="0" w:right="0" w:hanging="0"/>
              <w:jc w:val="left"/>
              <w:rPr/>
            </w:pPr>
            <w:r>
              <w:rPr/>
              <w:t>​</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283,488</w:t>
            </w:r>
          </w:p>
        </w:tc>
        <w:tc>
          <w:tcPr>
            <w:tcW w:w="109"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61,534</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23,564</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digital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2,071,127</w:t>
            </w:r>
          </w:p>
        </w:tc>
        <w:tc>
          <w:tcPr>
            <w:tcW w:w="109" w:type="dxa"/>
            <w:tcBorders/>
            <w:shd w:fill="CCEEFF" w:val="clear"/>
            <w:vAlign w:val="center"/>
          </w:tcPr>
          <w:p>
            <w:pPr>
              <w:pStyle w:val="TableContents"/>
              <w:bidi w:val="0"/>
              <w:spacing w:before="0" w:after="0"/>
              <w:ind w:left="0" w:right="0" w:hanging="0"/>
              <w:jc w:val="left"/>
              <w:rPr/>
            </w:pPr>
            <w:r>
              <w:rPr/>
              <w:t>​</w:t>
            </w:r>
          </w:p>
        </w:tc>
        <w:tc>
          <w:tcPr>
            <w:tcW w:w="16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1,453,834</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1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449,784</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237" w:type="dxa"/>
            <w:tcBorders>
              <w:bottom w:val="double" w:sz="6" w:space="0" w:color="000000"/>
            </w:tcBorders>
            <w:shd w:fill="CCEEFF" w:val="clear"/>
            <w:tcMar>
              <w:bottom w:w="28" w:type="dxa"/>
            </w:tcM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172,151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digital asset holdings represent 85.8% of the Company’s total assets as of March 31, 2026. The following table presents a roll-forward of digital assets fair value for the three months ended March 31, 2026 (in thousands):</w:t>
      </w:r>
    </w:p>
    <w:tbl>
      <w:tblPr>
        <w:tblW w:w="8132" w:type="dxa"/>
        <w:jc w:val="left"/>
        <w:tblInd w:w="0" w:type="dxa"/>
        <w:tblLayout w:type="fixed"/>
        <w:tblCellMar>
          <w:top w:w="0" w:type="dxa"/>
          <w:left w:w="0" w:type="dxa"/>
          <w:bottom w:w="0" w:type="dxa"/>
          <w:right w:w="0" w:type="dxa"/>
        </w:tblCellMar>
      </w:tblPr>
      <w:tblGrid>
        <w:gridCol w:w="3526"/>
        <w:gridCol w:w="109"/>
        <w:gridCol w:w="226"/>
        <w:gridCol w:w="916"/>
        <w:gridCol w:w="109"/>
        <w:gridCol w:w="421"/>
        <w:gridCol w:w="1484"/>
        <w:gridCol w:w="109"/>
        <w:gridCol w:w="226"/>
        <w:gridCol w:w="100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239010" cy="175260"/>
                      <wp:effectExtent l="0" t="0" r="0" b="0"/>
                      <wp:wrapNone/>
                      <wp:docPr id="86" name="Frame85"/>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7"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3510" cy="175260"/>
                      <wp:effectExtent l="0" t="0" r="0" b="0"/>
                      <wp:wrapNone/>
                      <wp:docPr id="88" name="Frame8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81660" cy="175260"/>
                      <wp:effectExtent l="0" t="0" r="0" b="0"/>
                      <wp:wrapNone/>
                      <wp:docPr id="89" name="Frame8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67335" cy="175260"/>
                      <wp:effectExtent l="0" t="0" r="0" b="0"/>
                      <wp:wrapNone/>
                      <wp:docPr id="91" name="Frame9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42340" cy="175260"/>
                      <wp:effectExtent l="0" t="0" r="0" b="0"/>
                      <wp:wrapNone/>
                      <wp:docPr id="92" name="Frame91"/>
                      <a:graphic xmlns:a="http://schemas.openxmlformats.org/drawingml/2006/main">
                        <a:graphicData uri="http://schemas.microsoft.com/office/word/2010/wordprocessingShape">
                          <wps:wsp>
                            <wps:cNvSpPr txBox="1"/>
                            <wps:spPr>
                              <a:xfrm>
                                <a:off x="0" y="0"/>
                                <a:ext cx="942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3510" cy="175260"/>
                      <wp:effectExtent l="0" t="0" r="0" b="0"/>
                      <wp:wrapNone/>
                      <wp:docPr id="94" name="Frame9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38810" cy="175260"/>
                      <wp:effectExtent l="0" t="0" r="0" b="0"/>
                      <wp:wrapNone/>
                      <wp:docPr id="95" name="Frame9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9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Fair Value</w:t>
            </w:r>
          </w:p>
        </w:tc>
      </w:tr>
      <w:tr>
        <w:trPr/>
        <w:tc>
          <w:tcPr>
            <w:tcW w:w="3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SOL</w:t>
            </w:r>
          </w:p>
        </w:tc>
        <w:tc>
          <w:tcPr>
            <w:tcW w:w="109" w:type="dxa"/>
            <w:tcBorders/>
            <w:vAlign w:val="center"/>
          </w:tcPr>
          <w:p>
            <w:pPr>
              <w:pStyle w:val="TableContents"/>
              <w:bidi w:val="0"/>
              <w:spacing w:before="0" w:after="1"/>
              <w:ind w:left="0" w:right="0" w:hanging="0"/>
              <w:jc w:val="left"/>
              <w:rPr/>
            </w:pPr>
            <w:r>
              <w:rPr/>
              <w:t>​</w:t>
            </w:r>
          </w:p>
        </w:tc>
        <w:tc>
          <w:tcPr>
            <w:tcW w:w="19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Locked PIPE SOL</w:t>
            </w:r>
          </w:p>
        </w:tc>
        <w:tc>
          <w:tcPr>
            <w:tcW w:w="109" w:type="dxa"/>
            <w:tcBorders/>
            <w:vAlign w:val="center"/>
          </w:tcPr>
          <w:p>
            <w:pPr>
              <w:pStyle w:val="TableContents"/>
              <w:bidi w:val="0"/>
              <w:spacing w:before="0" w:after="1"/>
              <w:ind w:left="0" w:right="0" w:hanging="0"/>
              <w:jc w:val="left"/>
              <w:rPr/>
            </w:pPr>
            <w:r>
              <w:rPr/>
              <w:t>​</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Total</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Fair Value as of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217,724</w:t>
            </w:r>
          </w:p>
        </w:tc>
        <w:tc>
          <w:tcPr>
            <w:tcW w:w="109"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1484"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39,219</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256,943</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Sales</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(5,452)</w:t>
            </w:r>
          </w:p>
        </w:tc>
        <w:tc>
          <w:tcPr>
            <w:tcW w:w="109"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1484"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(5,452)</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Staking rewards</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2,631</w:t>
            </w:r>
          </w:p>
        </w:tc>
        <w:tc>
          <w:tcPr>
            <w:tcW w:w="109"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1484"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455</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3,086</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Restricted SOL unlocked</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11,758</w:t>
            </w:r>
          </w:p>
        </w:tc>
        <w:tc>
          <w:tcPr>
            <w:tcW w:w="109"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1484"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(7,709)</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4,049</w:t>
            </w:r>
          </w:p>
        </w:tc>
      </w:tr>
      <w:tr>
        <w:trPr/>
        <w:tc>
          <w:tcPr>
            <w:tcW w:w="35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2"/>
              </w:rPr>
              <w:t>Losses</w:t>
            </w:r>
            <w:r>
              <w:rPr>
                <w:rFonts w:ascii="Times New Roman;Times;serif" w:hAnsi="Times New Roman;Times;serif"/>
                <w:sz w:val="17"/>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(78,074)</w:t>
            </w:r>
          </w:p>
        </w:tc>
        <w:tc>
          <w:tcPr>
            <w:tcW w:w="109"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(8,401)</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(86,475)</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Fair value as of March 31, 2026</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148,587</w:t>
            </w:r>
          </w:p>
        </w:tc>
        <w:tc>
          <w:tcPr>
            <w:tcW w:w="109" w:type="dxa"/>
            <w:tcBorders/>
            <w:vAlign w:val="center"/>
          </w:tcPr>
          <w:p>
            <w:pPr>
              <w:pStyle w:val="TableContents"/>
              <w:bidi w:val="0"/>
              <w:spacing w:before="0" w:after="1"/>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14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23,564</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1006" w:type="dxa"/>
            <w:tcBorders>
              <w:bottom w:val="double" w:sz="6" w:space="0" w:color="000000"/>
            </w:tcBorders>
            <w:tcMar>
              <w:bottom w:w="28" w:type="dxa"/>
            </w:tcMar>
            <w:vAlign w:val="center"/>
          </w:tcPr>
          <w:p>
            <w:pPr>
              <w:pStyle w:val="TableContents"/>
              <w:bidi w:val="0"/>
              <w:spacing w:before="0" w:after="1"/>
              <w:ind w:left="0" w:right="75" w:hanging="0"/>
              <w:jc w:val="right"/>
              <w:rPr>
                <w:rFonts w:ascii="Times New Roman;Times;serif" w:hAnsi="Times New Roman;Times;serif"/>
                <w:sz w:val="22"/>
              </w:rPr>
            </w:pPr>
            <w:r>
              <w:rPr>
                <w:rFonts w:ascii="Times New Roman;Times;serif" w:hAnsi="Times New Roman;Times;serif"/>
                <w:sz w:val="22"/>
              </w:rPr>
              <w:t>172,151</w:t>
            </w:r>
          </w:p>
        </w:tc>
      </w:tr>
    </w:tbl>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03"/>
        <w:gridCol w:w="9778"/>
      </w:tblGrid>
      <w:tr>
        <w:trPr/>
        <w:tc>
          <w:tcPr>
            <w:tcW w:w="124" w:type="dxa"/>
            <w:tcBorders/>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77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realized losses of $7.0</w:t>
            </w:r>
            <w:r>
              <w:rPr>
                <w:caps w:val="false"/>
                <w:smallCaps w:val="false"/>
              </w:rPr>
              <w:t xml:space="preserve"> </w:t>
            </w:r>
            <w:r>
              <w:rPr>
                <w:rFonts w:ascii="Times New Roman;Times;serif" w:hAnsi="Times New Roman;Times;serif"/>
                <w:b w:val="false"/>
                <w:i w:val="false"/>
                <w:caps w:val="false"/>
                <w:smallCaps w:val="false"/>
                <w:sz w:val="18"/>
              </w:rPr>
              <w:t>million for the three months ended March 31, 2026. Does not include losses from digital assets receivable or digital asset fund investment.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DIGITAL ASSETS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holds an ownership interest in Digital Assets Receivable, which entitles it to receive distributions of SOL as the underlying assets unlock in accordance with predetermined lock-up schedules applicable to the relevant pools. Digital Assets Receivable represents the Company’s pro rata entitlement to receive underlying SOL upon the expiration of contractual lock-up restrictions and does not constitute a debt instrument or financial receivable. The underlying restricted SOL tokens for Digital Assets Receivable is staked through protocol-based mechanisms, and the Company is entitled to receive the associated protocol-generated staking rewards attributable to each tranche of underlying SOL as such tranche unlocks.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45" w:name="Tc_Lz23oc3blkGHsCJXUNG4aw_6_2"/>
      <w:bookmarkStart w:id="646" w:name="Tc_LaUidMC430KqVaHrBIwtMQ_6_0"/>
      <w:bookmarkStart w:id="647" w:name="Tc_5BHHsfvH1EyPU6T1PinG1Q_5_0"/>
      <w:bookmarkStart w:id="648" w:name="Tc_BTZhAaibNk2C46VA1WB_dA_4_0"/>
      <w:bookmarkStart w:id="649" w:name="Tc_wa-af1C_tU2tkz50O-5TbQ_3_0"/>
      <w:bookmarkStart w:id="650" w:name="Tc_Qb4wOeffx0eDhqSCtxOD9A_2_2"/>
      <w:bookmarkStart w:id="651" w:name="Tc_vCiZXQUz-EGXludlY0l8QQ_2_0"/>
      <w:bookmarkStart w:id="652" w:name="Tc_Uf8tl0whzU6y1toOV7Bq2Q_1_2"/>
      <w:bookmarkStart w:id="653" w:name="_cde660d9_46ba_4581_97f3_4b2c6194fd0d"/>
      <w:bookmarkStart w:id="654" w:name="Tc_FwCvw590rkKzlFFDU_ptKQ_5_0"/>
      <w:bookmarkStart w:id="655" w:name="Tc_x_YtD6A0NUSc2D4_IQq6pg_4_0"/>
      <w:bookmarkStart w:id="656" w:name="Tc_EFLpDyS0i0-lCndPUUCjrw_3_0"/>
      <w:bookmarkStart w:id="657" w:name="Tc_qFkYlAXq6kygdpkAktUtOg_2_0"/>
      <w:bookmarkStart w:id="658" w:name="Tc_nFrBvFVAfEC-v17syTp2-A_1_2"/>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r>
        <w:rPr>
          <w:rFonts w:ascii="Times New Roman;Times;serif" w:hAnsi="Times New Roman;Times;serif"/>
          <w:sz w:val="20"/>
        </w:rPr>
        <w:t xml:space="preserve">The underlying restricted SOL for the Digital Assets Receivable unlock on a monthly basis in relatively even intervals and amounts through January 2028. The following table presents the quantity of tokens that the Company has a right to receive upon unlock of the Digital Assets Receivable summarized by year as of March 31, 2026: </w:t>
      </w:r>
    </w:p>
    <w:p>
      <w:pPr>
        <w:pStyle w:val="TextBody"/>
        <w:bidi w:val="0"/>
        <w:spacing w:before="0" w:after="0"/>
        <w:ind w:left="0" w:right="0" w:hanging="0"/>
        <w:jc w:val="left"/>
        <w:rPr/>
      </w:pPr>
      <w:r>
        <w:rPr/>
        <w:t>​</w:t>
      </w:r>
    </w:p>
    <w:tbl>
      <w:tblPr>
        <w:tblW w:w="3321" w:type="dxa"/>
        <w:jc w:val="left"/>
        <w:tblInd w:w="0" w:type="dxa"/>
        <w:tblLayout w:type="fixed"/>
        <w:tblCellMar>
          <w:top w:w="0" w:type="dxa"/>
          <w:left w:w="0" w:type="dxa"/>
          <w:bottom w:w="0" w:type="dxa"/>
          <w:right w:w="0" w:type="dxa"/>
        </w:tblCellMar>
      </w:tblPr>
      <w:tblGrid>
        <w:gridCol w:w="601"/>
        <w:gridCol w:w="109"/>
        <w:gridCol w:w="2611"/>
      </w:tblGrid>
      <w:tr>
        <w:trPr/>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81635" cy="175260"/>
                      <wp:effectExtent l="0" t="0" r="0" b="0"/>
                      <wp:wrapNone/>
                      <wp:docPr id="96" name="Frame9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657985" cy="175260"/>
                      <wp:effectExtent l="0" t="0" r="0" b="0"/>
                      <wp:wrapNone/>
                      <wp:docPr id="98" name="Frame97"/>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Digital Assets Receivable</w:t>
            </w:r>
          </w:p>
        </w:tc>
      </w:tr>
      <w:tr>
        <w:trPr/>
        <w:tc>
          <w:tcPr>
            <w:tcW w:w="60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61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98,800</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2027</w:t>
            </w:r>
          </w:p>
        </w:tc>
        <w:tc>
          <w:tcPr>
            <w:tcW w:w="109" w:type="dxa"/>
            <w:tcBorders/>
            <w:vAlign w:val="center"/>
          </w:tcPr>
          <w:p>
            <w:pPr>
              <w:pStyle w:val="TableContents"/>
              <w:bidi w:val="0"/>
              <w:spacing w:before="0" w:after="0"/>
              <w:ind w:left="0" w:right="0" w:hanging="0"/>
              <w:jc w:val="left"/>
              <w:rPr/>
            </w:pPr>
            <w:r>
              <w:rPr/>
              <w:t>​</w:t>
            </w:r>
          </w:p>
        </w:tc>
        <w:tc>
          <w:tcPr>
            <w:tcW w:w="26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116,111</w:t>
            </w:r>
          </w:p>
        </w:tc>
      </w:tr>
      <w:tr>
        <w:trPr/>
        <w:tc>
          <w:tcPr>
            <w:tcW w:w="60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5,818</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w:t>
            </w:r>
          </w:p>
        </w:tc>
        <w:tc>
          <w:tcPr>
            <w:tcW w:w="109" w:type="dxa"/>
            <w:tcBorders/>
            <w:vAlign w:val="center"/>
          </w:tcPr>
          <w:p>
            <w:pPr>
              <w:pStyle w:val="TableContents"/>
              <w:bidi w:val="0"/>
              <w:spacing w:before="0" w:after="0"/>
              <w:ind w:left="0" w:right="0" w:hanging="0"/>
              <w:jc w:val="left"/>
              <w:rPr/>
            </w:pPr>
            <w:r>
              <w:rPr/>
              <w:t>​</w:t>
            </w:r>
          </w:p>
        </w:tc>
        <w:tc>
          <w:tcPr>
            <w:tcW w:w="2611"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220,729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digital asset receivables represent 9.1% of the Company’s total assets as of March 31, 2026. The following table presents a roll-forward of Digital Assets Receivable fair value for the three months ended March 31, 2026 (in thousands):</w:t>
      </w:r>
    </w:p>
    <w:tbl>
      <w:tblPr>
        <w:tblW w:w="6245" w:type="dxa"/>
        <w:jc w:val="left"/>
        <w:tblInd w:w="0" w:type="dxa"/>
        <w:tblLayout w:type="fixed"/>
        <w:tblCellMar>
          <w:top w:w="0" w:type="dxa"/>
          <w:left w:w="0" w:type="dxa"/>
          <w:bottom w:w="0" w:type="dxa"/>
          <w:right w:w="0" w:type="dxa"/>
        </w:tblCellMar>
      </w:tblPr>
      <w:tblGrid>
        <w:gridCol w:w="3526"/>
        <w:gridCol w:w="109"/>
        <w:gridCol w:w="530"/>
        <w:gridCol w:w="2080"/>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239010" cy="175260"/>
                      <wp:effectExtent l="0" t="0" r="0" b="0"/>
                      <wp:wrapNone/>
                      <wp:docPr id="99" name="Frame98"/>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36550" cy="175260"/>
                      <wp:effectExtent l="0" t="0" r="0" b="0"/>
                      <wp:wrapNone/>
                      <wp:docPr id="101" name="Frame100"/>
                      <a:graphic xmlns:a="http://schemas.openxmlformats.org/drawingml/2006/main">
                        <a:graphicData uri="http://schemas.microsoft.com/office/word/2010/wordprocessingShape">
                          <wps:wsp>
                            <wps:cNvSpPr txBox="1"/>
                            <wps:spPr>
                              <a:xfrm>
                                <a:off x="0" y="0"/>
                                <a:ext cx="336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20800" cy="175260"/>
                      <wp:effectExtent l="0" t="0" r="0" b="0"/>
                      <wp:wrapNone/>
                      <wp:docPr id="102" name="Frame101"/>
                      <a:graphic xmlns:a="http://schemas.openxmlformats.org/drawingml/2006/main">
                        <a:graphicData uri="http://schemas.microsoft.com/office/word/2010/wordprocessingShape">
                          <wps:wsp>
                            <wps:cNvSpPr txBox="1"/>
                            <wps:spPr>
                              <a:xfrm>
                                <a:off x="0" y="0"/>
                                <a:ext cx="1320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Digital Assets Receivable</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Fair Value as of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2080"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31,139</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Staking rewards</w:t>
            </w:r>
          </w:p>
        </w:tc>
        <w:tc>
          <w:tcPr>
            <w:tcW w:w="109"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left"/>
              <w:rPr/>
            </w:pPr>
            <w:r>
              <w:rPr/>
              <w:t>​</w:t>
            </w:r>
          </w:p>
        </w:tc>
        <w:tc>
          <w:tcPr>
            <w:tcW w:w="2080"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331</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Unrestricted SOL distributed</w:t>
            </w:r>
          </w:p>
        </w:tc>
        <w:tc>
          <w:tcPr>
            <w:tcW w:w="109"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left"/>
              <w:rPr/>
            </w:pPr>
            <w:r>
              <w:rPr/>
              <w:t>​</w:t>
            </w:r>
          </w:p>
        </w:tc>
        <w:tc>
          <w:tcPr>
            <w:tcW w:w="2080"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(3,421)</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Net change in fair value</w:t>
            </w:r>
          </w:p>
        </w:tc>
        <w:tc>
          <w:tcPr>
            <w:tcW w:w="109" w:type="dxa"/>
            <w:tcBorders/>
            <w:vAlign w:val="center"/>
          </w:tcPr>
          <w:p>
            <w:pPr>
              <w:pStyle w:val="TableContents"/>
              <w:bidi w:val="0"/>
              <w:spacing w:before="0" w:after="1"/>
              <w:ind w:left="0" w:right="0" w:hanging="0"/>
              <w:jc w:val="left"/>
              <w:rPr/>
            </w:pPr>
            <w:r>
              <w:rPr/>
              <w:t>​</w:t>
            </w:r>
          </w:p>
        </w:tc>
        <w:tc>
          <w:tcPr>
            <w:tcW w:w="5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0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(9,702)</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Fair value as of March 31, 2026</w:t>
            </w:r>
          </w:p>
        </w:tc>
        <w:tc>
          <w:tcPr>
            <w:tcW w:w="109" w:type="dxa"/>
            <w:tcBorders/>
            <w:shd w:fill="CCEEFF" w:val="clear"/>
            <w:vAlign w:val="center"/>
          </w:tcPr>
          <w:p>
            <w:pPr>
              <w:pStyle w:val="TableContents"/>
              <w:bidi w:val="0"/>
              <w:spacing w:before="0" w:after="1"/>
              <w:ind w:left="0" w:right="0" w:hanging="0"/>
              <w:jc w:val="left"/>
              <w:rPr/>
            </w:pPr>
            <w:r>
              <w:rPr/>
              <w:t>​</w:t>
            </w:r>
          </w:p>
        </w:tc>
        <w:tc>
          <w:tcPr>
            <w:tcW w:w="5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2080" w:type="dxa"/>
            <w:tcBorders>
              <w:bottom w:val="double" w:sz="6" w:space="0" w:color="000000"/>
            </w:tcBorders>
            <w:shd w:fill="CCEEFF" w:val="clear"/>
            <w:tcMar>
              <w:bottom w:w="28" w:type="dxa"/>
            </w:tcMar>
            <w:vAlign w:val="center"/>
          </w:tcPr>
          <w:p>
            <w:pPr>
              <w:pStyle w:val="TableContents"/>
              <w:bidi w:val="0"/>
              <w:spacing w:before="0" w:after="1"/>
              <w:ind w:left="0" w:right="75" w:hanging="0"/>
              <w:jc w:val="right"/>
              <w:rPr>
                <w:rFonts w:ascii="Times New Roman;Times;serif" w:hAnsi="Times New Roman;Times;serif"/>
                <w:sz w:val="22"/>
              </w:rPr>
            </w:pPr>
            <w:r>
              <w:rPr>
                <w:rFonts w:ascii="Times New Roman;Times;serif" w:hAnsi="Times New Roman;Times;serif"/>
                <w:sz w:val="22"/>
              </w:rPr>
              <w:t>18,347</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59" w:name="Tc_EzAwEPpZcE-GzpqQec4irg_5_0"/>
      <w:bookmarkStart w:id="660" w:name="Tc_x0ykkK9IyECcnVhdQdUpCA_4_0"/>
      <w:bookmarkStart w:id="661" w:name="Tc_LVTJ1qBbskqERXK24IX-wg_3_0"/>
      <w:bookmarkStart w:id="662" w:name="Tc_4y-esTnJCUm8Mk0Vh20g1Q_2_0"/>
      <w:bookmarkStart w:id="663" w:name="Tc_Frft9tA43UqZwhl2pZL-EA_1_2"/>
      <w:bookmarkStart w:id="664" w:name="_044cefcb_00b3_4eaf_b598_513700024548"/>
      <w:bookmarkEnd w:id="659"/>
      <w:bookmarkEnd w:id="660"/>
      <w:bookmarkEnd w:id="661"/>
      <w:bookmarkEnd w:id="662"/>
      <w:bookmarkEnd w:id="663"/>
      <w:bookmarkEnd w:id="664"/>
      <w:r>
        <w:rPr>
          <w:rFonts w:ascii="Times New Roman;Times;serif" w:hAnsi="Times New Roman;Times;serif"/>
          <w:b/>
          <w:sz w:val="20"/>
        </w:rPr>
        <w:t>5.    DIGITAL ASSET FUND INVESTMENT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2026, the Company held a minority membership interest of approximately 1% in Digital Asset Fund Investment, which represents the Company’s pro rata entitlement to receive distributions of SOL as the underlying assets unlock in accordance with predetermined contractual lock-up schedules. The underlying SOL held by the fund is staked through protocol-based mechanisms, and the Company is entitled to receive its pro rata share of protocol-generated staking rewards attributable to each tranche of SOL as such tranche unlocks. Other than the distributions as the underlying SOL unlocks, our investment in the Digital Asset Fund Investment is not redeemable.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underlying restricted SOL for the Digital Asset Fund Investment unlock on a monthly basis in relatively even intervals and amounts through January 2028. The following table presents the expected fund distribution of the Company’s pro rata share of the Digital Asset Fund Investment by calendar year as of March 31, 2026: </w:t>
      </w:r>
    </w:p>
    <w:tbl>
      <w:tblPr>
        <w:tblW w:w="3801" w:type="dxa"/>
        <w:jc w:val="left"/>
        <w:tblInd w:w="0" w:type="dxa"/>
        <w:tblLayout w:type="fixed"/>
        <w:tblCellMar>
          <w:top w:w="0" w:type="dxa"/>
          <w:left w:w="0" w:type="dxa"/>
          <w:bottom w:w="0" w:type="dxa"/>
          <w:right w:w="0" w:type="dxa"/>
        </w:tblCellMar>
      </w:tblPr>
      <w:tblGrid>
        <w:gridCol w:w="601"/>
        <w:gridCol w:w="109"/>
        <w:gridCol w:w="3091"/>
      </w:tblGrid>
      <w:tr>
        <w:trPr/>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81635" cy="175260"/>
                      <wp:effectExtent l="0" t="0" r="0" b="0"/>
                      <wp:wrapNone/>
                      <wp:docPr id="103" name="Frame10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962785" cy="175260"/>
                      <wp:effectExtent l="0" t="0" r="0" b="0"/>
                      <wp:wrapNone/>
                      <wp:docPr id="105" name="Frame104"/>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Digital Asset Fund Investment</w:t>
            </w:r>
          </w:p>
        </w:tc>
      </w:tr>
      <w:tr>
        <w:trPr/>
        <w:tc>
          <w:tcPr>
            <w:tcW w:w="60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309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18,149</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2027</w:t>
            </w:r>
          </w:p>
        </w:tc>
        <w:tc>
          <w:tcPr>
            <w:tcW w:w="109" w:type="dxa"/>
            <w:tcBorders/>
            <w:vAlign w:val="center"/>
          </w:tcPr>
          <w:p>
            <w:pPr>
              <w:pStyle w:val="TableContents"/>
              <w:bidi w:val="0"/>
              <w:spacing w:before="0" w:after="0"/>
              <w:ind w:left="0" w:right="0" w:hanging="0"/>
              <w:jc w:val="left"/>
              <w:rPr/>
            </w:pPr>
            <w:r>
              <w:rPr/>
              <w:t>​</w:t>
            </w:r>
          </w:p>
        </w:tc>
        <w:tc>
          <w:tcPr>
            <w:tcW w:w="30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20,731</w:t>
            </w:r>
          </w:p>
        </w:tc>
      </w:tr>
      <w:tr>
        <w:trPr/>
        <w:tc>
          <w:tcPr>
            <w:tcW w:w="60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30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874</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w:t>
            </w:r>
          </w:p>
        </w:tc>
        <w:tc>
          <w:tcPr>
            <w:tcW w:w="109" w:type="dxa"/>
            <w:tcBorders/>
            <w:vAlign w:val="center"/>
          </w:tcPr>
          <w:p>
            <w:pPr>
              <w:pStyle w:val="TableContents"/>
              <w:bidi w:val="0"/>
              <w:spacing w:before="0" w:after="0"/>
              <w:ind w:left="0" w:right="0" w:hanging="0"/>
              <w:jc w:val="left"/>
              <w:rPr/>
            </w:pPr>
            <w:r>
              <w:rPr/>
              <w:t>​</w:t>
            </w:r>
          </w:p>
        </w:tc>
        <w:tc>
          <w:tcPr>
            <w:tcW w:w="3091"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39,754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65" w:name="Tc_aXR61Dijl02TXpNm1oP_eA_5_2"/>
      <w:bookmarkStart w:id="666" w:name="Tc_59WPyoWkR02ADxJCeL_sKA_5_0"/>
      <w:bookmarkStart w:id="667" w:name="Tc_2DB6ZWKA0EyKpYdSdUuVJA_4_0"/>
      <w:bookmarkStart w:id="668" w:name="Tc_-G-WPmzqBUejj_cGhQTs9w_3_0"/>
      <w:bookmarkStart w:id="669" w:name="Tc_9KdvXyO9rkGMXC9kmDm2ew_2_2"/>
      <w:bookmarkStart w:id="670" w:name="Tc_qEqSPBAJUEqi6YHCWOA8dQ_2_0"/>
      <w:bookmarkStart w:id="671" w:name="Tc_-DwlzOX6MUONpZ-0yNdlBg_1_2"/>
      <w:bookmarkStart w:id="672" w:name="_b5e24a21_39bc_44fc_8fa5_d9da065f0f84"/>
      <w:bookmarkStart w:id="673" w:name="Tc_r52-8zH14UGe1NoR02d1QQ_2_5"/>
      <w:bookmarkStart w:id="674" w:name="Tc_8m48Jn5SDUibXKdxrMaTaQ_2_2"/>
      <w:bookmarkStart w:id="675" w:name="Tc_bYexEHRia0mGDtcIpEs_bA_2_0"/>
      <w:bookmarkStart w:id="676" w:name="Tc_G5730i-NCUSXf_lz2e84bg_1_5"/>
      <w:bookmarkStart w:id="677" w:name="Tc_7mwgryVcWkaCVldoPbc20w_1_2"/>
      <w:bookmarkStart w:id="678" w:name="_a9a50797_990a_4ec0_bed0_397349cc797c"/>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rPr>
          <w:rFonts w:ascii="Times New Roman;Times;serif" w:hAnsi="Times New Roman;Times;serif"/>
          <w:sz w:val="20"/>
        </w:rPr>
        <w:t>The following table presents the Company's Digital Asset Fund Investment holdings as of March 31, 2026:</w:t>
      </w:r>
    </w:p>
    <w:tbl>
      <w:tblPr>
        <w:tblW w:w="6159" w:type="dxa"/>
        <w:jc w:val="left"/>
        <w:tblInd w:w="0" w:type="dxa"/>
        <w:tblLayout w:type="fixed"/>
        <w:tblCellMar>
          <w:top w:w="0" w:type="dxa"/>
          <w:left w:w="0" w:type="dxa"/>
          <w:bottom w:w="0" w:type="dxa"/>
          <w:right w:w="0" w:type="dxa"/>
        </w:tblCellMar>
      </w:tblPr>
      <w:tblGrid>
        <w:gridCol w:w="2956"/>
        <w:gridCol w:w="109"/>
        <w:gridCol w:w="381"/>
        <w:gridCol w:w="1089"/>
        <w:gridCol w:w="109"/>
        <w:gridCol w:w="344"/>
        <w:gridCol w:w="117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877060" cy="175260"/>
                      <wp:effectExtent l="0" t="0" r="0" b="0"/>
                      <wp:wrapNone/>
                      <wp:docPr id="106" name="Frame105"/>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7"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41935" cy="175260"/>
                      <wp:effectExtent l="0" t="0" r="0" b="0"/>
                      <wp:wrapNone/>
                      <wp:docPr id="108" name="Frame107"/>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1515" cy="175260"/>
                      <wp:effectExtent l="0" t="0" r="0" b="0"/>
                      <wp:wrapNone/>
                      <wp:docPr id="109" name="Frame108"/>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8440" cy="175260"/>
                      <wp:effectExtent l="0" t="0" r="0" b="0"/>
                      <wp:wrapNone/>
                      <wp:docPr id="111" name="Frame110"/>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43585" cy="175260"/>
                      <wp:effectExtent l="0" t="0" r="0" b="0"/>
                      <wp:wrapNone/>
                      <wp:docPr id="112" name="Frame111"/>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Cost Basis </w:t>
              <w:br/>
              <w:t>(in thousands)</w:t>
            </w:r>
          </w:p>
        </w:tc>
        <w:tc>
          <w:tcPr>
            <w:tcW w:w="109" w:type="dxa"/>
            <w:tcBorders/>
            <w:vAlign w:val="center"/>
          </w:tcPr>
          <w:p>
            <w:pPr>
              <w:pStyle w:val="TableContents"/>
              <w:bidi w:val="0"/>
              <w:spacing w:before="0" w:after="0"/>
              <w:ind w:left="0" w:right="0" w:hanging="0"/>
              <w:jc w:val="left"/>
              <w:rPr/>
            </w:pPr>
            <w:r>
              <w:rPr/>
              <w:t>​</w:t>
            </w:r>
          </w:p>
        </w:tc>
        <w:tc>
          <w:tcPr>
            <w:tcW w:w="1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Fair Value</w:t>
              <w:br/>
              <w:t>(in thousands)</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Digital Asset Fund Investment</w:t>
            </w:r>
          </w:p>
        </w:tc>
        <w:tc>
          <w:tcPr>
            <w:tcW w:w="109"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89"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7,112</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171" w:type="dxa"/>
            <w:tcBorders/>
            <w:shd w:fill="CCEEFF" w:val="cle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3,304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a roll-forward of Digital Asset Fund Investment fair value for the three months ended March 31, 2026 (in thousands):</w:t>
      </w:r>
    </w:p>
    <w:tbl>
      <w:tblPr>
        <w:tblW w:w="6725" w:type="dxa"/>
        <w:jc w:val="left"/>
        <w:tblInd w:w="0" w:type="dxa"/>
        <w:tblLayout w:type="fixed"/>
        <w:tblCellMar>
          <w:top w:w="0" w:type="dxa"/>
          <w:left w:w="0" w:type="dxa"/>
          <w:bottom w:w="0" w:type="dxa"/>
          <w:right w:w="0" w:type="dxa"/>
        </w:tblCellMar>
      </w:tblPr>
      <w:tblGrid>
        <w:gridCol w:w="3526"/>
        <w:gridCol w:w="109"/>
        <w:gridCol w:w="703"/>
        <w:gridCol w:w="2387"/>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239010" cy="175260"/>
                      <wp:effectExtent l="0" t="0" r="0" b="0"/>
                      <wp:wrapNone/>
                      <wp:docPr id="113" name="Frame112"/>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4"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46405" cy="175260"/>
                      <wp:effectExtent l="0" t="0" r="0" b="0"/>
                      <wp:wrapNone/>
                      <wp:docPr id="115" name="Frame114"/>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15745" cy="175260"/>
                      <wp:effectExtent l="0" t="0" r="0" b="0"/>
                      <wp:wrapNone/>
                      <wp:docPr id="116" name="Frame115"/>
                      <a:graphic xmlns:a="http://schemas.openxmlformats.org/drawingml/2006/main">
                        <a:graphicData uri="http://schemas.microsoft.com/office/word/2010/wordprocessingShape">
                          <wps:wsp>
                            <wps:cNvSpPr txBox="1"/>
                            <wps:spPr>
                              <a:xfrm>
                                <a:off x="0" y="0"/>
                                <a:ext cx="1515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Digital Asset Fund Investment</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Fair Value as of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2387"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5,617</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Unrestricted SOL distributed</w:t>
            </w:r>
          </w:p>
        </w:tc>
        <w:tc>
          <w:tcPr>
            <w:tcW w:w="109"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left"/>
              <w:rPr/>
            </w:pPr>
            <w:r>
              <w:rPr/>
              <w:t>​</w:t>
            </w:r>
          </w:p>
        </w:tc>
        <w:tc>
          <w:tcPr>
            <w:tcW w:w="2387"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(628)</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Net change in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3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(1,685)</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Fair value as of March 31, 2026</w:t>
            </w:r>
          </w:p>
        </w:tc>
        <w:tc>
          <w:tcPr>
            <w:tcW w:w="109" w:type="dxa"/>
            <w:tcBorders/>
            <w:vAlign w:val="center"/>
          </w:tcPr>
          <w:p>
            <w:pPr>
              <w:pStyle w:val="TableContents"/>
              <w:bidi w:val="0"/>
              <w:spacing w:before="0" w:after="1"/>
              <w:ind w:left="0" w:right="0" w:hanging="0"/>
              <w:jc w:val="left"/>
              <w:rPr/>
            </w:pPr>
            <w:r>
              <w:rPr/>
              <w:t>​</w:t>
            </w:r>
          </w:p>
        </w:tc>
        <w:tc>
          <w:tcPr>
            <w:tcW w:w="7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2387" w:type="dxa"/>
            <w:tcBorders>
              <w:bottom w:val="double" w:sz="6" w:space="0" w:color="000000"/>
            </w:tcBorders>
            <w:tcMar>
              <w:bottom w:w="28" w:type="dxa"/>
            </w:tcMar>
            <w:vAlign w:val="center"/>
          </w:tcPr>
          <w:p>
            <w:pPr>
              <w:pStyle w:val="TableContents"/>
              <w:bidi w:val="0"/>
              <w:spacing w:before="0" w:after="1"/>
              <w:ind w:left="0" w:right="75" w:hanging="0"/>
              <w:jc w:val="right"/>
              <w:rPr>
                <w:rFonts w:ascii="Times New Roman;Times;serif" w:hAnsi="Times New Roman;Times;serif"/>
                <w:sz w:val="22"/>
              </w:rPr>
            </w:pPr>
            <w:r>
              <w:rPr>
                <w:rFonts w:ascii="Times New Roman;Times;serif" w:hAnsi="Times New Roman;Times;serif"/>
                <w:sz w:val="22"/>
              </w:rPr>
              <w:t>3,304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79" w:name="Tc_bcQ1qGvCUUeTyVDxHL1OBg_9_11"/>
      <w:bookmarkStart w:id="680" w:name="Tc_zuD101MP9Uen9pqGbW4lrA_9_9"/>
      <w:bookmarkStart w:id="681" w:name="Tc_Ms4sAKUD-EubhrD2jAHbKg_9_8"/>
      <w:bookmarkStart w:id="682" w:name="Tc_Vw0N28iNuEa_yw2t-xCpTQ_9_5"/>
      <w:bookmarkStart w:id="683" w:name="Tc__khKyqI0q0a2zLqwPerzKg_9_2"/>
      <w:bookmarkStart w:id="684" w:name="Tc_vl9mZat8tEWts0xqXFC0lg_9_0"/>
      <w:bookmarkStart w:id="685" w:name="Tc_QAbtJIguAEOEJtu1FV52og_8_9"/>
      <w:bookmarkStart w:id="686" w:name="Tc_7jmWPIV_aEei3O9x7h9sLA_8_3"/>
      <w:bookmarkStart w:id="687" w:name="Tc_p7z0rhJ_v0yiBEMINkCxeA_8_0"/>
      <w:bookmarkStart w:id="688" w:name="Tc_zOaFlxV0ukqdarLdfrQm1Q_7_9"/>
      <w:bookmarkStart w:id="689" w:name="Tc_TErPAu3F30-jPz8RfNQzEg_7_3"/>
      <w:bookmarkStart w:id="690" w:name="Tc_w88f7Ue5EUqG1xHTXJo-sg_7_0"/>
      <w:bookmarkStart w:id="691" w:name="Tc_b_yFJBf-ikStIq_eb-tRhQ_6_9"/>
      <w:bookmarkStart w:id="692" w:name="Tc_FJzEWLMRcUazYroR9e9bwg_6_6"/>
      <w:bookmarkStart w:id="693" w:name="Tc_HHF2YzZMfUOcqqB3-hos6w_6_0"/>
      <w:bookmarkStart w:id="694" w:name="Tc_1HC2bOjIXEWwsFSE1-qdfQ_5_11"/>
      <w:bookmarkStart w:id="695" w:name="Tc_38JIiiIEF0K2HSMqUq-9xg_5_9"/>
      <w:bookmarkStart w:id="696" w:name="Tc_tc8gGtC3M0GQ3xsCJSw-_g_5_8"/>
      <w:bookmarkStart w:id="697" w:name="Tc_x1fbbP9OskaMjVR0-HyHQQ_5_6"/>
      <w:bookmarkStart w:id="698" w:name="Tc_QBVF8KuQiU6JHx3t1G0Dvg_5_5"/>
      <w:bookmarkStart w:id="699" w:name="Tc_JXBjS1HtBkiFVOSKLhieCA_5_2"/>
      <w:bookmarkStart w:id="700" w:name="Tc_VgU5qGYjFUOEXn7FAwOOKg_5_0"/>
      <w:bookmarkStart w:id="701" w:name="Tc_6fesxG5RX0GUcmVcdX0_NA_4_0"/>
      <w:bookmarkStart w:id="702" w:name="Tc_K5kf-HbcrEaDALZZwSeIFA_3_11"/>
      <w:bookmarkStart w:id="703" w:name="Tc_d52zpa5gjUuWO-LGSK153w_3_8"/>
      <w:bookmarkStart w:id="704" w:name="Tc_taAMxLwjkUqkH2YhJ8mq8w_3_5"/>
      <w:bookmarkStart w:id="705" w:name="Tc_QEXIYCGH-UemEwVqvDtgRQ_3_2"/>
      <w:bookmarkStart w:id="706" w:name="Tc_WtRNrn2b1UWDqWDnqsJ5HA_2_2"/>
      <w:bookmarkStart w:id="707" w:name="_92f3eaac_dc8e_425c_8eea_12b2b6984e15"/>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r>
        <w:rPr>
          <w:rFonts w:ascii="Times New Roman;Times;serif" w:hAnsi="Times New Roman;Times;serif"/>
          <w:b/>
          <w:sz w:val="20"/>
        </w:rPr>
        <w:t>6.    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Fair value of an asset or liability considers assumptions that market participants would use in pricing the asset or liability, including consideration of non-performance risk. The inputs used to determine fair values are categorized in one of the following three levels of the fair value hierarchy: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1 – Quoted market prices in active markets for identical assets or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2 – Inputs, other than quoted prices in active markets, that are observable, either directly or indirectly.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3 – Unobservable inputs that are not corroborated by market data.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digital assets, digital assets receivable and digital assets fund investment are subject to fair value measurements on a recurring basis and the level of inputs used for such measurements were as follows:</w:t>
      </w:r>
    </w:p>
    <w:p>
      <w:pPr>
        <w:pStyle w:val="TextBody"/>
        <w:bidi w:val="0"/>
        <w:spacing w:before="0" w:after="0"/>
        <w:ind w:left="0" w:right="0" w:hanging="0"/>
        <w:jc w:val="left"/>
        <w:rPr/>
      </w:pPr>
      <w:r>
        <w:rPr/>
        <w:t>​</w:t>
      </w:r>
    </w:p>
    <w:tbl>
      <w:tblPr>
        <w:tblW w:w="7430" w:type="dxa"/>
        <w:jc w:val="left"/>
        <w:tblInd w:w="0" w:type="dxa"/>
        <w:tblLayout w:type="fixed"/>
        <w:tblCellMar>
          <w:top w:w="0" w:type="dxa"/>
          <w:left w:w="0" w:type="dxa"/>
          <w:bottom w:w="0" w:type="dxa"/>
          <w:right w:w="0" w:type="dxa"/>
        </w:tblCellMar>
      </w:tblPr>
      <w:tblGrid>
        <w:gridCol w:w="3151"/>
        <w:gridCol w:w="346"/>
        <w:gridCol w:w="211"/>
        <w:gridCol w:w="781"/>
        <w:gridCol w:w="109"/>
        <w:gridCol w:w="211"/>
        <w:gridCol w:w="676"/>
        <w:gridCol w:w="109"/>
        <w:gridCol w:w="239"/>
        <w:gridCol w:w="391"/>
        <w:gridCol w:w="109"/>
        <w:gridCol w:w="211"/>
        <w:gridCol w:w="886"/>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00885" cy="175260"/>
                      <wp:effectExtent l="0" t="0" r="0" b="0"/>
                      <wp:wrapNone/>
                      <wp:docPr id="117" name="Frame116"/>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20" name="Frame1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29260" cy="175260"/>
                      <wp:effectExtent l="0" t="0" r="0" b="0"/>
                      <wp:wrapNone/>
                      <wp:docPr id="123" name="Frame1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51765" cy="175260"/>
                      <wp:effectExtent l="0" t="0" r="0" b="0"/>
                      <wp:wrapNone/>
                      <wp:docPr id="125" name="Frame12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48285" cy="175260"/>
                      <wp:effectExtent l="0" t="0" r="0" b="0"/>
                      <wp:wrapNone/>
                      <wp:docPr id="126" name="Frame12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62610" cy="175260"/>
                      <wp:effectExtent l="0" t="0" r="0" b="0"/>
                      <wp:wrapNone/>
                      <wp:docPr id="129" name="Frame12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933" w:type="dxa"/>
            <w:gridSpan w:val="11"/>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r>
      <w:tr>
        <w:trPr/>
        <w:tc>
          <w:tcPr>
            <w:tcW w:w="3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3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1"/>
              <w:ind w:left="0" w:right="0" w:hanging="0"/>
              <w:jc w:val="left"/>
              <w:rPr/>
            </w:pPr>
            <w:r>
              <w:rPr/>
              <w:t>​</w:t>
            </w:r>
          </w:p>
        </w:tc>
        <w:tc>
          <w:tcPr>
            <w:tcW w:w="6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5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31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SOL digital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148,587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148,587</w:t>
            </w:r>
          </w:p>
        </w:tc>
      </w:tr>
      <w:tr>
        <w:trPr/>
        <w:tc>
          <w:tcPr>
            <w:tcW w:w="31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SOL digital assets, restricted*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23,564</w:t>
            </w:r>
          </w:p>
        </w:tc>
      </w:tr>
      <w:tr>
        <w:trPr/>
        <w:tc>
          <w:tcPr>
            <w:tcW w:w="31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SOL digital assets receivable**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18,347</w:t>
            </w:r>
          </w:p>
        </w:tc>
        <w:tc>
          <w:tcPr>
            <w:tcW w:w="109" w:type="dxa"/>
            <w:tcBorders/>
            <w:vAlign w:val="center"/>
          </w:tcPr>
          <w:p>
            <w:pPr>
              <w:pStyle w:val="TableContents"/>
              <w:bidi w:val="0"/>
              <w:spacing w:before="0" w:after="1"/>
              <w:ind w:left="0" w:right="0" w:hanging="0"/>
              <w:jc w:val="right"/>
              <w:rPr/>
            </w:pPr>
            <w:r>
              <w:rPr/>
              <w:t>​</w:t>
            </w:r>
          </w:p>
        </w:tc>
        <w:tc>
          <w:tcPr>
            <w:tcW w:w="239"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18,347</w:t>
            </w:r>
          </w:p>
        </w:tc>
      </w:tr>
      <w:tr>
        <w:trPr/>
        <w:tc>
          <w:tcPr>
            <w:tcW w:w="31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SOL digital assets fund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3,304</w:t>
            </w:r>
          </w:p>
        </w:tc>
        <w:tc>
          <w:tcPr>
            <w:tcW w:w="109" w:type="dxa"/>
            <w:tcBorders/>
            <w:shd w:fill="CCEEFF" w:val="clear"/>
            <w:vAlign w:val="center"/>
          </w:tcPr>
          <w:p>
            <w:pPr>
              <w:pStyle w:val="TableContents"/>
              <w:bidi w:val="0"/>
              <w:spacing w:before="0" w:after="1"/>
              <w:ind w:left="0" w:right="0" w:hanging="0"/>
              <w:jc w:val="righ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3,304</w:t>
            </w:r>
          </w:p>
        </w:tc>
      </w:tr>
      <w:tr>
        <w:trPr/>
        <w:tc>
          <w:tcPr>
            <w:tcW w:w="31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172,151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21,651</w:t>
            </w:r>
          </w:p>
        </w:tc>
        <w:tc>
          <w:tcPr>
            <w:tcW w:w="109" w:type="dxa"/>
            <w:tcBorders/>
            <w:vAlign w:val="center"/>
          </w:tcPr>
          <w:p>
            <w:pPr>
              <w:pStyle w:val="TableContents"/>
              <w:bidi w:val="0"/>
              <w:spacing w:before="0" w:after="1"/>
              <w:ind w:left="0" w:right="0" w:hanging="0"/>
              <w:jc w:val="righ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193,802</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*Subject to contractual sales restriction. See Note 3.</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**Underlying assets subject to contractual sales restriction. See Note 4 and 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SOL digital assets and digital assets, restricted, are measured at fair value on a recurring basis using quoted prices of SOL in the Company’s principal market for Unlocked SOL (Level 1 inputs). Digital assets receivable and digital assets fund investment are measured at fair value on a recurring basis using quoted prices of the underlying Locked SOL in the Company’s principal market for Unlocked SOL (Level 2 inputs). As of midnight UTC on March 31, 2026, the price per SOL was $83.12.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unaudited condensed consolidated financial statements include financial instruments for which the fair market value of such instruments may differ from amounts reflected on a historical cost basis. As of March 31, 2026 and December 31, 2025, financial instruments of the Company consist of cash equivalents, which were comprised of deposits of excess cash in an unrestricted money market savings account, USD Coin (“USDC”) at custodians and a money market mutual fund. The carrying value of cash equivalents generally approximates fair value due to their short-term nature.</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7.    COMMON STOCK AND WARRANTS</w:t>
      </w:r>
    </w:p>
    <w:p>
      <w:pPr>
        <w:pStyle w:val="TextBody"/>
        <w:shd w:fill="FFFFFF" w:val="clear"/>
        <w:bidi w:val="0"/>
        <w:spacing w:before="0" w:after="117"/>
        <w:ind w:left="0" w:right="0" w:hanging="0"/>
        <w:jc w:val="left"/>
        <w:rPr>
          <w:rFonts w:ascii="Times New Roman;Times;serif" w:hAnsi="Times New Roman;Times;serif"/>
          <w:b/>
          <w:i/>
          <w:sz w:val="20"/>
        </w:rPr>
      </w:pPr>
      <w:r>
        <w:rPr>
          <w:rFonts w:ascii="Times New Roman;Times;serif" w:hAnsi="Times New Roman;Times;serif"/>
          <w:b/>
          <w:i/>
          <w:sz w:val="20"/>
        </w:rPr>
        <w:t>Stock Repurchase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November 3, 2025, the Company’s Board of Directors (the “Board”) approved a stock repurchase program for the purchase of up to $100 million of the Company’s outstanding Class A common stock (the “Stock Repurchase Program”). Repurchases of Class A common stock may be made in the open market (including through Rule 10b-18 compliant transactions), in privately negotiated transactions, in block trades, through one or more accelerated share repurchase transactions, through one or more trading plans intended to comply with Rule 10b5-1, through tender offers, or by any combination of the foregoing. The Company may determine the timing, amount and method of repurchases based on market conditions, share price, legal and regulatory requirements, and other considerations in its sole discretion. The Stock Repurchase Program does not obligate the Company to repurchase any specific number of shares and may be modified, suspended or terminated at any time.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2026 and December 31, 2025, the Company held 1,603,971 and zero shares, respectively, of its Class A common stock in treasury, and purchased at a total cost of $3.5 million and zero dollars, respectively.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September 2025 Private Placements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September 15, 2025, the Company entered into a securities purchase agreement (the “Cash Purchase Agreement”) with certain investors (the “Cash Purchasers”) pursuant to which the Company sold, in a private placement (the “Cash Offering”), an aggregate offering of (i) 38,049,663 shares (the “Cash Shares”) of Class A common stock at an offering price of $6.881 per Cash Share (the “Per Share Cash Purchase Price”); and 36,261,239 pre-funded warrants (the “Cash Pre-Funded Warrants”) to purchase shares of Class A common stock (the “Cash Pre-Funded Warrant Shares”) at the Per Share Cash Purchase Price less $0.001 per Cash Pre-Funded Warrant, and (ii) 73,941,196 stapled warrants (the “Cash Stapled Warrants”) to purchase shares of Class A common stock (the “Cash Stapled Warrant Shares”) at an exercise price of $10.134 per Cash Stapled Warrant. In the Cash Offering, the Cash Purchasers tendered any of U.S. dollars, USD Coin (“USDC”) or Tether (“USDT”) (or a combination thereof) to the Company as consideration for the Cash Shares, Cash Stapled Warrants and Cash Pre-Funded Warrants.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15, 2025, the Company also entered into securities purchase agreements (the “Cryptocurrency Purchase Agreements,” and together with the Cash Purchase Agreements, the “Purchase Agreements”) with certain investors (the “Cryptocurrency Purchasers,” and together with the Cash Purchasers, the “Purchasers”) pursuant to which the Company agreed to sell to the Cryptocurrency Purchasers in a private placement (the “Cryptocurrency Offering,” and together with the Cash Offering, the “2025 PIPE Offerings”) (i) pre-funded warrants to purchase shares of Class A common stock at an offering price of $6.881 less $0.001 (the “Cryptocurrency Pre-Funded Warrants” and together with the Cash Pre-Funded Warrants, the “2025 Pre-Funded Warrants”) and (ii) stapled warrants (the “Cryptocurrency Stapled Warrants,” and together with the Cash Stapled Warrants, the “2025 Stapled Warrants”) at an exercise price of $10.134. In the Cryptocurrency Offering, the Cryptocurrency Purchasers tendered Locked SOL to the Company as consideration for the Cryptocurrency Pre-Funded Warrants and the Cryptocurrency Stapled Warrants.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Clear Street LLC (“Clear Street”) served as lead placement agent and Maxim Group LLC (“Maxim”) served as co-placement agents in the 2025 PIPE Offerings, pursuant to the terms of a placement agency agreement and received aggregate compensation of $11.1 million. Clear Street was also issued 369,706 shares of the Company’s Class A common stock. The Company recorded non-cash financing offering costs of $8.6 million on the statement of operations based on the Company’s closing stock price of $23.17 on the 2025 PIPE Offerings closing date.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aggregate gross proceeds to the Company were $508.8 million including $119 million in contributed digital assets comprised of $75.6 million of Locked PIPE SOL, $34.3 million of USDC and $9.1 million of USDT, resulting in net cash proceeds of $374.9 million after deducting placement agent fees and other cash offering expenses of $14.9 million.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September 2025 Advisory Warrants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15, 2025, the Company entered into a Strategic Advisory Agreement (the “Strategic Advisory Agreement”) with Pantera Capital Management LP, a Delaware limited partnership (“Pantera”) and Summer Wisdom Holdings Limited (“Summer” and with Pantera, the “Advisors”). In connection with the closing of the 2025 PIPE Offerings, on September 18, 2025, the Company issued warrants to purchase 5,175,883 shares of Class A common stock to Pantera (the “Pantera Base Advisor Warrants”) and (ii) warrants to purchase 2,218,236 shares of Class A common stock to Summer (the “Summer Base Advisor Warrants” and together with the Pantera Base Advisor Warrants, the “Base Advisor Warrants”). Upon the exercise of each Stapled Warrant, each of Pantera and Summer shall receive an additional grant of warrants to purchase an amount of shares of Class A common stock equal to their respective portion of 5% of the shares of Class A common stock issued upon such exercise (the Performance Advisor Warrants, and together with the Base Advisor Warrants, the “Advisor Warrants”). The exercise price per share of the Advisor Warrants shall be equal to $0.001 per underlying share of Class A common stock. The Company recorded $171.3 million in non-cash financing costs, determined using a Black Scholes model, on the statement of operations for the period ended December 31, 2025. Based on the exercise price of $0.001, the Black Scholes value was effectively the same as the Company’s stock price of $23.17 as of the date of closing of the 2025 PIPE Offerings.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Pursuant to the Strategic Advisory Agreement, Pantera  and Summer agreed not to sell, transfer, pledge, hedge, or otherwise dispose of any shares underlying the Strategic Advisory Warrants for 180 days after the closing of the 2025 PIPE Offerings (the “Advisor Lock-Up Period”), except (i) transfers to affiliates that agree in writing to be bound by the remainder of the Advisor Lock-Up Period, or (ii) with the Company’s prior written consent.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 inducement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21, 2025, the Company entered into warrant exercise inducement offer letters (the “Inducement Letters”) with certain holders (the “Holders”) of its existing 2024 Public Warrants to purchase shares of the Company’s Class A common stock (the “Existing Warrants”), pursuant to which the Holders agreed to exercise for cash their Existing Warrants to purchase an aggregate of 6,628 shares of the Company’s Class A common stock, in the aggregate, at a reduced exercise price of $563.25 per share, in exchange for the Company’s agreement to issue new Series C Warrants and Series D Warrants (the “Inducement Warrants”) on substantially the same terms as the Existing Warrants described below, to purchase up to 8,281 shares of the Company’s Class A common stock (the “Inducement Warrant Shares”). The Company received aggregate gross proceeds of approximately $3.7 million from the exercise of the Existing Warrants by the Holders. The Company engaged Roth Capital Partners, LLC (“Roth”) to act as its financial advisor with the transactions summarized above and has paid Roth $0.2 million for its services, in addition to reimbursement for certain expenses along with other legal and regulatory expenses of $0.1 million resulting in net proceeds of $3.4 million and non-cash share issuance costs of $1.0 million and $3.1 million related to the modification of the Existing Warrants and issuance of the Inducement Warrants, respectively. As of March 31, 2025, 3,572 shares (the “Abeyance Shares”) from the exercised Existing Warrants that were held in abeyance due to the ownership limitations from the warrant agreements have been issued at the direction of the 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21, 2025, stockholder approval was obtained for the issuance of the Inducement Warrants at the Company’s annual meeting of stockholders.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708" w:name="Tc_aR7WjvtQUEuR5lGmE037Wg_17_0"/>
      <w:bookmarkStart w:id="709" w:name="Tc__DGXc56TtkC0C4qQU76Tgg_16_10"/>
      <w:bookmarkStart w:id="710" w:name="Tc_azWqL5D3KUmWPNjldUO43Q_16_8"/>
      <w:bookmarkStart w:id="711" w:name="Tc_By5q3gHWd0WUNSfanZylmg_16_6"/>
      <w:bookmarkStart w:id="712" w:name="Tc_e4V7ft42L0aHyogdcdgnUA_16_4"/>
      <w:bookmarkStart w:id="713" w:name="Tc_oryy9ZYqH0SRT2PKacRDeg_16_2"/>
      <w:bookmarkStart w:id="714" w:name="Tc_KjCfeCGsN0K6BQpZMTDoUw_16_0"/>
      <w:bookmarkStart w:id="715" w:name="Tc_hu2TNlErKkakEdZXY6w6KQ_15_12"/>
      <w:bookmarkStart w:id="716" w:name="Tc_bWrazkFvaUyLxS9Rtx2Hsg_15_10"/>
      <w:bookmarkStart w:id="717" w:name="Tc_1puMg5DpAUuwPciVIPl99A_15_8"/>
      <w:bookmarkStart w:id="718" w:name="Tc_xdEVcKSCfEqNqr_M_iz_4A_15_6"/>
      <w:bookmarkStart w:id="719" w:name="Tc_4L9d7tJpRU-HeBMMAphbNg_15_4"/>
      <w:bookmarkStart w:id="720" w:name="Tc_b6fEBL7Dz0aWRr_4ddMUzg_15_0"/>
      <w:bookmarkStart w:id="721" w:name="Tc_6oP6o8A4I0SHmBBWzDGR6Q_14_0"/>
      <w:bookmarkStart w:id="722" w:name="Tc_86NbVI6WLU-wiPHO9z-vzQ_13_10"/>
      <w:bookmarkStart w:id="723" w:name="Tc_V7WXEXHTKECmUhMXuUrT5Q_13_8"/>
      <w:bookmarkStart w:id="724" w:name="Tc_O7UGivQIf0axqek7jJwbBA_13_6"/>
      <w:bookmarkStart w:id="725" w:name="Tc_Nbbk1cVPfkqWRpirOXO-Pw_13_4"/>
      <w:bookmarkStart w:id="726" w:name="Tc_xlN7Io0Qhki6ie-PNnOqyA_13_2"/>
      <w:bookmarkStart w:id="727" w:name="Tc_m85xC76bZkeyrCSuY3bu0g_13_0"/>
      <w:bookmarkStart w:id="728" w:name="Tc_yTQ0TU9GrUG5mgiZyHTdKg_12_12"/>
      <w:bookmarkStart w:id="729" w:name="Tc_eQ-CTJ4yuEC4F08jlROztA_12_10"/>
      <w:bookmarkStart w:id="730" w:name="Tc_KRYX-zi7HUe1fT19t09baQ_12_8"/>
      <w:bookmarkStart w:id="731" w:name="Tc_4hgkJetqIUesYzNMr9h86A_12_6"/>
      <w:bookmarkStart w:id="732" w:name="Tc_IK4P2qZmlUazVYQTyv7aXQ_12_4"/>
      <w:bookmarkStart w:id="733" w:name="Tc_cptitiGarU60CP9HXmvBJw_12_0"/>
      <w:bookmarkStart w:id="734" w:name="Tc_damEiFmcm0a8ao53plXlmg_11_6"/>
      <w:bookmarkStart w:id="735" w:name="Tc_N08HZCaGOE-uFsUq_gEqXg_11_4"/>
      <w:bookmarkStart w:id="736" w:name="Tc_jxFu-Au6_0-vMSq_f22E5Q_11_0"/>
      <w:bookmarkStart w:id="737" w:name="Tc_D8algdNjnEq4Apxj5EjBtQ_10_8"/>
      <w:bookmarkStart w:id="738" w:name="Tc_TWQaBWMdPU6-1WxMo8gXig_10_0"/>
      <w:bookmarkStart w:id="739" w:name="Tc_4fS7WgI46kKUS9wMNTj9Fw_9_10"/>
      <w:bookmarkStart w:id="740" w:name="Tc_yEEbfYCUFUOyu5Gw_4kw0A_9_6"/>
      <w:bookmarkStart w:id="741" w:name="Tc_uAJDcJyUkkGwrwOoERmd2Q_9_4"/>
      <w:bookmarkStart w:id="742" w:name="Tc_sQJ9hYGsFkiuatiyjFKFbQ_9_2"/>
      <w:bookmarkStart w:id="743" w:name="Tc_dRBuON73R06tmMDjE1mTAw_9_0"/>
      <w:bookmarkStart w:id="744" w:name="Tc_7Z9dj4EQcUqtPSJeCR-fvQ_8_10"/>
      <w:bookmarkStart w:id="745" w:name="Tc_hOi15jDDkUevwVQo58l4yQ_8_8"/>
      <w:bookmarkStart w:id="746" w:name="Tc_RShzEXmbF0qDazO7SNxj7Q_8_6"/>
      <w:bookmarkStart w:id="747" w:name="Tc_v1CsQtVFs0uC10BbHAcomQ_8_4"/>
      <w:bookmarkStart w:id="748" w:name="Tc_NhIRpMoizk-GaUQIKPxPJQ_8_2"/>
      <w:bookmarkStart w:id="749" w:name="Tc_5ZVGTOYD90Kqipu0g7Q7eA_8_0"/>
      <w:bookmarkStart w:id="750" w:name="Tc_EJWlpSXRzkG-zxn3dzDLBA_7_10"/>
      <w:bookmarkStart w:id="751" w:name="Tc_eYoWVxH6wUOEh3R4VXJX8Q_7_8"/>
      <w:bookmarkStart w:id="752" w:name="Tc_G5wqz5GL2ki0cX8PIIxvlA_7_6"/>
      <w:bookmarkStart w:id="753" w:name="Tc_5oOLt6Z67kGMY8X4utqEPg_7_4"/>
      <w:bookmarkStart w:id="754" w:name="Tc_IqhlxK_yD02BvoccnvwWaQ_7_2"/>
      <w:bookmarkStart w:id="755" w:name="Tc_fpJxgSA_REqoR204aabzGg_7_0"/>
      <w:bookmarkStart w:id="756" w:name="Tc_ppyBqfmqKE6fSRWhsMnG1w_6_10"/>
      <w:bookmarkStart w:id="757" w:name="Tc_YfRtZ7KSTkqqg2nMNLpJgA_6_8"/>
      <w:bookmarkStart w:id="758" w:name="Tc_bE1dfsre10eFNsuPWXV49Q_6_6"/>
      <w:bookmarkStart w:id="759" w:name="Tc_uJ-zi3bYLk64gRkaPuGIJg_6_4"/>
      <w:bookmarkStart w:id="760" w:name="Tc_02_kBrIF_kOjEh-y6twLdA_6_2"/>
      <w:bookmarkStart w:id="761" w:name="Tc_xAhki3BPgUGPC3r81-GYgQ_6_0"/>
      <w:bookmarkStart w:id="762" w:name="Tc_cLWIBbTBxUa6Vn5c325-eA_5_10"/>
      <w:bookmarkStart w:id="763" w:name="Tc_8CDWE859xUuwlPyCcRLOCA_5_6"/>
      <w:bookmarkStart w:id="764" w:name="Tc_SOm_OUBjPkO7MvzIsmQF4Q_5_4"/>
      <w:bookmarkStart w:id="765" w:name="Tc_3lRe3ajYt0WDRA86bADuLg_5_2"/>
      <w:bookmarkStart w:id="766" w:name="Tc_ob7Zg-SCwUa67g1D-2ZZOw_5_0"/>
      <w:bookmarkStart w:id="767" w:name="Tc_O73MpXnEIEGDPeHKKzIPzQ_4_12"/>
      <w:bookmarkStart w:id="768" w:name="Tc_hYFFRTq0KEm4IUFHVuIc_A_4_10"/>
      <w:bookmarkStart w:id="769" w:name="Tc_gjP8bN12TUqmpqt-Oej1xA_4_8"/>
      <w:bookmarkStart w:id="770" w:name="Tc_KAhYQ9t_FUutVIi8eOZRbg_4_6"/>
      <w:bookmarkStart w:id="771" w:name="Tc_8H8j-iP3FUi1rAcRkdOtLA_4_4"/>
      <w:bookmarkStart w:id="772" w:name="Tc_OqCW1UBKs0-HIjq1AwqdRA_4_2"/>
      <w:bookmarkStart w:id="773" w:name="Tc_STIGFhLqSUWW06pXh2OLQA_4_0"/>
      <w:bookmarkStart w:id="774" w:name="Tc_3l3kA1wsdUWWOoiQ2DO5yw_3_12"/>
      <w:bookmarkStart w:id="775" w:name="Tc_duu__vhEX0GVYtEplt7W5w_3_0"/>
      <w:bookmarkStart w:id="776" w:name="Tc_bnALOE6heE29hYWGnoKsLA_2_12"/>
      <w:bookmarkStart w:id="777" w:name="Tc_JZltf3h_WkOL4qocv0q9EQ_2_10"/>
      <w:bookmarkStart w:id="778" w:name="Tc_ndarSJV9b0i2YE5C5ock0A_2_8"/>
      <w:bookmarkStart w:id="779" w:name="Tc_Bn6uaUfT4UKL6_t63RokrQ_2_6"/>
      <w:bookmarkStart w:id="780" w:name="Tc_DzxCJh_rIUmyOLye0gAZ-Q_2_4"/>
      <w:bookmarkStart w:id="781" w:name="Tc_BvTyp08kJk-ruMm-DKqT1A_2_2"/>
      <w:bookmarkStart w:id="782" w:name="Tc_9fhCDl7ZXEGptuzzgjwPMg_2_0"/>
      <w:bookmarkStart w:id="783" w:name="Tc_i2y4j374002TbsqRej7l8g_1_14"/>
      <w:bookmarkStart w:id="784" w:name="Tc_LdPEiO0Lq02o5nmfko24Eg_1_12"/>
      <w:bookmarkStart w:id="785" w:name="Tc_24SqtwbiO0-JHCWjCN87uQ_1_10"/>
      <w:bookmarkStart w:id="786" w:name="Tc_o98YlcrChU2ZsGBl_p1Dow_1_8"/>
      <w:bookmarkStart w:id="787" w:name="Tc_sy6dbpCP40aZzbvAaFOZYg_1_6"/>
      <w:bookmarkStart w:id="788" w:name="Tc_OQnGuQ4DBkyVv7vIswt7Dg_1_4"/>
      <w:bookmarkStart w:id="789" w:name="Tc_OUAhwPvUnUu-9tHsJgwMCQ_1_2"/>
      <w:bookmarkStart w:id="790" w:name="_af8f4356_c246_4e32_8d36_7f8640af88b1"/>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r>
        <w:rPr>
          <w:rFonts w:ascii="Times New Roman;Times;serif" w:hAnsi="Times New Roman;Times;serif"/>
          <w:b/>
          <w:i/>
          <w:sz w:val="20"/>
        </w:rPr>
        <w:t>2025 At-The-Market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15, 2025, the Company entered into a Sales Agreement (the “2025 Sales Agreement”) with Clear Street and Maxim, as co-sales agents, to create an at-the-market offering program (the “2025 ATM”) under which the Company may offer and sell shares with an aggregate offering price of up to $92.8 million. Clear Street and Maxim are entitled to a fixed commission rate equal to up to 3% of the gross proceeds pursuant to the 2025 Sales Agreement. During the three months ended March 31, 2026 and 2025, no shares were sold under the 2025 ATM.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2023 At-The-Market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23, 2023, the Company entered into a Sales Agreement (the “2023 Sales Agreement”) with Roth to create an at-the-market offering program (the “2023 ATM”) under which the Company may offer and sell shares with an aggregate offering price of up to $2.0 million. Roth is entitled to a fixed commission rate equal to up to 3% of the gross proceeds pursuant to the 2023 Sales Agreement. On July 7, 2025, the Company filed a prospectus supplement that amended and supplemented the prior prospectus supplements related to the 2023 ATM to increase the maximum offering size to $25.0 million. During the three months ended March 31, 2026 and 2025, the Company sold zero and 124 shares, respectively, generating net proceeds after commissions of $0 and $74.5 thousand after deducting $2.5 thousand in commissions and fees,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provides a roll-forward of the number of shares of Class A common stock underlying warrants issued during the three months ended March 31, 2026 and the three months ended March 31,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23"/>
        <w:gridCol w:w="346"/>
        <w:gridCol w:w="984"/>
        <w:gridCol w:w="346"/>
        <w:gridCol w:w="941"/>
        <w:gridCol w:w="346"/>
        <w:gridCol w:w="864"/>
        <w:gridCol w:w="346"/>
        <w:gridCol w:w="839"/>
        <w:gridCol w:w="346"/>
        <w:gridCol w:w="970"/>
        <w:gridCol w:w="346"/>
        <w:gridCol w:w="847"/>
        <w:gridCol w:w="346"/>
        <w:gridCol w:w="1115"/>
      </w:tblGrid>
      <w:tr>
        <w:trPr/>
        <w:tc>
          <w:tcPr>
            <w:tcW w:w="1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76605" cy="175260"/>
                      <wp:effectExtent l="0" t="0" r="0" b="0"/>
                      <wp:wrapNone/>
                      <wp:docPr id="130" name="Frame129"/>
                      <a:graphic xmlns:a="http://schemas.openxmlformats.org/drawingml/2006/main">
                        <a:graphicData uri="http://schemas.microsoft.com/office/word/2010/wordprocessingShape">
                          <wps:wsp>
                            <wps:cNvSpPr txBox="1"/>
                            <wps:spPr>
                              <a:xfrm>
                                <a:off x="0" y="0"/>
                                <a:ext cx="776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24840" cy="175260"/>
                      <wp:effectExtent l="0" t="0" r="0" b="0"/>
                      <wp:wrapNone/>
                      <wp:docPr id="132" name="Frame131"/>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97535" cy="175260"/>
                      <wp:effectExtent l="0" t="0" r="0" b="0"/>
                      <wp:wrapNone/>
                      <wp:docPr id="134" name="Frame133"/>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48640" cy="175260"/>
                      <wp:effectExtent l="0" t="0" r="0" b="0"/>
                      <wp:wrapNone/>
                      <wp:docPr id="136" name="Frame135"/>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32765" cy="175260"/>
                      <wp:effectExtent l="0" t="0" r="0" b="0"/>
                      <wp:wrapNone/>
                      <wp:docPr id="138" name="Frame137"/>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15950" cy="175260"/>
                      <wp:effectExtent l="0" t="0" r="0" b="0"/>
                      <wp:wrapNone/>
                      <wp:docPr id="140" name="Frame139"/>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37845" cy="175260"/>
                      <wp:effectExtent l="0" t="0" r="0" b="0"/>
                      <wp:wrapNone/>
                      <wp:docPr id="142" name="Frame141"/>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08025" cy="175260"/>
                      <wp:effectExtent l="0" t="0" r="0" b="0"/>
                      <wp:wrapNone/>
                      <wp:docPr id="144" name="Frame143"/>
                      <a:graphic xmlns:a="http://schemas.openxmlformats.org/drawingml/2006/main">
                        <a:graphicData uri="http://schemas.microsoft.com/office/word/2010/wordprocessingShape">
                          <wps:wsp>
                            <wps:cNvSpPr txBox="1"/>
                            <wps:spPr>
                              <a:xfrm>
                                <a:off x="0" y="0"/>
                                <a:ext cx="708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2025 </w:t>
              <w:br/>
              <w:t xml:space="preserve">Pre-funded </w:t>
              <w:br/>
              <w:t>Warrants</w:t>
            </w:r>
          </w:p>
        </w:tc>
        <w:tc>
          <w:tcPr>
            <w:tcW w:w="346" w:type="dxa"/>
            <w:tcBorders/>
            <w:vAlign w:val="center"/>
          </w:tcPr>
          <w:p>
            <w:pPr>
              <w:pStyle w:val="TableContents"/>
              <w:bidi w:val="0"/>
              <w:spacing w:before="0" w:after="1"/>
              <w:ind w:left="0" w:right="0" w:hanging="0"/>
              <w:jc w:val="left"/>
              <w:rPr/>
            </w:pPr>
            <w:r>
              <w:rPr/>
              <w:t>  ​ ​ ​</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2025 Stapled </w:t>
              <w:br/>
              <w:t>Warrants</w:t>
            </w:r>
          </w:p>
        </w:tc>
        <w:tc>
          <w:tcPr>
            <w:tcW w:w="346" w:type="dxa"/>
            <w:tcBorders/>
            <w:vAlign w:val="center"/>
          </w:tcPr>
          <w:p>
            <w:pPr>
              <w:pStyle w:val="TableContents"/>
              <w:bidi w:val="0"/>
              <w:spacing w:before="0" w:after="1"/>
              <w:ind w:left="0" w:right="0" w:hanging="0"/>
              <w:jc w:val="left"/>
              <w:rPr/>
            </w:pPr>
            <w:r>
              <w:rPr/>
              <w:t>  ​ ​ ​</w:t>
            </w:r>
          </w:p>
        </w:tc>
        <w:tc>
          <w:tcPr>
            <w:tcW w:w="86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Base Advisor </w:t>
              <w:br/>
              <w:t>Warrants</w:t>
            </w:r>
          </w:p>
        </w:tc>
        <w:tc>
          <w:tcPr>
            <w:tcW w:w="346" w:type="dxa"/>
            <w:tcBorders/>
            <w:vAlign w:val="center"/>
          </w:tcPr>
          <w:p>
            <w:pPr>
              <w:pStyle w:val="TableContents"/>
              <w:bidi w:val="0"/>
              <w:spacing w:before="0" w:after="1"/>
              <w:ind w:left="0" w:right="0" w:hanging="0"/>
              <w:jc w:val="left"/>
              <w:rPr/>
            </w:pPr>
            <w:r>
              <w:rPr/>
              <w:t>  ​ ​ ​</w:t>
            </w:r>
          </w:p>
        </w:tc>
        <w:tc>
          <w:tcPr>
            <w:tcW w:w="8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2022 Public </w:t>
              <w:br/>
              <w:t>Warrants</w:t>
            </w:r>
          </w:p>
        </w:tc>
        <w:tc>
          <w:tcPr>
            <w:tcW w:w="346" w:type="dxa"/>
            <w:tcBorders/>
            <w:vAlign w:val="center"/>
          </w:tcPr>
          <w:p>
            <w:pPr>
              <w:pStyle w:val="TableContents"/>
              <w:bidi w:val="0"/>
              <w:spacing w:before="0" w:after="1"/>
              <w:ind w:left="0" w:right="0" w:hanging="0"/>
              <w:jc w:val="left"/>
              <w:rPr/>
            </w:pPr>
            <w:r>
              <w:rPr/>
              <w:t>  ​ ​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 Common Warrants</w:t>
            </w:r>
          </w:p>
        </w:tc>
        <w:tc>
          <w:tcPr>
            <w:tcW w:w="346" w:type="dxa"/>
            <w:tcBorders/>
            <w:vAlign w:val="center"/>
          </w:tcPr>
          <w:p>
            <w:pPr>
              <w:pStyle w:val="TableContents"/>
              <w:bidi w:val="0"/>
              <w:spacing w:before="0" w:after="1"/>
              <w:ind w:left="0" w:right="0" w:hanging="0"/>
              <w:jc w:val="left"/>
              <w:rPr/>
            </w:pPr>
            <w:r>
              <w:rPr/>
              <w:t>  ​ ​ ​</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Equity</w:t>
              <w:br/>
              <w:t>Warrants</w:t>
            </w:r>
          </w:p>
        </w:tc>
        <w:tc>
          <w:tcPr>
            <w:tcW w:w="346" w:type="dxa"/>
            <w:tcBorders/>
            <w:vAlign w:val="center"/>
          </w:tcPr>
          <w:p>
            <w:pPr>
              <w:pStyle w:val="TableContents"/>
              <w:bidi w:val="0"/>
              <w:spacing w:before="0" w:after="1"/>
              <w:ind w:left="0" w:right="0" w:hanging="0"/>
              <w:jc w:val="left"/>
              <w:rPr/>
            </w:pPr>
            <w:r>
              <w:rPr/>
              <w:t>  ​ ​ ​</w:t>
            </w:r>
          </w:p>
        </w:tc>
        <w:tc>
          <w:tcPr>
            <w:tcW w:w="111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23"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Classification</w:t>
            </w:r>
          </w:p>
        </w:tc>
        <w:tc>
          <w:tcPr>
            <w:tcW w:w="346"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sz w:val="16"/>
              </w:rPr>
              <w:t>Equity</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center"/>
              <w:rPr/>
            </w:pPr>
            <w:r>
              <w:rPr/>
              <w:t>​</w:t>
            </w:r>
          </w:p>
        </w:tc>
        <w:tc>
          <w:tcPr>
            <w:tcW w:w="941"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sz w:val="16"/>
              </w:rPr>
              <w:t>Equity</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sz w:val="16"/>
              </w:rPr>
              <w:t>Equity</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sz w:val="16"/>
              </w:rPr>
              <w:t>Equity</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center"/>
              <w:rPr/>
            </w:pPr>
            <w:r>
              <w:rPr/>
              <w:t>​</w:t>
            </w:r>
          </w:p>
        </w:tc>
      </w:tr>
      <w:tr>
        <w:trPr/>
        <w:tc>
          <w:tcPr>
            <w:tcW w:w="1223"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Exercise Price ($)</w:t>
            </w:r>
          </w:p>
        </w:tc>
        <w:tc>
          <w:tcPr>
            <w:tcW w:w="346"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0.001</w:t>
            </w:r>
          </w:p>
        </w:tc>
        <w:tc>
          <w:tcPr>
            <w:tcW w:w="346" w:type="dxa"/>
            <w:tcBorders/>
            <w:vAlign w:val="center"/>
          </w:tcPr>
          <w:p>
            <w:pPr>
              <w:pStyle w:val="TableContents"/>
              <w:bidi w:val="0"/>
              <w:spacing w:before="0" w:after="1"/>
              <w:ind w:left="0" w:right="0" w:hanging="0"/>
              <w:jc w:val="center"/>
              <w:rPr/>
            </w:pPr>
            <w:r>
              <w:rPr/>
              <w:t>​</w:t>
            </w:r>
          </w:p>
        </w:tc>
        <w:tc>
          <w:tcPr>
            <w:tcW w:w="9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10.134</w:t>
            </w:r>
          </w:p>
        </w:tc>
        <w:tc>
          <w:tcPr>
            <w:tcW w:w="346"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0.001</w:t>
            </w:r>
          </w:p>
        </w:tc>
        <w:tc>
          <w:tcPr>
            <w:tcW w:w="34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6.756</w:t>
            </w:r>
          </w:p>
        </w:tc>
        <w:tc>
          <w:tcPr>
            <w:tcW w:w="346"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47.55</w:t>
            </w:r>
          </w:p>
        </w:tc>
        <w:tc>
          <w:tcPr>
            <w:tcW w:w="34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sz w:val="16"/>
              </w:rPr>
              <w:t>Various</w:t>
            </w:r>
            <w:r>
              <w:rPr>
                <w:rFonts w:ascii="Times New Roman;Times;serif" w:hAnsi="Times New Roman;Times;serif"/>
                <w:sz w:val="12"/>
              </w:rPr>
              <w:t>(2)</w:t>
            </w:r>
          </w:p>
        </w:tc>
        <w:tc>
          <w:tcPr>
            <w:tcW w:w="346"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center"/>
              <w:rPr/>
            </w:pPr>
            <w:r>
              <w:rPr/>
              <w:t>​</w:t>
            </w:r>
          </w:p>
        </w:tc>
      </w:tr>
      <w:tr>
        <w:trPr/>
        <w:tc>
          <w:tcPr>
            <w:tcW w:w="1223"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Expiration Date</w:t>
            </w:r>
          </w:p>
        </w:tc>
        <w:tc>
          <w:tcPr>
            <w:tcW w:w="346"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1"/>
              <w:ind w:left="0" w:right="0" w:hanging="0"/>
              <w:jc w:val="center"/>
              <w:rPr/>
            </w:pPr>
            <w:r>
              <w:rPr/>
              <w:t>​</w:t>
            </w:r>
          </w:p>
        </w:tc>
        <w:tc>
          <w:tcPr>
            <w:tcW w:w="941"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sz w:val="16"/>
              </w:rPr>
              <w:t>Various</w:t>
            </w:r>
            <w:r>
              <w:rPr>
                <w:rFonts w:ascii="Times New Roman;Times;serif" w:hAnsi="Times New Roman;Times;serif"/>
                <w:sz w:val="12"/>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Oct-30</w:t>
            </w:r>
          </w:p>
        </w:tc>
        <w:tc>
          <w:tcPr>
            <w:tcW w:w="34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Aug-2027</w:t>
            </w:r>
          </w:p>
        </w:tc>
        <w:tc>
          <w:tcPr>
            <w:tcW w:w="346"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Dec-2027</w:t>
            </w:r>
          </w:p>
        </w:tc>
        <w:tc>
          <w:tcPr>
            <w:tcW w:w="346"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sz w:val="16"/>
              </w:rPr>
              <w:t>Various</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center"/>
              <w:rPr/>
            </w:pPr>
            <w:r>
              <w:rPr/>
              <w:t>​</w:t>
            </w:r>
          </w:p>
        </w:tc>
      </w:tr>
      <w:tr>
        <w:trPr/>
        <w:tc>
          <w:tcPr>
            <w:tcW w:w="122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December 31, 2024</w:t>
            </w:r>
          </w:p>
        </w:tc>
        <w:tc>
          <w:tcPr>
            <w:tcW w:w="346"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804</w:t>
            </w:r>
          </w:p>
        </w:tc>
        <w:tc>
          <w:tcPr>
            <w:tcW w:w="346"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7,807</w:t>
            </w:r>
          </w:p>
        </w:tc>
        <w:tc>
          <w:tcPr>
            <w:tcW w:w="346"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8,611</w:t>
            </w:r>
          </w:p>
        </w:tc>
      </w:tr>
      <w:tr>
        <w:trPr/>
        <w:tc>
          <w:tcPr>
            <w:tcW w:w="12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Issuances</w:t>
            </w:r>
          </w:p>
        </w:tc>
        <w:tc>
          <w:tcPr>
            <w:tcW w:w="346"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8,281</w:t>
            </w:r>
          </w:p>
        </w:tc>
        <w:tc>
          <w:tcPr>
            <w:tcW w:w="346"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8,281</w:t>
            </w:r>
          </w:p>
        </w:tc>
      </w:tr>
      <w:tr>
        <w:trPr/>
        <w:tc>
          <w:tcPr>
            <w:tcW w:w="122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Exercises</w:t>
            </w:r>
          </w:p>
        </w:tc>
        <w:tc>
          <w:tcPr>
            <w:tcW w:w="346"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(3,072)</w:t>
            </w:r>
          </w:p>
        </w:tc>
        <w:tc>
          <w:tcPr>
            <w:tcW w:w="346"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(3,072)</w:t>
            </w:r>
          </w:p>
        </w:tc>
      </w:tr>
      <w:tr>
        <w:trPr/>
        <w:tc>
          <w:tcPr>
            <w:tcW w:w="12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Expirations</w:t>
            </w:r>
          </w:p>
        </w:tc>
        <w:tc>
          <w:tcPr>
            <w:tcW w:w="346" w:type="dxa"/>
            <w:tcBorders/>
            <w:shd w:fill="CCEEFF" w:val="clear"/>
            <w:vAlign w:val="center"/>
          </w:tcPr>
          <w:p>
            <w:pPr>
              <w:pStyle w:val="TableContents"/>
              <w:bidi w:val="0"/>
              <w:spacing w:before="0" w:after="1"/>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1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22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March 31, 2025</w:t>
            </w:r>
          </w:p>
        </w:tc>
        <w:tc>
          <w:tcPr>
            <w:tcW w:w="346"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804</w:t>
            </w:r>
          </w:p>
        </w:tc>
        <w:tc>
          <w:tcPr>
            <w:tcW w:w="346"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13,014</w:t>
            </w:r>
          </w:p>
        </w:tc>
        <w:tc>
          <w:tcPr>
            <w:tcW w:w="346"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13,818</w:t>
            </w:r>
          </w:p>
        </w:tc>
      </w:tr>
      <w:tr>
        <w:trPr/>
        <w:tc>
          <w:tcPr>
            <w:tcW w:w="12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Issuances</w:t>
            </w:r>
          </w:p>
        </w:tc>
        <w:tc>
          <w:tcPr>
            <w:tcW w:w="346"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36,261,239</w:t>
            </w:r>
          </w:p>
        </w:tc>
        <w:tc>
          <w:tcPr>
            <w:tcW w:w="346"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73,941,196</w:t>
            </w:r>
          </w:p>
        </w:tc>
        <w:tc>
          <w:tcPr>
            <w:tcW w:w="346"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7,394,119</w:t>
            </w:r>
          </w:p>
        </w:tc>
        <w:tc>
          <w:tcPr>
            <w:tcW w:w="34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293,235</w:t>
            </w:r>
          </w:p>
        </w:tc>
        <w:tc>
          <w:tcPr>
            <w:tcW w:w="346"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24,550</w:t>
            </w:r>
          </w:p>
        </w:tc>
        <w:tc>
          <w:tcPr>
            <w:tcW w:w="346"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117,914,339</w:t>
            </w:r>
          </w:p>
        </w:tc>
      </w:tr>
      <w:tr>
        <w:trPr/>
        <w:tc>
          <w:tcPr>
            <w:tcW w:w="122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Exercises</w:t>
            </w:r>
          </w:p>
        </w:tc>
        <w:tc>
          <w:tcPr>
            <w:tcW w:w="346"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(3,269,896)</w:t>
            </w:r>
          </w:p>
        </w:tc>
        <w:tc>
          <w:tcPr>
            <w:tcW w:w="346"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w:t>
            </w:r>
          </w:p>
        </w:tc>
        <w:tc>
          <w:tcPr>
            <w:tcW w:w="346"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(293,233)</w:t>
            </w:r>
          </w:p>
        </w:tc>
        <w:tc>
          <w:tcPr>
            <w:tcW w:w="34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(28,122)</w:t>
            </w:r>
          </w:p>
        </w:tc>
        <w:tc>
          <w:tcPr>
            <w:tcW w:w="346"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(3,591,438)</w:t>
            </w:r>
          </w:p>
        </w:tc>
      </w:tr>
      <w:tr>
        <w:trPr/>
        <w:tc>
          <w:tcPr>
            <w:tcW w:w="122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Exercised but not issued</w:t>
            </w:r>
            <w:r>
              <w:rPr>
                <w:rFonts w:ascii="Times New Roman;Times;serif" w:hAnsi="Times New Roman;Times;serif"/>
                <w:sz w:val="12"/>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(2,298,075)</w:t>
            </w:r>
          </w:p>
        </w:tc>
        <w:tc>
          <w:tcPr>
            <w:tcW w:w="346"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(2,298,075)</w:t>
            </w:r>
          </w:p>
        </w:tc>
      </w:tr>
      <w:tr>
        <w:trPr/>
        <w:tc>
          <w:tcPr>
            <w:tcW w:w="122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Expirations</w:t>
            </w:r>
          </w:p>
        </w:tc>
        <w:tc>
          <w:tcPr>
            <w:tcW w:w="346" w:type="dxa"/>
            <w:tcBorders/>
            <w:vAlign w:val="center"/>
          </w:tcPr>
          <w:p>
            <w:pPr>
              <w:pStyle w:val="TableContents"/>
              <w:bidi w:val="0"/>
              <w:spacing w:before="0" w:after="1"/>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(485)</w:t>
            </w:r>
          </w:p>
        </w:tc>
        <w:tc>
          <w:tcPr>
            <w:tcW w:w="346" w:type="dxa"/>
            <w:tcBorders/>
            <w:vAlign w:val="center"/>
          </w:tcPr>
          <w:p>
            <w:pPr>
              <w:pStyle w:val="TableContents"/>
              <w:bidi w:val="0"/>
              <w:spacing w:before="0" w:after="1"/>
              <w:ind w:left="0" w:right="0" w:hanging="0"/>
              <w:jc w:val="left"/>
              <w:rPr/>
            </w:pPr>
            <w:r>
              <w:rPr/>
              <w:t>​</w:t>
            </w:r>
          </w:p>
        </w:tc>
        <w:tc>
          <w:tcPr>
            <w:tcW w:w="11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(485)</w:t>
            </w:r>
          </w:p>
        </w:tc>
      </w:tr>
      <w:tr>
        <w:trPr/>
        <w:tc>
          <w:tcPr>
            <w:tcW w:w="12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30,693,268</w:t>
            </w:r>
          </w:p>
        </w:tc>
        <w:tc>
          <w:tcPr>
            <w:tcW w:w="346"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73,941,196</w:t>
            </w:r>
          </w:p>
        </w:tc>
        <w:tc>
          <w:tcPr>
            <w:tcW w:w="346"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7,394,119</w:t>
            </w:r>
          </w:p>
        </w:tc>
        <w:tc>
          <w:tcPr>
            <w:tcW w:w="34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617</w:t>
            </w:r>
          </w:p>
        </w:tc>
        <w:tc>
          <w:tcPr>
            <w:tcW w:w="346"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8,957</w:t>
            </w:r>
          </w:p>
        </w:tc>
        <w:tc>
          <w:tcPr>
            <w:tcW w:w="346"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112,038,159</w:t>
            </w:r>
          </w:p>
        </w:tc>
      </w:tr>
      <w:tr>
        <w:trPr/>
        <w:tc>
          <w:tcPr>
            <w:tcW w:w="122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Exercises</w:t>
            </w:r>
          </w:p>
        </w:tc>
        <w:tc>
          <w:tcPr>
            <w:tcW w:w="346"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(10,527,247)</w:t>
            </w:r>
          </w:p>
        </w:tc>
        <w:tc>
          <w:tcPr>
            <w:tcW w:w="346"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(10,527,247)</w:t>
            </w:r>
          </w:p>
        </w:tc>
      </w:tr>
      <w:tr>
        <w:trPr/>
        <w:tc>
          <w:tcPr>
            <w:tcW w:w="12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Expirations</w:t>
            </w:r>
          </w:p>
        </w:tc>
        <w:tc>
          <w:tcPr>
            <w:tcW w:w="346" w:type="dxa"/>
            <w:tcBorders/>
            <w:shd w:fill="CCEEFF" w:val="clear"/>
            <w:vAlign w:val="center"/>
          </w:tcPr>
          <w:p>
            <w:pPr>
              <w:pStyle w:val="TableContents"/>
              <w:bidi w:val="0"/>
              <w:spacing w:before="0" w:after="1"/>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1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22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March 31, 2026</w:t>
            </w:r>
          </w:p>
        </w:tc>
        <w:tc>
          <w:tcPr>
            <w:tcW w:w="346"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20,166,021</w:t>
            </w:r>
          </w:p>
        </w:tc>
        <w:tc>
          <w:tcPr>
            <w:tcW w:w="346"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73,941,196</w:t>
            </w:r>
          </w:p>
        </w:tc>
        <w:tc>
          <w:tcPr>
            <w:tcW w:w="346"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7,394,119</w:t>
            </w:r>
          </w:p>
        </w:tc>
        <w:tc>
          <w:tcPr>
            <w:tcW w:w="34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617</w:t>
            </w:r>
          </w:p>
        </w:tc>
        <w:tc>
          <w:tcPr>
            <w:tcW w:w="346"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8,956</w:t>
            </w:r>
          </w:p>
        </w:tc>
        <w:tc>
          <w:tcPr>
            <w:tcW w:w="346"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101,510,911</w:t>
            </w:r>
          </w:p>
        </w:tc>
      </w:tr>
    </w:tbl>
    <w:p>
      <w:pPr>
        <w:pStyle w:val="TextBody"/>
        <w:bidi w:val="0"/>
        <w:spacing w:before="0" w:after="24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3"/>
        <w:gridCol w:w="9828"/>
      </w:tblGrid>
      <w:tr>
        <w:trPr/>
        <w:tc>
          <w:tcPr>
            <w:tcW w:w="124" w:type="dxa"/>
            <w:tcBorders/>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2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outstanding equity-classified warrants as of March 31, 2026 have a weighted average exercise price of $7.44.</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8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Exercise prices for outstanding other equity warrants as of March 31, 2026 range from $563.25</w:t>
            </w:r>
            <w:r>
              <w:rPr>
                <w:caps w:val="false"/>
                <w:smallCaps w:val="false"/>
              </w:rPr>
              <w:t xml:space="preserve"> </w:t>
            </w:r>
            <w:r>
              <w:rPr>
                <w:rFonts w:ascii="Times New Roman;Times;serif" w:hAnsi="Times New Roman;Times;serif"/>
                <w:b w:val="false"/>
                <w:i w:val="false"/>
                <w:caps w:val="false"/>
                <w:smallCaps w:val="false"/>
                <w:sz w:val="20"/>
              </w:rPr>
              <w:t>to $1,856.25</w:t>
            </w:r>
            <w:r>
              <w:rPr>
                <w:caps w:val="false"/>
                <w:smallCaps w:val="false"/>
              </w:rPr>
              <w:t xml:space="preserve"> </w:t>
            </w:r>
            <w:r>
              <w:rPr>
                <w:rFonts w:ascii="Times New Roman;Times;serif" w:hAnsi="Times New Roman;Times;serif"/>
                <w:b w:val="false"/>
                <w:i w:val="false"/>
                <w:caps w:val="false"/>
                <w:smallCaps w:val="false"/>
                <w:sz w:val="20"/>
              </w:rPr>
              <w:t>per share of Class A common stock exercised.</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dates for outstanding other equity warrants as of March 31, 2026 range from April 2027 to April 2030.</w:t>
            </w:r>
          </w:p>
        </w:tc>
      </w:tr>
    </w:tbl>
    <w:tbl>
      <w:tblPr>
        <w:tblW w:w="10205" w:type="dxa"/>
        <w:jc w:val="left"/>
        <w:tblInd w:w="0" w:type="dxa"/>
        <w:tblLayout w:type="fixed"/>
        <w:tblCellMar>
          <w:top w:w="28" w:type="dxa"/>
          <w:left w:w="28" w:type="dxa"/>
          <w:bottom w:w="28" w:type="dxa"/>
          <w:right w:w="28" w:type="dxa"/>
        </w:tblCellMar>
      </w:tblPr>
      <w:tblGrid>
        <w:gridCol w:w="124"/>
        <w:gridCol w:w="251"/>
        <w:gridCol w:w="9830"/>
      </w:tblGrid>
      <w:tr>
        <w:trPr/>
        <w:tc>
          <w:tcPr>
            <w:tcW w:w="124" w:type="dxa"/>
            <w:tcBorders/>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98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received formal notice of exercise from the holder and shares were issued in January 2026.</w:t>
            </w:r>
          </w:p>
        </w:tc>
      </w:tr>
    </w:tbl>
    <w:tbl>
      <w:tblPr>
        <w:tblW w:w="10205" w:type="dxa"/>
        <w:jc w:val="left"/>
        <w:tblInd w:w="0" w:type="dxa"/>
        <w:tblLayout w:type="fixed"/>
        <w:tblCellMar>
          <w:top w:w="28" w:type="dxa"/>
          <w:left w:w="28" w:type="dxa"/>
          <w:bottom w:w="28" w:type="dxa"/>
          <w:right w:w="28" w:type="dxa"/>
        </w:tblCellMar>
      </w:tblPr>
      <w:tblGrid>
        <w:gridCol w:w="124"/>
        <w:gridCol w:w="250"/>
        <w:gridCol w:w="9831"/>
      </w:tblGrid>
      <w:tr>
        <w:trPr/>
        <w:tc>
          <w:tcPr>
            <w:tcW w:w="124" w:type="dxa"/>
            <w:tcBorders/>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(5)</w:t>
            </w:r>
          </w:p>
        </w:tc>
        <w:tc>
          <w:tcPr>
            <w:tcW w:w="9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Stapled Warrants have an expiration of June 2028 and the Cryptocurrency Stapled Warrants have an expiration of July 2028</w:t>
            </w:r>
          </w:p>
        </w:tc>
      </w:tr>
    </w:tbl>
    <w:p>
      <w:pPr>
        <w:pStyle w:val="TextBody"/>
        <w:bidi w:val="0"/>
        <w:spacing w:before="0" w:after="0"/>
        <w:ind w:left="90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91" w:name="Tc_xdkRjzbip02vbA7Li-NQKw_7_4"/>
      <w:bookmarkStart w:id="792" w:name="Tc_qDPb81d2kU6TEoxfFc0w3Q_7_0"/>
      <w:bookmarkStart w:id="793" w:name="Tc_qKEuC17Kyk2-xSpd0Sq4Xw_6_0"/>
      <w:bookmarkStart w:id="794" w:name="Tc_8Ptv8Z2kIkiDDhfomcTGjw_5_0"/>
      <w:bookmarkStart w:id="795" w:name="Tc_ijsxgl7To0yAB14RminGRA_4_5"/>
      <w:bookmarkStart w:id="796" w:name="Tc_n7XLufox4Umh6VGv6ODZyg_4_4"/>
      <w:bookmarkStart w:id="797" w:name="Tc_C23212g1_U-W2KM1fMVXBg_4_2"/>
      <w:bookmarkStart w:id="798" w:name="Tc_w6GYjdQmZE-ynMS5nyQ_jA_4_0"/>
      <w:bookmarkStart w:id="799" w:name="Tc_um9cA1-r5kK_Kl6FGTB-gQ_3_4"/>
      <w:bookmarkStart w:id="800" w:name="Tc_8BiuwLO_uEKPBy0FUWtt8w_3_2"/>
      <w:bookmarkStart w:id="801" w:name="Tc_T3muOHTjXEO3mJod9pnEhw_2_4"/>
      <w:bookmarkStart w:id="802" w:name="Tc_7ml_iHmLLEa13eHm9V1O8Q_1_4"/>
      <w:bookmarkStart w:id="803" w:name="Tc_WXouMhwDqEiTJ-YJpacO_A_7_6"/>
      <w:bookmarkStart w:id="804" w:name="Tc_jPcu1tEdLE-XvLyM8hBJSw_7_3"/>
      <w:bookmarkStart w:id="805" w:name="Tc_83iI9mB_RUCWMWLn5SY-tA_7_0"/>
      <w:bookmarkStart w:id="806" w:name="Tc_qrUtG5NfiE68kiNxYbuyJA_6_8"/>
      <w:bookmarkStart w:id="807" w:name="Tc_h6xgamsF10-8LvqcrVikEQ_6_5"/>
      <w:bookmarkStart w:id="808" w:name="Tc_dKv12OfccEOZS9a0zvw4bg_6_0"/>
      <w:bookmarkStart w:id="809" w:name="Tc_-lQLVncVu0eM2p2V-60eWQ_5_0"/>
      <w:bookmarkStart w:id="810" w:name="Tc_PpyMfT5pREOfh-IWmOjzUQ_4_8"/>
      <w:bookmarkStart w:id="811" w:name="Tc_rgBm0f5ZNUiqJQBXmM9RwA_4_5"/>
      <w:bookmarkStart w:id="812" w:name="Tc_mMfJ-5xRckKB7Eq9RraZ1Q_4_0"/>
      <w:bookmarkStart w:id="813" w:name="Tc_2kj_naHt2ka00RxFT2wuog_3_8"/>
      <w:bookmarkStart w:id="814" w:name="Tc_aIXSFP_0ikycb_-YspHk-A_3_5"/>
      <w:bookmarkStart w:id="815" w:name="Tc_Ujenf8NIVUG0GnAfJv1xYA_3_0"/>
      <w:bookmarkStart w:id="816" w:name="Tc_zjopHa550E6DUkliWRZDUg_2_6"/>
      <w:bookmarkStart w:id="817" w:name="Tc_uCAy_MODSU-2GhHP9qiYgQ_2_3"/>
      <w:bookmarkStart w:id="818" w:name="Tc_Uzh2cENMeE23uhdaIVF23Q_1_3"/>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r>
        <w:rPr>
          <w:rFonts w:ascii="Times New Roman;Times;serif" w:hAnsi="Times New Roman;Times;serif"/>
          <w:b/>
          <w:sz w:val="20"/>
        </w:rPr>
        <w:t>8.    STOCK-BASED COMPENSATION</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 xml:space="preserve">The Company may issue stock-based compensation awards under the Company’s 2022 Equity Incentive Plan (as amended, the “2022 Plan”) or the Company’s 2021 Inducement Plan (as amended, the “Inducement Plan”), as described more fully in the Company’s Annual Report on Form 10 K for the year ended December 31, 2025 filed with the SEC on March 31, 2026. </w:t>
      </w:r>
    </w:p>
    <w:p>
      <w:pPr>
        <w:pStyle w:val="TextBody"/>
        <w:bidi w:val="0"/>
        <w:spacing w:lineRule="auto" w:line="240" w:before="0" w:after="240"/>
        <w:ind w:left="0" w:right="0" w:hanging="0"/>
        <w:jc w:val="left"/>
        <w:rPr>
          <w:rFonts w:ascii="Times New Roman;Times;serif" w:hAnsi="Times New Roman;Times;serif"/>
          <w:i/>
          <w:sz w:val="20"/>
        </w:rPr>
      </w:pPr>
      <w:r>
        <w:rPr>
          <w:rFonts w:ascii="Times New Roman;Times;serif" w:hAnsi="Times New Roman;Times;serif"/>
          <w:i w:val="false"/>
          <w:caps w:val="false"/>
          <w:smallCaps w:val="false"/>
          <w:sz w:val="20"/>
        </w:rPr>
        <w:t>On May 30, 2024, the Board adopted a First Amendment (the “Amendment”) to the 2022 Plan. On June 27, 2024, at the annual meeting of stockholders, the stockholders of the Company approved the Amendment. Pursuant to the terms and conditions of the Amendment, the 2022 Plan was amended to increase the aggregate number of shares of Class A common stock that may be issued under the 2022 Plan to 2,785</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new shares with an automatic increase on January 1st of each year by an amount equal to 5%</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of the fully diluted shares (as defined in the 2022 Plan) as of the last day of the preceding calendar year. As of January 1, 2025, the number of shares authorized for issuance increased from 2,785</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to 3,605. On April 22, 2025, the Board adopted an amendment to the 2022 Plan to increase the aggregate number of shares of Class A common stock that may be issued under the 2022 Plan to 20%</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of the fully diluted shares on the 10</w:t>
      </w:r>
      <w:r>
        <w:rPr>
          <w:rFonts w:ascii="Times New Roman;Times;serif" w:hAnsi="Times New Roman;Times;serif"/>
          <w:i w:val="false"/>
          <w:caps w:val="false"/>
          <w:smallCaps w:val="false"/>
          <w:sz w:val="15"/>
        </w:rPr>
        <w:t>th</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calendar date following the first closing of a registered offering of the Company’s Class A common stock that occurs on or after May 15, 2025 (the “April Equity Plan Amendment”). The April Equity Plan Amendment was approved by stockholders at the special stockholders meeting held on May 23, 2025, and on June 16, 2025, following the 2025 Offering, the number of shares authorized for issuance increased from 3,605</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to 142,286. On September 25, 2025, the Board adopted an amendment to the 2022 Plan to increase the aggregate number of shares of Class A common stock that may be issued under the 2022 Plan by 4,000,000</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shares (the “September Equity Plan Amendment”). The September Equity Plan Amendment was approved by stockholders at the special stockholders meeting held on October 30, 2025, and the number of shares authorized for issuance increased from 142,286</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to 4,142,286. On January 1, 2026, the number of shares authorized for issuance increased by 7,965,869</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 xml:space="preserve">to 12,108,155.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val="false"/>
          <w:caps w:val="false"/>
          <w:smallCaps w:val="false"/>
          <w:sz w:val="20"/>
        </w:rPr>
        <w:t>As of March 31, 2026, the remaining shares available for grant were 10,768,901</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under the 2022 Plan and 168</w:t>
      </w:r>
      <w:r>
        <w:rPr>
          <w:rFonts w:ascii="Times New Roman;Times;serif" w:hAnsi="Times New Roman;Times;serif"/>
          <w:i/>
          <w:sz w:val="20"/>
        </w:rPr>
        <w:t xml:space="preserve"> </w:t>
      </w:r>
      <w:r>
        <w:rPr>
          <w:rFonts w:ascii="Times New Roman;Times;serif" w:hAnsi="Times New Roman;Times;serif"/>
          <w:i w:val="false"/>
          <w:caps w:val="false"/>
          <w:smallCaps w:val="false"/>
          <w:sz w:val="20"/>
        </w:rPr>
        <w:t>under the Inducement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three months ended March 31, 2026, the Company granted 94,116 stock options out of the 2022 Plan and no stock options out of the Inducement Plan at a weighted average exercise price of $6.88 per share. The options vest over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and expire ten years after the grant date. 847 stock options were granted under the 2022 Plan during the three months ended March 31,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grant date fair values of the stock options were estimated using the Black-Scholes option pricing model using the following weighted average assumptions:</w:t>
      </w:r>
    </w:p>
    <w:p>
      <w:pPr>
        <w:pStyle w:val="TextBody"/>
        <w:bidi w:val="0"/>
        <w:spacing w:before="0" w:after="0"/>
        <w:ind w:left="0" w:right="0" w:hanging="0"/>
        <w:jc w:val="left"/>
        <w:rPr/>
      </w:pPr>
      <w:r>
        <w:rPr/>
        <w:t>​</w:t>
      </w:r>
    </w:p>
    <w:tbl>
      <w:tblPr>
        <w:tblW w:w="5582" w:type="dxa"/>
        <w:jc w:val="left"/>
        <w:tblInd w:w="0" w:type="dxa"/>
        <w:tblLayout w:type="fixed"/>
        <w:tblCellMar>
          <w:top w:w="0" w:type="dxa"/>
          <w:left w:w="0" w:type="dxa"/>
          <w:bottom w:w="0" w:type="dxa"/>
          <w:right w:w="0" w:type="dxa"/>
        </w:tblCellMar>
      </w:tblPr>
      <w:tblGrid>
        <w:gridCol w:w="2131"/>
        <w:gridCol w:w="346"/>
        <w:gridCol w:w="346"/>
        <w:gridCol w:w="241"/>
        <w:gridCol w:w="774"/>
        <w:gridCol w:w="413"/>
        <w:gridCol w:w="241"/>
        <w:gridCol w:w="774"/>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53185" cy="175260"/>
                      <wp:effectExtent l="0" t="0" r="0" b="0"/>
                      <wp:wrapNone/>
                      <wp:docPr id="145" name="Frame144"/>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53035" cy="175260"/>
                      <wp:effectExtent l="0" t="0" r="0" b="0"/>
                      <wp:wrapNone/>
                      <wp:docPr id="148" name="Frame14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91490" cy="175260"/>
                      <wp:effectExtent l="0" t="0" r="0" b="0"/>
                      <wp:wrapNone/>
                      <wp:docPr id="149" name="Frame148"/>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62255" cy="175260"/>
                      <wp:effectExtent l="0" t="0" r="0" b="0"/>
                      <wp:wrapNone/>
                      <wp:docPr id="150" name="Frame149"/>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3035" cy="175260"/>
                      <wp:effectExtent l="0" t="0" r="0" b="0"/>
                      <wp:wrapNone/>
                      <wp:docPr id="151" name="Frame15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91490" cy="175260"/>
                      <wp:effectExtent l="0" t="0" r="0" b="0"/>
                      <wp:wrapNone/>
                      <wp:docPr id="152" name="Frame151"/>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0660" cy="175260"/>
                      <wp:effectExtent l="0" t="0" r="0" b="0"/>
                      <wp:wrapNone/>
                      <wp:docPr id="153" name="Frame15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16" w:type="dxa"/>
            <w:tcBorders/>
            <w:vAlign w:val="center"/>
          </w:tcPr>
          <w:p>
            <w:pPr>
              <w:pStyle w:val="TableContents"/>
              <w:bidi w:val="0"/>
              <w:spacing w:before="0" w:after="1"/>
              <w:ind w:left="0" w:right="0" w:hanging="0"/>
              <w:jc w:val="center"/>
              <w:rPr/>
            </w:pPr>
            <w:r>
              <w:rPr/>
              <w:t> </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center"/>
              <w:rPr/>
            </w:pPr>
            <w:r>
              <w:rPr/>
              <w:t>​</w:t>
            </w:r>
          </w:p>
        </w:tc>
        <w:tc>
          <w:tcPr>
            <w:tcW w:w="10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3"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10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w:t>
            </w:r>
          </w:p>
        </w:tc>
        <w:tc>
          <w:tcPr>
            <w:tcW w:w="4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110.40</w:t>
            </w:r>
          </w:p>
        </w:tc>
        <w:tc>
          <w:tcPr>
            <w:tcW w:w="4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1"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41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4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1"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41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476.10</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nonvested RSU activity during the three months ended March 31, 2026:</w:t>
      </w:r>
    </w:p>
    <w:p>
      <w:pPr>
        <w:pStyle w:val="TextBody"/>
        <w:bidi w:val="0"/>
        <w:spacing w:before="0" w:after="0"/>
        <w:ind w:left="0" w:right="0" w:hanging="0"/>
        <w:jc w:val="left"/>
        <w:rPr/>
      </w:pPr>
      <w:r>
        <w:rPr/>
        <w:t>​</w:t>
      </w:r>
    </w:p>
    <w:tbl>
      <w:tblPr>
        <w:tblW w:w="5974" w:type="dxa"/>
        <w:jc w:val="left"/>
        <w:tblInd w:w="0" w:type="dxa"/>
        <w:tblLayout w:type="fixed"/>
        <w:tblCellMar>
          <w:top w:w="0" w:type="dxa"/>
          <w:left w:w="0" w:type="dxa"/>
          <w:bottom w:w="0" w:type="dxa"/>
          <w:right w:w="0" w:type="dxa"/>
        </w:tblCellMar>
      </w:tblPr>
      <w:tblGrid>
        <w:gridCol w:w="3091"/>
        <w:gridCol w:w="346"/>
        <w:gridCol w:w="691"/>
        <w:gridCol w:w="346"/>
        <w:gridCol w:w="403"/>
        <w:gridCol w:w="1097"/>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962785" cy="175260"/>
                      <wp:effectExtent l="0" t="0" r="0" b="0"/>
                      <wp:wrapNone/>
                      <wp:docPr id="154" name="Frame153"/>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38785" cy="175260"/>
                      <wp:effectExtent l="0" t="0" r="0" b="0"/>
                      <wp:wrapNone/>
                      <wp:docPr id="156" name="Frame1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55905" cy="175260"/>
                      <wp:effectExtent l="0" t="0" r="0" b="0"/>
                      <wp:wrapNone/>
                      <wp:docPr id="158" name="Frame157"/>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6595" cy="175260"/>
                      <wp:effectExtent l="0" t="0" r="0" b="0"/>
                      <wp:wrapNone/>
                      <wp:docPr id="159" name="Frame158"/>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Nonvested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8,720</w:t>
            </w:r>
          </w:p>
        </w:tc>
        <w:tc>
          <w:tcPr>
            <w:tcW w:w="34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(6,540)</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Nonvested as of March 31, 2026</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w:t>
            </w:r>
          </w:p>
        </w:tc>
        <w:tc>
          <w:tcPr>
            <w:tcW w:w="346" w:type="dxa"/>
            <w:tcBorders/>
            <w:vAlign w:val="center"/>
          </w:tcPr>
          <w:p>
            <w:pPr>
              <w:pStyle w:val="TableContents"/>
              <w:bidi w:val="0"/>
              <w:spacing w:before="0" w:after="0"/>
              <w:ind w:left="0" w:right="0" w:hanging="0"/>
              <w:jc w:val="left"/>
              <w:rPr/>
            </w:pPr>
            <w:r>
              <w:rPr/>
              <w:t>​</w:t>
            </w:r>
          </w:p>
        </w:tc>
        <w:tc>
          <w:tcPr>
            <w:tcW w:w="4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19" w:name="Tc_VcGg1_tpW0-MxJZtmc1tuQ_7_5"/>
      <w:bookmarkStart w:id="820" w:name="Tc_N_NvC2ssGEawhNi3Qc2P8Q_7_2"/>
      <w:bookmarkStart w:id="821" w:name="Tc_HUaPSio6qE69Gby2yNW8Xw_7_0"/>
      <w:bookmarkStart w:id="822" w:name="Tc__OP2OrMQLkaEP73mZvK61w_6_3"/>
      <w:bookmarkStart w:id="823" w:name="Tc_KK8gQfao9kyxJPGmOJ_sPQ_6_0"/>
      <w:bookmarkStart w:id="824" w:name="Tc_U_WirrpTsU61bmZfyMbzzg_5_0"/>
      <w:bookmarkStart w:id="825" w:name="Tc_pylyGDurx0epm_voC9s21Q_4_5"/>
      <w:bookmarkStart w:id="826" w:name="Tc_dmd5HVKXnkuF0bsLV4viRg_4_3"/>
      <w:bookmarkStart w:id="827" w:name="Tc_JTT_OBTQOEiNfIGwt-e3IQ_4_2"/>
      <w:bookmarkStart w:id="828" w:name="Tc_aMU16Nnk60WEeFOy2cJ1WA_4_0"/>
      <w:bookmarkStart w:id="829" w:name="Tc_XbMEj21eMUK8gbw33SxXFw_3_5"/>
      <w:bookmarkStart w:id="830" w:name="Tc_rL_iMub2z06L0LDEjhYJQA_3_2"/>
      <w:bookmarkStart w:id="831" w:name="Tc_RF_xAReGQ0SUr7t9lx7OzA_2_2"/>
      <w:bookmarkStart w:id="832" w:name="Tc_1rFUC1g7jUunIObVFi9JBw_1_2"/>
      <w:bookmarkStart w:id="833" w:name="_6635c0de_4af1_4cc2_a57c_514be6c3ed22"/>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r>
        <w:rPr>
          <w:rFonts w:ascii="Times New Roman;Times;serif" w:hAnsi="Times New Roman;Times;serif"/>
          <w:sz w:val="20"/>
        </w:rPr>
        <w:t>As of March 31, 2026, there were an aggregate of 221,949 stock options outstanding with a weighted average exercise price of $70.52 per share and 1,117,838 RSUs outstanding.</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stock-based compensation expense was as follows (in thousands):</w:t>
      </w:r>
    </w:p>
    <w:tbl>
      <w:tblPr>
        <w:tblW w:w="5491" w:type="dxa"/>
        <w:jc w:val="left"/>
        <w:tblInd w:w="0" w:type="dxa"/>
        <w:tblLayout w:type="fixed"/>
        <w:tblCellMar>
          <w:top w:w="0" w:type="dxa"/>
          <w:left w:w="0" w:type="dxa"/>
          <w:bottom w:w="0" w:type="dxa"/>
          <w:right w:w="0" w:type="dxa"/>
        </w:tblCellMar>
      </w:tblPr>
      <w:tblGrid>
        <w:gridCol w:w="3451"/>
        <w:gridCol w:w="346"/>
        <w:gridCol w:w="255"/>
        <w:gridCol w:w="418"/>
        <w:gridCol w:w="131"/>
        <w:gridCol w:w="255"/>
        <w:gridCol w:w="635"/>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1385" cy="175260"/>
                      <wp:effectExtent l="0" t="0" r="0" b="0"/>
                      <wp:wrapNone/>
                      <wp:docPr id="160" name="Frame159"/>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61925" cy="175260"/>
                      <wp:effectExtent l="0" t="0" r="0" b="0"/>
                      <wp:wrapNone/>
                      <wp:docPr id="162" name="Frame16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65430" cy="175260"/>
                      <wp:effectExtent l="0" t="0" r="0" b="0"/>
                      <wp:wrapNone/>
                      <wp:docPr id="163" name="Frame162"/>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83185" cy="175260"/>
                      <wp:effectExtent l="0" t="0" r="0" b="0"/>
                      <wp:wrapNone/>
                      <wp:docPr id="164" name="Frame163"/>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61925" cy="175260"/>
                      <wp:effectExtent l="0" t="0" r="0" b="0"/>
                      <wp:wrapNone/>
                      <wp:docPr id="165" name="Frame16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03225" cy="175260"/>
                      <wp:effectExtent l="0" t="0" r="0" b="0"/>
                      <wp:wrapNone/>
                      <wp:docPr id="166" name="Frame165"/>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9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1"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8"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13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131"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622</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As of March 31, 2026, the total remaining unrecognized compensation expense related to nonvested stock options was $42 thousand which will be amortized over the weighted-average remaining requisite service period of 0.7 years.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834" w:name="Tc_Whyrzif1C0-lNKJbv9x3QA_6_0"/>
      <w:bookmarkStart w:id="835" w:name="Tc_AyanEGRmDEa9RezdloUHqg_5_4"/>
      <w:bookmarkStart w:id="836" w:name="Tc_7X-7wIzHNUy1bxvlJj7Jpw_5_0"/>
      <w:bookmarkStart w:id="837" w:name="Tc_Wa9vBk4YI0qv1EaUcrum4A_4_0"/>
      <w:bookmarkStart w:id="838" w:name="Tc_dvSO7wmh_0Cb1vnz4pUA-Q_3_4"/>
      <w:bookmarkStart w:id="839" w:name="Tc_ip2Lnn5t9UW4rj3amdfc7w_3_2"/>
      <w:bookmarkStart w:id="840" w:name="Tc_NRaf0opUXk-eDMpedjLZMw_2_2"/>
      <w:bookmarkStart w:id="841" w:name="Tc_Z1aWLZnRtECU2EF8ESeOOg_1_2"/>
      <w:bookmarkStart w:id="842" w:name="Tc_cgitYRXjVUOrXqpMoKcemQ_7_5"/>
      <w:bookmarkStart w:id="843" w:name="Tc_cN2dwJpRXUSzJyoiVndzrw_7_2"/>
      <w:bookmarkStart w:id="844" w:name="Tc_gIrKsMymskisoHIEXW4Xvw_7_0"/>
      <w:bookmarkStart w:id="845" w:name="Tc_0Kw2p0EbxUyN9kWO1D1c5A_6_0"/>
      <w:bookmarkStart w:id="846" w:name="Tc_TObE-emC30WYfuGZCWXjBA_5_5"/>
      <w:bookmarkStart w:id="847" w:name="Tc_jHOTV2LwQkKVblb3w_uHhQ_5_2"/>
      <w:bookmarkStart w:id="848" w:name="Tc_5D8q5Mlj_0GbYPMPCjWNOA_5_0"/>
      <w:bookmarkStart w:id="849" w:name="Tc_JZpcH2Y26kG17tTiy6fOAg_4_0"/>
      <w:bookmarkStart w:id="850" w:name="Tc_sja52FIZoEaICUIW2UIypQ_3_5"/>
      <w:bookmarkStart w:id="851" w:name="Tc_puiw9KqyJ0O9I7c3RLxIwA_3_2"/>
      <w:bookmarkStart w:id="852" w:name="Tc_HOWnkMqc6UytlUGIwuIUSg_2_2"/>
      <w:bookmarkStart w:id="853" w:name="Tc_PyAvOemaB0iDBaltempD1g_1_2"/>
      <w:bookmarkStart w:id="854" w:name="_b799a3e0_3906_4dd0_b2eb_407424773b43"/>
      <w:bookmarkStart w:id="855" w:name="_ef9cae36_86c9_41d5_849b_8864d4d6c782"/>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Fonts w:ascii="Times New Roman;Times;serif" w:hAnsi="Times New Roman;Times;serif"/>
          <w:b/>
          <w:sz w:val="20"/>
        </w:rPr>
        <w:t>9.    BASIC AND DILUTED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table below presents the computation of basic and diluted loss per share (in thousands, except share and per share information): </w:t>
      </w:r>
    </w:p>
    <w:tbl>
      <w:tblPr>
        <w:tblW w:w="7180" w:type="dxa"/>
        <w:jc w:val="left"/>
        <w:tblInd w:w="0" w:type="dxa"/>
        <w:tblLayout w:type="fixed"/>
        <w:tblCellMar>
          <w:top w:w="0" w:type="dxa"/>
          <w:left w:w="0" w:type="dxa"/>
          <w:bottom w:w="0" w:type="dxa"/>
          <w:right w:w="0" w:type="dxa"/>
        </w:tblCellMar>
      </w:tblPr>
      <w:tblGrid>
        <w:gridCol w:w="4486"/>
        <w:gridCol w:w="109"/>
        <w:gridCol w:w="211"/>
        <w:gridCol w:w="1036"/>
        <w:gridCol w:w="286"/>
        <w:gridCol w:w="211"/>
        <w:gridCol w:w="841"/>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848610" cy="175260"/>
                      <wp:effectExtent l="0" t="0" r="0" b="0"/>
                      <wp:wrapNone/>
                      <wp:docPr id="167" name="Frame166"/>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57860" cy="175260"/>
                      <wp:effectExtent l="0" t="0" r="0" b="0"/>
                      <wp:wrapNone/>
                      <wp:docPr id="170" name="Frame16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81610" cy="175260"/>
                      <wp:effectExtent l="0" t="0" r="0" b="0"/>
                      <wp:wrapNone/>
                      <wp:docPr id="171" name="Frame17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34035" cy="175260"/>
                      <wp:effectExtent l="0" t="0" r="0" b="0"/>
                      <wp:wrapNone/>
                      <wp:docPr id="173" name="Frame17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5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5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6" w:type="dxa"/>
            <w:tcBorders/>
            <w:vAlign w:val="center"/>
          </w:tcPr>
          <w:p>
            <w:pPr>
              <w:pStyle w:val="TableContents"/>
              <w:bidi w:val="0"/>
              <w:spacing w:before="0" w:after="0"/>
              <w:ind w:left="0" w:right="0" w:hanging="0"/>
              <w:jc w:val="center"/>
              <w:rPr/>
            </w:pPr>
            <w:r>
              <w:rPr/>
              <w:t>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and 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28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available to common stockholders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(99,799)</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r>
      <w:tr>
        <w:trPr/>
        <w:tc>
          <w:tcPr>
            <w:tcW w:w="44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20"/>
              </w:rPr>
              <w:t xml:space="preserve">Weighted average common shares outstanding — </w:t>
            </w:r>
            <w:r>
              <w:rPr>
                <w:rFonts w:ascii="Times New Roman;Times;serif" w:hAnsi="Times New Roman;Times;serif"/>
                <w:sz w:val="12"/>
              </w:rPr>
              <w:t>(1)(2)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76,736,156</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10,039</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per share</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28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(382.29)</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number of common shares outstanding as of March 31, 2025 includes the Abeyance Shares from the exercise of the Existing Warrants, the exercise of which was fully paid by the Holders and requires no further consideration for the delivery of the shares of Class A common stock. Therefore, the Abeyance Shares are included in the computation of basic and diluted loss per share as of the exercise date. The Abeyance Shares were subsequently issued at the direction of the Holder.</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85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September 2025, in connection with the 2025 PIPE Offerings, the Company issued and sold 2025 Pre-funded Warrants exercisable for an aggregate of 36,261,239</w:t>
            </w:r>
            <w:r>
              <w:rPr>
                <w:caps w:val="false"/>
                <w:smallCaps w:val="false"/>
              </w:rPr>
              <w:t xml:space="preserve"> </w:t>
            </w:r>
            <w:r>
              <w:rPr>
                <w:rFonts w:ascii="Times New Roman;Times;serif" w:hAnsi="Times New Roman;Times;serif"/>
                <w:b w:val="false"/>
                <w:i w:val="false"/>
                <w:caps w:val="false"/>
                <w:smallCaps w:val="false"/>
                <w:sz w:val="20"/>
              </w:rPr>
              <w:t>shares of Class A common stock. The 2025 Pre-funded Warrants are included in the computation of basic and diluted loss per share as of the issuance date. Refer to Note 7 for additional information about the 2025 PIPE Offerings and the 2025 Pre-Funded Warrants.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outstanding securities, presented based on amounts outstanding as of the end of each period, were not included in the computation of diluted net loss per share for the periods indicated, as they would have been anti-dilutive due to the net loss in each period.</w:t>
      </w:r>
    </w:p>
    <w:p>
      <w:pPr>
        <w:pStyle w:val="TextBody"/>
        <w:bidi w:val="0"/>
        <w:spacing w:before="0" w:after="0"/>
        <w:ind w:left="0" w:right="0" w:hanging="0"/>
        <w:jc w:val="left"/>
        <w:rPr/>
      </w:pPr>
      <w:r>
        <w:rPr/>
        <w:t>​</w:t>
      </w:r>
    </w:p>
    <w:tbl>
      <w:tblPr>
        <w:tblW w:w="4133" w:type="dxa"/>
        <w:jc w:val="left"/>
        <w:tblInd w:w="0" w:type="dxa"/>
        <w:tblLayout w:type="fixed"/>
        <w:tblCellMar>
          <w:top w:w="0" w:type="dxa"/>
          <w:left w:w="0" w:type="dxa"/>
          <w:bottom w:w="0" w:type="dxa"/>
          <w:right w:w="0" w:type="dxa"/>
        </w:tblCellMar>
      </w:tblPr>
      <w:tblGrid>
        <w:gridCol w:w="1921"/>
        <w:gridCol w:w="109"/>
        <w:gridCol w:w="1036"/>
        <w:gridCol w:w="286"/>
        <w:gridCol w:w="78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19835" cy="175260"/>
                      <wp:effectExtent l="0" t="0" r="0" b="0"/>
                      <wp:wrapNone/>
                      <wp:docPr id="174" name="Frame173"/>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57860" cy="175260"/>
                      <wp:effectExtent l="0" t="0" r="0" b="0"/>
                      <wp:wrapNone/>
                      <wp:docPr id="176" name="Frame17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81610" cy="175260"/>
                      <wp:effectExtent l="0" t="0" r="0" b="0"/>
                      <wp:wrapNone/>
                      <wp:docPr id="177" name="Frame17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95935" cy="175260"/>
                      <wp:effectExtent l="0" t="0" r="0" b="0"/>
                      <wp:wrapNone/>
                      <wp:docPr id="178" name="Frame1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0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6" w:type="dxa"/>
            <w:tcBorders/>
            <w:vAlign w:val="center"/>
          </w:tcPr>
          <w:p>
            <w:pPr>
              <w:pStyle w:val="TableContents"/>
              <w:bidi w:val="0"/>
              <w:spacing w:before="0" w:after="0"/>
              <w:ind w:left="0" w:right="0" w:hanging="0"/>
              <w:jc w:val="center"/>
              <w:rPr/>
            </w:pPr>
            <w:r>
              <w:rPr/>
              <w:t>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221,949</w:t>
            </w:r>
          </w:p>
        </w:tc>
        <w:tc>
          <w:tcPr>
            <w:tcW w:w="28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3,635</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stock units </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1,117,838</w:t>
            </w:r>
          </w:p>
        </w:tc>
        <w:tc>
          <w:tcPr>
            <w:tcW w:w="28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81,344,891</w:t>
            </w:r>
          </w:p>
        </w:tc>
        <w:tc>
          <w:tcPr>
            <w:tcW w:w="28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13,818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RELATED PARTIES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Strategic Advisory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2025 PIPE Offerings, the Company entered into the Strategic Advisory Agreement with Pantera and Summer. Under the terms of the agreement, the Advisors will provide strategic advisory services in connection with the expansion and diversification of the Company’s core business through integration of cryptocurrency and digital asset strategies in its product offerings and as part of its SOL treasury management strategy for two years. As consideration for these services, Pantera and Summer received the Advisor Warrants to purchase shares of the Company’s Class A common stock as discussed in more detail in Note 8.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2026 the Company recognized pass-through expenses from Summer of $6 thousand, which is permissible under the Strategic Advisory Agreement and is classified under selling, general and administrative operating expense in the statement of operations. As of March 31, 2026 the Company has a balance of $6 thousand in accrued and other current liabilities due to Summer to reimburse Summer for expenses attributable to the Company under the Strategic Advisory Agreement.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Trading Advisory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2025 PIPE Offerings, the Company entered into a Trading Advisory Agreement (the “Trading Advisory Agreement”) with Pantera, pursuant to which the Company engaged Pantera to manage the investment of substantially all of Company’s digital assets, digital asset derivatives, cash and other assets for an initial term of ten (10) years, which term automatically renews for successive periods of one (1) year each, subject to the mutual agreement of the Company and Pantera. The management fees pursuant to the Trading Advisory Agreement shall be equal to: (a) 1.0%, if the Client’s Assets Under Management is less than or equal to $1 billion, (b) 0.75% per annum of assets under management (“AUM”) if AUM is more than $1 billion but less than or equal to $5 billion and (c) 0.50% per annum of AUM if AUM is more than $5 billion.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2026 the Company recognized $0.6 million in trading advisory fees in connection with the Trading Advisory Agreement for the management fee for Company AUM by Pantera and is classified under selling, general and administrative operating expense in the statement of operations. As of March 31, 2026 the Company has a balance of $0.2 million in accounts payable due to Pantera under the Trading Advisory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income taxes in interim periods using the estimated annual effective tax rate method. Under this method, the Company estimates its annual effective tax rate for the full fiscal year and applies that rate to year-to-date pre-tax income or loss, and records discrete tax items in the period in which they occur. The Company’s effective income tax rate for the three months ended March 31, 2026 and twelve months ended December 31, 2025 was 0.0% and 0.0% respectively. The difference in the effective income tax rate compared with the U.S. federal statutory rate of 21.0% is primarily due to the full valuation allowance recorded against its deferred tax assets, as well as the impact of losses generated in both domestic and foreign jurisdictions for which no tax benefit or expense has been recognized.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continues to assess the realizability of its deferred tax assets at each reporting date. Based on the weight of available evidence, management concluded that it is not more likely than not that the Company’s net deferred tax assets will be realized and, accordingly, the Company continues to maintain a full valuation allowance as of March 31,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SUBSEQUENT EVENTS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17, 2026, Solana Company (Hong Kong) Limited entered into a share purchase agreement to acquire, directly or indirectly, all of the issued share capital of a Hong Kong trust company. The acquisition is anticipated to close in the second quarter of 2026, subject to the satisfaction of regulatory approvals and other customary closing conditions. The total purchase price for the acquisition is $2 million, consisting of 50% payable in cash and 50% payable via issuance of our Class A common stock. As of the date of this Form 10-Q filing, the acquisition has not closed.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Sale of PoNS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8, 2026, the Company entered into and closed a purchase and sale agreement with Bioness Medical, Inc. (the “Buyer”), pursuant to which the Company sold the assets related to its Portable Neuromodulation Stimulator (“PoNS “) business to the Buyer (the “PoNS Asset Sale”), and the Buyer assumed certain liabilities related to the PoNS business. The purchase price of the PoNS Asset Sale consisted of an upfront payment of $5 million, and the right to receive post-closing cash earnout payments of up to $20 million in the aggregate based on a specified formula that takes into account the revenues of the PoNS business through the 2028 fiscal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PoNS Asset Sale, in April 2026, the Company terminated the employment of certain employees supporting the PoNS business, for which severance was offered and paid to such employees totaling $1.4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Registered Direct Offering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27, 2026, the Company entered into securities purchase agreements (collectively, the “RDO Purchase Agreements”) with the purchasers named therein (the “Purchasers”), pursuant to which the Company issued and sold to the Purchasers, in a registered direct offering (the “Registered Direct Offering”), 3,076,922 shares of the Company’s Class A common stock. The offering price of each Share was $2.60 per share (the “Offering Price”). The Registered Direct Offering closed on April 29, 2026. The net proceeds to the Company from the Registered Direct Offering were $7.9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Registered Direct Offering, the Company entered into put option agreements (collectively, the “Put Option Agreements”) with the Purchasers pursuant to which the Company granted each Purchaser the right to require the Company to repurchase all or a portion of the shares of Class A common stock it purchased in the Registered Direct Offering at a price per share equal to the Offering Price plus an amount that would result in an internal rate of return of 7.0% per annum (collectively, the “Put Options”). The Put Options may be exercised in connection with the occurrence of certain qualifying events, including the 12-month and 18-month anniversaries of the closing of the Registered Direct Offering, a failure of the Company’s net debt to total capitalization ratio to remain at or below 30%, or a suspension or halt of trading in the Class A common stock on the applicable trading market exceeding a specified number of consecutive trading days or the issuance of a delisting notice.</w:t>
      </w:r>
    </w:p>
    <w:p>
      <w:pPr>
        <w:pStyle w:val="TextBody"/>
        <w:bidi w:val="0"/>
        <w:spacing w:before="0" w:after="0"/>
        <w:ind w:left="0" w:right="0" w:hanging="0"/>
        <w:jc w:val="left"/>
        <w:rPr/>
      </w:pPr>
      <w:r>
        <w:rPr/>
        <w:t>​</w:t>
      </w:r>
    </w:p>
    <w:p>
      <w:pPr>
        <w:pStyle w:val="TextBody"/>
        <w:bidi w:val="0"/>
        <w:spacing w:before="0" w:after="117"/>
        <w:ind w:left="0" w:right="0" w:hanging="0"/>
        <w:jc w:val="left"/>
        <w:rPr>
          <w:rFonts w:ascii="Times New Roman;Times;serif" w:hAnsi="Times New Roman;Times;serif"/>
          <w:b/>
          <w:i/>
          <w:sz w:val="20"/>
        </w:rPr>
      </w:pPr>
      <w:r>
        <w:rPr>
          <w:rFonts w:ascii="Times New Roman;Times;serif" w:hAnsi="Times New Roman;Times;serif"/>
          <w:b/>
          <w:i/>
          <w:sz w:val="20"/>
        </w:rPr>
        <w:t>Stock Repurchase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Subsequent to March 31, 2026, pursuant to the Company’s Stock Repurchase Program, see Note 7, the Company repurchased 767,013 shares of its Class A common stock at a weighted-average purchase price of $1.88 per share.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Executive Separations and Appointments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12, 2026, the Company and Dane C. Andreeff entered into a separation agreement whereby Mr. Andreeff separated from the Company and resigned from the Board and from his positions as the Company’s Chief Executive Officer and President, and principal executive officer. Pursuant to the separation agreement, Mr. Andreeff is entitled to receive a separation payment of $3.0 million within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business days after the effective date of the agreement, which amount is, among other things, in lieu of any obligations under Mr. Andreeff’s employment agreement and any bonus previously promised to Mr. Andreeff either orally or in writing.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12, 2026, the Board appointed Joseph Chee, the Company’s Executive Chairman, as the Company’s Chairman and Chief Executive Officer and President, and principal executive officer, effective as of May 12, 2026. Mr. Chee’s new role as Chairman supersedes his prior role as the Company’s Executive Chairman.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12, 2026, the Company and Jeffrey Mathiesen entered into a separation agreement whereby Mr. Mathiesen separated from the Company and resigned as the Company’s Chief Financial Officer, Treasurer and Secretary, and principal financial officer and principal accounting officer. Pursuant to the separation agreement, Mr. Mathiesen is entitled to receive a separation payment of $2.4 million within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business days after the effective date of the agreement, which amount is, among other things, in lieu of any obligations under Mr. Mathiesen’s employment agreement and any bonus previously promised to Mr. Mathiesen either orally or in writing.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12, 2026, the Board appointed Agustina “Madelene” Gani Tjandrasuwita, the Company’s Chief Operating Officer and Deputy Financial Officer, as the Company’s Chief Financial Officer, Treasurer and Secretary, and principal financial officer and principal accounting officer, effective as of May 12, 2026. Ms. Tjandrasuwita’s new role as Chief Financial Officer supersedes her prior role as Deputy Chief Financial Officer.</w:t>
      </w:r>
    </w:p>
    <w:p>
      <w:pPr>
        <w:pStyle w:val="TextBody"/>
        <w:bidi w:val="0"/>
        <w:spacing w:before="24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56" w:name="ITEM2MANAGEMENTSDISCUSSIONANDANALYSISOFF"/>
      <w:bookmarkStart w:id="857" w:name="_a2272a5d_cc12_47a2_8c72_b128dd34b432"/>
      <w:bookmarkEnd w:id="856"/>
      <w:bookmarkEnd w:id="857"/>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Unless otherwise specified or the context otherwise requires, references to “we,” “us,” “our,” or “Company” mean Solana Company, and its wholly owned operating subsidiaries, Solana Company (Hong Kong) Limited, Marvel Operations Corp., Helius Medical, Inc., Helius Medical Technologies (Canada), Inc. and Revelation Neuro, Inc. The unaudited condensed consolidated financial statements and this Management’s Discussion and Analysis of Financial Condition and Results of Operations of this Quarterly Report on Form 10-Q (“Form 10-Q”) should be read in conjunction with the consolidated financial statements and notes thereto for the year ended December 31, 2025, and the related Management’s Discussion and Analysis of Financial Condition and Results of Operations, both of which are contained in our Annual Report on Form 10-K for the year ended December 31, 2025 filed with the Securities and Exchange Commission (“SEC”) on March 31, 2026 (the “2025 10-K”). All financial information is stated in U.S. dollars unless otherwise specified. Our unaudited condensed consolidated financial statements are prepared in accordance with accounting principles generally accepted in the United States (“U.S. GAAP”).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This Form 10-Q includes forward-looking statements that involve risks and uncertainties, including statements regarding the Company’s market, strategy, competition, capital needs, business plans and expectations. All statements contained in this Form 10-Q, other than statements of historical facts, that address events or developments that the Company expects to occur, are forward-looking statements. In some cases, you can identify forward-looking statements by terminology such as “may,” “will,” “should,” “expect,” “plan,” “intend,” “anticipate,” “believe,” “estimate,” “predict,” “potential,” “continue,” or the negative of such terms or other comparable terminology.</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The forward-looking statements in this Form 10-Q include but are not limited to statements relating to: expected benefits and implementation of our digital asset treasury strategy; expected staking, yield and broader opportunities across the Solana ecosystem; our expected token treasury growth; the potential tokenization of our Class A common stock; the anticipated terms of custody arrangements; prospects and potential benefits of the Solana Foundation; our future growth and operational progress; our compliance with Nasdaq requirements; the impacts of the current global macroeconomic environment on our sufficiency of cash and availability of funds and operating costs; our market awareness; our ability to compete effectively; our future expenses and cash flow; our ability to become profitable; our future financing arrangements; and any future stock price. Such forward-looking statements involve risks and uncertainties, known and unknown, including capital requirements to achieve the our business objectives, expected benefits and implementation of our digital asset treasury strategy, expected staking, yield and broader opportunities across the Solana ecosystem; our expected token treasury growth, the impact on the Company of global macroeconomic conditions including risks related to logistics challenges, labor shortages, disruptions in the banking system and financial markets, high levels of inflation and high interest rates on our ability to operate our business and access capital markets, the success of our business plan, our operating costs and use of cash, our ability to achieve significant revenues and other factors discussed in the section entitled “Risk Factors”. </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Although we believe the expectations expressed in such forward-looking statements are based on reasonable assumptions at the time they were made, they are subject to risks and uncertainties, known and unknown, which could cause actual results and developments to differ materially from those expressed or implied in such statements. Forward-looking statements are not guarantees of future performance and actual results may differ significantly from such forward-looking statements.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You should refer to the “Risk Factors” section of this Form 10-Q for a discussion of important factors that may cause our actual results to differ materially from those expressed or implied by our forward-looking statements. As a result of these factors, we cannot assure you that the forward-looking statements in this Form 10-Q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These forward-looking statements speak only as of the date of this Form 10-Q. Except as required by law, we assume no obligation to update or revise these forward-looking statements for any reason, even if new information become available in the future. You should, however, review the factors and risks and other information we describe in the reports we will file from time to time with the SEC after the date of this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We are a listed digital asset treasury (“DAT”) dedicated to acquiring and holding Solana tokens (“SOL”). Our DAT objective is to maximize SOL per share through strategic use of capital markets and on-chain opportunities, offering public market investors direct exposure to Solana.</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Strategic digital asset reserves like SOL lay the groundwork for a future where global payments, credentialing, and personalized learning can be powered by decentralized infrastructure, enhancing how we grow our company. We believe that SOL represents a uniquely scalable, high-performance blockchain platform that aligns with our long-term vision of integrating innovative technologies into our services. By investing in and participating in the SOL ecosystem, we aim to both enhance our digital asset treasury strategy and create strategic optionality for product innovation in our core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Registered Direct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27, 2026, we entered into securities purchase agreements (collectively, the “RDO Purchase Agreements”) with the purchasers named therein (the “Purchasers”), pursuant to which we issued and sold to the Purchasers, in a registered direct offering (the “Registered Direct Offering”), 3,076,922 shares of our Class A common stock. The offering price of each share of Class A common stock was $2.60 per share (the “Offering Price”). The Registered Direct Offering closed on April 29, 2026. The net proceeds to us from the Registered Direct Offering were $7.9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Registered Direct Offering, we entered into put option agreements (collectively, the “Put Option Agreements”) with the Purchasers pursuant to which we granted each Purchaser the right to require us to repurchase all or a portion of the shares of Class A common stock it purchased in the Registered Direct Offering at a price per share equal to the Offering Price plus an amount that would result in an internal rate of return of 7.0% per annum (collectively, the “Put Options”). The Put Options may be exercised in connection with the occurrence of certain qualifying events, including the 12-month and 18-month anniversaries of the closing of the Registered Direct Offering, a failure of our net debt to total capitalization ratio to remain at or below 30%, or a suspension or halt of trading in the Class A common stock on the applicable trading market exceeding a specified number of consecutive trading days or the issuance of a delisting notice.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PoNS Asset Sale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8, 2026, we entered into and closed a purchase and sale agreement with Bioness Medical, Inc. (the “Buyer”), pursuant to which we sold the assets related to its Portable Neuromodulation Stimulator (“PoNS “) business to the Buyer (the “PoNS Asset Sale”), and the Buyer assumed certain liabilities related to the PoNS business. The purchase price of the PoNS Asset Sale consisted of an upfront payment of $5 million, and the right to receive post-closing cash earnout payments of up to $20 million in the aggregate based on a specified formula that takes into account the revenues of the PoNS business through the 2028 fiscal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PoNS Asset Sale, in April 2026, the Company terminated the employment of certain employees supporting the PoNS business, for which severance was offered and paid to such employees totaling $1.4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Regulatory Update</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In March 2026, the SEC and CFTC jointly issued an interpretive release (the “Release”) classifying certain digital assets—including SOL—as “digital commodities” that are not themselves securities under the Federal securities laws. The Release provides that secondary market transactions involving such non-security crypto assets do not constitute securities transactions where purchasers would not reasonably expect the issuer's representations or promises to engage in essential managerial efforts from which purchasers would reasonably expect to derive profits to remain connected to the non-security crypto asset. The Release further interprets that certain activities, including protocol staking, do not involve the offer and sale of securities under specified circumstances. However, the Release does not constitute formal rulemaking and does not have the force of law, and the regulatory characterization of SOL and related activities therefore remains subject to ongoing development.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Trends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historical financial condition and results of operations for the periods presented may not be comparable, either from period to period or going forward, due to the recent deployment of our new blockchain-native treasury management business, primarily with Solana tokens. As a result, the periods presented in our historical financial statements may not be comparable to one another and our future results of operations and financial results may differ.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Price of SOL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treasury management business is expected to be heavily dependent on the price of SOL, which has historically experienced significant volatility. As of March 31, 2026, our total SOL exposure, that we held directly in our accounts or indirectly, was 2,331,610 SOL, valued at $193.8 million based on a market price of $83.12 per token. SOL is valued at fair value at the end of each reporting period, with changes in fair value recognized in net income. Refer to Note 3, Note 4 and Note 5 in the unaudited condensed consolidated financial statements for more details on the breakout of our SOL holdings and exposure. As a result, fluctuations in the price of SOL may significantly impact our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Months Ended March 31, 2026 compared to the Three Months Ended March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March 31, 2026 and 2025 (in thousands):</w:t>
      </w:r>
    </w:p>
    <w:tbl>
      <w:tblPr>
        <w:tblW w:w="9228" w:type="dxa"/>
        <w:jc w:val="left"/>
        <w:tblInd w:w="0" w:type="dxa"/>
        <w:tblLayout w:type="fixed"/>
        <w:tblCellMar>
          <w:top w:w="0" w:type="dxa"/>
          <w:left w:w="0" w:type="dxa"/>
          <w:bottom w:w="0" w:type="dxa"/>
          <w:right w:w="0" w:type="dxa"/>
        </w:tblCellMar>
      </w:tblPr>
      <w:tblGrid>
        <w:gridCol w:w="5041"/>
        <w:gridCol w:w="346"/>
        <w:gridCol w:w="228"/>
        <w:gridCol w:w="863"/>
        <w:gridCol w:w="375"/>
        <w:gridCol w:w="228"/>
        <w:gridCol w:w="749"/>
        <w:gridCol w:w="346"/>
        <w:gridCol w:w="211"/>
        <w:gridCol w:w="841"/>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201035" cy="175260"/>
                      <wp:effectExtent l="0" t="0" r="0" b="0"/>
                      <wp:wrapNone/>
                      <wp:docPr id="179" name="Frame178"/>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44780" cy="175260"/>
                      <wp:effectExtent l="0" t="0" r="0" b="0"/>
                      <wp:wrapNone/>
                      <wp:docPr id="181" name="Frame18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48005" cy="175260"/>
                      <wp:effectExtent l="0" t="0" r="0" b="0"/>
                      <wp:wrapNone/>
                      <wp:docPr id="182" name="Frame181"/>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38125" cy="175260"/>
                      <wp:effectExtent l="0" t="0" r="0" b="0"/>
                      <wp:wrapNone/>
                      <wp:docPr id="183" name="Frame18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44780" cy="175260"/>
                      <wp:effectExtent l="0" t="0" r="0" b="0"/>
                      <wp:wrapNone/>
                      <wp:docPr id="184" name="Frame18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75615" cy="175260"/>
                      <wp:effectExtent l="0" t="0" r="0" b="0"/>
                      <wp:wrapNone/>
                      <wp:docPr id="185" name="Frame184"/>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34035" cy="175260"/>
                      <wp:effectExtent l="0" t="0" r="0" b="0"/>
                      <wp:wrapNone/>
                      <wp:docPr id="188" name="Frame18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pPr>
            <w:r>
              <w:rPr/>
              <w:t>  ​</w:t>
            </w:r>
          </w:p>
        </w:tc>
        <w:tc>
          <w:tcPr>
            <w:tcW w:w="375"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Staking revenue</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3,417</w:t>
            </w:r>
          </w:p>
        </w:tc>
        <w:tc>
          <w:tcPr>
            <w:tcW w:w="375"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3,417</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75"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3,621</w:t>
            </w:r>
          </w:p>
        </w:tc>
        <w:tc>
          <w:tcPr>
            <w:tcW w:w="375"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3,572</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75"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3,441</w:t>
            </w:r>
          </w:p>
        </w:tc>
        <w:tc>
          <w:tcPr>
            <w:tcW w:w="375"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3,513</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863" w:type="dxa"/>
            <w:tcBorders/>
            <w:shd w:fill="CCEEFF" w:val="clear"/>
            <w:vAlign w:val="center"/>
          </w:tcPr>
          <w:p>
            <w:pPr>
              <w:pStyle w:val="TableContents"/>
              <w:bidi w:val="0"/>
              <w:spacing w:before="0" w:after="1"/>
              <w:ind w:left="0" w:right="0" w:hanging="0"/>
              <w:jc w:val="right"/>
              <w:rPr/>
            </w:pPr>
            <w:r>
              <w:rPr/>
              <w:t>  ​</w:t>
            </w:r>
          </w:p>
        </w:tc>
        <w:tc>
          <w:tcPr>
            <w:tcW w:w="375"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5,189</w:t>
            </w:r>
          </w:p>
        </w:tc>
        <w:tc>
          <w:tcPr>
            <w:tcW w:w="375"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digital assets and digital assets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89,198</w:t>
            </w:r>
          </w:p>
        </w:tc>
        <w:tc>
          <w:tcPr>
            <w:tcW w:w="375"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89,198</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Realized loss on digital assets</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6,987</w:t>
            </w:r>
          </w:p>
        </w:tc>
        <w:tc>
          <w:tcPr>
            <w:tcW w:w="375"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6,987</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digital assets fund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w:t>
            </w:r>
          </w:p>
        </w:tc>
        <w:tc>
          <w:tcPr>
            <w:tcW w:w="375"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103,059</w:t>
            </w:r>
          </w:p>
        </w:tc>
        <w:tc>
          <w:tcPr>
            <w:tcW w:w="375"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99,120</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(99,618)</w:t>
            </w:r>
          </w:p>
        </w:tc>
        <w:tc>
          <w:tcPr>
            <w:tcW w:w="375"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(95,607)</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Nonoperating income</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863"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375"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Nonoperating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375"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(99,799)</w:t>
            </w:r>
          </w:p>
        </w:tc>
        <w:tc>
          <w:tcPr>
            <w:tcW w:w="375"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(95,961)</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(99,799)</w:t>
            </w:r>
          </w:p>
        </w:tc>
        <w:tc>
          <w:tcPr>
            <w:tcW w:w="375"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(95,961)</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in staking revenue in the first quarter of 2026 compared to the same period in the prior year was the result of our staked SOL earning staking yield.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Cost of Revenue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revenue for the first quarter of 2026 increased as compared to the same period in the prior year primarily due to the increase in staking revenue related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in the first quarter of 2026 increased as compared to the same period in prior year primarily due to a $0.9 million increase in professional fees due to increased legal and audit costs, a $0.7 million increase in trading advisory and custodian costs to support the DAT business, a $0.3 million increase in director and officer insurance, a $0.1 million increase in advertising costs partially offset by a $0.1 million decrease in employee wages and benefits partially offset by a $0.5 million decrease in stock-based compensation, and a $0.1 million decrease in franchise tax.</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Unrealized loss on digital assets and digital assets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unrealized loss on digital assets represents the unrealized mark-to-market for our digital asset holdings to record digital assets at fair value due to the decline in value of SOL.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Realized loss on digital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realized loss on digital assets represents the loss realized on sales of SOL with proceeds utilized to repurchase shares and fund operating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Unrealized loss on digital assets fund investment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unrealized loss on digital assets fund investment represents the unrealized mark-to-market for our digital asset fund investment holdings to record digital asset investment fund at fair value due to the decline in value of SOL.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Nonoperating income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Derivative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 in the first quarter of 2026 decreased as compared with the same period in the prior year due the derivative liability balance being reclassified into equity in the prior year.</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(Expense)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(expense) income in the first quarter of 2026 was primarily attributable to dividend income earned on investments of excess cash in money market mutual funds offset by foreign exchange loss due to fluctuations in the Canadian to U.S. dollar exchange rates.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and cash equivalents and working capital as of the end of the periods indicated in the table below (in thousands):</w:t>
      </w:r>
    </w:p>
    <w:tbl>
      <w:tblPr>
        <w:tblW w:w="4806" w:type="dxa"/>
        <w:jc w:val="left"/>
        <w:tblInd w:w="0" w:type="dxa"/>
        <w:tblLayout w:type="fixed"/>
        <w:tblCellMar>
          <w:top w:w="0" w:type="dxa"/>
          <w:left w:w="0" w:type="dxa"/>
          <w:bottom w:w="0" w:type="dxa"/>
          <w:right w:w="0" w:type="dxa"/>
        </w:tblCellMar>
      </w:tblPr>
      <w:tblGrid>
        <w:gridCol w:w="2266"/>
        <w:gridCol w:w="346"/>
        <w:gridCol w:w="214"/>
        <w:gridCol w:w="686"/>
        <w:gridCol w:w="109"/>
        <w:gridCol w:w="252"/>
        <w:gridCol w:w="933"/>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438910" cy="175260"/>
                      <wp:effectExtent l="0" t="0" r="0" b="0"/>
                      <wp:wrapNone/>
                      <wp:docPr id="189" name="Frame188"/>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5890" cy="175260"/>
                      <wp:effectExtent l="0" t="0" r="0" b="0"/>
                      <wp:wrapNone/>
                      <wp:docPr id="191" name="Frame19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35610" cy="175260"/>
                      <wp:effectExtent l="0" t="0" r="0" b="0"/>
                      <wp:wrapNone/>
                      <wp:docPr id="192" name="Frame19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3"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60020" cy="175260"/>
                      <wp:effectExtent l="0" t="0" r="0" b="0"/>
                      <wp:wrapNone/>
                      <wp:docPr id="194" name="Frame19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92455" cy="175260"/>
                      <wp:effectExtent l="0" t="0" r="0" b="0"/>
                      <wp:wrapNone/>
                      <wp:docPr id="195" name="Frame19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4,395</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7,282</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Working capital</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25,027</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28,139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Prior to our recent financings, our primary source of liquidity have been our operations. The primary demand on our working capital has historically been operating losses. Historically, our sources of liquidity have been adequate to satisfy working capital requirements arising in the ordinary course of business. Following our strategic pivot to a DAT strategy in September 2025, our liquidity profile has fundamentally changed. We anticipate that our current liquidity and financial resources will remain adequate to manage our operating and financial requirements through at least May 2027. This assessment assumes that we will be able to liquidate digital assets in amounts and at times necessary to meet our obligations, which may not be possible during periods of market stress or reduced liquidity. Additionally, our liquidity assessment does not account for potential margin calls or collateral requirements that may arise from potential DeFi activities, lending arrangements, or borrowing against pledged SOL.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ability to maintain adequate liquidity depends on various factors including the market value of our digital assets, our ability to liquidate digital assets when needed, the parameters of our share repurchase program and our ongoing operating expenses. If we have the opportunity to make a strategic acquisition or an investment in a product or partnership, we may require additional capital beyond our current cash balance to fund the opportunity. We may need to raise additional capital through equity or debt financings. There can be no assurance that we will be successful in raising additional capital or that such capital, if available, will be on terms that are acceptable to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December 2025 and January 2026, we executed open market purchases of our Class A common stock under our stock repurchase program totaling 1,603,971 shares at an average cost of $2.20 per share for an aggregate cost of $3.5 million, inclusive of fees. See Note 8 to our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three months ended March 31, 2026 and 2025 (in thousands):</w:t>
      </w:r>
    </w:p>
    <w:p>
      <w:pPr>
        <w:pStyle w:val="TextBody"/>
        <w:bidi w:val="0"/>
        <w:spacing w:before="0" w:after="240"/>
        <w:ind w:left="0" w:right="0" w:hanging="0"/>
        <w:jc w:val="left"/>
        <w:rPr/>
      </w:pPr>
      <w:r>
        <w:rPr/>
        <w:t>​</w:t>
      </w:r>
    </w:p>
    <w:tbl>
      <w:tblPr>
        <w:tblW w:w="8450" w:type="dxa"/>
        <w:jc w:val="left"/>
        <w:tblInd w:w="0" w:type="dxa"/>
        <w:tblLayout w:type="fixed"/>
        <w:tblCellMar>
          <w:top w:w="0" w:type="dxa"/>
          <w:left w:w="0" w:type="dxa"/>
          <w:bottom w:w="0" w:type="dxa"/>
          <w:right w:w="0" w:type="dxa"/>
        </w:tblCellMar>
      </w:tblPr>
      <w:tblGrid>
        <w:gridCol w:w="4366"/>
        <w:gridCol w:w="346"/>
        <w:gridCol w:w="240"/>
        <w:gridCol w:w="786"/>
        <w:gridCol w:w="393"/>
        <w:gridCol w:w="240"/>
        <w:gridCol w:w="786"/>
        <w:gridCol w:w="346"/>
        <w:gridCol w:w="211"/>
        <w:gridCol w:w="736"/>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772410" cy="175260"/>
                      <wp:effectExtent l="0" t="0" r="0" b="0"/>
                      <wp:wrapNone/>
                      <wp:docPr id="196" name="Frame195"/>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52400" cy="175260"/>
                      <wp:effectExtent l="0" t="0" r="0" b="0"/>
                      <wp:wrapNone/>
                      <wp:docPr id="198" name="Frame19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99110" cy="175260"/>
                      <wp:effectExtent l="0" t="0" r="0" b="0"/>
                      <wp:wrapNone/>
                      <wp:docPr id="199" name="Frame198"/>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49555" cy="175260"/>
                      <wp:effectExtent l="0" t="0" r="0" b="0"/>
                      <wp:wrapNone/>
                      <wp:docPr id="200" name="Frame19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52400" cy="175260"/>
                      <wp:effectExtent l="0" t="0" r="0" b="0"/>
                      <wp:wrapNone/>
                      <wp:docPr id="201" name="Frame20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99110" cy="175260"/>
                      <wp:effectExtent l="0" t="0" r="0" b="0"/>
                      <wp:wrapNone/>
                      <wp:docPr id="202" name="Frame201"/>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67360" cy="175260"/>
                      <wp:effectExtent l="0" t="0" r="0" b="0"/>
                      <wp:wrapNone/>
                      <wp:docPr id="205" name="Frame20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3" w:type="dxa"/>
            <w:tcBorders/>
            <w:vAlign w:val="center"/>
          </w:tcPr>
          <w:p>
            <w:pPr>
              <w:pStyle w:val="TableContents"/>
              <w:bidi w:val="0"/>
              <w:spacing w:before="0" w:after="0"/>
              <w:ind w:left="0" w:right="0" w:hanging="0"/>
              <w:jc w:val="left"/>
              <w:rPr/>
            </w:pPr>
            <w:r>
              <w:rPr/>
              <w:t>  ​ ​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5,468</w:t>
            </w:r>
          </w:p>
        </w:tc>
        <w:tc>
          <w:tcPr>
            <w:tcW w:w="393"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5,468</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(3,524)</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(7,081)</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(decrease) increase in cash and cash equivalents </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w:t>
            </w:r>
          </w:p>
        </w:tc>
        <w:tc>
          <w:tcPr>
            <w:tcW w:w="393"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higher level of cash used in operating activities in the three months ended March 31, 2026 primarily resulted from increases in selling, general and administrative expenses as compared to the same period in the prior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investing activities in the three months ended March 31, 2026 primarily related to the sale of SOL as we redeployed capital for repurchases of our Class A common stock under our stock repurchase program and operating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three months ended March 31, 2026, $3.5 million was used to repurchase shares of our Class A common stock under our stock repurchase program. During the three months ended March 31, 2025, $3.5 million in net proceeds were generated from entering into a warrant inducement with current warrant holders and net proceeds of $0.1 million from issuance and sales of shares in at-the-market offerings.</w:t>
      </w:r>
    </w:p>
    <w:p>
      <w:pPr>
        <w:pStyle w:val="TextBody"/>
        <w:bidi w:val="0"/>
        <w:spacing w:before="0" w:after="24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Critical Accounting Estimates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Our discussion and analysis of our financial condition and results of operations are based upon our unaudited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Our critical accounting estimates are described in Item 7 “Management’s Discussion and Analysis of Financial Condition and Results of Operations — Critical Accounting Policies and Estimates” of our 2025 10-K. There have been no changes in critical accounting estimates in the current year from those described in our 2025 10-K.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regarding recently issued accounting pronouncements is included in Note 2 to the unaudited condensed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Related Party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information on related party transactions and their financial impact, see Note 10 to the unaudited condensed consolidated financial statements contained herein.</w:t>
      </w:r>
    </w:p>
    <w:p>
      <w:pPr>
        <w:pStyle w:val="TextBody"/>
        <w:bidi w:val="0"/>
        <w:spacing w:before="0" w:after="240"/>
        <w:ind w:left="0" w:right="0" w:hanging="0"/>
        <w:jc w:val="left"/>
        <w:rPr>
          <w:rFonts w:ascii="Times New Roman;Times;serif" w:hAnsi="Times New Roman;Times;serif"/>
          <w:b/>
          <w:sz w:val="20"/>
        </w:rPr>
      </w:pPr>
      <w:bookmarkStart w:id="858" w:name="ITEM3QuantitativeandQualitativeDisclosur"/>
      <w:bookmarkStart w:id="859" w:name="_2e25e127_3ba1_47d3_8650_fc78b137f24f"/>
      <w:bookmarkEnd w:id="858"/>
      <w:bookmarkEnd w:id="859"/>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60" w:name="ITEM4ControlsandProcedures_561590"/>
      <w:bookmarkStart w:id="861" w:name="_b4703968_7dae_40b1_874c_5679abfe6e5e"/>
      <w:bookmarkEnd w:id="860"/>
      <w:bookmarkEnd w:id="861"/>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Rule 13a-15(b) under the Securities Exchange Act of 1934, as amended, or the Exchange Act, under the direction of our Chief Executive Officer and our Chief Financial Officer, we have evaluated our disclosure controls and procedures as of the end of the period covered by this Form 10-Q. Based on this evaluation, our Chief Executive Officer and our Chief Financial Officer have concluded that our disclosure controls and procedures were effective at the reasonable assurance level as of the end of the period covered by this report. Our management has concluded that the unaudited condensed consolidated financial statements included elsewhere in this Form 10-Q present fairly, in all material respects, our financial position, results of operations and cash flows in conformity with generally accepted accounting principles.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has not been any change in our internal control over financial reporting (as such term is defined in Rule 13a-15(f) and 15d-15(f) under the Exchange Act) during the period covered by this Form 10-Q that has materially affected, or is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862" w:name="PARTIIOTHERINFORMATION_747688"/>
      <w:bookmarkStart w:id="863" w:name="_7f314e5c_d4e3_4c8b_b43c_2a43e69438b2"/>
      <w:bookmarkEnd w:id="862"/>
      <w:bookmarkEnd w:id="863"/>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864" w:name="Item1LegalProceedings_648425"/>
      <w:bookmarkEnd w:id="864"/>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pStyle w:val="TextBody"/>
        <w:bidi w:val="0"/>
        <w:spacing w:before="0" w:after="240"/>
        <w:ind w:left="0" w:right="0" w:hanging="0"/>
        <w:jc w:val="left"/>
        <w:rPr>
          <w:rFonts w:ascii="Times New Roman;Times;serif" w:hAnsi="Times New Roman;Times;serif"/>
          <w:b/>
          <w:sz w:val="20"/>
        </w:rPr>
      </w:pPr>
      <w:bookmarkStart w:id="865" w:name="Item1ARiskFactors_376125"/>
      <w:bookmarkStart w:id="866" w:name="_5a860b71_27e4_4156_ba65_3d53acaa2eb6"/>
      <w:bookmarkEnd w:id="865"/>
      <w:bookmarkEnd w:id="866"/>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business is subject to risks and events that, if they occur, could adversely affect our financial condition and results of operations and the trading price of our securities. Except as set forth below, during the three months ended March 31, 2026, our risk factors have not changed materially from those risk factors previously disclosed in our 2025 10-K. In April 2026, we sold the assets related to our PoNS business, as discussed in more detail in Note 12 to the unaudited condensed consolidated financial statements included elsewhere in this Form 10-Q. Following such sale, we no longer view the risks and uncertainties disclosed in our 2025 10-K related to the PoNS business as material to our business.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as set forth above, the risks described in our 2025 10-K are not the only risks facing us. Additional risks and uncertainties not currently known to us or that we currently deem to be immaterial also may materially and adversely affect our business, financial condition and/or operating results.</w:t>
      </w:r>
    </w:p>
    <w:p>
      <w:pPr>
        <w:pStyle w:val="TextBody"/>
        <w:bidi w:val="0"/>
        <w:spacing w:before="0" w:after="240"/>
        <w:ind w:left="0" w:right="0" w:hanging="0"/>
        <w:jc w:val="left"/>
        <w:rPr>
          <w:rFonts w:ascii="Times New Roman;Times;serif" w:hAnsi="Times New Roman;Times;serif"/>
          <w:b/>
          <w:sz w:val="20"/>
        </w:rPr>
      </w:pPr>
      <w:bookmarkStart w:id="867" w:name="Item2UnregisteredSalesofEquitySecurities"/>
      <w:bookmarkStart w:id="868" w:name="_d2c02140_8a21_4f38_aca7_71e9dba92a7c"/>
      <w:bookmarkEnd w:id="867"/>
      <w:bookmarkEnd w:id="868"/>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Unregistered Sales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There were no unregistered sales of the Company’s equity securities during the three months ended March 31, 2026 that were not previously reported on a Current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2026, we executed open market purchases of approximately 1,603,971 shares at an average cost of $2.20 per share for an aggregate cost of $3.5 million, inclusive of fees and commissions under our authorized stock repurchase program. As of March 31, 2026, approximately $96.5 million remained available for future purchases under our stock repurchase program.</w:t>
      </w:r>
    </w:p>
    <w:tbl>
      <w:tblPr>
        <w:tblW w:w="10205" w:type="dxa"/>
        <w:jc w:val="left"/>
        <w:tblInd w:w="0" w:type="dxa"/>
        <w:tblLayout w:type="fixed"/>
        <w:tblCellMar>
          <w:top w:w="0" w:type="dxa"/>
          <w:left w:w="0" w:type="dxa"/>
          <w:bottom w:w="0" w:type="dxa"/>
          <w:right w:w="0" w:type="dxa"/>
        </w:tblCellMar>
      </w:tblPr>
      <w:tblGrid>
        <w:gridCol w:w="1395"/>
        <w:gridCol w:w="346"/>
        <w:gridCol w:w="1360"/>
        <w:gridCol w:w="346"/>
        <w:gridCol w:w="346"/>
        <w:gridCol w:w="768"/>
        <w:gridCol w:w="346"/>
        <w:gridCol w:w="2219"/>
        <w:gridCol w:w="346"/>
        <w:gridCol w:w="796"/>
        <w:gridCol w:w="1937"/>
      </w:tblGrid>
      <w:tr>
        <w:trPr/>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885825" cy="175260"/>
                      <wp:effectExtent l="0" t="0" r="0" b="0"/>
                      <wp:wrapNone/>
                      <wp:docPr id="206" name="Frame205"/>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63600" cy="175260"/>
                      <wp:effectExtent l="0" t="0" r="0" b="0"/>
                      <wp:wrapNone/>
                      <wp:docPr id="208" name="Frame207"/>
                      <a:graphic xmlns:a="http://schemas.openxmlformats.org/drawingml/2006/main">
                        <a:graphicData uri="http://schemas.microsoft.com/office/word/2010/wordprocessingShape">
                          <wps:wsp>
                            <wps:cNvSpPr txBox="1"/>
                            <wps:spPr>
                              <a:xfrm>
                                <a:off x="0" y="0"/>
                                <a:ext cx="863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87680" cy="175260"/>
                      <wp:effectExtent l="0" t="0" r="0" b="0"/>
                      <wp:wrapNone/>
                      <wp:docPr id="211" name="Frame210"/>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409065" cy="175260"/>
                      <wp:effectExtent l="0" t="0" r="0" b="0"/>
                      <wp:wrapNone/>
                      <wp:docPr id="213" name="Frame212"/>
                      <a:graphic xmlns:a="http://schemas.openxmlformats.org/drawingml/2006/main">
                        <a:graphicData uri="http://schemas.microsoft.com/office/word/2010/wordprocessingShape">
                          <wps:wsp>
                            <wps:cNvSpPr txBox="1"/>
                            <wps:spPr>
                              <a:xfrm>
                                <a:off x="0" y="0"/>
                                <a:ext cx="140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05460" cy="175260"/>
                      <wp:effectExtent l="0" t="0" r="0" b="0"/>
                      <wp:wrapNone/>
                      <wp:docPr id="215" name="Frame2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229995" cy="175260"/>
                      <wp:effectExtent l="0" t="0" r="0" b="0"/>
                      <wp:wrapNone/>
                      <wp:docPr id="216" name="Frame215"/>
                      <a:graphic xmlns:a="http://schemas.openxmlformats.org/drawingml/2006/main">
                        <a:graphicData uri="http://schemas.microsoft.com/office/word/2010/wordprocessingShape">
                          <wps:wsp>
                            <wps:cNvSpPr txBox="1"/>
                            <wps:spPr>
                              <a:xfrm>
                                <a:off x="0" y="0"/>
                                <a:ext cx="1229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46" w:type="dxa"/>
            <w:tcBorders/>
            <w:vAlign w:val="center"/>
          </w:tcPr>
          <w:p>
            <w:pPr>
              <w:pStyle w:val="TableContents"/>
              <w:bidi w:val="0"/>
              <w:spacing w:before="0" w:after="1"/>
              <w:ind w:left="0" w:right="0" w:hanging="0"/>
              <w:jc w:val="left"/>
              <w:rPr/>
            </w:pPr>
            <w:r>
              <w:rPr/>
              <w:t>​</w:t>
            </w:r>
          </w:p>
        </w:tc>
        <w:tc>
          <w:tcPr>
            <w:tcW w:w="221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93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w:t>
            </w:r>
          </w:p>
        </w:tc>
      </w:tr>
      <w:tr>
        <w:trPr/>
        <w:tc>
          <w:tcPr>
            <w:tcW w:w="139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1"/>
              <w:ind w:left="0" w:right="0" w:hanging="0"/>
              <w:jc w:val="left"/>
              <w:rPr/>
            </w:pPr>
            <w:r>
              <w:rPr/>
              <w:t>  ​ ​ ​</w:t>
            </w:r>
          </w:p>
        </w:tc>
        <w:tc>
          <w:tcPr>
            <w:tcW w:w="1360"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Total number of shares purchased</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left"/>
              <w:rPr/>
            </w:pPr>
            <w:r>
              <w:rPr/>
              <w:t>  ​ ​ ​</w:t>
            </w:r>
          </w:p>
        </w:tc>
        <w:tc>
          <w:tcPr>
            <w:tcW w:w="1114"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Average price paid per share</w:t>
            </w:r>
            <w:r>
              <w:rPr>
                <w:rFonts w:ascii="Times New Roman;Times;serif" w:hAnsi="Times New Roman;Times;serif"/>
                <w:b/>
                <w:sz w:val="12"/>
              </w:rPr>
              <w:t>(2)</w:t>
            </w:r>
          </w:p>
        </w:tc>
        <w:tc>
          <w:tcPr>
            <w:tcW w:w="346" w:type="dxa"/>
            <w:tcBorders/>
            <w:vAlign w:val="center"/>
          </w:tcPr>
          <w:p>
            <w:pPr>
              <w:pStyle w:val="TableContents"/>
              <w:bidi w:val="0"/>
              <w:spacing w:before="0" w:after="1"/>
              <w:ind w:left="0" w:right="0" w:hanging="0"/>
              <w:jc w:val="left"/>
              <w:rPr/>
            </w:pPr>
            <w:r>
              <w:rPr/>
              <w:t>  ​ ​ ​</w:t>
            </w:r>
          </w:p>
        </w:tc>
        <w:tc>
          <w:tcPr>
            <w:tcW w:w="2219"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Total number of shares purchased as part of publicly announced plans or programs</w:t>
            </w:r>
            <w:r>
              <w:rPr>
                <w:rFonts w:ascii="Times New Roman;Times;serif" w:hAnsi="Times New Roman;Times;serif"/>
                <w:b/>
                <w:sz w:val="12"/>
              </w:rPr>
              <w:t>(3)</w:t>
            </w:r>
          </w:p>
        </w:tc>
        <w:tc>
          <w:tcPr>
            <w:tcW w:w="346" w:type="dxa"/>
            <w:tcBorders/>
            <w:vAlign w:val="center"/>
          </w:tcPr>
          <w:p>
            <w:pPr>
              <w:pStyle w:val="TableContents"/>
              <w:bidi w:val="0"/>
              <w:spacing w:before="0" w:after="1"/>
              <w:ind w:left="0" w:right="0" w:hanging="0"/>
              <w:jc w:val="left"/>
              <w:rPr/>
            </w:pPr>
            <w:r>
              <w:rPr/>
              <w:t>  ​ ​ ​</w:t>
            </w:r>
          </w:p>
        </w:tc>
        <w:tc>
          <w:tcPr>
            <w:tcW w:w="2733"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Approximate dollar value of shares that may yet be purchased under the plans or programs (in millions)</w:t>
            </w:r>
            <w:r>
              <w:rPr>
                <w:rFonts w:ascii="Times New Roman;Times;serif" w:hAnsi="Times New Roman;Times;serif"/>
                <w:b/>
                <w:sz w:val="12"/>
              </w:rPr>
              <w:t>(4)</w:t>
            </w:r>
          </w:p>
        </w:tc>
      </w:tr>
      <w:tr>
        <w:trPr/>
        <w:tc>
          <w:tcPr>
            <w:tcW w:w="1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1 – January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13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233,528</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46" w:type="dxa"/>
            <w:tcBorders/>
            <w:shd w:fill="CCEEFF" w:val="clear"/>
            <w:vAlign w:val="center"/>
          </w:tcPr>
          <w:p>
            <w:pPr>
              <w:pStyle w:val="TableContents"/>
              <w:bidi w:val="0"/>
              <w:spacing w:before="0" w:after="1"/>
              <w:ind w:left="0" w:right="0" w:hanging="0"/>
              <w:jc w:val="left"/>
              <w:rPr/>
            </w:pPr>
            <w:r>
              <w:rPr/>
              <w:t>​</w:t>
            </w:r>
          </w:p>
        </w:tc>
        <w:tc>
          <w:tcPr>
            <w:tcW w:w="22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233,528</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1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 1 – February 28, 2026</w:t>
            </w:r>
          </w:p>
        </w:tc>
        <w:tc>
          <w:tcPr>
            <w:tcW w:w="346" w:type="dxa"/>
            <w:tcBorders/>
            <w:vAlign w:val="center"/>
          </w:tcPr>
          <w:p>
            <w:pPr>
              <w:pStyle w:val="TableContents"/>
              <w:bidi w:val="0"/>
              <w:spacing w:before="0" w:after="1"/>
              <w:ind w:left="0" w:right="0" w:hanging="0"/>
              <w:jc w:val="left"/>
              <w:rPr/>
            </w:pPr>
            <w:r>
              <w:rPr/>
              <w:t> </w:t>
            </w:r>
          </w:p>
        </w:tc>
        <w:tc>
          <w:tcPr>
            <w:tcW w:w="13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815,156</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346" w:type="dxa"/>
            <w:tcBorders/>
            <w:vAlign w:val="center"/>
          </w:tcPr>
          <w:p>
            <w:pPr>
              <w:pStyle w:val="TableContents"/>
              <w:bidi w:val="0"/>
              <w:spacing w:before="0" w:after="1"/>
              <w:ind w:left="0" w:right="0" w:hanging="0"/>
              <w:jc w:val="left"/>
              <w:rPr/>
            </w:pPr>
            <w:r>
              <w:rPr/>
              <w:t>​</w:t>
            </w:r>
          </w:p>
        </w:tc>
        <w:tc>
          <w:tcPr>
            <w:tcW w:w="22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815,156</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w:t>
            </w:r>
          </w:p>
        </w:tc>
      </w:tr>
      <w:tr>
        <w:trPr/>
        <w:tc>
          <w:tcPr>
            <w:tcW w:w="1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1 –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13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555,287</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shd w:fill="CCEEFF" w:val="clear"/>
            <w:vAlign w:val="center"/>
          </w:tcPr>
          <w:p>
            <w:pPr>
              <w:pStyle w:val="TableContents"/>
              <w:bidi w:val="0"/>
              <w:spacing w:before="0" w:after="1"/>
              <w:ind w:left="0" w:right="0" w:hanging="0"/>
              <w:jc w:val="left"/>
              <w:rPr/>
            </w:pPr>
            <w:r>
              <w:rPr/>
              <w:t>​</w:t>
            </w:r>
          </w:p>
        </w:tc>
        <w:tc>
          <w:tcPr>
            <w:tcW w:w="22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555,287</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w:t>
            </w:r>
          </w:p>
        </w:tc>
      </w:tr>
      <w:tr>
        <w:trPr/>
        <w:tc>
          <w:tcPr>
            <w:tcW w:w="13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13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1,603,971</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1,603,971</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937" w:type="dxa"/>
            <w:tcBorders/>
            <w:vAlign w:val="center"/>
          </w:tcPr>
          <w:p>
            <w:pPr>
              <w:pStyle w:val="TableContents"/>
              <w:bidi w:val="0"/>
              <w:spacing w:before="0" w:after="1"/>
              <w:ind w:left="0" w:right="0" w:hanging="0"/>
              <w:jc w:val="righ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shares of Class A common stock purchased recorded in this column were purchased pursuant to our publicly announced stock repurchase program.</w:t>
            </w:r>
          </w:p>
        </w:tc>
      </w:tr>
    </w:tbl>
    <w:tbl>
      <w:tblPr>
        <w:tblW w:w="7731" w:type="dxa"/>
        <w:jc w:val="left"/>
        <w:tblInd w:w="0" w:type="dxa"/>
        <w:tblLayout w:type="fixed"/>
        <w:tblCellMar>
          <w:top w:w="28" w:type="dxa"/>
          <w:left w:w="28" w:type="dxa"/>
          <w:bottom w:w="28" w:type="dxa"/>
          <w:right w:w="28" w:type="dxa"/>
        </w:tblCellMar>
      </w:tblPr>
      <w:tblGrid>
        <w:gridCol w:w="124"/>
        <w:gridCol w:w="331"/>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price paid per share of Class A common stock includes brokerage commissions.</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0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our Board of Directors authorized a stock repurchase program permitting us to purchase up to $100 million of our Class A common stock. Repurchases may be made from time to time through open-market purchases, block trades, and/or privately negotiated transactions (including accelerated share repurchases), and may include Rule 10b5-1 trading plans. Any repurchase will be executed in compliance with Rule 10b-18 of the Securities Exchange Act of 1934. We may determine the timing, amount and method of repurchases based on market conditions, share price, legal and regulatory requirements, and other considerations in its sole discretion. The program does not obligate us to repurchase any specific number of shares and may be modified, suspended or terminated at any time.</w:t>
            </w:r>
          </w:p>
        </w:tc>
      </w:tr>
    </w:tbl>
    <w:tbl>
      <w:tblPr>
        <w:tblW w:w="10205" w:type="dxa"/>
        <w:jc w:val="left"/>
        <w:tblInd w:w="0" w:type="dxa"/>
        <w:tblLayout w:type="fixed"/>
        <w:tblCellMar>
          <w:top w:w="28" w:type="dxa"/>
          <w:left w:w="28" w:type="dxa"/>
          <w:bottom w:w="28" w:type="dxa"/>
          <w:right w:w="28" w:type="dxa"/>
        </w:tblCellMar>
      </w:tblPr>
      <w:tblGrid>
        <w:gridCol w:w="124"/>
        <w:gridCol w:w="298"/>
        <w:gridCol w:w="9783"/>
      </w:tblGrid>
      <w:tr>
        <w:trPr/>
        <w:tc>
          <w:tcPr>
            <w:tcW w:w="124" w:type="dxa"/>
            <w:tcBorders/>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7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 shown represents, as of the end of each period, the approximate dollar value of shares of our Class A common stock that may yet be purchased under the $100 million authorization, exclusive of any brokerage commissions.</w:t>
            </w:r>
          </w:p>
        </w:tc>
      </w:tr>
    </w:tbl>
    <w:p>
      <w:pPr>
        <w:pStyle w:val="TextBody"/>
        <w:bidi w:val="0"/>
        <w:spacing w:before="0" w:after="240"/>
        <w:ind w:left="0" w:right="0" w:hanging="0"/>
        <w:jc w:val="left"/>
        <w:rPr>
          <w:rFonts w:ascii="Times New Roman;Times;serif" w:hAnsi="Times New Roman;Times;serif"/>
          <w:b/>
          <w:sz w:val="20"/>
        </w:rPr>
      </w:pPr>
      <w:bookmarkStart w:id="869" w:name="Item3DefaultsuponSeniorSecurities_357636"/>
      <w:bookmarkStart w:id="870" w:name="_ae13ab68_a6a9_4621_95f9_881dbcf5333e"/>
      <w:bookmarkEnd w:id="869"/>
      <w:bookmarkEnd w:id="870"/>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Not applicable.</w:t>
      </w:r>
    </w:p>
    <w:p>
      <w:pPr>
        <w:pStyle w:val="TextBody"/>
        <w:bidi w:val="0"/>
        <w:spacing w:before="0" w:after="240"/>
        <w:ind w:left="0" w:right="0" w:hanging="0"/>
        <w:jc w:val="left"/>
        <w:rPr>
          <w:rFonts w:ascii="Times New Roman;Times;serif" w:hAnsi="Times New Roman;Times;serif"/>
          <w:b/>
          <w:sz w:val="20"/>
        </w:rPr>
      </w:pPr>
      <w:bookmarkStart w:id="871" w:name="Item4MineSafetyDisclosures_501310"/>
      <w:bookmarkStart w:id="872" w:name="_ad06d8d1_7028_41f5_8f74_6d1f6b54c98d"/>
      <w:bookmarkEnd w:id="871"/>
      <w:bookmarkEnd w:id="872"/>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73" w:name="Item5OtherInformation_487176"/>
      <w:bookmarkStart w:id="874" w:name="_93c19d7d_1a92_4cc1_acc6_5b8fdd6c0164"/>
      <w:bookmarkEnd w:id="873"/>
      <w:bookmarkEnd w:id="874"/>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Rule 10b5-1 Trading Plans – Directors and Section 16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2026, none of the Company’s directors or Section 16 officers adopted or terminated any contract, instruction or written plan for the purchase or sale of Company securities that was intended to satisfy the affirmative defense conditions of Rule 10b5-1(c) of the Exchange Act or any “non-Rule 10b5-1 trading arrangement”.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Resignation of Dane C. Andreeff as Chief Executive Officer and President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On May 12, 2026, the Company and Dane C. Andreeff entered into a separation agreement (the “Andreeff Separation Agreement”) whereby Mr. Andreeff separated from the Company and resigned from the Board of Directors and from his positions as the Company’s Chief Executive Officer and President, and principal executive officer. Such resignation did not result from any disagreement with the Company on any matter relating to the Company’s operations, policies or practices.</w:t>
      </w:r>
    </w:p>
    <w:p>
      <w:pPr>
        <w:pStyle w:val="TextBody"/>
        <w:bidi w:val="0"/>
        <w:spacing w:before="240" w:after="0"/>
        <w:ind w:left="0" w:right="0" w:hanging="0"/>
        <w:jc w:val="left"/>
        <w:rPr>
          <w:rFonts w:ascii="Times New Roman;Times;serif" w:hAnsi="Times New Roman;Times;serif"/>
          <w:sz w:val="20"/>
        </w:rPr>
      </w:pPr>
      <w:bookmarkStart w:id="875" w:name="OLE_LINK38"/>
      <w:bookmarkStart w:id="876" w:name="OLE_LINK37"/>
      <w:bookmarkEnd w:id="875"/>
      <w:bookmarkEnd w:id="876"/>
      <w:r>
        <w:rPr>
          <w:rFonts w:ascii="Times New Roman;Times;serif" w:hAnsi="Times New Roman;Times;serif"/>
          <w:sz w:val="20"/>
        </w:rPr>
        <w:t>Pursuant to the Andreeff Separation Agreement, Mr. Andreeff is entitled to receive a separation payment of $3,000,000 within five (5) business days after the effective date of the Andreeff Separation Agreement, which amount is, among other things, in lieu of any obligations under Mr. Andreeff’s Employment Agreement and any bonus previously promised to Mr. Andreeff either orally or in writing. In exchange for the consideration provided to Mr. Andreeff pursuant to the Andreeff Separation Agreement, Mr. Andreeff agreed to waive and release any claims in connection with Mr. Andreeff’s employment and separation from the Company. Mr. Andreeff must also continue to comply with the confidential information and invention assignment provisions set forth in Mr. Andreeff’s employment agreement with the Company. </w:t>
      </w:r>
    </w:p>
    <w:p>
      <w:pPr>
        <w:pStyle w:val="TextBody"/>
        <w:bidi w:val="0"/>
        <w:spacing w:before="240" w:after="0"/>
        <w:ind w:left="0" w:right="0" w:hanging="0"/>
        <w:jc w:val="left"/>
        <w:rPr>
          <w:rFonts w:ascii="Times New Roman;Times;serif" w:hAnsi="Times New Roman;Times;serif"/>
          <w:sz w:val="20"/>
        </w:rPr>
      </w:pPr>
      <w:bookmarkStart w:id="877" w:name="_cp_change_254"/>
      <w:bookmarkEnd w:id="877"/>
      <w:r>
        <w:rPr>
          <w:rFonts w:ascii="Times New Roman;Times;serif" w:hAnsi="Times New Roman;Times;serif"/>
          <w:sz w:val="20"/>
        </w:rPr>
        <w:t>The foregoing description of the Andreeff Separation Agreement does not purport to be complete and is qualified in its entirety by the full text of the Andreeff Separation Agreement, a copy of which is attached hereto as Exhibit 10.3 and incorporated by reference herein.</w:t>
      </w:r>
    </w:p>
    <w:p>
      <w:pPr>
        <w:pStyle w:val="TextBody"/>
        <w:bidi w:val="0"/>
        <w:spacing w:before="240" w:after="0"/>
        <w:ind w:left="0" w:right="0" w:hanging="0"/>
        <w:jc w:val="both"/>
        <w:rPr>
          <w:rFonts w:ascii="Times New Roman;Times;serif" w:hAnsi="Times New Roman;Times;serif"/>
          <w:b/>
          <w:i/>
          <w:sz w:val="20"/>
        </w:rPr>
      </w:pPr>
      <w:r>
        <w:rPr>
          <w:rFonts w:ascii="Times New Roman;Times;serif" w:hAnsi="Times New Roman;Times;serif"/>
          <w:b/>
          <w:i/>
          <w:sz w:val="20"/>
        </w:rPr>
        <w:t xml:space="preserve">Appointment of Joseph Chee as Chairman and Chief Executive Officer and President </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On May 12, 2026, the Board of Directors appointed Joseph Chee, the Company’s Executive Chairman, as the Company’s Chairman and Chief Executive Officer and President, and principal executive officer, effective as of May 12, 2026. Mr. Chee’s new role as Chairman supersedes his prior role as the Company’s Executive Chairman.</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Mr. Chee, aged 54, has served as the Company’s Executive Chairman since September 2025. He has been a Founder of Summer Capital Limited since August 2017 and has served as the Chairman until October 2025. Summer Capital is an investment company dedicated to investing in early growth stage companies in “new economy” sectors such as fintech, blockchain infrastructure and application, consumption technology and healthcare. He has also served as the Vice Chairman of AMINA Bank AG, a company focused on providing a bridge between traditional finance and digital assets while operating as a FINMA-regulated cryptocurrency bank and offering services such as secure custody, crypto trading, staking, lending, asset management and tokenized products to professional investors, corporations, family offices and institutions globally, since April 2020. In addition, Mr. Chee is the founder of Summer Healthcare Fund, L.P. since February 2021 and Summer Everest Ecosystem Fund, L.P. since September 2023, both of which are investment companies focused on healthcare and biotechnology and blockchain ecosystem and financial technology. Prior to these positions, Mr. Chee was Head of Investment Banking and Head of Global Capital Markets, Asia at UBS AG. From 2000 to 2017, Mr. Chee held a number of positions in UBS AG. Mr. Chee has earned a Doctorate degree in applied finance from the University of Geneva, an Executive Master of Business Administration degree from Tsinghua University, a Master of Business Administration degree from New York University and a Bachelor’s degree in mechanical engineering from Stevens Institute of Technology. </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terms of the existing indemnification agreement between the Company and Mr. Chee will remain in effect, which requires, among other things, that the Company indemnify Mr. Chee, under the circumstances and the extent provided for therein, against certain expenses, judgements, fines and other amounts incurred by him as a result of being made party to certain actions, suits, claims and other proceedings, by reason of his status as a director, officer, employee, or agent of the Company or any other entity for which he was serving as a director, officer, employee or agent at the request of the Company. A copy of the form of the Company’s standard form indemnification agreement for directors and officers was filed as Exhibit 10.2 to the Company’s Form 8-K, filed with the SEC on September 18,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no arrangements or understandings between Mr. Chee and any other person pursuant to which he was elected as an officer of the Company. Mr. Chee does not have any family relationships with any of the Company’s directors or executive officers. Mr. Chee does not have a direct or indirect material interest in any transaction that would require disclosure under Item 404(a) of Regulation S-K that was not previously disclosed in the Company’s definitive proxy statement for its 2026 Annual Meeting of Stockholders, filed with the SEC on April 10, 2026.</w:t>
      </w:r>
    </w:p>
    <w:p>
      <w:pPr>
        <w:pStyle w:val="TextBody"/>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Resignation of Jeffrey Mathiesen as Chief Financial Officer, Treasurer and Secretary</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On May 12, 2026, the Company and Jeffrey Mathiesen entered into a separation agreement (the “Mathiesen Separation Agreement”) whereby Mr. Mathiesen separated from the Company and resigned as the Company’s Chief Financial Officer, Treasurer and Secretary, and principal financial officer and principal accounting officer. Such resignation did not result from any disagreement with the Company on any matter relating to the Company’s operations, policies or practices.</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Pursuant to the Mathiesen Separation Agreement, Mr. Mathiesen is entitled to receive a separation payment of $2,400,000 within five (5) business days after the effective date of the Mathiesen Separation Agreement, which amount is, among other things, in lieu of any obligations under Mr. Mathiesen’s Employment Agreement and any bonus previously promised to Mr. Mathiesen either orally or in writing. In exchange for the consideration provided to Mr. Mathiesen pursuant to the Mathiesen Separation Agreement, Mr. Mathiesen agreed to waive and release any claims in connection with Mr. Mathiesen’s employment and separation from the Company. Mr. Mathiesen must also continue to comply with the confidential information and invention assignment provisions set forth in Mr. Mathiesen’s employment agreement with the Company. </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The foregoing description of the Mathiesen Separation Agreement does not purport to be complete and is qualified in its entirety by the full text of the Mathiesen Separation Agreement, a copy of which is attached hereto as Exhibit 10.4 and incorporated by reference herein.</w:t>
      </w:r>
    </w:p>
    <w:p>
      <w:pPr>
        <w:pStyle w:val="TextBody"/>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 xml:space="preserve">Appointment of Agustina Gani Tjandrasuwita as Chief Financial Officer, Treasurer and Secretary </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On May 12, 2026, the Board of Directors appointed Agustina “Madelene” Gani Tjandrasuwita, the Company’s Chief Operating Officer and Deputy Chief Financial Officer, as the Company’s Chief Financial Officer, Treasurer and Secretary, and principal financial officer and principal accounting officer, effective as of May 12, 2026. Ms. Tjandrasuwita’s new role as Chief Financial Officer supersedes her prior role as Deputy Chief Financial Officer. </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Agustina “Madelene” Gani Tjandrasuwita, aged 50, has served as the Company’s Chief Operating Officer and Deputy Chief Financial Officer since April 2026. Prior to joining the Company, from 2024 to 2026, Ms. Tjandrasuwita served as the Chief Financial Officer at Hedera Hashgraph, Inc., a decentralized blockchain company, where she was responsible for its financial transparency, revenue growth, risk management, governance, investor relations and global tax planning. From 2022 to 2024, Ms. Tjandrasuwita served as Head of Finance, Vice President at Aptos Labs Inc., a permissionless layer 1 blockchain company, where she oversaw financial deals, partnerships, token treasury management, and audit and tax matters. Prior to that, from 2021 to 2022, she served as Head of Finance, Vice President at Gemini (Nasdaq: GEMI), a publicly traded cryptocurrency exchange and custodian company, where she oversaw capital fundraise and IPO readiness matters. Before that, from 2018 to 2021, she served as Global Controller, Head of Global Taxes at JUUL Labs, Inc., an American electronic cigarette company, where she led global controllership functions. Ms. Tjandrasuwita received her Bachelor of Business Administration degree from University of San Diego. She is a certified public accountant with an active license.</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As previously disclosed, Ms. Tjandrasuwita entered into an employment agreement with the Company (the “Tjandrasuwita Employment Agreement”) in connection with her appointment as the Company’s Chief Operating Officer and Deputy Chief Financial Officer. A copy of the Tjandrasuwita Employment Agreement was filed as Exhibit 10.1 to the Company’s Current Report on Form 8-K, filed with the SEC on April 9, 2026.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terms of the existing indemnification agreement between the Company and Ms. Tjandrasuwita will remain in effect, which requires, among other things, that the Company indemnify Ms. Tjandrasuwita, under the circumstances and the extent provided for therein, against certain expenses, judgements, fines and other amounts incurred by her as a result of being made party to certain actions, suits, claims and other proceedings, by reason of her status as a director, officer, employee, or agent of the Company or any other entity for which she was serving as a director, officer, employee or agent at the request of the Company. A copy of the form of the Company’s standard form indemnification agreement for directors and officers was filed as Exhibit 10.2 to the Company’s Form 8-K, filed with the SEC on September 18, 2025.</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no arrangements or understandings between Ms. Tjandrasuwita and any other person pursuant to which she was elected as an officer of the Company. Ms. Tjandrasuwita does not have any family relationships with any of the Company’s directors or executive officers. Ms. Tjandrasuwita does not have a direct or indirect material interest in any transaction that would require disclosure under Item 404(a) of Regulation S-K.</w:t>
      </w:r>
    </w:p>
    <w:p>
      <w:pPr>
        <w:pStyle w:val="TextBody"/>
        <w:bidi w:val="0"/>
        <w:spacing w:before="0" w:after="240"/>
        <w:ind w:left="0" w:right="0" w:hanging="0"/>
        <w:jc w:val="left"/>
        <w:rPr/>
      </w:pPr>
      <w:bookmarkStart w:id="878" w:name="_ad085204_20b9_4f81_9d1c_b33d3d1e3e73"/>
      <w:bookmarkEnd w:id="878"/>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18"/>
        </w:rPr>
      </w:pPr>
      <w:bookmarkStart w:id="879" w:name="Item6Exhibits_175156"/>
      <w:bookmarkEnd w:id="879"/>
      <w:r>
        <w:rPr>
          <w:rFonts w:ascii="Times New Roman;Times;serif" w:hAnsi="Times New Roman;Times;serif"/>
          <w:b/>
          <w:sz w:val="18"/>
        </w:rPr>
        <w:t>Item 6.    Exhibits</w:t>
      </w:r>
    </w:p>
    <w:tbl>
      <w:tblPr>
        <w:tblW w:w="10205" w:type="dxa"/>
        <w:jc w:val="left"/>
        <w:tblInd w:w="0" w:type="dxa"/>
        <w:tblLayout w:type="fixed"/>
        <w:tblCellMar>
          <w:top w:w="0" w:type="dxa"/>
          <w:left w:w="0" w:type="dxa"/>
          <w:bottom w:w="0" w:type="dxa"/>
          <w:right w:w="0" w:type="dxa"/>
        </w:tblCellMar>
      </w:tblPr>
      <w:tblGrid>
        <w:gridCol w:w="854"/>
        <w:gridCol w:w="346"/>
        <w:gridCol w:w="9005"/>
      </w:tblGrid>
      <w:tr>
        <w:trPr/>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42290" cy="175260"/>
                      <wp:effectExtent l="0" t="0" r="0" b="0"/>
                      <wp:wrapNone/>
                      <wp:docPr id="217" name="Frame216"/>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718175" cy="175260"/>
                      <wp:effectExtent l="0" t="0" r="0" b="0"/>
                      <wp:wrapNone/>
                      <wp:docPr id="218" name="Frame217"/>
                      <a:graphic xmlns:a="http://schemas.openxmlformats.org/drawingml/2006/main">
                        <a:graphicData uri="http://schemas.microsoft.com/office/word/2010/wordprocessingShape">
                          <wps:wsp>
                            <wps:cNvSpPr txBox="1"/>
                            <wps:spPr>
                              <a:xfrm>
                                <a:off x="0" y="0"/>
                                <a:ext cx="571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5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Exhibit No.</w:t>
            </w:r>
          </w:p>
        </w:tc>
        <w:tc>
          <w:tcPr>
            <w:tcW w:w="346" w:type="dxa"/>
            <w:tcBorders/>
            <w:vAlign w:val="center"/>
          </w:tcPr>
          <w:p>
            <w:pPr>
              <w:pStyle w:val="TableContents"/>
              <w:bidi w:val="0"/>
              <w:spacing w:before="0" w:after="0"/>
              <w:ind w:left="0" w:right="0" w:hanging="0"/>
              <w:jc w:val="left"/>
              <w:rPr/>
            </w:pPr>
            <w:r>
              <w:rPr/>
              <w:t>  ​ ​ ​</w:t>
            </w:r>
          </w:p>
        </w:tc>
        <w:tc>
          <w:tcPr>
            <w:tcW w:w="90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Description of Exhibit</w:t>
            </w:r>
          </w:p>
        </w:tc>
      </w:tr>
      <w:tr>
        <w:trPr/>
        <w:tc>
          <w:tcPr>
            <w:tcW w:w="85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w:t>
            </w:r>
          </w:p>
        </w:tc>
        <w:tc>
          <w:tcPr>
            <w:tcW w:w="346" w:type="dxa"/>
            <w:tcBorders/>
            <w:vAlign w:val="center"/>
          </w:tcPr>
          <w:p>
            <w:pPr>
              <w:pStyle w:val="TableContents"/>
              <w:bidi w:val="0"/>
              <w:spacing w:before="0" w:after="0"/>
              <w:ind w:left="0" w:right="0" w:hanging="0"/>
              <w:jc w:val="left"/>
              <w:rPr/>
            </w:pPr>
            <w:r>
              <w:rPr/>
              <w:t>​</w:t>
            </w:r>
          </w:p>
        </w:tc>
        <w:tc>
          <w:tcPr>
            <w:tcW w:w="9005" w:type="dxa"/>
            <w:tcBorders>
              <w:top w:val="single" w:sz="2" w:space="0" w:color="000000"/>
            </w:tcBorders>
            <w:tcMar>
              <w:top w:w="28"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Conversion filed with the Delaware Secretary of State on July 18, 2018 (incorporated by reference to Exhibit 3.1 to the Form 10-Q filed August 9, 2018)</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Incorporation, as corrected (incorporated by reference to Exhibit 3.1 to the Form 8-K filed October 30, 2018)</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3.3</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Form 8-K filed on December 31, 2020)</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3.4</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Amendment to Certificate of Incorporation, as corrected (incorporated by reference to Exhibit 3.1 to the Form 8-K filed on August 16, 2023)</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3.5</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Form 8-K filed on April 30, 2025)</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3.6</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Form 8-K filed on June 27, 2025)</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3.7</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Form 8-K filed September 18, 2025)</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3.8</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Form 8-K filed on September 29, 2025)</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3.9</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Third Amended and Restated Bylaws (incorporated by reference to Exhibit 3.2 to the Form 8-K filed on September 29, 2025)</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4.1</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Form of Securities Purchase Agreement, by and among Solana Company and the Purchasers, dated April 27, 2026 (incorporated by reference to Exhibit 4.1 to the Form 8-K filed on April 27, 2026)</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4.2</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Put Option Agreement, by and among Solana Company and the Purchasers, dated April 27, 2026. (incorporated by reference to Exhibit 4.2 to the Form 8-K filed on April 27, 2026)</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Offer Letter, dated as of March 13, 2026, by and between Solana Company and Agustina Gani Tjandrasuwita (incorporated by reference to Exhibit 10.1 to the Form 8-K filed on April 9, 2026)</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10.2†</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Separation Agreement, dated as of April 8, 2026, by and between Solana Company and Antonella Favit-Van Pelt (incorporated by reference to Exhibit 10.1 to the Form 8-K filed on April 13, 2026)</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10.3†#</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w:anchor="hsdt-20260331xex10d3.htm">
              <w:r>
                <w:rPr>
                  <w:rStyle w:val="InternetLink"/>
                  <w:rFonts w:ascii="Times New Roman;Times;serif" w:hAnsi="Times New Roman;Times;serif"/>
                  <w:b w:val="false"/>
                  <w:i w:val="false"/>
                  <w:caps w:val="false"/>
                  <w:smallCaps w:val="false"/>
                  <w:sz w:val="20"/>
                </w:rPr>
                <w:t>Separation Agreement, dated as of May 12, 2026, by and between Solana Company and Dane C. Andreeff</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w:anchor="hsdt-20260331xex10d4.htm">
              <w:r>
                <w:rPr>
                  <w:rStyle w:val="InternetLink"/>
                  <w:rFonts w:ascii="Times New Roman;Times;serif" w:hAnsi="Times New Roman;Times;serif"/>
                  <w:b w:val="false"/>
                  <w:i w:val="false"/>
                  <w:caps w:val="false"/>
                  <w:smallCaps w:val="false"/>
                  <w:sz w:val="20"/>
                </w:rPr>
                <w:t>Separation Agreement, dated as of May 12, 2026, by and between Solana Company and Jeffrey Mathiesen</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31.1#</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w:anchor="hsdt-20260331xex31d1.htm">
              <w:r>
                <w:rPr>
                  <w:rStyle w:val="InternetLink"/>
                  <w:rFonts w:ascii="Times New Roman;Times;serif" w:hAnsi="Times New Roman;Times;serif"/>
                  <w:b w:val="false"/>
                  <w:i w:val="false"/>
                  <w:caps w:val="false"/>
                  <w:smallCaps w:val="false"/>
                  <w:sz w:val="20"/>
                </w:rPr>
                <w:t>Certification of Chief Executive Officer pursuant to Rule 13a-14(a) and Rule 15d-14(a), as adopted pursuant to Section 302 of the Sarbanes-Oxley Act of 2002</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31.2#</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w:anchor="hsdt-20260331xex31d2.htm">
              <w:r>
                <w:rPr>
                  <w:rStyle w:val="InternetLink"/>
                  <w:rFonts w:ascii="Times New Roman;Times;serif" w:hAnsi="Times New Roman;Times;serif"/>
                  <w:b w:val="false"/>
                  <w:i w:val="false"/>
                  <w:caps w:val="false"/>
                  <w:smallCaps w:val="false"/>
                  <w:sz w:val="20"/>
                </w:rPr>
                <w:t>Certification of Chief Financial Officer pursuant to Rule 13a-14(a) and Rule 15d-14(a), as adopted pursuant to Section 302 of the Sarbanes-Oxley Act of 2002</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32.1#*</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w:anchor="hsdt-202603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32.2#*</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pPr>
            <w:hyperlink w:anchor="hsdt-202603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w:t>
            </w:r>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r>
      <w:tr>
        <w:trPr/>
        <w:tc>
          <w:tcPr>
            <w:tcW w:w="8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346"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r>
    </w:tbl>
    <w:p>
      <w:pPr>
        <w:pStyle w:val="TextBody"/>
        <w:pBdr/>
        <w:bidi w:val="0"/>
        <w:spacing w:before="0" w:after="240"/>
        <w:ind w:left="0" w:right="0" w:hanging="360"/>
        <w:jc w:val="left"/>
        <w:rPr/>
      </w:pPr>
      <w:r>
        <w:rPr/>
        <w:t xml:space="preserve">† </w:t>
      </w:r>
      <w:r>
        <w:rPr>
          <w:rFonts w:ascii="Times New Roman;Times;serif" w:hAnsi="Times New Roman;Times;serif"/>
          <w:sz w:val="16"/>
        </w:rPr>
        <w:t>Indicates a management contract or compensatory plan.</w:t>
      </w:r>
    </w:p>
    <w:tbl>
      <w:tblPr>
        <w:tblW w:w="1397" w:type="dxa"/>
        <w:jc w:val="left"/>
        <w:tblInd w:w="0" w:type="dxa"/>
        <w:tblLayout w:type="fixed"/>
        <w:tblCellMar>
          <w:top w:w="0" w:type="dxa"/>
          <w:left w:w="0" w:type="dxa"/>
          <w:bottom w:w="0" w:type="dxa"/>
          <w:right w:w="0" w:type="dxa"/>
        </w:tblCellMar>
      </w:tblPr>
      <w:tblGrid>
        <w:gridCol w:w="211"/>
        <w:gridCol w:w="1186"/>
      </w:tblGrid>
      <w:tr>
        <w:trPr/>
        <w:tc>
          <w:tcPr>
            <w:tcW w:w="21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1186"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Filed herewith.</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both"/>
              <w:rPr>
                <w:rFonts w:ascii="Times New Roman;Times;serif" w:hAnsi="Times New Roman;Times;serif"/>
                <w:sz w:val="18"/>
              </w:rPr>
            </w:pPr>
            <w:r>
              <w:rPr>
                <w:rFonts w:ascii="Times New Roman;Times;serif" w:hAnsi="Times New Roman;Times;serif"/>
                <w:sz w:val="18"/>
              </w:rPr>
              <w:t>*</w:t>
            </w:r>
          </w:p>
        </w:tc>
        <w:tc>
          <w:tcPr>
            <w:tcW w:w="9994"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80" w:name="SIGNATURES_395744"/>
      <w:bookmarkStart w:id="881" w:name="_437ef312_1233_4298_a084_e405987c4614"/>
      <w:bookmarkEnd w:id="880"/>
      <w:bookmarkEnd w:id="881"/>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8433" w:type="dxa"/>
        <w:jc w:val="left"/>
        <w:tblInd w:w="0" w:type="dxa"/>
        <w:tblLayout w:type="fixed"/>
        <w:tblCellMar>
          <w:top w:w="0" w:type="dxa"/>
          <w:left w:w="0" w:type="dxa"/>
          <w:bottom w:w="0" w:type="dxa"/>
          <w:right w:w="0" w:type="dxa"/>
        </w:tblCellMar>
      </w:tblPr>
      <w:tblGrid>
        <w:gridCol w:w="1846"/>
        <w:gridCol w:w="406"/>
        <w:gridCol w:w="6181"/>
      </w:tblGrid>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8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658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SOLANA COMPANY</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8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Chee Choon Wee</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Chee Choon Wee</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8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Chairman, Chief Executive Officer and President</w:t>
              <w:br/>
              <w:t>(Principal Executive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8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Agustina Gani Tjandrasuwita</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Agustina Gani Tjandrasuwita</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Chief Financial Officer, Chief Operating Officer, Treasurer and Secretary</w:t>
            </w:r>
            <w:r>
              <w:rPr>
                <w:rFonts w:ascii="Times New Roman;Times;serif" w:hAnsi="Times New Roman;Times;serif"/>
                <w:sz w:val="20"/>
              </w:rPr>
              <w:br/>
            </w:r>
            <w:r>
              <w:rPr>
                <w:rFonts w:ascii="Times New Roman;Times;serif" w:hAnsi="Times New Roman;Times;serif"/>
                <w:i/>
                <w:sz w:val="20"/>
              </w:rPr>
              <w:t>(Principal Financial</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8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Officer and Principal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firstLine="720"/>
        <w:jc w:val="right"/>
        <w:rPr>
          <w:rFonts w:ascii="Times New Roman;Times;serif" w:hAnsi="Times New Roman;Times;serif"/>
          <w:b/>
          <w:sz w:val="22"/>
        </w:rPr>
      </w:pPr>
      <w:bookmarkStart w:id="882" w:name="hsdt-20260331xex10d3.htm"/>
      <w:bookmarkStart w:id="883" w:name="kshsdt20260331xex10d3"/>
      <w:bookmarkEnd w:id="882"/>
      <w:bookmarkEnd w:id="883"/>
      <w:r>
        <w:rPr>
          <w:rFonts w:ascii="Times New Roman;Times;serif" w:hAnsi="Times New Roman;Times;serif"/>
          <w:b/>
          <w:sz w:val="22"/>
        </w:rPr>
        <w:t>Exhibit 10.3</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SEPARATION AGREEMENT AND RELEASE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CG Times" w:hAnsi="CG Times"/>
          <w:sz w:val="22"/>
        </w:rPr>
      </w:pPr>
      <w:r>
        <w:rPr>
          <w:rFonts w:ascii="Times New Roman;Times;serif" w:hAnsi="Times New Roman;Times;serif"/>
          <w:sz w:val="22"/>
        </w:rPr>
        <w:t>This Separation Agreement and Release (“Agreement”) is made by and between</w:t>
      </w:r>
      <w:r>
        <w:rPr>
          <w:rFonts w:ascii="CG Times" w:hAnsi="CG Times"/>
          <w:sz w:val="22"/>
        </w:rPr>
        <w:t xml:space="preserve"> </w:t>
      </w:r>
      <w:r>
        <w:rPr>
          <w:rFonts w:ascii="Times New Roman;Times;serif" w:hAnsi="Times New Roman;Times;serif"/>
          <w:sz w:val="22"/>
        </w:rPr>
        <w:t>Dane C. Andreeff (“Employee”) and Solana Company, f/k/a Helius Medical Technologies, Inc. including all subsidiaries and affiliates (the “Company”) (collectively referred to as the “Parties” or individually referred to as a “Party”).</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b/>
          <w:sz w:val="22"/>
        </w:rPr>
      </w:pPr>
      <w:bookmarkStart w:id="884" w:name="OLE_LINK28"/>
      <w:bookmarkStart w:id="885" w:name="OLE_LINK27"/>
      <w:bookmarkEnd w:id="884"/>
      <w:bookmarkEnd w:id="885"/>
      <w:r>
        <w:rPr>
          <w:rFonts w:ascii="Times New Roman;Times;serif" w:hAnsi="Times New Roman;Times;serif"/>
          <w:b/>
          <w:sz w:val="22"/>
        </w:rPr>
        <w:t>RECITALS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WHEREAS, Employee has been employed by the Company;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WHEREAS, Employee signed an employment agreement with the Company on June 14, 2021 (the “Employment </w:t>
        <w:br/>
        <w:t>Agreement”);</w:t>
      </w:r>
    </w:p>
    <w:p>
      <w:pPr>
        <w:pStyle w:val="TextBody"/>
        <w:bidi w:val="0"/>
        <w:spacing w:before="240" w:after="0"/>
        <w:ind w:left="0" w:right="0" w:hanging="0"/>
        <w:jc w:val="both"/>
        <w:rPr>
          <w:rFonts w:ascii="Times New Roman;Times;serif" w:hAnsi="Times New Roman;Times;serif"/>
          <w:sz w:val="22"/>
        </w:rPr>
      </w:pPr>
      <w:bookmarkStart w:id="886" w:name="OLE_LINK65"/>
      <w:bookmarkStart w:id="887" w:name="OLE_LINK64"/>
      <w:bookmarkEnd w:id="886"/>
      <w:bookmarkEnd w:id="887"/>
      <w:r>
        <w:rPr>
          <w:rFonts w:ascii="Times New Roman;Times;serif" w:hAnsi="Times New Roman;Times;serif"/>
          <w:sz w:val="22"/>
        </w:rPr>
        <w:t>WHEREAS, the Company has granted the Employee options to purchase shares of the Company’s common stock subject to the terms and conditions of the Company’s 2018 Omnibus Stock Incentive Plan and the 2022 Equity Incentive Plan and the Stock Option Agreement (collectively the “Stock Agreements”);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CG Times" w:hAnsi="CG Times"/>
          <w:sz w:val="22"/>
        </w:rPr>
      </w:pPr>
      <w:r>
        <w:rPr>
          <w:rFonts w:ascii="Times New Roman;Times;serif" w:hAnsi="Times New Roman;Times;serif"/>
          <w:smallCaps/>
          <w:sz w:val="22"/>
        </w:rPr>
        <w:t>Whereas</w:t>
      </w:r>
      <w:r>
        <w:rPr>
          <w:rFonts w:ascii="Times New Roman;Times;serif" w:hAnsi="Times New Roman;Times;serif"/>
          <w:sz w:val="22"/>
        </w:rPr>
        <w:t>, the Parties have mutually agreed to terminate the existing employment relationship, and for Employee to resign from the Company’s Board of Directors (the “Board”), on the terms and conditions set forth in this Agreement; and</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NOW, THEREFORE, in consideration of the mutual promises made herein, the Company and Employee hereby agree as follows:</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COVENANTS</w:t>
      </w:r>
    </w:p>
    <w:p>
      <w:pPr>
        <w:pStyle w:val="TextBody"/>
        <w:bidi w:val="0"/>
        <w:spacing w:before="240" w:after="283"/>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w:t>
      </w:r>
      <w:r>
        <w:rPr>
          <w:rFonts w:ascii="Times New Roman;Times;serif" w:hAnsi="Times New Roman;Times;serif"/>
          <w:sz w:val="22"/>
          <w:u w:val="single"/>
        </w:rPr>
        <w:t>Consideration</w:t>
      </w:r>
      <w:r>
        <w:rPr>
          <w:rFonts w:ascii="Times New Roman;Times;serif" w:hAnsi="Times New Roman;Times;serif"/>
          <w:sz w:val="22"/>
        </w:rPr>
        <w:t>.  In consideration of Employee’s execution of this Agreement and Employee’s fulfillment of all of its terms and conditions, the Company agrees as follows:</w:t>
      </w:r>
    </w:p>
    <w:p>
      <w:pPr>
        <w:pStyle w:val="TextBody"/>
        <w:bidi w:val="0"/>
        <w:spacing w:before="0" w:after="0"/>
        <w:ind w:left="0" w:right="0" w:hanging="0"/>
        <w:jc w:val="left"/>
        <w:rPr/>
      </w:pPr>
      <w:r>
        <w:rPr/>
        <w:t>​</w:t>
      </w:r>
    </w:p>
    <w:p>
      <w:pPr>
        <w:pStyle w:val="TextBody"/>
        <w:bidi w:val="0"/>
        <w:ind w:left="0" w:right="0" w:hanging="0"/>
        <w:jc w:val="both"/>
        <w:rPr>
          <w:rFonts w:ascii="CG Times" w:hAnsi="CG Times"/>
          <w:sz w:val="24"/>
        </w:rPr>
      </w:pPr>
      <w:r>
        <w:rPr>
          <w:rFonts w:ascii="Times New Roman;Times;serif" w:hAnsi="Times New Roman;Times;serif"/>
          <w:sz w:val="22"/>
        </w:rPr>
        <w:t>a.</w:t>
      </w:r>
      <w:r>
        <w:rPr>
          <w:rFonts w:ascii="Times New Roman;Times;serif" w:hAnsi="Times New Roman;Times;serif"/>
          <w:sz w:val="22"/>
          <w:u w:val="single"/>
        </w:rPr>
        <w:t>Termination of Employment</w:t>
      </w:r>
      <w:r>
        <w:rPr>
          <w:rFonts w:ascii="Times New Roman;Times;serif" w:hAnsi="Times New Roman;Times;serif"/>
          <w:sz w:val="22"/>
        </w:rPr>
        <w:t xml:space="preserve">. Employee’s employment with the Company shall terminate as of May 11, 2026 (the </w:t>
      </w:r>
      <w:r>
        <w:rPr>
          <w:rFonts w:ascii="CG Times" w:hAnsi="CG Times"/>
          <w:sz w:val="24"/>
        </w:rPr>
        <w:t>“</w:t>
      </w:r>
      <w:r>
        <w:rPr>
          <w:rFonts w:ascii="Times New Roman;Times;serif" w:hAnsi="Times New Roman;Times;serif"/>
          <w:b/>
          <w:i/>
          <w:sz w:val="22"/>
        </w:rPr>
        <w:t>Separation Date”</w:t>
      </w:r>
      <w:r>
        <w:rPr>
          <w:rFonts w:ascii="Times New Roman;Times;serif" w:hAnsi="Times New Roman;Times;serif"/>
          <w:sz w:val="22"/>
        </w:rPr>
        <w:t xml:space="preserve">).  Effective as of the Separation Date, Employee resigns from (i) every office of the Company and its subsidiaries held by Employee, and (ii) the Board and from any position he may hold as a director of a subsidiary of the Company. The Company shall pay Employee’s compensation for hours worked as an employee through the Separation Date, subject to withholding and payable in accordance with the Company’s payroll practices.  In addition, the Company will reimburse Employee for Employee’s outstanding documented employment-related business expenses remaining on the Company’s books and incurred prior to the Separation Date, which were properly reviewed and approved according to the Company’s policies in effect on the Separation Date.  Employee will receive the foregoing payments regardless of whether Employee executes this Agreement. </w:t>
      </w:r>
    </w:p>
    <w:p>
      <w:pPr>
        <w:pStyle w:val="TextBody"/>
        <w:bidi w:val="0"/>
        <w:spacing w:before="0" w:after="0"/>
        <w:ind w:left="1440" w:right="0" w:hanging="0"/>
        <w:jc w:val="both"/>
        <w:rPr/>
      </w:pPr>
      <w:r>
        <w:rPr/>
        <w:t>​</w:t>
      </w:r>
    </w:p>
    <w:p>
      <w:pPr>
        <w:pStyle w:val="TextBody"/>
        <w:bidi w:val="0"/>
        <w:ind w:left="0" w:right="0" w:hanging="0"/>
        <w:jc w:val="both"/>
        <w:rPr>
          <w:rFonts w:ascii="CG Times" w:hAnsi="CG Times"/>
          <w:sz w:val="24"/>
        </w:rPr>
      </w:pPr>
      <w:r>
        <w:rPr>
          <w:rFonts w:ascii="Times New Roman;Times;serif" w:hAnsi="Times New Roman;Times;serif"/>
          <w:sz w:val="22"/>
        </w:rPr>
        <w:t>b.</w:t>
      </w:r>
      <w:r>
        <w:rPr>
          <w:rFonts w:ascii="Times New Roman;Times;serif" w:hAnsi="Times New Roman;Times;serif"/>
          <w:sz w:val="22"/>
          <w:u w:val="single"/>
        </w:rPr>
        <w:t>Payment</w:t>
      </w:r>
      <w:r>
        <w:rPr>
          <w:rFonts w:ascii="Times New Roman;Times;serif" w:hAnsi="Times New Roman;Times;serif"/>
          <w:sz w:val="22"/>
        </w:rPr>
        <w:t xml:space="preserve">.  The Company agrees to pay Employee a total of Three Million Dollars ($3,000,000), as a severance benefit, in a single lump sum payment, </w:t>
      </w:r>
      <w:bookmarkStart w:id="888" w:name="OLE_LINK381"/>
      <w:bookmarkStart w:id="889" w:name="OLE_LINK371"/>
      <w:bookmarkEnd w:id="888"/>
      <w:bookmarkEnd w:id="889"/>
      <w:r>
        <w:rPr>
          <w:rFonts w:ascii="Times New Roman;Times;serif" w:hAnsi="Times New Roman;Times;serif"/>
          <w:sz w:val="22"/>
        </w:rPr>
        <w:t>less applicable withholdings (the “Payment”).  The Payment will be made to Employee within five (5) business days after the Effective Date of this Agreement.  Employee and the Company agree that the Payment (i) is in lieu of and in full satisfaction and accord of any payments and/or benefits contemplated by Section 3 of the Employment Agreement; (ii) constitutes full satisfaction and accord of any bonus promised to Employee whether orally or in writing; and (iii) satisfies the Non-Compete Amount (as defined in the Employment Agreement).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Employee further specifically acknowledges and agrees that the consideration provided to Employee hereunder fully satisfies any obligation that the Company had to pay Employee wages or any other compensation for any of the services that Employee rendered to the Company, that the amount paid is in excess of any disputed wage claim that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Employee may have, that the consideration paid shall be deemed to be paid first in satisfaction of any disputed wage claim with the remainder sufficient to act as consideration for the release of claims set forth herein, and that Employee has not earned and is not entitled to receive any additional wages or other form of compensation from the Company.</w:t>
      </w:r>
      <w:bookmarkStart w:id="890" w:name="OLE_LINK26"/>
      <w:bookmarkStart w:id="891" w:name="OLE_LINK25"/>
      <w:bookmarkEnd w:id="890"/>
      <w:bookmarkEnd w:id="891"/>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w:t>
      </w:r>
      <w:r>
        <w:rPr>
          <w:rFonts w:ascii="Times New Roman;Times;serif" w:hAnsi="Times New Roman;Times;serif"/>
          <w:sz w:val="22"/>
          <w:u w:val="single"/>
        </w:rPr>
        <w:t>Directors’ and Officers’ Insurance</w:t>
      </w:r>
      <w:r>
        <w:rPr>
          <w:rFonts w:ascii="Times New Roman;Times;serif" w:hAnsi="Times New Roman;Times;serif"/>
          <w:sz w:val="22"/>
        </w:rPr>
        <w:t>. The Company agrees to cause Employee to continue to be included as a beneficiary under the Company’s directors</w:t>
      </w:r>
      <w:r>
        <w:rPr>
          <w:rFonts w:ascii="Times New Roman;Times;serif" w:hAnsi="Times New Roman;Times;serif"/>
          <w:sz w:val="24"/>
        </w:rPr>
        <w:t xml:space="preserve">’ </w:t>
      </w:r>
      <w:r>
        <w:rPr>
          <w:rFonts w:ascii="Times New Roman;Times;serif" w:hAnsi="Times New Roman;Times;serif"/>
          <w:sz w:val="22"/>
        </w:rPr>
        <w:t>and officers</w:t>
      </w:r>
      <w:r>
        <w:rPr>
          <w:rFonts w:ascii="Times New Roman;Times;serif" w:hAnsi="Times New Roman;Times;serif"/>
          <w:sz w:val="24"/>
        </w:rPr>
        <w:t xml:space="preserve">’ </w:t>
      </w:r>
      <w:r>
        <w:rPr>
          <w:rFonts w:ascii="Times New Roman;Times;serif" w:hAnsi="Times New Roman;Times;serif"/>
          <w:sz w:val="22"/>
        </w:rPr>
        <w:t>insurance policy in connection with Employee’s service as a director and officer of the Company prior to the Separation Date.</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3.</w:t>
      </w:r>
      <w:r>
        <w:rPr>
          <w:rFonts w:ascii="Times New Roman;Times;serif" w:hAnsi="Times New Roman;Times;serif"/>
          <w:sz w:val="22"/>
          <w:u w:val="single"/>
        </w:rPr>
        <w:t>Stock Options</w:t>
      </w:r>
      <w:r>
        <w:rPr>
          <w:rFonts w:ascii="Times New Roman;Times;serif" w:hAnsi="Times New Roman;Times;serif"/>
          <w:sz w:val="22"/>
        </w:rPr>
        <w:t>.  Employee acknowledges that as of the Separation Date, Employee will have vested in 54,004 options and no more. The exercise of Employee’s vested options and shares shall continue to be governed by the terms and conditions of the Company’s Stock Agreements.  </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4.</w:t>
      </w:r>
      <w:r>
        <w:rPr>
          <w:rFonts w:ascii="Times New Roman;Times;serif" w:hAnsi="Times New Roman;Times;serif"/>
          <w:sz w:val="22"/>
          <w:u w:val="single"/>
        </w:rPr>
        <w:t>Benefits</w:t>
      </w:r>
      <w:r>
        <w:rPr>
          <w:rFonts w:ascii="Times New Roman;Times;serif" w:hAnsi="Times New Roman;Times;serif"/>
          <w:sz w:val="22"/>
        </w:rPr>
        <w:t>.  Employee’s health and dental insurance benefits shall cease on the last day of the month in which the Separation Date occurs, subject to Employee’s right to continue Employee’s health insurance at Employee’s expense under COBRA or comparable state law, if applicable.</w:t>
      </w:r>
      <w:r>
        <w:rPr>
          <w:rFonts w:ascii="Times New Roman;Times;serif" w:hAnsi="Times New Roman;Times;serif"/>
          <w:sz w:val="24"/>
        </w:rPr>
        <w:t> </w:t>
      </w:r>
      <w:r>
        <w:rPr>
          <w:rFonts w:ascii="Times New Roman;Times;serif" w:hAnsi="Times New Roman;Times;serif"/>
          <w:sz w:val="22"/>
        </w:rPr>
        <w:t>Employee’s participation in all benefits and incidents of employment, including, but not limited to, the accrual of bonuses, vacation, and paid time off, ceased as of the Separation Date.</w:t>
      </w:r>
    </w:p>
    <w:p>
      <w:pPr>
        <w:pStyle w:val="TextBody"/>
        <w:bidi w:val="0"/>
        <w:spacing w:before="240" w:after="283"/>
        <w:ind w:left="72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5.</w:t>
      </w:r>
      <w:r>
        <w:rPr>
          <w:rFonts w:ascii="Times New Roman;Times;serif" w:hAnsi="Times New Roman;Times;serif"/>
          <w:sz w:val="22"/>
          <w:u w:val="single"/>
        </w:rPr>
        <w:t>Indemnification</w:t>
      </w:r>
      <w:r>
        <w:rPr>
          <w:rFonts w:ascii="Times New Roman;Times;serif" w:hAnsi="Times New Roman;Times;serif"/>
          <w:sz w:val="22"/>
        </w:rPr>
        <w:t xml:space="preserve">. The Parties hereby reaffirm their respective obligations under the Company’s Amended and Restated Indemnification and Advancement Agreement dated September 14, 2025 previously entered into by the Company and Employee (the </w:t>
      </w:r>
      <w:r>
        <w:rPr>
          <w:rFonts w:ascii="Times New Roman;Times;serif" w:hAnsi="Times New Roman;Times;serif"/>
          <w:sz w:val="24"/>
        </w:rPr>
        <w:t>“</w:t>
      </w:r>
      <w:r>
        <w:rPr>
          <w:rFonts w:ascii="Times New Roman;Times;serif" w:hAnsi="Times New Roman;Times;serif"/>
          <w:b/>
          <w:i/>
          <w:sz w:val="22"/>
        </w:rPr>
        <w:t>Indemnification Agreement”</w:t>
      </w:r>
      <w:r>
        <w:rPr>
          <w:rFonts w:ascii="Times New Roman;Times;serif" w:hAnsi="Times New Roman;Times;serif"/>
          <w:sz w:val="22"/>
        </w:rPr>
        <w:t xml:space="preserve">), as well as (a) the indemnification provisions of the Company’s Third Amended and Restated Bylaws as in effect on the Separation Date and (b) any right to indemnification afforded under applicable state and federal law (collectively, the </w:t>
      </w:r>
      <w:r>
        <w:rPr>
          <w:rFonts w:ascii="Times New Roman;Times;serif" w:hAnsi="Times New Roman;Times;serif"/>
          <w:sz w:val="24"/>
        </w:rPr>
        <w:t>“</w:t>
      </w:r>
      <w:r>
        <w:rPr>
          <w:rFonts w:ascii="Times New Roman;Times;serif" w:hAnsi="Times New Roman;Times;serif"/>
          <w:b/>
          <w:i/>
          <w:sz w:val="22"/>
        </w:rPr>
        <w:t>Indemnification Obligations”</w:t>
      </w:r>
      <w:r>
        <w:rPr>
          <w:rFonts w:ascii="Times New Roman;Times;serif" w:hAnsi="Times New Roman;Times;serif"/>
          <w:sz w:val="22"/>
        </w:rPr>
        <w:t>).  For the avoidance of doubt, the Company confirms that the Indemnification Obligations include any Proceeding (as defined in the Indemnification Agreement) arising out of or in connection with the September 2025 transactions and agreements by and among the Company, Pantera Capital Management LP and Summer Wisdom Holdings Limited.</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6.</w:t>
      </w:r>
      <w:r>
        <w:rPr>
          <w:rFonts w:ascii="Times New Roman;Times;serif" w:hAnsi="Times New Roman;Times;serif"/>
          <w:sz w:val="22"/>
          <w:u w:val="single"/>
        </w:rPr>
        <w:t>Foreign Bank Account Tax Filing</w:t>
      </w:r>
      <w:r>
        <w:rPr>
          <w:rFonts w:ascii="Times New Roman;Times;serif" w:hAnsi="Times New Roman;Times;serif"/>
          <w:sz w:val="22"/>
        </w:rPr>
        <w:t>. The Company shall use commercially reasonable efforts to timely file all Foreign Bank and Financial Accounts Reports, FinCEN Form 114, on behalf of the Employee with the IRS for the tax years ending December 31, 2025, and 2026 resulting from the Employee’s signing authority on foreign bank accounts related to his employment with the Company.</w:t>
      </w:r>
    </w:p>
    <w:p>
      <w:pPr>
        <w:pStyle w:val="TextBody"/>
        <w:bidi w:val="0"/>
        <w:spacing w:before="240" w:after="283"/>
        <w:ind w:left="72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7.</w:t>
      </w:r>
      <w:r>
        <w:rPr>
          <w:rFonts w:ascii="Times New Roman;Times;serif" w:hAnsi="Times New Roman;Times;serif"/>
          <w:sz w:val="22"/>
          <w:u w:val="single"/>
        </w:rPr>
        <w:t>Payment of Salary and Receipt of All Benefits</w:t>
      </w:r>
      <w:r>
        <w:rPr>
          <w:rFonts w:ascii="Times New Roman;Times;serif" w:hAnsi="Times New Roman;Times;serif"/>
          <w:sz w:val="22"/>
        </w:rPr>
        <w:t>.  Employee acknowledges and represents that, other than the consideration set forth in this Agreement, the Company and its agents have paid or provided all salary, wages, bonuses, accrued vacation/paid time off, notice periods, premiums, leaves, housing allowances, relocation costs, interest, severance, outplacement costs, fees, reimbursable expenses, commissions, stock, stock options, vesting, and any and all other benefits and compensation due to Employee. For avoidance of doubt, Employee explicitly agrees that Employee is not due any other payments under the Employment Agreement, including but not limited to the payments and benefits contemplated under Section 3 thereof.</w:t>
      </w:r>
    </w:p>
    <w:p>
      <w:pPr>
        <w:pStyle w:val="TextBody"/>
        <w:bidi w:val="0"/>
        <w:spacing w:before="240" w:after="283"/>
        <w:ind w:left="72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8.</w:t>
      </w:r>
      <w:r>
        <w:rPr>
          <w:rFonts w:ascii="Times New Roman;Times;serif" w:hAnsi="Times New Roman;Times;serif"/>
          <w:sz w:val="22"/>
          <w:u w:val="single"/>
        </w:rPr>
        <w:t>Mutual Release of Claims</w:t>
      </w:r>
      <w:r>
        <w:rPr>
          <w:rFonts w:ascii="Times New Roman;Times;serif" w:hAnsi="Times New Roman;Times;serif"/>
          <w:sz w:val="22"/>
        </w:rPr>
        <w:t>.  In consideration for the mutual promises set forth in this Agreement, and subject to the Parties</w:t>
      </w:r>
      <w:r>
        <w:rPr>
          <w:rFonts w:ascii="Times New Roman;Times;serif" w:hAnsi="Times New Roman;Times;serif"/>
          <w:sz w:val="24"/>
        </w:rPr>
        <w:t xml:space="preserve">’ </w:t>
      </w:r>
      <w:r>
        <w:rPr>
          <w:rFonts w:ascii="Times New Roman;Times;serif" w:hAnsi="Times New Roman;Times;serif"/>
          <w:sz w:val="22"/>
        </w:rPr>
        <w:t xml:space="preserve">performance of their respective obligations set forth in this Agreement, Employee, on Employee’s own behalf and on behalf of Employee’s respective heirs, family members, executors, agents, and assigns (collectively, the “Employee Releasees”), and each of them on the one hand, and the Company and its current and former officers, directors, employees, agents, investors, attorneys, shareholders, administrators, affiliates, benefit plans, plan administrators, professional employer organization or co-employer, insurers, trustees, divisions, and subsidiaries, and predecessor and successor corporations and assigns (collectively, the </w:t>
      </w:r>
      <w:r>
        <w:rPr>
          <w:rFonts w:ascii="Times New Roman;Times;serif" w:hAnsi="Times New Roman;Times;serif"/>
          <w:sz w:val="24"/>
        </w:rPr>
        <w:t>“</w:t>
      </w:r>
      <w:r>
        <w:rPr>
          <w:rFonts w:ascii="Times New Roman;Times;serif" w:hAnsi="Times New Roman;Times;serif"/>
          <w:sz w:val="22"/>
        </w:rPr>
        <w:t>Company Releasees</w:t>
      </w:r>
      <w:r>
        <w:rPr>
          <w:rFonts w:ascii="Times New Roman;Times;serif" w:hAnsi="Times New Roman;Times;serif"/>
          <w:sz w:val="24"/>
        </w:rPr>
        <w:t>”</w:t>
      </w:r>
      <w:r>
        <w:rPr>
          <w:rFonts w:ascii="Times New Roman;Times;serif" w:hAnsi="Times New Roman;Times;serif"/>
          <w:sz w:val="22"/>
        </w:rPr>
        <w:t xml:space="preserve">) and each of them, on the other hand, hereby release and discharge the other  forever </w:t>
      </w:r>
      <w:bookmarkStart w:id="892" w:name="OLE_LINK10"/>
      <w:bookmarkStart w:id="893" w:name="OLE_LINK9"/>
      <w:bookmarkEnd w:id="892"/>
      <w:bookmarkEnd w:id="893"/>
      <w:r>
        <w:rPr>
          <w:rFonts w:ascii="Times New Roman;Times;serif" w:hAnsi="Times New Roman;Times;serif"/>
          <w:sz w:val="22"/>
        </w:rPr>
        <w:t>from, and agree not to sue concerning, or in any manner to institute, prosecute, or pursue, any claim, complaint, charge, duty, obligation, demand, or cause of action relating to any matters of any kind, whether presently known or unknown, suspected or unsuspected, that either the Company and/or the Company Releasees, on the one hand, or Employee and/or Employee Releasees, on the other hand, may possess against the other arising from any omissions, acts, facts, or damages that have occurred up until and including the Effective Date of this Agreement, including, without limitation: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any and all claims relating to or arising from Employee’s employment relationship with the Company and the termination of that relationship; </w:t>
      </w:r>
    </w:p>
    <w:p>
      <w:pPr>
        <w:pStyle w:val="HorizontalLine"/>
        <w:pBdr>
          <w:bottom w:val="double" w:sz="2" w:space="0" w:color="808080"/>
        </w:pBdr>
        <w:bidi w:val="0"/>
        <w:spacing w:before="0" w:after="283"/>
        <w:jc w:val="left"/>
        <w:rPr/>
      </w:pPr>
      <w:r>
        <w:rPr/>
      </w:r>
    </w:p>
    <w:p>
      <w:pPr>
        <w:pStyle w:val="TextBody"/>
        <w:bidi w:val="0"/>
        <w:spacing w:before="0" w:after="0"/>
        <w:ind w:left="0" w:right="0" w:firstLine="144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b.any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pStyle w:val="TextBody"/>
        <w:bidi w:val="0"/>
        <w:spacing w:before="0" w:after="0"/>
        <w:ind w:left="0" w:right="0" w:hanging="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w:t>
      </w:r>
      <w:bookmarkStart w:id="894" w:name="OLE_LINK36"/>
      <w:bookmarkStart w:id="895" w:name="OLE_LINK35"/>
      <w:bookmarkEnd w:id="894"/>
      <w:bookmarkEnd w:id="895"/>
      <w:r>
        <w:rPr>
          <w:rFonts w:ascii="Times New Roman;Times;serif" w:hAnsi="Times New Roman;Times;serif"/>
          <w:sz w:val="22"/>
        </w:rPr>
        <w:t>conversion; and disability benefits;</w:t>
      </w:r>
    </w:p>
    <w:p>
      <w:pPr>
        <w:pStyle w:val="TextBody"/>
        <w:bidi w:val="0"/>
        <w:spacing w:before="0" w:after="0"/>
        <w:ind w:left="0" w:right="0" w:hanging="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any and </w:t>
      </w:r>
      <w:bookmarkStart w:id="896" w:name="OLE_LINK12"/>
      <w:bookmarkStart w:id="897" w:name="OLE_LINK11"/>
      <w:bookmarkEnd w:id="896"/>
      <w:bookmarkEnd w:id="897"/>
      <w:r>
        <w:rPr>
          <w:rFonts w:ascii="Times New Roman;Times;serif" w:hAnsi="Times New Roman;Times;serif"/>
          <w:sz w:val="22"/>
        </w:rPr>
        <w:t xml:space="preserve">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w:t>
      </w:r>
      <w:bookmarkStart w:id="898" w:name="OLE_LINK50"/>
      <w:bookmarkStart w:id="899" w:name="OLE_LINK49"/>
      <w:bookmarkEnd w:id="898"/>
      <w:bookmarkEnd w:id="899"/>
      <w:r>
        <w:rPr>
          <w:rFonts w:ascii="Times New Roman;Times;serif" w:hAnsi="Times New Roman;Times;serif"/>
          <w:sz w:val="22"/>
        </w:rPr>
        <w:t xml:space="preserve">the Fair Credit Reporting Act; the Employee Retirement Income Security Act of 1974; the Worker Adjustment and Retraining Notification Act; the Family and Medical Leave Act; </w:t>
      </w:r>
      <w:bookmarkStart w:id="900" w:name="OLE_LINK56"/>
      <w:bookmarkStart w:id="901" w:name="OLE_LINK55"/>
      <w:bookmarkEnd w:id="900"/>
      <w:bookmarkEnd w:id="901"/>
      <w:r>
        <w:rPr>
          <w:rFonts w:ascii="Times New Roman;Times;serif" w:hAnsi="Times New Roman;Times;serif"/>
          <w:sz w:val="22"/>
        </w:rPr>
        <w:t xml:space="preserve">the Uniformed Services Employment and Reemployment Rights Act; the Florida Civil Rights Act; the Florida Whistleblower Protection Act; the Florida Workers’ Compensation Retaliation provision; and the Florida Minimum Wage Act; </w:t>
      </w:r>
    </w:p>
    <w:p>
      <w:pPr>
        <w:pStyle w:val="TextBody"/>
        <w:bidi w:val="0"/>
        <w:spacing w:before="0" w:after="0"/>
        <w:ind w:left="0" w:right="0" w:hanging="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e.</w:t>
      </w:r>
      <w:r>
        <w:rPr>
          <w:rFonts w:ascii="Times New Roman;Times;serif" w:hAnsi="Times New Roman;Times;serif"/>
          <w:sz w:val="22"/>
        </w:rPr>
        <w:t>any and all claims for violation of the federal or any state constitution;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f.</w:t>
      </w:r>
      <w:r>
        <w:rPr>
          <w:rFonts w:ascii="Times New Roman;Times;serif" w:hAnsi="Times New Roman;Times;serif"/>
          <w:sz w:val="22"/>
        </w:rPr>
        <w:t>any and all claims arising out of any other laws and regulations relating to employment or employment discrimination; and</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g.</w:t>
      </w:r>
      <w:r>
        <w:rPr>
          <w:rFonts w:ascii="Times New Roman;Times;serif" w:hAnsi="Times New Roman;Times;serif"/>
          <w:sz w:val="22"/>
        </w:rPr>
        <w:t>any claim for any loss, cost, damage, or expense arising out of any dispute over the nonwithholding or other tax treatment of any of the proceeds received by Employee as a result of this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bookmarkStart w:id="902" w:name="OLE_LINK32"/>
      <w:bookmarkStart w:id="903" w:name="OLE_LINK31"/>
      <w:bookmarkEnd w:id="902"/>
      <w:bookmarkEnd w:id="903"/>
      <w:r>
        <w:rPr>
          <w:rFonts w:ascii="Times New Roman;Times;serif" w:hAnsi="Times New Roman;Times;serif"/>
          <w:sz w:val="22"/>
        </w:rPr>
        <w:t>Employee and the Company agree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including any Protected Activity (as defined below).  This release does not extend to any right Employee may have to unemployment compensation benefits or workers’ compensation benefits.  This release does not release the Employee from any claims, rights or damages relating to material noncompliance with any financial reporting requirements under the federal securities laws as a result of misconduct, or otherwise arising under the Company’s Clawback Policy for the Recovery of Erroneously Awarded Compensation.  Employee represents that Employee has made no assignment or transfer of any right, claim, complaint, charge, duty, obligation, demand, cause of action, or other matter waived or released by this Section.  </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9.</w:t>
      </w:r>
      <w:r>
        <w:rPr>
          <w:rFonts w:ascii="Times New Roman;Times;serif" w:hAnsi="Times New Roman;Times;serif"/>
          <w:sz w:val="22"/>
          <w:u w:val="single"/>
        </w:rPr>
        <w:t>No Pending or Future Lawsuits</w:t>
      </w:r>
      <w:r>
        <w:rPr>
          <w:rFonts w:ascii="Times New Roman;Times;serif" w:hAnsi="Times New Roman;Times;serif"/>
          <w:sz w:val="22"/>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10.</w:t>
      </w:r>
      <w:bookmarkStart w:id="904" w:name="OLE_LINK18"/>
      <w:bookmarkStart w:id="905" w:name="OLE_LINK17"/>
      <w:bookmarkEnd w:id="904"/>
      <w:bookmarkEnd w:id="905"/>
      <w:r>
        <w:rPr>
          <w:rFonts w:ascii="Times New Roman;Times;serif" w:hAnsi="Times New Roman;Times;serif"/>
          <w:sz w:val="22"/>
          <w:u w:val="single"/>
        </w:rPr>
        <w:t>No Right to Employment</w:t>
      </w:r>
      <w:r>
        <w:rPr>
          <w:rFonts w:ascii="Times New Roman;Times;serif" w:hAnsi="Times New Roman;Times;serif"/>
          <w:sz w:val="22"/>
        </w:rPr>
        <w:t xml:space="preserve">.  Employee understands and agrees that, as a condition of this Agreement, Employee shall not be entitled to any employment with the Company, and Employee hereby waives any right, or alleged right, of employment or re-employment with the Company.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11.</w:t>
      </w:r>
      <w:r>
        <w:rPr>
          <w:rFonts w:ascii="Times New Roman;Times;serif" w:hAnsi="Times New Roman;Times;serif"/>
          <w:sz w:val="22"/>
          <w:u w:val="single"/>
        </w:rPr>
        <w:t>Trade Secrets and Confidential Information/Company Property</w:t>
      </w:r>
      <w:r>
        <w:rPr>
          <w:rFonts w:ascii="Times New Roman;Times;serif" w:hAnsi="Times New Roman;Times;serif"/>
          <w:sz w:val="22"/>
        </w:rPr>
        <w:t xml:space="preserve">.  Employee reaffirms and agrees to observe and abide by the terms of Section 6 of the Employment Agreement, specifically including the provisions therein regarding nondisclosure of the Company’s trade secrets and confidential and proprietary information, and nonsolicitation of Company employees Employee agrees that the above reaffirmation shall constitute a new and separately enforceable agreement to abide by the terms of Section 6 of the Employment Agreement, entered and effective as of the Effective Date.  Employee specifically acknowledges and agrees that any violation of the restrictive covenants in the Employment Agreement shall constitute a material breach of this Agreement.  Employee’s signature below constitutes Employee’s certification under penalty of perjury that Employee has returned all documents and other items provided to Employee by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both"/>
        <w:rPr>
          <w:rFonts w:ascii="Times New Roman;Times;serif" w:hAnsi="Times New Roman;Times;serif"/>
          <w:sz w:val="22"/>
        </w:rPr>
      </w:pPr>
      <w:r>
        <w:rPr>
          <w:rFonts w:ascii="Times New Roman;Times;serif" w:hAnsi="Times New Roman;Times;serif"/>
          <w:sz w:val="22"/>
        </w:rPr>
        <w:t xml:space="preserve">the Company, developed or obtained by Employee in connection with Employee’s employment with the Company, or otherwise belonging to the Company, including, but not limited to, all passwords to any software or other programs or data that Employee used in performing services for the Company. Employee further agrees that Employee is no longer authorized to access Company confidential information and systems, including, without limitation, Company email and software programs, and will not attempt to access or gain entry to such information or systems. Employee acknowledges and agrees that Employee’s compliance with this section, including timely return of Company property, is a condition to receipt of the consideration provided under this Agreement.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12.</w:t>
      </w:r>
      <w:r>
        <w:rPr>
          <w:rFonts w:ascii="Times New Roman;Times;serif" w:hAnsi="Times New Roman;Times;serif"/>
          <w:sz w:val="22"/>
          <w:u w:val="single"/>
        </w:rPr>
        <w:t>Assignment of Intellectual Property</w:t>
      </w:r>
      <w:r>
        <w:rPr>
          <w:rFonts w:ascii="Times New Roman;Times;serif" w:hAnsi="Times New Roman;Times;serif"/>
          <w:sz w:val="22"/>
        </w:rPr>
        <w:t xml:space="preserve">.  To the fullest extent permitted by the applicable law,  Employee agrees that all right, title, and interest in and to any and all inventions, original works of authorship, developments, concepts, improvements, designs, discoveries, ideas, know-how, trademarks, and trade secrets, whether or not patentable or registrable under copyright or similar laws, that Employee may have solely or jointly authored, conceived, developed, or reduced to practice during the period of time the Employee was in the employ of the Company (including during the Employee’s off-duty hours), or with the use of Company’s equipment, supplies, facilities, or Company confidential information (collectively, “Inventions”), are the sole property of the Company.  Employee also agrees to assign, and hereby irrevocably and unconditionally assigns fully to the Company, all of Employee’s right, title and interest in and to Inventions, including all intellectual property rights therein.  Employee further acknowledges that all original works of authorship that are made by Employee (solely or jointly with others) within the scope of and during the period of the Employee’s employment with the Company and that are protectable by copyright are “works made for hire,” as that term is defined in the United States Copyright Act.  Employee understands and agrees that the decision whether or not to commercialize or market any Inventions is within the Company’s sole discretion and for the Company’s sole benefit, and that no royalty, other consideration, or attribution will be due to Employee as a result of the Company’s efforts to commercialize or market any such Inventions.  Employee further agrees to assist the Company, or its designee, at the Company’s expense, in every proper way to secure the Company’s rights in the Inventions in any and all countries, including the disclosure to the Company of all pertinent information and data with respect thereto, the execution of all applications, specifications, oaths, assignments, and all other instruments that the Company shall deem proper or necessary in order to apply for, register, obtain, maintain, defend, and enforce such rights, and in order to deliver, assign and convey to the Company, its successors, assigns, and nominees the sole and exclusive rights, title, and interest in and to all Inventions, and testifying in a suit or other proceeding relating to such Inventions.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13.</w:t>
      </w:r>
      <w:r>
        <w:rPr>
          <w:rFonts w:ascii="Times New Roman;Times;serif" w:hAnsi="Times New Roman;Times;serif"/>
          <w:sz w:val="22"/>
          <w:u w:val="single"/>
        </w:rPr>
        <w:t>No Third Party Cooperation</w:t>
      </w:r>
      <w:r>
        <w:rPr>
          <w:rFonts w:ascii="Times New Roman;Times;serif" w:hAnsi="Times New Roman;Times;serif"/>
          <w:sz w:val="22"/>
        </w:rPr>
        <w:t>.  </w:t>
      </w:r>
      <w:bookmarkStart w:id="906" w:name="OLE_LINK14"/>
      <w:bookmarkStart w:id="907" w:name="OLE_LINK13"/>
      <w:bookmarkStart w:id="908" w:name="OLE_LINK67"/>
      <w:bookmarkStart w:id="909" w:name="OLE_LINK66"/>
      <w:bookmarkEnd w:id="906"/>
      <w:bookmarkEnd w:id="907"/>
      <w:bookmarkEnd w:id="908"/>
      <w:bookmarkEnd w:id="909"/>
      <w:r>
        <w:rPr>
          <w:rFonts w:ascii="Times New Roman;Times;serif" w:hAnsi="Times New Roman;Times;serif"/>
          <w:sz w:val="22"/>
        </w:rPr>
        <w:t>Except as permitted under the Protected Activity Section below,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Employee agrees both to immediately notify the Company upon receipt of any such subpoena or court order, and to furnish, within three (3) business days of its receipt, a copy of such subpoena or other court order</w:t>
      </w:r>
      <w:bookmarkStart w:id="910" w:name="OLE_LINK46"/>
      <w:bookmarkStart w:id="911" w:name="OLE_LINK45"/>
      <w:bookmarkEnd w:id="910"/>
      <w:bookmarkEnd w:id="911"/>
      <w:r>
        <w:rPr>
          <w:rFonts w:ascii="Times New Roman;Times;serif" w:hAnsi="Times New Roman;Times;serif"/>
          <w:sz w:val="22"/>
        </w:rPr>
        <w:t>.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14.</w:t>
      </w:r>
      <w:r>
        <w:rPr>
          <w:rFonts w:ascii="Times New Roman;Times;serif" w:hAnsi="Times New Roman;Times;serif"/>
          <w:sz w:val="22"/>
          <w:u w:val="single"/>
        </w:rPr>
        <w:t>Cooperation with the Company</w:t>
      </w:r>
      <w:r>
        <w:rPr>
          <w:rFonts w:ascii="Times New Roman;Times;serif" w:hAnsi="Times New Roman;Times;serif"/>
          <w:sz w:val="22"/>
        </w:rPr>
        <w:t xml:space="preserve">. Employee agrees that Employee will assist and cooperate with the Company in connection with the defense or prosecution of any claim that may be made against or by the Company or any Releasees, or in connection with any ongoing or future investigation or dispute or claim of any kind involving the Company, including meeting with the Company’s counsel, any proceeding before any arbitral, administrative, judicial, legislative, or other body or agency, including testifying in any proceeding to the extent such claims, investigations or proceedings relate to services performed or required to be performed by Employee, pertinent knowledge possessed by Employee, or any act or omission by Employee. The Company shall provide reasonable notice to Employee of its need for any cooperation and/or assistance from Employee and shall reimburse Employee for the reasonable documented out-of-pocket expenses incurred by Employee in providing such cooperation and assistance; provided that any such expense exceeding Five Hundred Dollars ($500) shall require the advance consent of the CEO.  Such reasonable expenses may, at Employee’s option, include reasonable legal fees incurred by Employee in connection with any cooperation and/or assistance provided by Employee to the Company in the context of any litigation, threatened litigation, or other legal matter. Employee further agrees to perform all acts and execute and deliver any documents that may be reasonably necessary to carry out the provisions of this paragraph.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15.</w:t>
      </w:r>
      <w:bookmarkStart w:id="912" w:name="OLE_LINK2"/>
      <w:bookmarkStart w:id="913" w:name="OLE_LINK1"/>
      <w:bookmarkEnd w:id="912"/>
      <w:bookmarkEnd w:id="913"/>
      <w:r>
        <w:rPr>
          <w:rFonts w:ascii="Times New Roman;Times;serif" w:hAnsi="Times New Roman;Times;serif"/>
          <w:sz w:val="22"/>
          <w:u w:val="single"/>
        </w:rPr>
        <w:t>Communications</w:t>
      </w:r>
      <w:r>
        <w:rPr>
          <w:rFonts w:ascii="Times New Roman;Times;serif" w:hAnsi="Times New Roman;Times;serif"/>
          <w:sz w:val="22"/>
        </w:rPr>
        <w:t xml:space="preserve">.  Except as permitted under the Protected Activity Section below,  Employee agrees to refrain from any disparagement, defamation, libel, or slander of any of the Releasees, and agrees to refrain from any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tortious interference with the contracts and relationships of any of the Releasees, including, but not limited to, anonymous or named reviews, tweets, posts, or other comments published on the Internet; provided that Employee may respond accurately and fully to any request for information if required by legal process or in connection with a governmental investigation. In addition, nothing in this provision or this Agreement prohibits or restrains Employee from making disclosures protected under the whistleblower provisions of federal or state law or from exercising Employee’s rights to engage in protected speech under Section 7 of the National Labor Relations Act, if applicable. Employee affirms that Employee has not disparaged the Company from the Separation Date through the date Employee signs this Agreement.</w:t>
      </w:r>
      <w:r>
        <w:rPr>
          <w:rFonts w:ascii="Times New Roman;Times;serif" w:hAnsi="Times New Roman;Times;serif"/>
          <w:sz w:val="24"/>
        </w:rPr>
        <w:t xml:space="preserve">  </w:t>
      </w:r>
      <w:r>
        <w:rPr>
          <w:rFonts w:ascii="Times New Roman;Times;serif" w:hAnsi="Times New Roman;Times;serif"/>
          <w:sz w:val="22"/>
        </w:rPr>
        <w:t>Employee further agrees that, by no later than the Effective Date, Employee shall delete or otherwise remove any and all disparaging public comments or statements that Employee made prior to the Effective Date about or relating to the Company, including, but not limited to, comments in online forums or on websites (including, but not limited to, Facebook, Glassdoor, Yelp, and LinkedIn), except those comments or statements permitted by the Protected Activity Section.  Employee agrees to revise and update publicly available information, including professional and social networking websites such as LinkedIn and Facebook, within one (1) week of the Separation Date to remove any indication that Employee is employed by the Company. Employee’s violation of this provision shall be a material breach of this Agreement.  Similarly, the Company agrees to instruct its directors and executive officers to refrain from making any statements and from taking any actions that disparage or could reasonably be expected to harm the reputation of Employee.</w:t>
      </w:r>
    </w:p>
    <w:p>
      <w:pPr>
        <w:pStyle w:val="TextBody"/>
        <w:bidi w:val="0"/>
        <w:spacing w:before="240" w:after="283"/>
        <w:ind w:left="0" w:right="0" w:hanging="0"/>
        <w:jc w:val="both"/>
        <w:rPr>
          <w:rFonts w:ascii="Times New Roman;Times;serif" w:hAnsi="Times New Roman;Times;serif"/>
          <w:sz w:val="24"/>
        </w:rPr>
      </w:pPr>
      <w:r>
        <w:rPr>
          <w:rFonts w:ascii="Times New Roman;Times;serif" w:hAnsi="Times New Roman;Times;serif"/>
          <w:sz w:val="22"/>
        </w:rPr>
        <w:t>16.</w:t>
      </w:r>
      <w:r>
        <w:rPr>
          <w:rFonts w:ascii="Times New Roman;Times;serif" w:hAnsi="Times New Roman;Times;serif"/>
          <w:sz w:val="22"/>
          <w:u w:val="single"/>
        </w:rPr>
        <w:t>Breach</w:t>
      </w:r>
      <w:r>
        <w:rPr>
          <w:rFonts w:ascii="Times New Roman;Times;serif" w:hAnsi="Times New Roman;Times;serif"/>
          <w:sz w:val="22"/>
        </w:rPr>
        <w:t xml:space="preserve">.  In addition to the rights provided in the “Attorneys’ Fees” section below, Employee acknowledges and agrees that any material breach of this Agreement shall entitle the Company immediately to recover and/or cease providing the consideration provided to Employee under this Agreement and to obtain damages and injunctive relief,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the Company shall not recover One Hundred Dollars ($100.00) of the consideration already paid pursuant to this Agreement and such amount shall serve as full and complete consideration for the promises and obligations assumed by Employee under this Agreement and the Employment Agreement.</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17.</w:t>
      </w:r>
      <w:r>
        <w:rPr>
          <w:rFonts w:ascii="Times New Roman;Times;serif" w:hAnsi="Times New Roman;Times;serif"/>
          <w:sz w:val="22"/>
          <w:u w:val="single"/>
        </w:rPr>
        <w:t>No Admission of Liability</w:t>
      </w:r>
      <w:r>
        <w:rPr>
          <w:rFonts w:ascii="Times New Roman;Times;serif" w:hAnsi="Times New Roman;Times;serif"/>
          <w:sz w:val="22"/>
        </w:rPr>
        <w:t>.  Employee understands and acknowledges that this Agreement constitutes a compromise and settlement of any and all actual or potential disputed claims by Employee.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pStyle w:val="TextBody"/>
        <w:bidi w:val="0"/>
        <w:spacing w:before="240" w:after="283"/>
        <w:ind w:left="0" w:right="0" w:hanging="0"/>
        <w:jc w:val="both"/>
        <w:rPr>
          <w:rFonts w:ascii="Times New Roman;Times;serif" w:hAnsi="Times New Roman;Times;serif"/>
          <w:sz w:val="24"/>
        </w:rPr>
      </w:pPr>
      <w:r>
        <w:rPr>
          <w:rFonts w:ascii="Times New Roman;Times;serif" w:hAnsi="Times New Roman;Times;serif"/>
          <w:sz w:val="22"/>
        </w:rPr>
        <w:t>18.</w:t>
      </w:r>
      <w:r>
        <w:rPr>
          <w:rFonts w:ascii="Times New Roman;Times;serif" w:hAnsi="Times New Roman;Times;serif"/>
          <w:sz w:val="22"/>
          <w:u w:val="single"/>
        </w:rPr>
        <w:t>Representations</w:t>
      </w:r>
      <w:r>
        <w:rPr>
          <w:rFonts w:ascii="Times New Roman;Times;serif" w:hAnsi="Times New Roman;Times;serif"/>
          <w:sz w:val="22"/>
        </w:rPr>
        <w:t>. Employee hereby represents that Employee has been paid all compensation and/or remuneration owed, including but not limited to wages owed for all hours worked; received all leave and leave benefits and protections for which Employee is or was eligible pursuant to the Family and Medical Leave Act or otherwise; and not suffered any on-the-job injury for which Employee has not already filed a workers’ compensation claim. In addition, Employee hereby represents that, prior to Employee’s execution of this Agreement, Employee has not engaged in any knowing or intentional wrongful or fraudulent conduct which resulted in, or was reasonably likely to result in, material harm to the Company, and Employee agrees not to engage in such conduct following Employee’s execution of this Agreement.</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19.</w:t>
      </w:r>
      <w:r>
        <w:rPr>
          <w:rFonts w:ascii="Times New Roman;Times;serif" w:hAnsi="Times New Roman;Times;serif"/>
          <w:sz w:val="22"/>
          <w:u w:val="single"/>
        </w:rPr>
        <w:t>Costs</w:t>
      </w:r>
      <w:r>
        <w:rPr>
          <w:rFonts w:ascii="Times New Roman;Times;serif" w:hAnsi="Times New Roman;Times;serif"/>
          <w:sz w:val="22"/>
        </w:rPr>
        <w:t>.  The Parties shall each bear their own costs, attorneys’ fees, and other fees incurred in connection with the preparation of this Agreement.</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20.</w:t>
      </w:r>
      <w:bookmarkStart w:id="914" w:name="OLE_LINK61"/>
      <w:bookmarkStart w:id="915" w:name="OLE_LINK60"/>
      <w:bookmarkEnd w:id="914"/>
      <w:bookmarkEnd w:id="915"/>
      <w:r>
        <w:rPr>
          <w:rFonts w:ascii="Times New Roman;Times;serif" w:hAnsi="Times New Roman;Times;serif"/>
          <w:sz w:val="22"/>
          <w:u w:val="single"/>
        </w:rPr>
        <w:t>ARBITRATION</w:t>
      </w:r>
      <w:r>
        <w:rPr>
          <w:rFonts w:ascii="Times New Roman;Times;serif" w:hAnsi="Times New Roman;Times;serif"/>
          <w:sz w:val="22"/>
        </w:rPr>
        <w:t>.  </w:t>
      </w:r>
      <w:bookmarkStart w:id="916" w:name="OLE_LINK4"/>
      <w:bookmarkStart w:id="917" w:name="OLE_LINK3"/>
      <w:bookmarkEnd w:id="916"/>
      <w:bookmarkEnd w:id="917"/>
      <w:r>
        <w:rPr>
          <w:rFonts w:ascii="Times New Roman;Times;serif" w:hAnsi="Times New Roman;Times;serif"/>
          <w:sz w:val="22"/>
        </w:rPr>
        <w:t>THE PARTIES AGREE THAT ANY AND ALL DISPUTES ARISING OUT OF THE TERMS OF THIS AGREEMENT, THEIR INTERPRETATION, AND ANY OF THE MATTERS HEREIN RELEASED, SHALL BE SUBJECT TO ARBITRATION IN MIAMI-DADE COUNTY, BEFORE THE JUDICIAL ARBITRATION AND MEDIATION SERVICE (“JAMS”) UNDER ITS COMPREHENSIVE</w:t>
      </w:r>
      <w:r>
        <w:rPr>
          <w:rFonts w:ascii="Times New Roman;Times;serif" w:hAnsi="Times New Roman;Times;serif"/>
          <w:sz w:val="24"/>
        </w:rPr>
        <w:t xml:space="preserve"> </w:t>
      </w:r>
      <w:r>
        <w:rPr>
          <w:rFonts w:ascii="Times New Roman;Times;serif" w:hAnsi="Times New Roman;Times;serif"/>
          <w:sz w:val="22"/>
        </w:rPr>
        <w:t xml:space="preserve">ARBITRATION RULES (“JAMS RULES”) AND FLORIDA LAW.  THE ARBITRATOR MAY GRANT INJUNCTIONS AND OTHER RELIEF IN SUCH DISPUTES.  THE ARBITRATOR SHALL ADMINISTER AND CONDUCT ANY ARBITRATION IN ACCORDANCE WITH FLORIDA LAW, AND THE ARBITRATOR SHALL APPLY SUBSTANTIVE AND PROCEDURAL FLORIDA LAW TO ANY DISPUTE OR CLAIM, WITHOUT REFERENCE TO ANY CONFLICT-OF-LAW PROVISIONS OF ANY JURISDICTION.  TO THE EXTENT THAT THE JAMS RULES CONFLICT WITH FLORIDA LAW, FLORIDA LAW SHALL TAKE PRECEDENCE.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both"/>
        <w:rPr>
          <w:rFonts w:ascii="Times New Roman;Times;serif" w:hAnsi="Times New Roman;Times;serif"/>
          <w:sz w:val="22"/>
        </w:rPr>
      </w:pPr>
      <w:r>
        <w:rPr>
          <w:rFonts w:ascii="Times New Roman;Times;serif" w:hAnsi="Times New Roman;Times;serif"/>
          <w:sz w:val="22"/>
        </w:rPr>
        <w:t>THE ARBITRATION SHALL EACH PAY HALF THE COSTS AND EXPENSES OF SUCH ARBITRATION, AND EACH PARTY SHALL SEPARATELY PAY FOR ITS RESPECTIVE COUNSEL FEES AND EXPENSES; PROVIDED, HOWEVER, THAT THE ARBITRATOR SHALL AWARD ATTORNEYS’ FEES AND COSTS TO THE PREVAILING PARTY, EXCEPT AS PROHIBITED BY LAW.  THE PARTIES AGREE THAT PUNITIVE DAMAGES SHALL BE UNAVAILABLE IN ARBITRATION.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21.</w:t>
      </w:r>
      <w:r>
        <w:rPr>
          <w:rFonts w:ascii="Times New Roman;Times;serif" w:hAnsi="Times New Roman;Times;serif"/>
          <w:sz w:val="22"/>
          <w:u w:val="single"/>
        </w:rPr>
        <w:t>Authority</w:t>
      </w:r>
      <w:r>
        <w:rPr>
          <w:rFonts w:ascii="Times New Roman;Times;serif" w:hAnsi="Times New Roman;Times;serif"/>
          <w:sz w:val="22"/>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before="240" w:after="283"/>
        <w:ind w:left="72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22.</w:t>
      </w:r>
      <w:r>
        <w:rPr>
          <w:rFonts w:ascii="Times New Roman;Times;serif" w:hAnsi="Times New Roman;Times;serif"/>
          <w:sz w:val="22"/>
          <w:u w:val="single"/>
        </w:rPr>
        <w:t>Protected Activity</w:t>
      </w:r>
      <w:r>
        <w:rPr>
          <w:rFonts w:ascii="Times New Roman;Times;serif" w:hAnsi="Times New Roman;Times;serif"/>
          <w:sz w:val="22"/>
        </w:rPr>
        <w:t>.  Employee understands that nothing in this Agreement limits Employee’s ability to file a charge or complaint with the Equal Employment Opportunity Commission, the Department of Labor, the National Labor Relations Board, the Occupational Safety and Health Administration, the Department of Justice, the Securities and Exchange Commission, or any other government agency, law enforcement agency, or commission (</w:t>
      </w:r>
      <w:r>
        <w:rPr>
          <w:rFonts w:ascii="Times New Roman;Times;serif" w:hAnsi="Times New Roman;Times;serif"/>
          <w:sz w:val="24"/>
        </w:rPr>
        <w:t>“</w:t>
      </w:r>
      <w:r>
        <w:rPr>
          <w:rFonts w:ascii="Times New Roman;Times;serif" w:hAnsi="Times New Roman;Times;serif"/>
          <w:sz w:val="22"/>
        </w:rPr>
        <w:t>Government Agencies</w:t>
      </w:r>
      <w:r>
        <w:rPr>
          <w:rFonts w:ascii="Times New Roman;Times;serif" w:hAnsi="Times New Roman;Times;serif"/>
          <w:sz w:val="24"/>
        </w:rPr>
        <w:t>”</w:t>
      </w:r>
      <w:r>
        <w:rPr>
          <w:rFonts w:ascii="Times New Roman;Times;serif" w:hAnsi="Times New Roman;Times;serif"/>
          <w:sz w:val="22"/>
        </w:rPr>
        <w:t xml:space="preserve">). Employee further understands this Agreement does not limit Employee’s ability to communicate with any Government Agencies or otherwise participate in any investigation or proceeding that may be conducted by any Government Agency, including providing documents or other information, without notice to the Company. While this Agreement does not limit Employee’s right to receive a government-issued award for information provided to any Government Agency in connection with a government whistleblower program or protected whistleblower activity, Employee understands and agrees that, to maximum extent permitted by law, Employee is otherwise waiving any and all rights Employee may have to individual relief based on any claims that Employee has released and any rights Employee has waived by signing this Agreement. Nothing in this Agreement waives any rights Employee may have under Section 7 of the National Labor Relations Act (subject to the release of claims set forth herein). Notwithstanding the foregoing, Employee agrees to take all reasonable precautions to prevent any unauthorized use or disclosure of any information that may constitute Company confidential information to any parties other than the relevant Government Agencies. Employee further understands that “Protected Activity” does not include the disclosure of any Company attorney-client privileged communications, and that any such disclosure without the Company’s written consent shall constitute a material breach of this Agreement. </w:t>
      </w:r>
      <w:bookmarkStart w:id="918" w:name="_Hlk134096125"/>
      <w:bookmarkEnd w:id="918"/>
      <w:r>
        <w:rPr>
          <w:rFonts w:ascii="Times New Roman;Times;serif" w:hAnsi="Times New Roman;Times;serif"/>
          <w:sz w:val="22"/>
        </w:rPr>
        <w:t>In addition, pursuant to the Defend Trade Secrets Act of 2016, Employee is notified that an individual will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r>
        <w:rPr>
          <w:rFonts w:ascii="Times New Roman;Times;serif" w:hAnsi="Times New Roman;Times;serif"/>
          <w:sz w:val="2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23.</w:t>
      </w:r>
      <w:r>
        <w:rPr>
          <w:rFonts w:ascii="Times New Roman;Times;serif" w:hAnsi="Times New Roman;Times;serif"/>
          <w:sz w:val="22"/>
          <w:u w:val="single"/>
        </w:rPr>
        <w:t>No Representations by the Company</w:t>
      </w:r>
      <w:r>
        <w:rPr>
          <w:rFonts w:ascii="Times New Roman;Times;serif" w:hAnsi="Times New Roman;Times;serif"/>
          <w:sz w:val="22"/>
        </w:rPr>
        <w:t xml:space="preserve">.  Employee represents that Employee has had an opportunity to consult with an attorney, and has carefully read and understands the scope and effect of the provisions of this Agreement.  Employee has not relied upon any representations or statements made by the Company that are not specifically set forth in this Agreement.  Employee acknowledges that there has been an opportunity to negotiate the terms of this Agreement and that the Agreement will not be interpreted as an employer-promulgated agreement.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24.</w:t>
      </w:r>
      <w:r>
        <w:rPr>
          <w:rFonts w:ascii="Times New Roman;Times;serif" w:hAnsi="Times New Roman;Times;serif"/>
          <w:sz w:val="22"/>
          <w:u w:val="single"/>
        </w:rPr>
        <w:t>Waiver</w:t>
      </w:r>
      <w:r>
        <w:rPr>
          <w:rFonts w:ascii="Times New Roman;Times;serif" w:hAnsi="Times New Roman;Times;serif"/>
          <w:sz w:val="22"/>
        </w:rPr>
        <w:t xml:space="preserve">.  No Party shall be deemed to have waived any right, power or privilege under this Agreement or any provisions hereof unless such waiver shall have been duly executed in writing and delivered to the Party to be charged with such waiver.  The failure of any Party at any time to insist on performance of any of the provisions of this Agreement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both"/>
        <w:rPr>
          <w:rFonts w:ascii="Times New Roman;Times;serif" w:hAnsi="Times New Roman;Times;serif"/>
          <w:sz w:val="22"/>
        </w:rPr>
      </w:pPr>
      <w:r>
        <w:rPr>
          <w:rFonts w:ascii="Times New Roman;Times;serif" w:hAnsi="Times New Roman;Times;serif"/>
          <w:sz w:val="22"/>
        </w:rPr>
        <w:t>shall in no way be construed to be a waiver of such provisions, nor in any way to affect the validity of this Agreement or any part hereof.  No waiver of any breach of this Agreement shall be held to be a waiver of any other subsequent breach.</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25.</w:t>
      </w:r>
      <w:r>
        <w:rPr>
          <w:rFonts w:ascii="Times New Roman;Times;serif" w:hAnsi="Times New Roman;Times;serif"/>
          <w:sz w:val="22"/>
          <w:u w:val="single"/>
        </w:rPr>
        <w:t>Severability</w:t>
      </w:r>
      <w:r>
        <w:rPr>
          <w:rFonts w:ascii="Times New Roman;Times;serif" w:hAnsi="Times New Roman;Times;serif"/>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26.</w:t>
      </w:r>
      <w:r>
        <w:rPr>
          <w:rFonts w:ascii="Times New Roman;Times;serif" w:hAnsi="Times New Roman;Times;serif"/>
          <w:sz w:val="22"/>
          <w:u w:val="single"/>
        </w:rPr>
        <w:t>Attorneys’ Fees</w:t>
      </w:r>
      <w:r>
        <w:rPr>
          <w:rFonts w:ascii="Times New Roman;Times;serif" w:hAnsi="Times New Roman;Times;serif"/>
          <w:sz w:val="22"/>
        </w:rPr>
        <w:t>.  </w:t>
      </w:r>
      <w:bookmarkStart w:id="919" w:name="OLE_LINK54"/>
      <w:bookmarkStart w:id="920" w:name="OLE_LINK53"/>
      <w:bookmarkEnd w:id="919"/>
      <w:bookmarkEnd w:id="920"/>
      <w:r>
        <w:rPr>
          <w:rFonts w:ascii="Times New Roman;Times;serif" w:hAnsi="Times New Roman;Times;serif"/>
          <w:sz w:val="22"/>
        </w:rPr>
        <w:t>Employee and the Company agree that the prevailing party in any proceeding to enforce the terms of this Agreement will be allowed to recover its costs and expenses, including the costs of mediation, arbitration, litigation, court fees, and reasonable attorneys’ fees incurred in connection with such an action.</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27.</w:t>
      </w:r>
      <w:r>
        <w:rPr>
          <w:rFonts w:ascii="Times New Roman;Times;serif" w:hAnsi="Times New Roman;Times;serif"/>
          <w:sz w:val="22"/>
          <w:u w:val="single"/>
        </w:rPr>
        <w:t>Entire Agreement</w:t>
      </w:r>
      <w:r>
        <w:rPr>
          <w:rFonts w:ascii="Times New Roman;Times;serif" w:hAnsi="Times New Roman;Times;serif"/>
          <w:sz w:val="22"/>
        </w:rPr>
        <w:t>.  This Agreement, along with (i) the Amended and Restated Indemnification and Advancement Agreement referenced in Section 5 of this Agreement and (ii) Section 6 of the Employment Agreement as referenced in section 11 of this Agreement, represent the entire agreement and understanding between the Company and Employee concerning the subject matter of this Agreement and Employee’s employment with and separation from the Company and the events leading thereto and associated therewith, and supersede and replace any and all prior agreements and understandings concerning the subject matter of this Agreement and Employee’s relationship with the Company.</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28.</w:t>
      </w:r>
      <w:r>
        <w:rPr>
          <w:rFonts w:ascii="Times New Roman;Times;serif" w:hAnsi="Times New Roman;Times;serif"/>
          <w:sz w:val="22"/>
          <w:u w:val="single"/>
        </w:rPr>
        <w:t>Section 409A of the Code</w:t>
      </w:r>
      <w:r>
        <w:rPr>
          <w:rFonts w:ascii="Times New Roman;Times;serif" w:hAnsi="Times New Roman;Times;serif"/>
          <w:sz w:val="22"/>
        </w:rPr>
        <w:t>.  The payments provided pursuant to this Agreement are intended to comply with Section 409A of the Internal Revenue Code of 1986, as amended (</w:t>
      </w:r>
      <w:r>
        <w:rPr>
          <w:rFonts w:ascii="Times New Roman;Times;serif" w:hAnsi="Times New Roman;Times;serif"/>
          <w:sz w:val="24"/>
        </w:rPr>
        <w:t>“</w:t>
      </w:r>
      <w:r>
        <w:rPr>
          <w:rFonts w:ascii="Times New Roman;Times;serif" w:hAnsi="Times New Roman;Times;serif"/>
          <w:sz w:val="22"/>
        </w:rPr>
        <w:t>Section 409A</w:t>
      </w:r>
      <w:r>
        <w:rPr>
          <w:rFonts w:ascii="Times New Roman;Times;serif" w:hAnsi="Times New Roman;Times;serif"/>
          <w:sz w:val="24"/>
        </w:rPr>
        <w:t>”</w:t>
      </w:r>
      <w:r>
        <w:rPr>
          <w:rFonts w:ascii="Times New Roman;Times;serif" w:hAnsi="Times New Roman;Times;serif"/>
          <w:sz w:val="22"/>
        </w:rPr>
        <w:t>), including the short-term deferral and separation pay exceptions thereto, and the Agreement shall be construed and administered in accordance with such intent. Provided these exceptions to Section 409A apply as expected, neither the Company nor its affiliates will report any amounts payable in accordance with the terms of this Agreement or any plan or agreement referenced herein in box 12 of IRS Form W-2 using code Z.  To the extent required under Section 409A, any payments to be made under this Agreement in connection with a termination of employment shall only be made if such termination constitutes a "separation from service" under Section 409A.</w:t>
      </w:r>
    </w:p>
    <w:p>
      <w:pPr>
        <w:pStyle w:val="TextBody"/>
        <w:bidi w:val="0"/>
        <w:spacing w:before="240" w:after="283"/>
        <w:ind w:left="72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29.</w:t>
      </w:r>
      <w:r>
        <w:rPr>
          <w:rFonts w:ascii="Times New Roman;Times;serif" w:hAnsi="Times New Roman;Times;serif"/>
          <w:sz w:val="22"/>
          <w:u w:val="single"/>
        </w:rPr>
        <w:t>No Oral Modification</w:t>
      </w:r>
      <w:r>
        <w:rPr>
          <w:rFonts w:ascii="Times New Roman;Times;serif" w:hAnsi="Times New Roman;Times;serif"/>
          <w:sz w:val="22"/>
        </w:rPr>
        <w:t>.  This Agreement may only be amended in a writing signed by Employee and the Company’s Executive Chair.</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30.</w:t>
      </w:r>
      <w:r>
        <w:rPr>
          <w:rFonts w:ascii="Times New Roman;Times;serif" w:hAnsi="Times New Roman;Times;serif"/>
          <w:sz w:val="22"/>
          <w:u w:val="single"/>
        </w:rPr>
        <w:t>Governing Law</w:t>
      </w:r>
      <w:r>
        <w:rPr>
          <w:rFonts w:ascii="Times New Roman;Times;serif" w:hAnsi="Times New Roman;Times;serif"/>
          <w:sz w:val="22"/>
        </w:rPr>
        <w:t xml:space="preserve">.  This Agreement shall be governed by the laws of the State of Florida, without regard for choice-of-law provisions.  Employee consents to personal and exclusive jurisdiction and venue in the State of Florida. </w:t>
      </w:r>
    </w:p>
    <w:p>
      <w:pPr>
        <w:pStyle w:val="TextBody"/>
        <w:bidi w:val="0"/>
        <w:spacing w:before="240" w:after="283"/>
        <w:ind w:left="72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31.</w:t>
      </w:r>
      <w:r>
        <w:rPr>
          <w:rFonts w:ascii="Times New Roman;Times;serif" w:hAnsi="Times New Roman;Times;serif"/>
          <w:sz w:val="22"/>
          <w:u w:val="single"/>
        </w:rPr>
        <w:t>Effective Date</w:t>
      </w:r>
      <w:r>
        <w:rPr>
          <w:rFonts w:ascii="Times New Roman;Times;serif" w:hAnsi="Times New Roman;Times;serif"/>
          <w:sz w:val="22"/>
        </w:rPr>
        <w:t xml:space="preserve">. Employee understands that this Agreement shall be null and void if not executed by Employee, and returned to the Company, within seven (7) days after receipt of the executed Agreement from the Company. This Agreement will become effective on the date it has been signed by both Parties (the “Effective Date”).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32.</w:t>
      </w:r>
      <w:r>
        <w:rPr>
          <w:rFonts w:ascii="Times New Roman;Times;serif" w:hAnsi="Times New Roman;Times;serif"/>
          <w:sz w:val="22"/>
          <w:u w:val="single"/>
        </w:rPr>
        <w:t>Counterparts</w:t>
      </w:r>
      <w:r>
        <w:rPr>
          <w:rFonts w:ascii="Times New Roman;Times;serif" w:hAnsi="Times New Roman;Times;serif"/>
          <w:sz w:val="22"/>
        </w:rPr>
        <w:t>. This Agreement may be executed in counterparts that may be executed, exchanged, and delivered by facsimile, photo, e-mail PDF, Docusign/Echosign or a similarly accredited secure signature service, or other electronic transmission or signature.  Each counterpart will be deemed an original and all of which counterparts taken together shall have the same force and effect as an original and shall constitute an effective, binding agreement on the part of each of the undersigned.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33.</w:t>
      </w:r>
      <w:r>
        <w:rPr>
          <w:rFonts w:ascii="Times New Roman;Times;serif" w:hAnsi="Times New Roman;Times;serif"/>
          <w:sz w:val="22"/>
          <w:u w:val="single"/>
        </w:rPr>
        <w:t>Voluntary Execution of Agreement</w:t>
      </w:r>
      <w:r>
        <w:rPr>
          <w:rFonts w:ascii="Times New Roman;Times;serif" w:hAnsi="Times New Roman;Times;serif"/>
          <w:sz w:val="22"/>
        </w:rPr>
        <w:t>.  Employee understands and agrees that Employee executed this Agreement voluntarily, without any duress or undue influence on the part or behalf of the Company or any third party, with the full intent of releasing all of Employee’s claims against the Company and any of the other Releasees.  Employee acknowledges that:</w:t>
      </w:r>
    </w:p>
    <w:p>
      <w:pPr>
        <w:pStyle w:val="TextBody"/>
        <w:bidi w:val="0"/>
        <w:spacing w:before="0" w:after="0"/>
        <w:ind w:left="0" w:right="0" w:hanging="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Employee has read this Agreement;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6"/>
        <w:gridCol w:w="9926"/>
      </w:tblGrid>
      <w:tr>
        <w:trPr/>
        <w:tc>
          <w:tcPr>
            <w:tcW w:w="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(b)</w:t>
            </w:r>
          </w:p>
        </w:tc>
        <w:tc>
          <w:tcPr>
            <w:tcW w:w="9926"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Employee has been represented in the preparation, negotiation, and execution of this Agreement by legal counsel of Employee’s own choice or has elected not to retain legal counsel;</w:t>
            </w:r>
          </w:p>
        </w:tc>
      </w:tr>
    </w:tbl>
    <w:p>
      <w:pPr>
        <w:pStyle w:val="TextBody"/>
        <w:bidi w:val="0"/>
        <w:spacing w:before="0" w:after="0"/>
        <w:ind w:left="0" w:right="0" w:hanging="0"/>
        <w:jc w:val="both"/>
        <w:rPr/>
      </w:pPr>
      <w:r>
        <w:rPr/>
        <w:t>​</w:t>
      </w:r>
    </w:p>
    <w:tbl>
      <w:tblPr>
        <w:tblW w:w="10158" w:type="dxa"/>
        <w:jc w:val="left"/>
        <w:tblInd w:w="0" w:type="dxa"/>
        <w:tblLayout w:type="fixed"/>
        <w:tblCellMar>
          <w:top w:w="0" w:type="dxa"/>
          <w:left w:w="0" w:type="dxa"/>
          <w:bottom w:w="0" w:type="dxa"/>
          <w:right w:w="0" w:type="dxa"/>
        </w:tblCellMar>
      </w:tblPr>
      <w:tblGrid>
        <w:gridCol w:w="23"/>
        <w:gridCol w:w="275"/>
        <w:gridCol w:w="986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(c)</w:t>
            </w:r>
          </w:p>
        </w:tc>
        <w:tc>
          <w:tcPr>
            <w:tcW w:w="9860"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Employee understands the terms and consequences of this Agreement and of the releases it contains; and</w:t>
            </w:r>
          </w:p>
        </w:tc>
      </w:tr>
    </w:tbl>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Employee is fully aware of the legal and binding effect of this Agreement.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IN WITNESS WHEREOF, the Parties have executed this Agreement on the respective dates set forth below.</w:t>
      </w:r>
    </w:p>
    <w:p>
      <w:pPr>
        <w:pStyle w:val="TextBody"/>
        <w:bidi w:val="0"/>
        <w:spacing w:before="240" w:after="0"/>
        <w:ind w:left="0" w:right="0" w:hanging="0"/>
        <w:jc w:val="both"/>
        <w:rPr>
          <w:rFonts w:ascii="Times New Roman;Times;serif" w:hAnsi="Times New Roman;Times;serif"/>
          <w:sz w:val="24"/>
        </w:rPr>
      </w:pPr>
      <w:r>
        <w:rPr>
          <w:rFonts w:ascii="Times New Roman;Times;serif" w:hAnsi="Times New Roman;Times;serif"/>
          <w:caps/>
          <w:sz w:val="22"/>
        </w:rPr>
        <w:t>dane c. andreeff</w:t>
      </w:r>
      <w:r>
        <w:rPr>
          <w:rFonts w:ascii="Times New Roman;Times;serif" w:hAnsi="Times New Roman;Times;serif"/>
          <w:sz w:val="22"/>
        </w:rPr>
        <w:t>, an individual</w:t>
      </w:r>
    </w:p>
    <w:p>
      <w:pPr>
        <w:pStyle w:val="TextBody"/>
        <w:bidi w:val="0"/>
        <w:spacing w:before="24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Dated:  </w:t>
      </w:r>
      <w:r>
        <w:rPr>
          <w:rFonts w:ascii="Times New Roman;Times;serif" w:hAnsi="Times New Roman;Times;serif"/>
          <w:sz w:val="22"/>
          <w:u w:val="single"/>
        </w:rPr>
        <w:t>May 12, 2026</w:t>
      </w:r>
      <w:r>
        <w:rPr>
          <w:rFonts w:ascii="Times New Roman;Times;serif" w:hAnsi="Times New Roman;Times;serif"/>
          <w:sz w:val="22"/>
        </w:rPr>
        <w:t>________________</w:t>
      </w:r>
      <w:r>
        <w:rPr>
          <w:rFonts w:ascii="Times New Roman;Times;serif" w:hAnsi="Times New Roman;Times;serif"/>
          <w:sz w:val="22"/>
          <w:u w:val="single"/>
        </w:rPr>
        <w:t>/s/Dane C. Andreeff​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Dane C. Andreeff</w:t>
      </w:r>
    </w:p>
    <w:p>
      <w:pPr>
        <w:pStyle w:val="TextBody"/>
        <w:bidi w:val="0"/>
        <w:spacing w:before="240" w:after="283"/>
        <w:ind w:left="0" w:right="0" w:hanging="0"/>
        <w:jc w:val="both"/>
        <w:rPr/>
      </w:pPr>
      <w:r>
        <w:rPr/>
        <w:t>​</w:t>
      </w:r>
    </w:p>
    <w:p>
      <w:pPr>
        <w:pStyle w:val="TextBody"/>
        <w:bidi w:val="0"/>
        <w:spacing w:before="240" w:after="0"/>
        <w:ind w:left="0" w:right="0" w:hanging="0"/>
        <w:jc w:val="both"/>
        <w:rPr>
          <w:rFonts w:ascii="Times New Roman;Times;serif" w:hAnsi="Times New Roman;Times;serif"/>
          <w:caps/>
          <w:sz w:val="22"/>
        </w:rPr>
      </w:pPr>
      <w:bookmarkStart w:id="921" w:name="OLE_LINK16"/>
      <w:bookmarkStart w:id="922" w:name="OLE_LINK15"/>
      <w:bookmarkEnd w:id="921"/>
      <w:bookmarkEnd w:id="922"/>
      <w:r>
        <w:rPr>
          <w:rFonts w:ascii="Times New Roman;Times;serif" w:hAnsi="Times New Roman;Times;serif"/>
          <w:caps/>
          <w:sz w:val="22"/>
        </w:rPr>
        <w:t>SOLANA COMPANY</w:t>
      </w:r>
    </w:p>
    <w:p>
      <w:pPr>
        <w:pStyle w:val="TextBody"/>
        <w:bidi w:val="0"/>
        <w:spacing w:before="24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Dated:  </w:t>
      </w:r>
      <w:r>
        <w:rPr>
          <w:rFonts w:ascii="Times New Roman;Times;serif" w:hAnsi="Times New Roman;Times;serif"/>
          <w:sz w:val="22"/>
          <w:u w:val="single"/>
        </w:rPr>
        <w:t>May 12, 2026</w:t>
      </w:r>
      <w:r>
        <w:rPr>
          <w:rFonts w:ascii="Times New Roman;Times;serif" w:hAnsi="Times New Roman;Times;serif"/>
          <w:sz w:val="22"/>
        </w:rPr>
        <w:t xml:space="preserve">______________By </w:t>
      </w:r>
      <w:r>
        <w:rPr>
          <w:rFonts w:ascii="Times New Roman;Times;serif" w:hAnsi="Times New Roman;Times;serif"/>
          <w:sz w:val="22"/>
          <w:u w:val="single"/>
        </w:rPr>
        <w:t>/s/Joseph Chee​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Joseph Chee</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Executive Chairman</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right"/>
        <w:rPr>
          <w:rFonts w:ascii="Times New Roman;Times;serif" w:hAnsi="Times New Roman;Times;serif"/>
          <w:b/>
          <w:sz w:val="22"/>
        </w:rPr>
      </w:pPr>
      <w:bookmarkStart w:id="923" w:name="hsdt-20260331xex10d4.htm"/>
      <w:bookmarkStart w:id="924" w:name="kshsdt20260331xex10d4"/>
      <w:bookmarkEnd w:id="923"/>
      <w:bookmarkEnd w:id="924"/>
      <w:r>
        <w:rPr>
          <w:rFonts w:ascii="Times New Roman;Times;serif" w:hAnsi="Times New Roman;Times;serif"/>
          <w:b/>
          <w:sz w:val="22"/>
        </w:rPr>
        <w:t>Exhibit 10.4</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SEPARATION AGREEMENT AND RELEASE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CG Times" w:hAnsi="CG Times"/>
          <w:sz w:val="22"/>
        </w:rPr>
      </w:pPr>
      <w:r>
        <w:rPr>
          <w:rFonts w:ascii="Times New Roman;Times;serif" w:hAnsi="Times New Roman;Times;serif"/>
          <w:sz w:val="22"/>
        </w:rPr>
        <w:t>This Separation Agreement and Release (“Agreement”) is made by and between</w:t>
      </w:r>
      <w:r>
        <w:rPr>
          <w:rFonts w:ascii="CG Times" w:hAnsi="CG Times"/>
          <w:sz w:val="22"/>
        </w:rPr>
        <w:t xml:space="preserve"> </w:t>
      </w:r>
      <w:r>
        <w:rPr>
          <w:rFonts w:ascii="Times New Roman;Times;serif" w:hAnsi="Times New Roman;Times;serif"/>
          <w:sz w:val="22"/>
        </w:rPr>
        <w:t>Jeffrey S. Mathiesen (“Employee”) and Solana Company, f/k/a Helius Medical Technologies, Inc. including all subsidiaries and affiliates (the “Company”) (collectively referred to as the “Parties” or individually referred to as a “Party”).</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b/>
          <w:sz w:val="22"/>
        </w:rPr>
      </w:pPr>
      <w:bookmarkStart w:id="925" w:name="OLE_LINK281"/>
      <w:bookmarkStart w:id="926" w:name="OLE_LINK271"/>
      <w:bookmarkEnd w:id="925"/>
      <w:bookmarkEnd w:id="926"/>
      <w:r>
        <w:rPr>
          <w:rFonts w:ascii="Times New Roman;Times;serif" w:hAnsi="Times New Roman;Times;serif"/>
          <w:b/>
          <w:sz w:val="22"/>
        </w:rPr>
        <w:t>RECITALS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WHEREAS, Employee has been employed by the Company;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WHEREAS, Employee signed an employment agreement with the Company on June 14, 2021 (the “Employment </w:t>
        <w:br/>
        <w:t>Agreement”);</w:t>
      </w:r>
    </w:p>
    <w:p>
      <w:pPr>
        <w:pStyle w:val="TextBody"/>
        <w:bidi w:val="0"/>
        <w:spacing w:before="240" w:after="0"/>
        <w:ind w:left="0" w:right="0" w:hanging="0"/>
        <w:jc w:val="both"/>
        <w:rPr>
          <w:rFonts w:ascii="Times New Roman;Times;serif" w:hAnsi="Times New Roman;Times;serif"/>
          <w:sz w:val="22"/>
        </w:rPr>
      </w:pPr>
      <w:bookmarkStart w:id="927" w:name="OLE_LINK651"/>
      <w:bookmarkStart w:id="928" w:name="OLE_LINK641"/>
      <w:bookmarkEnd w:id="927"/>
      <w:bookmarkEnd w:id="928"/>
      <w:r>
        <w:rPr>
          <w:rFonts w:ascii="Times New Roman;Times;serif" w:hAnsi="Times New Roman;Times;serif"/>
          <w:sz w:val="22"/>
        </w:rPr>
        <w:t>WHEREAS, the Company has granted the Employee options to purchase shares of the Company’s common stock subject to the terms and conditions of the Company’s 2018 Omnibus Stock Incentive Plan and the 2022 Equity Incentive Plan and the Stock Option Agreement (collectively the “Stock Agreements”);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CG Times" w:hAnsi="CG Times"/>
          <w:sz w:val="22"/>
        </w:rPr>
      </w:pPr>
      <w:r>
        <w:rPr>
          <w:rFonts w:ascii="Times New Roman;Times;serif" w:hAnsi="Times New Roman;Times;serif"/>
          <w:caps/>
          <w:sz w:val="22"/>
        </w:rPr>
        <w:t>Whereas</w:t>
      </w:r>
      <w:r>
        <w:rPr>
          <w:rFonts w:ascii="Times New Roman;Times;serif" w:hAnsi="Times New Roman;Times;serif"/>
          <w:sz w:val="22"/>
        </w:rPr>
        <w:t>, the Parties have mutually agreed to terminate the existing employment relationship on the terms and conditions set forth in this Agreement; and</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NOW, THEREFORE, in consideration of the mutual promises made herein, the Company and Employee hereby agree as follows:</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COVENANTS</w:t>
      </w:r>
    </w:p>
    <w:p>
      <w:pPr>
        <w:pStyle w:val="TextBody"/>
        <w:bidi w:val="0"/>
        <w:spacing w:before="240" w:after="283"/>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w:t>
      </w:r>
      <w:r>
        <w:rPr>
          <w:rFonts w:ascii="Times New Roman;Times;serif" w:hAnsi="Times New Roman;Times;serif"/>
          <w:sz w:val="22"/>
          <w:u w:val="single"/>
        </w:rPr>
        <w:t>Consideration</w:t>
      </w:r>
      <w:r>
        <w:rPr>
          <w:rFonts w:ascii="Times New Roman;Times;serif" w:hAnsi="Times New Roman;Times;serif"/>
          <w:sz w:val="22"/>
        </w:rPr>
        <w:t>.  In consideration of Employee’s execution of this Agreement and Employee’s fulfillment of all of its terms and conditions, the Company agrees as follows:</w:t>
      </w:r>
    </w:p>
    <w:p>
      <w:pPr>
        <w:pStyle w:val="TextBody"/>
        <w:bidi w:val="0"/>
        <w:spacing w:before="0" w:after="0"/>
        <w:ind w:left="0" w:right="0" w:hanging="0"/>
        <w:jc w:val="left"/>
        <w:rPr/>
      </w:pPr>
      <w:r>
        <w:rPr/>
        <w:t>​</w:t>
      </w:r>
    </w:p>
    <w:p>
      <w:pPr>
        <w:pStyle w:val="TextBody"/>
        <w:bidi w:val="0"/>
        <w:ind w:left="0" w:right="0" w:hanging="0"/>
        <w:jc w:val="both"/>
        <w:rPr>
          <w:rFonts w:ascii="CG Times" w:hAnsi="CG Times"/>
          <w:sz w:val="24"/>
        </w:rPr>
      </w:pPr>
      <w:r>
        <w:rPr>
          <w:rFonts w:ascii="Times New Roman;Times;serif" w:hAnsi="Times New Roman;Times;serif"/>
          <w:sz w:val="22"/>
        </w:rPr>
        <w:t>a.</w:t>
      </w:r>
      <w:r>
        <w:rPr>
          <w:rFonts w:ascii="Times New Roman;Times;serif" w:hAnsi="Times New Roman;Times;serif"/>
          <w:sz w:val="22"/>
          <w:u w:val="single"/>
        </w:rPr>
        <w:t>Termination of Employment</w:t>
      </w:r>
      <w:r>
        <w:rPr>
          <w:rFonts w:ascii="Times New Roman;Times;serif" w:hAnsi="Times New Roman;Times;serif"/>
          <w:sz w:val="22"/>
        </w:rPr>
        <w:t xml:space="preserve">. Employee’s employment with the Company shall terminate as of May 11, 2026 (the </w:t>
      </w:r>
      <w:r>
        <w:rPr>
          <w:rFonts w:ascii="CG Times" w:hAnsi="CG Times"/>
          <w:sz w:val="24"/>
        </w:rPr>
        <w:t>“</w:t>
      </w:r>
      <w:r>
        <w:rPr>
          <w:rFonts w:ascii="Times New Roman;Times;serif" w:hAnsi="Times New Roman;Times;serif"/>
          <w:b/>
          <w:i/>
          <w:sz w:val="22"/>
        </w:rPr>
        <w:t>Separation Date”</w:t>
      </w:r>
      <w:r>
        <w:rPr>
          <w:rFonts w:ascii="Times New Roman;Times;serif" w:hAnsi="Times New Roman;Times;serif"/>
          <w:sz w:val="22"/>
        </w:rPr>
        <w:t>).  Effective as of the Separation Date, Employee resigns from (i) every office of the Company and its subsidiaries held by Employee, and (ii) any position he may hold as a director of a subsidiary of the Company. The Company shall pay Employee’s compensation for hours worked through the Separation Date, subject to withholding and payable in accordance with the Company’s payroll practices.  In addition, the Company will reimburse Employee for Employee’s outstanding documented business expenses remaining on the Company’s books and incurred prior to the Separation Date, which were properly reviewed and approved according to the Company’s policies in effect on the Separation Date.  Employee will receive the foregoing payments regardless of whether Employee executes this Agreement.</w:t>
      </w:r>
    </w:p>
    <w:p>
      <w:pPr>
        <w:pStyle w:val="TextBody"/>
        <w:bidi w:val="0"/>
        <w:spacing w:before="0" w:after="0"/>
        <w:ind w:left="1440" w:right="0" w:hanging="0"/>
        <w:jc w:val="both"/>
        <w:rPr/>
      </w:pPr>
      <w:r>
        <w:rPr/>
        <w:t>​</w:t>
      </w:r>
    </w:p>
    <w:p>
      <w:pPr>
        <w:pStyle w:val="TextBody"/>
        <w:bidi w:val="0"/>
        <w:ind w:left="0" w:right="0" w:hanging="0"/>
        <w:jc w:val="both"/>
        <w:rPr>
          <w:rFonts w:ascii="CG Times" w:hAnsi="CG Times"/>
          <w:sz w:val="24"/>
        </w:rPr>
      </w:pPr>
      <w:r>
        <w:rPr>
          <w:rFonts w:ascii="Times New Roman;Times;serif" w:hAnsi="Times New Roman;Times;serif"/>
          <w:sz w:val="22"/>
        </w:rPr>
        <w:t>b.</w:t>
      </w:r>
      <w:r>
        <w:rPr>
          <w:rFonts w:ascii="Times New Roman;Times;serif" w:hAnsi="Times New Roman;Times;serif"/>
          <w:sz w:val="22"/>
          <w:u w:val="single"/>
        </w:rPr>
        <w:t>Payment</w:t>
      </w:r>
      <w:r>
        <w:rPr>
          <w:rFonts w:ascii="Times New Roman;Times;serif" w:hAnsi="Times New Roman;Times;serif"/>
          <w:sz w:val="22"/>
        </w:rPr>
        <w:t xml:space="preserve">.  The Company agrees to pay Employee a total of  Two Million Four Hundred Thousand Dollars ($2,400,000), as a severance benefit, in a single lump sum payment, </w:t>
      </w:r>
      <w:bookmarkStart w:id="929" w:name="OLE_LINK382"/>
      <w:bookmarkStart w:id="930" w:name="OLE_LINK372"/>
      <w:bookmarkEnd w:id="929"/>
      <w:bookmarkEnd w:id="930"/>
      <w:r>
        <w:rPr>
          <w:rFonts w:ascii="Times New Roman;Times;serif" w:hAnsi="Times New Roman;Times;serif"/>
          <w:sz w:val="22"/>
        </w:rPr>
        <w:t>less applicable withholdings (the “Payment”).  The Payment will be made to Employee within five (5) business days after the Effective Date of this Agreement.  Employee and the Company agree that the Payment (i) is in lieu of and in full satisfaction and accord of any payments and/or benefits contemplated by Section 3 of the Employment Agreement; (ii) constitutes full satisfaction and accord of any bonus promised to Employee whether orally or in writing; and (iii) satisfies the Non-Compete Amount (as defined in the Employment Agreement).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Employee further specifically acknowledges and agrees that the consideration provided to Employee hereunder fully satisfies any obligation that the Company had to pay Employee wages or any other compensation for any of the services that Employee rendered to the Company, that the amount paid is in excess of any disputed wage claim that Employee may have, that the consideration paid shall be deemed to be paid first in satisfaction of any disputed wage claim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with the remainder sufficient to act as consideration for the release of claims set forth herein, and that Employee has not earned and is not entitled to receive any additional wages or other form of compensation from the Company.</w:t>
      </w:r>
      <w:bookmarkStart w:id="931" w:name="OLE_LINK261"/>
      <w:bookmarkStart w:id="932" w:name="OLE_LINK251"/>
      <w:bookmarkEnd w:id="931"/>
      <w:bookmarkEnd w:id="932"/>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w:t>
      </w:r>
      <w:r>
        <w:rPr>
          <w:rFonts w:ascii="Times New Roman;Times;serif" w:hAnsi="Times New Roman;Times;serif"/>
          <w:sz w:val="22"/>
          <w:u w:val="single"/>
        </w:rPr>
        <w:t>Directors’ and Officers’ Insurance</w:t>
      </w:r>
      <w:r>
        <w:rPr>
          <w:rFonts w:ascii="Times New Roman;Times;serif" w:hAnsi="Times New Roman;Times;serif"/>
          <w:sz w:val="22"/>
        </w:rPr>
        <w:t>. The Company agrees to cause Employee to continue to be included as a beneficiary under the Company’s directors’ and officers’ insurance policy in connection with Employee’s service as a director and officer of the Company prior to the Separation Date.</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3.</w:t>
      </w:r>
      <w:r>
        <w:rPr>
          <w:rFonts w:ascii="Times New Roman;Times;serif" w:hAnsi="Times New Roman;Times;serif"/>
          <w:sz w:val="22"/>
          <w:u w:val="single"/>
        </w:rPr>
        <w:t>Stock Options</w:t>
      </w:r>
      <w:r>
        <w:rPr>
          <w:rFonts w:ascii="Times New Roman;Times;serif" w:hAnsi="Times New Roman;Times;serif"/>
          <w:sz w:val="22"/>
        </w:rPr>
        <w:t>.  Employee acknowledges that as of the Separation Date, Employee will have vested in 27,001 options and no more. The exercise of Employee’s vested options and shares shall continue to be governed by the terms and conditions of the Company’s Stock Agreements.  </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4.</w:t>
      </w:r>
      <w:r>
        <w:rPr>
          <w:rFonts w:ascii="Times New Roman;Times;serif" w:hAnsi="Times New Roman;Times;serif"/>
          <w:sz w:val="22"/>
          <w:u w:val="single"/>
        </w:rPr>
        <w:t>Benefits</w:t>
      </w:r>
      <w:r>
        <w:rPr>
          <w:rFonts w:ascii="Times New Roman;Times;serif" w:hAnsi="Times New Roman;Times;serif"/>
          <w:sz w:val="22"/>
        </w:rPr>
        <w:t>.  Employee’s health and dental insurance benefits shall cease on the last day of the month in which the Separation Date occurs, subject to Employee’s right to continue Employee’s health insurance at Employee’s expense under COBRA or comparable state law, if applicable.</w:t>
      </w:r>
      <w:r>
        <w:rPr>
          <w:rFonts w:ascii="Times New Roman;Times;serif" w:hAnsi="Times New Roman;Times;serif"/>
          <w:sz w:val="24"/>
        </w:rPr>
        <w:t xml:space="preserve">  </w:t>
      </w:r>
      <w:r>
        <w:rPr>
          <w:rFonts w:ascii="Times New Roman;Times;serif" w:hAnsi="Times New Roman;Times;serif"/>
          <w:sz w:val="22"/>
        </w:rPr>
        <w:t>Employee’s participation in all benefits and incidents of employment, including, but not limited to, the accrual of bonuses, vacation, and paid time off, ceased as of the Separation Date.</w:t>
      </w:r>
    </w:p>
    <w:p>
      <w:pPr>
        <w:pStyle w:val="TextBody"/>
        <w:bidi w:val="0"/>
        <w:spacing w:before="240" w:after="283"/>
        <w:ind w:left="72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5.</w:t>
      </w:r>
      <w:r>
        <w:rPr>
          <w:rFonts w:ascii="Times New Roman;Times;serif" w:hAnsi="Times New Roman;Times;serif"/>
          <w:sz w:val="22"/>
          <w:u w:val="single"/>
        </w:rPr>
        <w:t>Indemnification</w:t>
      </w:r>
      <w:r>
        <w:rPr>
          <w:rFonts w:ascii="Times New Roman;Times;serif" w:hAnsi="Times New Roman;Times;serif"/>
          <w:sz w:val="22"/>
        </w:rPr>
        <w:t xml:space="preserve">. The Parties hereby reaffirm their respective obligations under the Company’s Amended and Restated Indemnification and Advancement Agreement dated September 14, 2025 previously entered into by the Company and Employee (the </w:t>
      </w:r>
      <w:r>
        <w:rPr>
          <w:rFonts w:ascii="Times New Roman;Times;serif" w:hAnsi="Times New Roman;Times;serif"/>
          <w:sz w:val="24"/>
        </w:rPr>
        <w:t>“</w:t>
      </w:r>
      <w:r>
        <w:rPr>
          <w:rFonts w:ascii="Times New Roman;Times;serif" w:hAnsi="Times New Roman;Times;serif"/>
          <w:b/>
          <w:i/>
          <w:sz w:val="22"/>
        </w:rPr>
        <w:t>Indemnification Agreement”</w:t>
      </w:r>
      <w:r>
        <w:rPr>
          <w:rFonts w:ascii="Times New Roman;Times;serif" w:hAnsi="Times New Roman;Times;serif"/>
          <w:sz w:val="22"/>
        </w:rPr>
        <w:t xml:space="preserve">), as well as (a) the indemnification provisions of the Company’s Third Amended and Restated Bylaws as in effect on the Separation Date and (b) any right to indemnification afforded under applicable state and federal law (collectively, the </w:t>
      </w:r>
      <w:r>
        <w:rPr>
          <w:rFonts w:ascii="Times New Roman;Times;serif" w:hAnsi="Times New Roman;Times;serif"/>
          <w:sz w:val="24"/>
        </w:rPr>
        <w:t>“</w:t>
      </w:r>
      <w:r>
        <w:rPr>
          <w:rFonts w:ascii="Times New Roman;Times;serif" w:hAnsi="Times New Roman;Times;serif"/>
          <w:b/>
          <w:i/>
          <w:sz w:val="22"/>
        </w:rPr>
        <w:t>Indemnification Obligations”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6.</w:t>
      </w:r>
      <w:r>
        <w:rPr>
          <w:rFonts w:ascii="Times New Roman;Times;serif" w:hAnsi="Times New Roman;Times;serif"/>
          <w:sz w:val="22"/>
          <w:u w:val="single"/>
        </w:rPr>
        <w:t>Foreign Bank Account Tax Filing</w:t>
      </w:r>
      <w:r>
        <w:rPr>
          <w:rFonts w:ascii="Times New Roman;Times;serif" w:hAnsi="Times New Roman;Times;serif"/>
          <w:sz w:val="22"/>
        </w:rPr>
        <w:t>. The Company shall use commercially reasonable efforts to timely file all Foreign Bank and Financial Accounts Reports, FinCEN Form 114, on behalf of the Employee with the IRS for the tax years ending December 31, 2025, and 2026 resulting from the Employee’s signing authority on foreign bank accounts related to his employment with the Company.</w:t>
      </w:r>
    </w:p>
    <w:p>
      <w:pPr>
        <w:pStyle w:val="TextBody"/>
        <w:bidi w:val="0"/>
        <w:spacing w:before="240" w:after="283"/>
        <w:ind w:left="72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7.</w:t>
      </w:r>
      <w:r>
        <w:rPr>
          <w:rFonts w:ascii="Times New Roman;Times;serif" w:hAnsi="Times New Roman;Times;serif"/>
          <w:sz w:val="22"/>
          <w:u w:val="single"/>
        </w:rPr>
        <w:t>Payment of Salary and Receipt of All Benefits</w:t>
      </w:r>
      <w:r>
        <w:rPr>
          <w:rFonts w:ascii="Times New Roman;Times;serif" w:hAnsi="Times New Roman;Times;serif"/>
          <w:sz w:val="22"/>
        </w:rPr>
        <w:t>.  Employee acknowledges and represents that, other than the consideration set forth in this Agreement, the Company and its agents have paid or provided all salary, wages, bonuses, accrued vacation/paid time off, notice periods, premiums, leaves, housing allowances, relocation costs, interest, severance, outplacement costs, fees, reimbursable expenses, commissions, stock, stock options, vesting, and any and all other benefits and compensation due to Employee. For avoidance of doubt, Employee explicitly agrees that Employee is not due any other payments under the Employment Agreement, including but not limited to the payments and benefits contemplated under Section 3 thereof.</w:t>
      </w:r>
    </w:p>
    <w:p>
      <w:pPr>
        <w:pStyle w:val="TextBody"/>
        <w:bidi w:val="0"/>
        <w:spacing w:before="240" w:after="283"/>
        <w:ind w:left="72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8.</w:t>
      </w:r>
      <w:r>
        <w:rPr>
          <w:rFonts w:ascii="Times New Roman;Times;serif" w:hAnsi="Times New Roman;Times;serif"/>
          <w:sz w:val="22"/>
          <w:u w:val="single"/>
        </w:rPr>
        <w:t>Mutual Release of Claims</w:t>
      </w:r>
      <w:r>
        <w:rPr>
          <w:rFonts w:ascii="Times New Roman;Times;serif" w:hAnsi="Times New Roman;Times;serif"/>
          <w:sz w:val="22"/>
        </w:rPr>
        <w:t>.  In consideration for the mutual promises set forth in this Agreement, and subject to the Parties</w:t>
      </w:r>
      <w:r>
        <w:rPr>
          <w:rFonts w:ascii="Times New Roman;Times;serif" w:hAnsi="Times New Roman;Times;serif"/>
          <w:sz w:val="24"/>
        </w:rPr>
        <w:t xml:space="preserve">’ </w:t>
      </w:r>
      <w:r>
        <w:rPr>
          <w:rFonts w:ascii="Times New Roman;Times;serif" w:hAnsi="Times New Roman;Times;serif"/>
          <w:sz w:val="22"/>
        </w:rPr>
        <w:t xml:space="preserve">performance of their respective obligations set forth in this Agreement, Employee, on Employee’s own behalf and on behalf of Employee’s respective heirs, family members, executors, agents, and assigns (collectively, the “Employee Releasees”), and each of them on the one hand, and the Company and its current and former officers, directors, employees, agents, investors, attorneys, shareholders, administrators, affiliates, benefit plans, plan administrators, professional employer organization or co-employer, insurers, trustees, divisions, and subsidiaries, and predecessor and successor corporations and assigns (collectively, the </w:t>
      </w:r>
      <w:r>
        <w:rPr>
          <w:rFonts w:ascii="Times New Roman;Times;serif" w:hAnsi="Times New Roman;Times;serif"/>
          <w:sz w:val="24"/>
        </w:rPr>
        <w:t>“</w:t>
      </w:r>
      <w:r>
        <w:rPr>
          <w:rFonts w:ascii="Times New Roman;Times;serif" w:hAnsi="Times New Roman;Times;serif"/>
          <w:sz w:val="22"/>
        </w:rPr>
        <w:t>Company Releasees</w:t>
      </w:r>
      <w:r>
        <w:rPr>
          <w:rFonts w:ascii="Times New Roman;Times;serif" w:hAnsi="Times New Roman;Times;serif"/>
          <w:sz w:val="24"/>
        </w:rPr>
        <w:t>”</w:t>
      </w:r>
      <w:r>
        <w:rPr>
          <w:rFonts w:ascii="Times New Roman;Times;serif" w:hAnsi="Times New Roman;Times;serif"/>
          <w:sz w:val="22"/>
        </w:rPr>
        <w:t xml:space="preserve">) and each of them, on the other hand, hereby release and discharge the other  forever </w:t>
      </w:r>
      <w:bookmarkStart w:id="933" w:name="OLE_LINK101"/>
      <w:bookmarkStart w:id="934" w:name="OLE_LINK91"/>
      <w:bookmarkEnd w:id="933"/>
      <w:bookmarkEnd w:id="934"/>
      <w:r>
        <w:rPr>
          <w:rFonts w:ascii="Times New Roman;Times;serif" w:hAnsi="Times New Roman;Times;serif"/>
          <w:sz w:val="22"/>
        </w:rPr>
        <w:t>from, and agree not to sue concerning, or in any manner to institute, prosecute, or pursue, any claim, complaint, charge, duty, obligation, demand, or cause of action relating to any matters of any kind, whether presently known or unknown, suspected or unsuspected, that either the Company and/or the Company Releasees, on the one hand, or Employee and/or Employee Releasees, on the other hand, may possess against the other arising from any omissions, acts, facts, or damages that have occurred up until and including the Effective Date of this Agreement, including, without limitation: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any and all claims relating to or arising from Employee’s employment relationship with the Company and the termination of that relationship; </w:t>
      </w:r>
    </w:p>
    <w:p>
      <w:pPr>
        <w:pStyle w:val="TextBody"/>
        <w:bidi w:val="0"/>
        <w:spacing w:before="0" w:after="0"/>
        <w:ind w:left="0" w:right="0" w:firstLine="144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b.any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w:t>
      </w:r>
      <w:bookmarkStart w:id="935" w:name="OLE_LINK361"/>
      <w:bookmarkStart w:id="936" w:name="OLE_LINK351"/>
      <w:bookmarkEnd w:id="935"/>
      <w:bookmarkEnd w:id="936"/>
      <w:r>
        <w:rPr>
          <w:rFonts w:ascii="Times New Roman;Times;serif" w:hAnsi="Times New Roman;Times;serif"/>
          <w:sz w:val="22"/>
        </w:rPr>
        <w:t>conversion; and disability benefits;</w:t>
      </w:r>
    </w:p>
    <w:p>
      <w:pPr>
        <w:pStyle w:val="TextBody"/>
        <w:bidi w:val="0"/>
        <w:spacing w:before="0" w:after="0"/>
        <w:ind w:left="0" w:right="0" w:hanging="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any and </w:t>
      </w:r>
      <w:bookmarkStart w:id="937" w:name="OLE_LINK121"/>
      <w:bookmarkStart w:id="938" w:name="OLE_LINK111"/>
      <w:bookmarkEnd w:id="937"/>
      <w:bookmarkEnd w:id="938"/>
      <w:r>
        <w:rPr>
          <w:rFonts w:ascii="Times New Roman;Times;serif" w:hAnsi="Times New Roman;Times;serif"/>
          <w:sz w:val="22"/>
        </w:rPr>
        <w:t xml:space="preserve">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w:t>
      </w:r>
      <w:bookmarkStart w:id="939" w:name="OLE_LINK501"/>
      <w:bookmarkStart w:id="940" w:name="OLE_LINK491"/>
      <w:bookmarkEnd w:id="939"/>
      <w:bookmarkEnd w:id="940"/>
      <w:r>
        <w:rPr>
          <w:rFonts w:ascii="Times New Roman;Times;serif" w:hAnsi="Times New Roman;Times;serif"/>
          <w:sz w:val="22"/>
        </w:rPr>
        <w:t xml:space="preserve">the Fair Credit Reporting Act; the Employee Retirement Income Security Act of 1974; the Worker Adjustment and Retraining Notification Act; the Family and Medical Leave Act; </w:t>
      </w:r>
      <w:bookmarkStart w:id="941" w:name="OLE_LINK561"/>
      <w:bookmarkStart w:id="942" w:name="OLE_LINK551"/>
      <w:bookmarkEnd w:id="941"/>
      <w:bookmarkEnd w:id="942"/>
      <w:r>
        <w:rPr>
          <w:rFonts w:ascii="Times New Roman;Times;serif" w:hAnsi="Times New Roman;Times;serif"/>
          <w:sz w:val="22"/>
        </w:rPr>
        <w:t xml:space="preserve">the Uniformed Services Employment and Reemployment Rights Act; the Florida Civil Rights Act; the Florida Whistleblower Protection Act; the Florida Workers’ Compensation Retaliation provision; and the Florida Minimum Wage Act; </w:t>
      </w:r>
    </w:p>
    <w:p>
      <w:pPr>
        <w:pStyle w:val="TextBody"/>
        <w:bidi w:val="0"/>
        <w:spacing w:before="0" w:after="0"/>
        <w:ind w:left="0" w:right="0" w:hanging="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e.</w:t>
      </w:r>
      <w:r>
        <w:rPr>
          <w:rFonts w:ascii="Times New Roman;Times;serif" w:hAnsi="Times New Roman;Times;serif"/>
          <w:sz w:val="22"/>
        </w:rPr>
        <w:t>any and all claims for violation of the federal or any state constitution;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f.</w:t>
      </w:r>
      <w:r>
        <w:rPr>
          <w:rFonts w:ascii="Times New Roman;Times;serif" w:hAnsi="Times New Roman;Times;serif"/>
          <w:sz w:val="22"/>
        </w:rPr>
        <w:t>any and all claims arising out of any other laws and regulations relating to employment or employment discrimination; and</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g.</w:t>
      </w:r>
      <w:r>
        <w:rPr>
          <w:rFonts w:ascii="Times New Roman;Times;serif" w:hAnsi="Times New Roman;Times;serif"/>
          <w:sz w:val="22"/>
        </w:rPr>
        <w:t>any claim for any loss, cost, damage, or expense arising out of any dispute over the nonwithholding or other tax treatment of any of the proceeds received by Employee as a result of this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bookmarkStart w:id="943" w:name="OLE_LINK321"/>
      <w:bookmarkStart w:id="944" w:name="OLE_LINK311"/>
      <w:bookmarkEnd w:id="943"/>
      <w:bookmarkEnd w:id="944"/>
      <w:r>
        <w:rPr>
          <w:rFonts w:ascii="Times New Roman;Times;serif" w:hAnsi="Times New Roman;Times;serif"/>
          <w:sz w:val="22"/>
        </w:rPr>
        <w:t>Employee and the Company agree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including any Protected Activity (as defined below).  This release does not extend to any right Employee may have to unemployment compensation benefits or workers’ compensation benefits.  This release does not release the Employee from any claims, rights or damages relating to material noncompliance with any financial reporting requirements under the federal securities laws as a result of misconduct, or otherwise arising under the Company’s Clawback Policy for the Recovery of Erroneously Awarded Compensation.  Employee represents that Employee has made no assignment or transfer of any right, claim, complaint, charge, duty, obligation, demand, cause of action, or other matter waived or released by this Section.  </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9.</w:t>
      </w:r>
      <w:r>
        <w:rPr>
          <w:rFonts w:ascii="Times New Roman;Times;serif" w:hAnsi="Times New Roman;Times;serif"/>
          <w:sz w:val="22"/>
          <w:u w:val="single"/>
        </w:rPr>
        <w:t>No Pending or Future Lawsuits</w:t>
      </w:r>
      <w:r>
        <w:rPr>
          <w:rFonts w:ascii="Times New Roman;Times;serif" w:hAnsi="Times New Roman;Times;serif"/>
          <w:sz w:val="22"/>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10.</w:t>
      </w:r>
      <w:bookmarkStart w:id="945" w:name="OLE_LINK181"/>
      <w:bookmarkStart w:id="946" w:name="OLE_LINK171"/>
      <w:bookmarkEnd w:id="945"/>
      <w:bookmarkEnd w:id="946"/>
      <w:r>
        <w:rPr>
          <w:rFonts w:ascii="Times New Roman;Times;serif" w:hAnsi="Times New Roman;Times;serif"/>
          <w:sz w:val="22"/>
          <w:u w:val="single"/>
        </w:rPr>
        <w:t>No Right to Employment</w:t>
      </w:r>
      <w:r>
        <w:rPr>
          <w:rFonts w:ascii="Times New Roman;Times;serif" w:hAnsi="Times New Roman;Times;serif"/>
          <w:sz w:val="22"/>
        </w:rPr>
        <w:t xml:space="preserve">.  Employee understands and agrees that, as a condition of this Agreement, Employee shall not be entitled to any employment with the Company, and Employee hereby waives any right, or alleged right, of employment or re-employment with the Company. </w:t>
      </w:r>
    </w:p>
    <w:p>
      <w:pPr>
        <w:pStyle w:val="TextBody"/>
        <w:bidi w:val="0"/>
        <w:spacing w:before="0" w:after="0"/>
        <w:ind w:left="0" w:right="0" w:hanging="0"/>
        <w:jc w:val="left"/>
        <w:rPr/>
      </w:pPr>
      <w:r>
        <w:rPr/>
        <w:t>​</w:t>
      </w:r>
    </w:p>
    <w:p>
      <w:pPr>
        <w:pStyle w:val="TextBody"/>
        <w:bidi w:val="0"/>
        <w:spacing w:before="240" w:after="283"/>
        <w:ind w:left="720" w:right="0" w:hanging="0"/>
        <w:jc w:val="both"/>
        <w:rPr/>
      </w:pPr>
      <w:r>
        <w:rPr/>
        <w:t>​</w:t>
      </w:r>
    </w:p>
    <w:p>
      <w:pPr>
        <w:pStyle w:val="TextBody"/>
        <w:bidi w:val="0"/>
        <w:spacing w:before="0" w:after="0"/>
        <w:ind w:left="72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11.</w:t>
      </w:r>
      <w:r>
        <w:rPr>
          <w:rFonts w:ascii="Times New Roman;Times;serif" w:hAnsi="Times New Roman;Times;serif"/>
          <w:sz w:val="22"/>
          <w:u w:val="single"/>
        </w:rPr>
        <w:t>Trade Secrets and Confidential Information/Company Property</w:t>
      </w:r>
      <w:r>
        <w:rPr>
          <w:rFonts w:ascii="Times New Roman;Times;serif" w:hAnsi="Times New Roman;Times;serif"/>
          <w:sz w:val="22"/>
        </w:rPr>
        <w:t xml:space="preserve">.  Employee reaffirms and agrees to observe and abide by the terms of Section 6 of the Employment Agreement, specifically including the provisions therein regarding nondisclosure of the Company’s trade secrets and confidential and proprietary information, and nonsolicitation of Company employees Employee agrees that the above reaffirmation shall constitute a new and separately enforceable agreement to abide by the terms of Section 6 of the Employment Agreement, entered and effective as of the Effective Date.  Employee specifically acknowledges and agrees that any violation of the restrictive covenants in the Employment Agreement shall constitute a material breach of this Agreement.  Employee’s signature below constitutes Employee’s certification under penalty of perjury that Employee has returned all documents and other items provided to Employee by the Company, developed or obtained by Employee in connection with Employee’s employment with the Company, or otherwise belonging to the Company, including, but not limited to, all passwords to any software or other programs or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both"/>
        <w:rPr>
          <w:rFonts w:ascii="Times New Roman;Times;serif" w:hAnsi="Times New Roman;Times;serif"/>
          <w:sz w:val="22"/>
        </w:rPr>
      </w:pPr>
      <w:r>
        <w:rPr>
          <w:rFonts w:ascii="Times New Roman;Times;serif" w:hAnsi="Times New Roman;Times;serif"/>
          <w:sz w:val="22"/>
        </w:rPr>
        <w:t xml:space="preserve">data that Employee used in performing services for the Company. Employee further agrees that Employee is no longer authorized to access Company confidential information and systems, including, without limitation, Company email and software programs, and will not attempt to access or gain entry to such information or systems. Employee acknowledges and agrees that Employee’s compliance with this section, including timely return of Company property, is a condition to receipt of the consideration provided under this Agreement.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12.</w:t>
      </w:r>
      <w:r>
        <w:rPr>
          <w:rFonts w:ascii="Times New Roman;Times;serif" w:hAnsi="Times New Roman;Times;serif"/>
          <w:sz w:val="22"/>
          <w:u w:val="single"/>
        </w:rPr>
        <w:t>Assignment of Intellectual Property</w:t>
      </w:r>
      <w:r>
        <w:rPr>
          <w:rFonts w:ascii="Times New Roman;Times;serif" w:hAnsi="Times New Roman;Times;serif"/>
          <w:sz w:val="22"/>
        </w:rPr>
        <w:t xml:space="preserve">.  To the fullest extent permitted by the applicable law,  Employee agrees that all right, title, and interest in and to any and all inventions, original works of authorship, developments, concepts, improvements, designs, discoveries, ideas, know-how, trademarks, and trade secrets, whether or not patentable or registrable under copyright or similar laws, that Employee may have solely or jointly authored, conceived, developed, or reduced to practice during the period of time the Employee was in the employ of the Company (including during the Employee’s off-duty hours), or with the use of Company’s equipment, supplies, facilities, or Company confidential information (collectively, “Inventions”), are the sole property of the Company.  Employee also agrees to assign, and hereby irrevocably and unconditionally assigns fully to the Company, all of Employee’s right, title and interest in and to Inventions, including all intellectual property rights therein.  Employee further acknowledges that all original works of authorship that are made by Employee (solely or jointly with others) within the scope of and during the period of the Employee’s employment with the Company and that are protectable by copyright are “works made for hire,” as that term is defined in the United States Copyright Act.  Employee understands and agrees that the decision whether or not to commercialize or market any Inventions is within the Company’s sole discretion and for the Company’s sole benefit, and that no royalty, other consideration, or attribution will be due to Employee as a result of the Company’s efforts to commercialize or market any such Inventions.  Employee further agrees to assist the Company, or its designee, at the Company’s expense, in every proper way to secure the Company’s rights in the Inventions in any and all countries, including the disclosure to the Company of all pertinent information and data with respect thereto, the execution of all applications, specifications, oaths, assignments, and all other instruments that the Company shall deem proper or necessary in order to apply for, register, obtain, maintain, defend, and enforce such rights, and in order to deliver, assign and convey to the Company, its successors, assigns, and nominees the sole and exclusive rights, title, and interest in and to all Inventions, and testifying in a suit or other proceeding relating to such Inventions.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13.</w:t>
      </w:r>
      <w:r>
        <w:rPr>
          <w:rFonts w:ascii="Times New Roman;Times;serif" w:hAnsi="Times New Roman;Times;serif"/>
          <w:sz w:val="22"/>
          <w:u w:val="single"/>
        </w:rPr>
        <w:t>No Third Party Cooperation</w:t>
      </w:r>
      <w:r>
        <w:rPr>
          <w:rFonts w:ascii="Times New Roman;Times;serif" w:hAnsi="Times New Roman;Times;serif"/>
          <w:sz w:val="22"/>
        </w:rPr>
        <w:t>.  </w:t>
      </w:r>
      <w:bookmarkStart w:id="947" w:name="OLE_LINK141"/>
      <w:bookmarkStart w:id="948" w:name="OLE_LINK131"/>
      <w:bookmarkStart w:id="949" w:name="OLE_LINK671"/>
      <w:bookmarkStart w:id="950" w:name="OLE_LINK661"/>
      <w:bookmarkEnd w:id="947"/>
      <w:bookmarkEnd w:id="948"/>
      <w:bookmarkEnd w:id="949"/>
      <w:bookmarkEnd w:id="950"/>
      <w:r>
        <w:rPr>
          <w:rFonts w:ascii="Times New Roman;Times;serif" w:hAnsi="Times New Roman;Times;serif"/>
          <w:sz w:val="22"/>
        </w:rPr>
        <w:t>Except as permitted under the Protected Activity Section below,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Employee agrees both to immediately notify the Company upon receipt of any such subpoena or court order, and to furnish, within three (3) business days of its receipt, a copy of such subpoena or other court order</w:t>
      </w:r>
      <w:bookmarkStart w:id="951" w:name="OLE_LINK461"/>
      <w:bookmarkStart w:id="952" w:name="OLE_LINK451"/>
      <w:bookmarkEnd w:id="951"/>
      <w:bookmarkEnd w:id="952"/>
      <w:r>
        <w:rPr>
          <w:rFonts w:ascii="Times New Roman;Times;serif" w:hAnsi="Times New Roman;Times;serif"/>
          <w:sz w:val="22"/>
        </w:rPr>
        <w:t>.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14.</w:t>
      </w:r>
      <w:r>
        <w:rPr>
          <w:rFonts w:ascii="Times New Roman;Times;serif" w:hAnsi="Times New Roman;Times;serif"/>
          <w:sz w:val="22"/>
          <w:u w:val="single"/>
        </w:rPr>
        <w:t>Cooperation with the Company</w:t>
      </w:r>
      <w:r>
        <w:rPr>
          <w:rFonts w:ascii="Times New Roman;Times;serif" w:hAnsi="Times New Roman;Times;serif"/>
          <w:sz w:val="22"/>
        </w:rPr>
        <w:t xml:space="preserve">. Employee agrees that Employee will assist and cooperate with the Company in connection with the defense or prosecution of any claim that may be made against or by the Company or any Releasees, or in connection with any ongoing or future investigation or dispute or claim of any kind involving the Company, including meeting with the Company’s counsel, any proceeding before any arbitral, administrative, judicial, legislative, or other body or agency, including testifying in any proceeding to the extent such claims, investigations or proceedings relate to services performed or required to be performed by Employee, pertinent knowledge possessed by Employee, or any act or omission by Employee. The Company shall provide reasonable notice to Employee of its need for any cooperation and/or assistance from Employee and shall reimburse Employee for the reasonable documented out-of-pocket expenses incurred by Employee in providing such cooperation and assistance; provided that any such expense exceeding Five Hundred Dollars ($500) shall require the advance consent of the CEO.  Such reasonable expenses may, at Employee’s option, include reasonable legal fees incurred by Employee in connection with any cooperation and/or assistance provided by Employee to the Company in the context of any litigation, threatened litigation, or other legal matter. Employee further agrees to perform all acts and execute and deliver any documents that may be reasonably necessary to carry out the provisions of this paragraph.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15.</w:t>
      </w:r>
      <w:bookmarkStart w:id="953" w:name="OLE_LINK21"/>
      <w:bookmarkStart w:id="954" w:name="OLE_LINK19"/>
      <w:bookmarkEnd w:id="953"/>
      <w:bookmarkEnd w:id="954"/>
      <w:r>
        <w:rPr>
          <w:rFonts w:ascii="Times New Roman;Times;serif" w:hAnsi="Times New Roman;Times;serif"/>
          <w:sz w:val="22"/>
          <w:u w:val="single"/>
        </w:rPr>
        <w:t>Communications</w:t>
      </w:r>
      <w:r>
        <w:rPr>
          <w:rFonts w:ascii="Times New Roman;Times;serif" w:hAnsi="Times New Roman;Times;serif"/>
          <w:sz w:val="22"/>
        </w:rPr>
        <w:t xml:space="preserve">.  Except as permitted under the Protected Activity Section below,  Employee agrees to refrain from any disparagement, defamation, libel, or slander of any of the Releasees, and agrees to refrain from any tortious interference with the contracts and relationships of any of the Releasees, including, but not limited to, anonymous or named reviews, tweets, posts, or other comments published on the Internet; provided that Employee may respond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accurately and fully to any request for information if required by legal process or in connection with a governmental investigation. In addition, nothing in this provision or this Agreement prohibits or restrains Employee from making disclosures protected under the whistleblower provisions of federal or state law or from exercising Employee’s rights to engage in protected speech under Section 7 of the National Labor Relations Act, if applicable. Employee affirms that Employee has not disparaged the Company from the Separation Date through the date Employee signs this Agreement.</w:t>
      </w:r>
      <w:r>
        <w:rPr>
          <w:rFonts w:ascii="Times New Roman;Times;serif" w:hAnsi="Times New Roman;Times;serif"/>
          <w:sz w:val="24"/>
        </w:rPr>
        <w:t xml:space="preserve">  </w:t>
      </w:r>
      <w:r>
        <w:rPr>
          <w:rFonts w:ascii="Times New Roman;Times;serif" w:hAnsi="Times New Roman;Times;serif"/>
          <w:sz w:val="22"/>
        </w:rPr>
        <w:t>Employee further agrees that, by no later than the Effective Date, Employee shall delete or otherwise remove any and all disparaging public comments or statements that Employee made prior to the Effective Date about or relating to the Company, including, but not limited to, comments in online forums or on websites (including, but not limited to, Facebook, Glassdoor, Yelp, and LinkedIn), except those comments or statements permitted by the Protected Activity Section.  Employee agrees to revise and update publicly available information, including professional and social networking websites such as LinkedIn and Facebook, within one (1) week of the Separation Date to remove any indication that Employee is employed by the Company. Employee’s violation of this provision shall be a material breach of this Agreement.  Similarly, the Company agrees to instruct its directors and executive officers to refrain from making any statements and from taking any actions that disparage or could reasonably be expected to harm the reputation of Employee.</w:t>
      </w:r>
    </w:p>
    <w:p>
      <w:pPr>
        <w:pStyle w:val="TextBody"/>
        <w:bidi w:val="0"/>
        <w:spacing w:before="240" w:after="283"/>
        <w:ind w:left="0" w:right="0" w:hanging="0"/>
        <w:jc w:val="both"/>
        <w:rPr>
          <w:rFonts w:ascii="Times New Roman;Times;serif" w:hAnsi="Times New Roman;Times;serif"/>
          <w:sz w:val="24"/>
        </w:rPr>
      </w:pPr>
      <w:r>
        <w:rPr>
          <w:rFonts w:ascii="Times New Roman;Times;serif" w:hAnsi="Times New Roman;Times;serif"/>
          <w:sz w:val="22"/>
        </w:rPr>
        <w:t>16.</w:t>
      </w:r>
      <w:r>
        <w:rPr>
          <w:rFonts w:ascii="Times New Roman;Times;serif" w:hAnsi="Times New Roman;Times;serif"/>
          <w:sz w:val="22"/>
          <w:u w:val="single"/>
        </w:rPr>
        <w:t>Breach</w:t>
      </w:r>
      <w:r>
        <w:rPr>
          <w:rFonts w:ascii="Times New Roman;Times;serif" w:hAnsi="Times New Roman;Times;serif"/>
          <w:sz w:val="22"/>
        </w:rPr>
        <w:t xml:space="preserve">.  In addition to the rights provided in the “Attorneys’ Fees” section below, Employee acknowledges and agrees that any material breach of this Agreement shall entitle the Company immediately to recover and/or cease providing the consideration provided to Employee under this Agreement and to obtain damages and injunctive relief,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the Company shall not recover One Hundred Dollars ($100.00) of the consideration already paid pursuant to this Agreement and such amount shall serve as full and complete consideration for the promises and obligations assumed by Employee under this Agreement and the Employment Agreement.</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17.</w:t>
      </w:r>
      <w:r>
        <w:rPr>
          <w:rFonts w:ascii="Times New Roman;Times;serif" w:hAnsi="Times New Roman;Times;serif"/>
          <w:sz w:val="22"/>
          <w:u w:val="single"/>
        </w:rPr>
        <w:t>No Admission of Liability</w:t>
      </w:r>
      <w:r>
        <w:rPr>
          <w:rFonts w:ascii="Times New Roman;Times;serif" w:hAnsi="Times New Roman;Times;serif"/>
          <w:sz w:val="22"/>
        </w:rPr>
        <w:t>.  Employee understands and acknowledges that this Agreement constitutes a compromise and settlement of any and all actual or potential disputed claims by Employee.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pStyle w:val="TextBody"/>
        <w:bidi w:val="0"/>
        <w:spacing w:before="240" w:after="283"/>
        <w:ind w:left="0" w:right="0" w:hanging="0"/>
        <w:jc w:val="both"/>
        <w:rPr>
          <w:rFonts w:ascii="Times New Roman;Times;serif" w:hAnsi="Times New Roman;Times;serif"/>
          <w:sz w:val="24"/>
        </w:rPr>
      </w:pPr>
      <w:r>
        <w:rPr>
          <w:rFonts w:ascii="Times New Roman;Times;serif" w:hAnsi="Times New Roman;Times;serif"/>
          <w:sz w:val="22"/>
        </w:rPr>
        <w:t>18.</w:t>
      </w:r>
      <w:r>
        <w:rPr>
          <w:rFonts w:ascii="Times New Roman;Times;serif" w:hAnsi="Times New Roman;Times;serif"/>
          <w:sz w:val="22"/>
          <w:u w:val="single"/>
        </w:rPr>
        <w:t>Representations</w:t>
      </w:r>
      <w:r>
        <w:rPr>
          <w:rFonts w:ascii="Times New Roman;Times;serif" w:hAnsi="Times New Roman;Times;serif"/>
          <w:sz w:val="22"/>
        </w:rPr>
        <w:t>. Employee hereby represents that Employee has been paid all compensation and/or remuneration owed, including but not limited to wages owed for all hours worked; received all leave and leave benefits and protections for which Employee is or was eligible pursuant to the Family and Medical Leave Act or otherwise; and not suffered any on-the-job injury for which Employee has not already filed a workers’ compensation claim. In addition, Employee hereby represents that, prior to Employee’s execution of this Agreement, Employee has not engaged in any knowing or intentional wrongful or fraudulent conduct which resulted in, or was reasonably likely to result in, material harm to the Company, and Employee agrees not to engage in such conduct following Employee’s execution of this Agreement.</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19.</w:t>
      </w:r>
      <w:r>
        <w:rPr>
          <w:rFonts w:ascii="Times New Roman;Times;serif" w:hAnsi="Times New Roman;Times;serif"/>
          <w:sz w:val="22"/>
          <w:u w:val="single"/>
        </w:rPr>
        <w:t>Costs</w:t>
      </w:r>
      <w:r>
        <w:rPr>
          <w:rFonts w:ascii="Times New Roman;Times;serif" w:hAnsi="Times New Roman;Times;serif"/>
          <w:sz w:val="22"/>
        </w:rPr>
        <w:t>.  The Parties shall each bear their own costs, attorneys’ fees, and other fees incurred in connection with the preparation of this Agreement.</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20.</w:t>
      </w:r>
      <w:bookmarkStart w:id="955" w:name="OLE_LINK611"/>
      <w:bookmarkStart w:id="956" w:name="OLE_LINK601"/>
      <w:bookmarkEnd w:id="955"/>
      <w:bookmarkEnd w:id="956"/>
      <w:r>
        <w:rPr>
          <w:rFonts w:ascii="Times New Roman;Times;serif" w:hAnsi="Times New Roman;Times;serif"/>
          <w:sz w:val="22"/>
          <w:u w:val="single"/>
        </w:rPr>
        <w:t>ARBITRATION</w:t>
      </w:r>
      <w:r>
        <w:rPr>
          <w:rFonts w:ascii="Times New Roman;Times;serif" w:hAnsi="Times New Roman;Times;serif"/>
          <w:sz w:val="22"/>
        </w:rPr>
        <w:t>.  </w:t>
      </w:r>
      <w:bookmarkStart w:id="957" w:name="OLE_LINK41"/>
      <w:bookmarkStart w:id="958" w:name="OLE_LINK33"/>
      <w:bookmarkEnd w:id="957"/>
      <w:bookmarkEnd w:id="958"/>
      <w:r>
        <w:rPr>
          <w:rFonts w:ascii="Times New Roman;Times;serif" w:hAnsi="Times New Roman;Times;serif"/>
          <w:sz w:val="22"/>
        </w:rPr>
        <w:t>THE PARTIES AGREE THAT ANY AND ALL DISPUTES ARISING OUT OF THE TERMS OF THIS AGREEMENT, THEIR INTERPRETATION, AND ANY OF THE MATTERS HEREIN RELEASED, SHALL BE SUBJECT TO ARBITRATION IN MIAMI-DADE COUNTY, BEFORE THE JUDICIAL ARBITRATION AND MEDIATION SERVICE (“JAMS”) UNDER ITS COMPREHENSIVE</w:t>
      </w:r>
      <w:r>
        <w:rPr>
          <w:rFonts w:ascii="Times New Roman;Times;serif" w:hAnsi="Times New Roman;Times;serif"/>
          <w:sz w:val="24"/>
        </w:rPr>
        <w:t xml:space="preserve"> </w:t>
      </w:r>
      <w:r>
        <w:rPr>
          <w:rFonts w:ascii="Times New Roman;Times;serif" w:hAnsi="Times New Roman;Times;serif"/>
          <w:sz w:val="22"/>
        </w:rPr>
        <w:t xml:space="preserve">ARBITRATION RULES (“JAMS RULES”) AND FLORIDA LAW.  THE ARBITRATOR MAY GRANT INJUNCTIONS AND OTHER RELIEF IN SUCH DISPUTES.  THE ARBITRATOR SHALL ADMINISTER AND CONDUCT ANY ARBITRATION IN ACCORDANCE WITH FLORIDA LAW, AND THE ARBITRATOR SHALL APPLY SUBSTANTIVE AND PROCEDURAL FLORIDA LAW TO ANY DISPUTE OR CLAIM, WITHOUT REFERENCE TO ANY CONFLICT-OF-LAW PROVISIONS OF ANY JURISDICTION.  TO THE EXTENT THAT THE JAMS RULES CONFLICT WITH FLORIDA LAW, FLORIDA LAW SHALL TAKE PRECEDENCE.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HALF THE COSTS AND EXPENSES OF SUCH ARBITRATION, AND EACH PARTY SHALL SEPARATELY PAY FOR ITS RESPECTIVE COUNSEL FEES AND EXPENSES;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both"/>
        <w:rPr>
          <w:rFonts w:ascii="Times New Roman;Times;serif" w:hAnsi="Times New Roman;Times;serif"/>
          <w:sz w:val="22"/>
        </w:rPr>
      </w:pPr>
      <w:r>
        <w:rPr>
          <w:rFonts w:ascii="Times New Roman;Times;serif" w:hAnsi="Times New Roman;Times;serif"/>
          <w:sz w:val="22"/>
        </w:rPr>
        <w:t>PROVIDED, HOWEVER, THAT THE ARBITRATOR SHALL AWARD ATTORNEYS’ FEES AND COSTS TO THE PREVAILING PARTY, EXCEPT AS PROHIBITED BY LAW.  THE PARTIES AGREE THAT PUNITIVE DAMAGES SHALL BE UNAVAILABLE IN ARBITRATION.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21.</w:t>
      </w:r>
      <w:r>
        <w:rPr>
          <w:rFonts w:ascii="Times New Roman;Times;serif" w:hAnsi="Times New Roman;Times;serif"/>
          <w:sz w:val="22"/>
          <w:u w:val="single"/>
        </w:rPr>
        <w:t>Authority</w:t>
      </w:r>
      <w:r>
        <w:rPr>
          <w:rFonts w:ascii="Times New Roman;Times;serif" w:hAnsi="Times New Roman;Times;serif"/>
          <w:sz w:val="22"/>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before="240" w:after="283"/>
        <w:ind w:left="72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22.</w:t>
      </w:r>
      <w:r>
        <w:rPr>
          <w:rFonts w:ascii="Times New Roman;Times;serif" w:hAnsi="Times New Roman;Times;serif"/>
          <w:sz w:val="22"/>
          <w:u w:val="single"/>
        </w:rPr>
        <w:t>Protected Activity</w:t>
      </w:r>
      <w:r>
        <w:rPr>
          <w:rFonts w:ascii="Times New Roman;Times;serif" w:hAnsi="Times New Roman;Times;serif"/>
          <w:sz w:val="22"/>
        </w:rPr>
        <w:t>.  Employee understands that nothing in this Agreement limits Employee’s ability to file a charge or complaint with the Equal Employment Opportunity Commission, the Department of Labor, the National Labor Relations Board, the Occupational Safety and Health Administration, the Department of Justice, the Securities and Exchange Commission, or any other government agency, law enforcement agency, or commission (</w:t>
      </w:r>
      <w:r>
        <w:rPr>
          <w:rFonts w:ascii="Times New Roman;Times;serif" w:hAnsi="Times New Roman;Times;serif"/>
          <w:sz w:val="24"/>
        </w:rPr>
        <w:t>“</w:t>
      </w:r>
      <w:r>
        <w:rPr>
          <w:rFonts w:ascii="Times New Roman;Times;serif" w:hAnsi="Times New Roman;Times;serif"/>
          <w:sz w:val="22"/>
        </w:rPr>
        <w:t>Government Agencies</w:t>
      </w:r>
      <w:r>
        <w:rPr>
          <w:rFonts w:ascii="Times New Roman;Times;serif" w:hAnsi="Times New Roman;Times;serif"/>
          <w:sz w:val="24"/>
        </w:rPr>
        <w:t>”</w:t>
      </w:r>
      <w:r>
        <w:rPr>
          <w:rFonts w:ascii="Times New Roman;Times;serif" w:hAnsi="Times New Roman;Times;serif"/>
          <w:sz w:val="22"/>
        </w:rPr>
        <w:t xml:space="preserve">). Employee further understands this Agreement does not limit Employee’s ability to communicate with any Government Agencies or otherwise participate in any investigation or proceeding that may be conducted by any Government Agency, including providing documents or other information, without notice to the Company. While this Agreement does not limit Employee’s right to receive a government-issued award for information provided to any Government Agency in connection with a government whistleblower program or protected whistleblower activity, Employee understands and agrees that, to maximum extent permitted by law, Employee is otherwise waiving any and all rights Employee may have to individual relief based on any claims that Employee has released and any rights Employee has waived by signing this Agreement. Nothing in this Agreement waives any rights Employee may have under Section 7 of the National Labor Relations Act (subject to the release of claims set forth herein). Notwithstanding the foregoing, Employee agrees to take all reasonable precautions to prevent any unauthorized use or disclosure of any information that may constitute Company confidential information to any parties other than the relevant Government Agencies. Employee further understands that “Protected Activity” does not include the disclosure of any Company attorney-client privileged communications, and that any such disclosure without the Company’s written consent shall constitute a material breach of this Agreement. </w:t>
      </w:r>
      <w:bookmarkStart w:id="959" w:name="_Hlk1340961251"/>
      <w:bookmarkEnd w:id="959"/>
      <w:r>
        <w:rPr>
          <w:rFonts w:ascii="Times New Roman;Times;serif" w:hAnsi="Times New Roman;Times;serif"/>
          <w:sz w:val="22"/>
        </w:rPr>
        <w:t>In addition, pursuant to the Defend Trade Secrets Act of 2016, Employee is notified that an individual will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r>
        <w:rPr>
          <w:rFonts w:ascii="Times New Roman;Times;serif" w:hAnsi="Times New Roman;Times;serif"/>
          <w:sz w:val="2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23.</w:t>
      </w:r>
      <w:r>
        <w:rPr>
          <w:rFonts w:ascii="Times New Roman;Times;serif" w:hAnsi="Times New Roman;Times;serif"/>
          <w:sz w:val="22"/>
          <w:u w:val="single"/>
        </w:rPr>
        <w:t>No Representations by the Company</w:t>
      </w:r>
      <w:r>
        <w:rPr>
          <w:rFonts w:ascii="Times New Roman;Times;serif" w:hAnsi="Times New Roman;Times;serif"/>
          <w:sz w:val="22"/>
        </w:rPr>
        <w:t xml:space="preserve">.  Employee represents that Employee has had an opportunity to consult with an attorney, and has carefully read and understands the scope and effect of the provisions of this Agreement.  Employee has not relied upon any representations or statements made by the Company that are not specifically set forth in this Agreement.  Employee acknowledges that there has been an opportunity to negotiate the terms of this Agreement and that the Agreement will not be interpreted as an employer-promulgated agreement.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24.</w:t>
      </w:r>
      <w:r>
        <w:rPr>
          <w:rFonts w:ascii="Times New Roman;Times;serif" w:hAnsi="Times New Roman;Times;serif"/>
          <w:sz w:val="22"/>
          <w:u w:val="single"/>
        </w:rPr>
        <w:t>Waiver</w:t>
      </w:r>
      <w:r>
        <w:rPr>
          <w:rFonts w:ascii="Times New Roman;Times;serif" w:hAnsi="Times New Roman;Times;serif"/>
          <w:sz w:val="22"/>
        </w:rPr>
        <w:t>.  No Party shall be deemed to have waived any right, power or privilege under this Agreement or any provisions hereof unless such waiver shall have been duly executed in writing and delivered to the Party to be charged with such waiver.  The failure of any Party at any time to insist on performance of any of the provisions of this Agreement shall in no way be construed to be a waiver of such provisions, nor in any way to affect the validity of this Agreement or any part hereof.  No waiver of any breach of this Agreement shall be held to be a waiver of any other subsequent breach.</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25.</w:t>
      </w:r>
      <w:r>
        <w:rPr>
          <w:rFonts w:ascii="Times New Roman;Times;serif" w:hAnsi="Times New Roman;Times;serif"/>
          <w:sz w:val="22"/>
          <w:u w:val="single"/>
        </w:rPr>
        <w:t>Severability</w:t>
      </w:r>
      <w:r>
        <w:rPr>
          <w:rFonts w:ascii="Times New Roman;Times;serif" w:hAnsi="Times New Roman;Times;serif"/>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26.</w:t>
      </w:r>
      <w:r>
        <w:rPr>
          <w:rFonts w:ascii="Times New Roman;Times;serif" w:hAnsi="Times New Roman;Times;serif"/>
          <w:sz w:val="22"/>
          <w:u w:val="single"/>
        </w:rPr>
        <w:t>Attorneys’ Fees</w:t>
      </w:r>
      <w:r>
        <w:rPr>
          <w:rFonts w:ascii="Times New Roman;Times;serif" w:hAnsi="Times New Roman;Times;serif"/>
          <w:sz w:val="22"/>
        </w:rPr>
        <w:t>.  </w:t>
      </w:r>
      <w:bookmarkStart w:id="960" w:name="OLE_LINK541"/>
      <w:bookmarkStart w:id="961" w:name="OLE_LINK531"/>
      <w:bookmarkEnd w:id="960"/>
      <w:bookmarkEnd w:id="961"/>
      <w:r>
        <w:rPr>
          <w:rFonts w:ascii="Times New Roman;Times;serif" w:hAnsi="Times New Roman;Times;serif"/>
          <w:sz w:val="22"/>
        </w:rPr>
        <w:t>Employee and the Company agree that the prevailing party in any proceeding to enforce the terms of this Agreement will be allowed to recover its costs and expenses, including the costs of mediation, arbitration, litigation, court fees, and reasonable attorneys’ fees incurred in connection with such an action.</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27.</w:t>
      </w:r>
      <w:r>
        <w:rPr>
          <w:rFonts w:ascii="Times New Roman;Times;serif" w:hAnsi="Times New Roman;Times;serif"/>
          <w:sz w:val="22"/>
          <w:u w:val="single"/>
        </w:rPr>
        <w:t>Entire Agreement</w:t>
      </w:r>
      <w:r>
        <w:rPr>
          <w:rFonts w:ascii="Times New Roman;Times;serif" w:hAnsi="Times New Roman;Times;serif"/>
          <w:sz w:val="22"/>
        </w:rPr>
        <w:t>.  This Agreement, along with (i) the Amended and Restated Indemnification and Advancement Agreement referenced in Section 5 of this Agreement and (ii) Section 6 of the Employment Agreement as referenced in section 11 of this Agreement, represent the entire agreement and understanding between the Company and Employee concerning the subject matter of this Agreement and Employee’s employment with and separation from the Company and the events leading thereto and associated therewith, and supersede and replace any and all prior agreements and understandings concerning the subject matter of this Agreement and Employee’s relationship with the Company.</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28.</w:t>
      </w:r>
      <w:r>
        <w:rPr>
          <w:rFonts w:ascii="Times New Roman;Times;serif" w:hAnsi="Times New Roman;Times;serif"/>
          <w:sz w:val="22"/>
          <w:u w:val="single"/>
        </w:rPr>
        <w:t>Section 409A of the Code</w:t>
      </w:r>
      <w:r>
        <w:rPr>
          <w:rFonts w:ascii="Times New Roman;Times;serif" w:hAnsi="Times New Roman;Times;serif"/>
          <w:sz w:val="22"/>
        </w:rPr>
        <w:t>.  The payments provided pursuant to this Agreement are intended to comply with Section 409A of the Internal Revenue Code of 1986, as amended (</w:t>
      </w:r>
      <w:r>
        <w:rPr>
          <w:rFonts w:ascii="Times New Roman;Times;serif" w:hAnsi="Times New Roman;Times;serif"/>
          <w:sz w:val="24"/>
        </w:rPr>
        <w:t>“</w:t>
      </w:r>
      <w:r>
        <w:rPr>
          <w:rFonts w:ascii="Times New Roman;Times;serif" w:hAnsi="Times New Roman;Times;serif"/>
          <w:sz w:val="22"/>
        </w:rPr>
        <w:t>Section 409A</w:t>
      </w:r>
      <w:r>
        <w:rPr>
          <w:rFonts w:ascii="Times New Roman;Times;serif" w:hAnsi="Times New Roman;Times;serif"/>
          <w:sz w:val="24"/>
        </w:rPr>
        <w:t>”</w:t>
      </w:r>
      <w:r>
        <w:rPr>
          <w:rFonts w:ascii="Times New Roman;Times;serif" w:hAnsi="Times New Roman;Times;serif"/>
          <w:sz w:val="22"/>
        </w:rPr>
        <w:t>), including the short-term deferral and separation pay exceptions thereto, and the Agreement shall be construed and administered in accordance with such intent. Provided these exceptions to Section 409A apply as expected, neither the Company nor its affiliates will report any amounts payable in accordance with the terms of this Agreement or any plan or agreement referenced herein in box 12 of IRS Form W-2 using code Z.  To the extent required under Section 409A, any payments to be made under this Agreement in connection with a termination of employment shall only be made if such termination constitutes a "separation from service" under Section 409A.</w:t>
      </w:r>
    </w:p>
    <w:p>
      <w:pPr>
        <w:pStyle w:val="TextBody"/>
        <w:bidi w:val="0"/>
        <w:spacing w:before="240" w:after="283"/>
        <w:ind w:left="72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29.</w:t>
      </w:r>
      <w:r>
        <w:rPr>
          <w:rFonts w:ascii="Times New Roman;Times;serif" w:hAnsi="Times New Roman;Times;serif"/>
          <w:sz w:val="22"/>
          <w:u w:val="single"/>
        </w:rPr>
        <w:t>No Oral Modification</w:t>
      </w:r>
      <w:r>
        <w:rPr>
          <w:rFonts w:ascii="Times New Roman;Times;serif" w:hAnsi="Times New Roman;Times;serif"/>
          <w:sz w:val="22"/>
        </w:rPr>
        <w:t>.  This Agreement may only be amended in a writing signed by Employee and the Company’s Executive Chair.</w:t>
      </w:r>
    </w:p>
    <w:p>
      <w:pPr>
        <w:pStyle w:val="TextBody"/>
        <w:bidi w:val="0"/>
        <w:spacing w:before="0" w:after="0"/>
        <w:ind w:left="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30.</w:t>
      </w:r>
      <w:r>
        <w:rPr>
          <w:rFonts w:ascii="Times New Roman;Times;serif" w:hAnsi="Times New Roman;Times;serif"/>
          <w:sz w:val="22"/>
          <w:u w:val="single"/>
        </w:rPr>
        <w:t>Governing Law</w:t>
      </w:r>
      <w:r>
        <w:rPr>
          <w:rFonts w:ascii="Times New Roman;Times;serif" w:hAnsi="Times New Roman;Times;serif"/>
          <w:sz w:val="22"/>
        </w:rPr>
        <w:t xml:space="preserve">.  This Agreement shall be governed by the laws of the State of Florida, without regard for choice-of-law provisions.  Employee consents to personal and exclusive jurisdiction and venue in the State of Florida. </w:t>
      </w:r>
    </w:p>
    <w:p>
      <w:pPr>
        <w:pStyle w:val="TextBody"/>
        <w:bidi w:val="0"/>
        <w:spacing w:before="240" w:after="283"/>
        <w:ind w:left="720" w:right="0" w:hanging="0"/>
        <w:jc w:val="both"/>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31.</w:t>
      </w:r>
      <w:r>
        <w:rPr>
          <w:rFonts w:ascii="Times New Roman;Times;serif" w:hAnsi="Times New Roman;Times;serif"/>
          <w:sz w:val="22"/>
          <w:u w:val="single"/>
        </w:rPr>
        <w:t>Effective Date</w:t>
      </w:r>
      <w:r>
        <w:rPr>
          <w:rFonts w:ascii="Times New Roman;Times;serif" w:hAnsi="Times New Roman;Times;serif"/>
          <w:sz w:val="22"/>
        </w:rPr>
        <w:t xml:space="preserve">. Employee understands that this Agreement shall be null and void if not executed by Employee, and returned to the Company, within seven (7) days after receipt of the executed Agreement from the Company. This Agreement will become effective on the date it has been signed by both Parties (the “Effective Date”).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32.</w:t>
      </w:r>
      <w:r>
        <w:rPr>
          <w:rFonts w:ascii="Times New Roman;Times;serif" w:hAnsi="Times New Roman;Times;serif"/>
          <w:sz w:val="22"/>
          <w:u w:val="single"/>
        </w:rPr>
        <w:t>Counterparts</w:t>
      </w:r>
      <w:r>
        <w:rPr>
          <w:rFonts w:ascii="Times New Roman;Times;serif" w:hAnsi="Times New Roman;Times;serif"/>
          <w:sz w:val="22"/>
        </w:rPr>
        <w:t>. This Agreement may be executed in counterparts that may be executed, exchanged, and delivered by facsimile, photo, e-mail PDF, Docusign/Echosign or a similarly accredited secure signature service, or other electronic transmission or signature.  Each counterpart will be deemed an original and all of which counterparts taken together shall have the same force and effect as an original and shall constitute an effective, binding agreement on the part of each of the undersigned. </w:t>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2"/>
        </w:rPr>
        <w:t>33.</w:t>
      </w:r>
      <w:r>
        <w:rPr>
          <w:rFonts w:ascii="Times New Roman;Times;serif" w:hAnsi="Times New Roman;Times;serif"/>
          <w:sz w:val="22"/>
          <w:u w:val="single"/>
        </w:rPr>
        <w:t>Voluntary Execution of Agreement</w:t>
      </w:r>
      <w:r>
        <w:rPr>
          <w:rFonts w:ascii="Times New Roman;Times;serif" w:hAnsi="Times New Roman;Times;serif"/>
          <w:sz w:val="22"/>
        </w:rPr>
        <w:t>.  Employee understands and agrees that Employee executed this Agreement voluntarily, without any duress or undue influence on the part or behalf of the Company or any third party, with the full intent of releasing all of Employee’s claims against the Company and any of the other Releasees.  Employee acknowledges that:</w:t>
      </w:r>
    </w:p>
    <w:p>
      <w:pPr>
        <w:pStyle w:val="TextBody"/>
        <w:bidi w:val="0"/>
        <w:spacing w:before="0" w:after="0"/>
        <w:ind w:left="0" w:right="0" w:hanging="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Employee has read this Agreement;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6"/>
        <w:gridCol w:w="9926"/>
      </w:tblGrid>
      <w:tr>
        <w:trPr/>
        <w:tc>
          <w:tcPr>
            <w:tcW w:w="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(b)</w:t>
            </w:r>
          </w:p>
        </w:tc>
        <w:tc>
          <w:tcPr>
            <w:tcW w:w="9926"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Employee has been represented in the preparation, negotiation, and execution of this Agreement by legal counsel of Employee’s own choice or has elected not to retain legal counsel;</w:t>
            </w:r>
          </w:p>
        </w:tc>
      </w:tr>
    </w:tbl>
    <w:p>
      <w:pPr>
        <w:pStyle w:val="TextBody"/>
        <w:bidi w:val="0"/>
        <w:spacing w:before="0" w:after="0"/>
        <w:ind w:left="0" w:right="0" w:hanging="0"/>
        <w:jc w:val="both"/>
        <w:rPr/>
      </w:pPr>
      <w:r>
        <w:rPr/>
        <w:t>​</w:t>
      </w:r>
    </w:p>
    <w:tbl>
      <w:tblPr>
        <w:tblW w:w="10158" w:type="dxa"/>
        <w:jc w:val="left"/>
        <w:tblInd w:w="0" w:type="dxa"/>
        <w:tblLayout w:type="fixed"/>
        <w:tblCellMar>
          <w:top w:w="0" w:type="dxa"/>
          <w:left w:w="0" w:type="dxa"/>
          <w:bottom w:w="0" w:type="dxa"/>
          <w:right w:w="0" w:type="dxa"/>
        </w:tblCellMar>
      </w:tblPr>
      <w:tblGrid>
        <w:gridCol w:w="23"/>
        <w:gridCol w:w="275"/>
        <w:gridCol w:w="986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(c)</w:t>
            </w:r>
          </w:p>
        </w:tc>
        <w:tc>
          <w:tcPr>
            <w:tcW w:w="9860"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Employee understands the terms and consequences of this Agreement and of the releases it contains; and</w:t>
            </w:r>
          </w:p>
        </w:tc>
      </w:tr>
    </w:tbl>
    <w:p>
      <w:pPr>
        <w:pStyle w:val="TextBody"/>
        <w:bidi w:val="0"/>
        <w:spacing w:before="0" w:after="0"/>
        <w:ind w:left="0" w:right="0" w:firstLine="720"/>
        <w:jc w:val="both"/>
        <w:rPr/>
      </w:pPr>
      <w:r>
        <w:rPr/>
        <w:t>​</w:t>
      </w:r>
    </w:p>
    <w:p>
      <w:pPr>
        <w:pStyle w:val="TextBody"/>
        <w:bidi w:val="0"/>
        <w:spacing w:before="0" w:after="0"/>
        <w:ind w:left="0" w:right="0" w:hanging="0"/>
        <w:jc w:val="left"/>
        <w:rPr>
          <w:rFonts w:ascii="CG Times" w:hAnsi="CG Times"/>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Employee is fully aware of the legal and binding effect of this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IN WITNESS WHEREOF, the Parties have executed this Agreement on the respective dates set forth below.</w:t>
      </w:r>
    </w:p>
    <w:p>
      <w:pPr>
        <w:pStyle w:val="TextBody"/>
        <w:bidi w:val="0"/>
        <w:spacing w:before="240" w:after="0"/>
        <w:ind w:left="0" w:right="0" w:hanging="0"/>
        <w:jc w:val="both"/>
        <w:rPr>
          <w:rFonts w:ascii="Times New Roman;Times;serif" w:hAnsi="Times New Roman;Times;serif"/>
          <w:sz w:val="24"/>
        </w:rPr>
      </w:pPr>
      <w:r>
        <w:rPr>
          <w:rFonts w:ascii="Times New Roman;Times;serif" w:hAnsi="Times New Roman;Times;serif"/>
          <w:caps/>
          <w:sz w:val="22"/>
        </w:rPr>
        <w:t>Jeffrey S. Mathiesen</w:t>
      </w:r>
      <w:r>
        <w:rPr>
          <w:rFonts w:ascii="Times New Roman;Times;serif" w:hAnsi="Times New Roman;Times;serif"/>
          <w:sz w:val="22"/>
        </w:rPr>
        <w:t>, an individual</w:t>
      </w:r>
    </w:p>
    <w:p>
      <w:pPr>
        <w:pStyle w:val="TextBody"/>
        <w:bidi w:val="0"/>
        <w:spacing w:before="24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Dated: </w:t>
      </w:r>
      <w:r>
        <w:rPr>
          <w:rFonts w:ascii="Times New Roman;Times;serif" w:hAnsi="Times New Roman;Times;serif"/>
          <w:sz w:val="22"/>
          <w:u w:val="single"/>
        </w:rPr>
        <w:t>May 12, 2026</w:t>
      </w:r>
      <w:r>
        <w:rPr>
          <w:rFonts w:ascii="Times New Roman;Times;serif" w:hAnsi="Times New Roman;Times;serif"/>
          <w:sz w:val="22"/>
        </w:rPr>
        <w:t>________________</w:t>
      </w:r>
      <w:r>
        <w:rPr>
          <w:rFonts w:ascii="Times New Roman;Times;serif" w:hAnsi="Times New Roman;Times;serif"/>
          <w:sz w:val="22"/>
          <w:u w:val="single"/>
        </w:rPr>
        <w:t>/s/Jeffrey S. Mathiesen​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Jeffrey S. Mathiesen</w:t>
      </w:r>
    </w:p>
    <w:p>
      <w:pPr>
        <w:pStyle w:val="TextBody"/>
        <w:bidi w:val="0"/>
        <w:spacing w:before="240" w:after="283"/>
        <w:ind w:left="0" w:right="0" w:hanging="0"/>
        <w:jc w:val="both"/>
        <w:rPr/>
      </w:pPr>
      <w:r>
        <w:rPr/>
        <w:t>​</w:t>
      </w:r>
    </w:p>
    <w:p>
      <w:pPr>
        <w:pStyle w:val="TextBody"/>
        <w:bidi w:val="0"/>
        <w:spacing w:before="240" w:after="0"/>
        <w:ind w:left="0" w:right="0" w:hanging="0"/>
        <w:jc w:val="both"/>
        <w:rPr>
          <w:rFonts w:ascii="Times New Roman;Times;serif" w:hAnsi="Times New Roman;Times;serif"/>
          <w:caps/>
          <w:sz w:val="22"/>
        </w:rPr>
      </w:pPr>
      <w:bookmarkStart w:id="962" w:name="OLE_LINK161"/>
      <w:bookmarkStart w:id="963" w:name="OLE_LINK151"/>
      <w:bookmarkEnd w:id="962"/>
      <w:bookmarkEnd w:id="963"/>
      <w:r>
        <w:rPr>
          <w:rFonts w:ascii="Times New Roman;Times;serif" w:hAnsi="Times New Roman;Times;serif"/>
          <w:caps/>
          <w:sz w:val="22"/>
        </w:rPr>
        <w:t>SOLANA COMPANY</w:t>
      </w:r>
    </w:p>
    <w:p>
      <w:pPr>
        <w:pStyle w:val="TextBody"/>
        <w:bidi w:val="0"/>
        <w:spacing w:before="24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Dated:  </w:t>
      </w:r>
      <w:r>
        <w:rPr>
          <w:rFonts w:ascii="Times New Roman;Times;serif" w:hAnsi="Times New Roman;Times;serif"/>
          <w:sz w:val="22"/>
          <w:u w:val="single"/>
        </w:rPr>
        <w:t>May 12, 2026</w:t>
      </w:r>
      <w:r>
        <w:rPr>
          <w:rFonts w:ascii="Times New Roman;Times;serif" w:hAnsi="Times New Roman;Times;serif"/>
          <w:sz w:val="22"/>
        </w:rPr>
        <w:t xml:space="preserve">_______________By </w:t>
      </w:r>
      <w:r>
        <w:rPr>
          <w:rFonts w:ascii="Times New Roman;Times;serif" w:hAnsi="Times New Roman;Times;serif"/>
          <w:sz w:val="22"/>
          <w:u w:val="single"/>
        </w:rPr>
        <w:t>/s/Joseph Chee​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Joseph Chee</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Executive Chairman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64" w:name="hsdt-20260331xex31d1.htm"/>
      <w:bookmarkStart w:id="965" w:name="kshsdt20260331xex31d1"/>
      <w:bookmarkEnd w:id="964"/>
      <w:bookmarkEnd w:id="965"/>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Chee Choon Wee, certify that: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1)I have reviewed this report on Form 10-Q for the period ended March 31, 2026 of Solana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tbl>
      <w:tblPr>
        <w:tblW w:w="6183" w:type="dxa"/>
        <w:jc w:val="center"/>
        <w:tblInd w:w="0" w:type="dxa"/>
        <w:tblLayout w:type="fixed"/>
        <w:tblCellMar>
          <w:top w:w="0" w:type="dxa"/>
          <w:left w:w="0" w:type="dxa"/>
          <w:bottom w:w="0" w:type="dxa"/>
          <w:right w:w="0" w:type="dxa"/>
        </w:tblCellMar>
      </w:tblPr>
      <w:tblGrid>
        <w:gridCol w:w="1741"/>
        <w:gridCol w:w="346"/>
        <w:gridCol w:w="4096"/>
      </w:tblGrid>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346" w:type="dxa"/>
            <w:tcBorders/>
            <w:vAlign w:val="center"/>
          </w:tcPr>
          <w:p>
            <w:pPr>
              <w:pStyle w:val="TableContents"/>
              <w:bidi w:val="0"/>
              <w:spacing w:before="0" w:after="0"/>
              <w:ind w:left="0" w:right="0" w:hanging="0"/>
              <w:jc w:val="left"/>
              <w:rPr/>
            </w:pPr>
            <w:r>
              <w:rPr/>
              <w:t>  ​ ​ ​</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/s/Chee Choon Wee</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Chee Choon Wee</w:t>
            </w:r>
          </w:p>
        </w:tc>
      </w:tr>
      <w:tr>
        <w:trPr/>
        <w:tc>
          <w:tcPr>
            <w:tcW w:w="17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Chief Executive Officer and President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7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0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66" w:name="hsdt-20260331xex31d2.htm"/>
      <w:bookmarkStart w:id="967" w:name="kshsdt20260331xex31d2"/>
      <w:bookmarkEnd w:id="966"/>
      <w:bookmarkEnd w:id="967"/>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Agustina Gani Tjandrasuwita, certify that: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1)I have reviewed this report on Form 10-Q for the period ended March 31, 2026 of Solana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tbl>
      <w:tblPr>
        <w:tblW w:w="7836" w:type="dxa"/>
        <w:jc w:val="center"/>
        <w:tblInd w:w="0" w:type="dxa"/>
        <w:tblLayout w:type="fixed"/>
        <w:tblCellMar>
          <w:top w:w="0" w:type="dxa"/>
          <w:left w:w="0" w:type="dxa"/>
          <w:bottom w:w="0" w:type="dxa"/>
          <w:right w:w="0" w:type="dxa"/>
        </w:tblCellMar>
      </w:tblPr>
      <w:tblGrid>
        <w:gridCol w:w="1741"/>
        <w:gridCol w:w="109"/>
        <w:gridCol w:w="5986"/>
      </w:tblGrid>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98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109" w:type="dxa"/>
            <w:tcBorders/>
            <w:vAlign w:val="center"/>
          </w:tcPr>
          <w:p>
            <w:pPr>
              <w:pStyle w:val="TableContents"/>
              <w:bidi w:val="0"/>
              <w:spacing w:before="0" w:after="0"/>
              <w:ind w:left="0" w:right="0" w:hanging="0"/>
              <w:jc w:val="left"/>
              <w:rPr/>
            </w:pPr>
            <w:r>
              <w:rPr/>
              <w:t>​</w:t>
            </w:r>
          </w:p>
        </w:tc>
        <w:tc>
          <w:tcPr>
            <w:tcW w:w="5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/s/Agustina Gani Tjandrasuwita</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9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Agustina Gani Tjandrasuwita</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Chief Operating Officer, Treasurer and Secretary</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98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68" w:name="hsdt-20260331xex32d1.htm"/>
      <w:bookmarkStart w:id="969" w:name="kshsdt20260331xex32d1"/>
      <w:bookmarkEnd w:id="968"/>
      <w:bookmarkEnd w:id="969"/>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SOLANA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 am the Chief Executive Officer of Solana Company, a Delaware corporation (the “Company”). I am delivering this certificate in connection with the Form 10-Q of the Company for the quarter ended March 31, 2026 and filed with the Securities and Exchange Commission (“Form 10-Q”).</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hereby certify that, to the best of my knowledge, the Form 10-Q fully complies with the requirements of Section 13(a) or Section 15(d) of the Securities Exchange Act of 1934, as amended and that the information contained in the Form 10-Q fairly presents, in all material respects, the financial condition and results of operations of the Company.</w:t>
      </w:r>
    </w:p>
    <w:tbl>
      <w:tblPr>
        <w:tblW w:w="6183" w:type="dxa"/>
        <w:jc w:val="center"/>
        <w:tblInd w:w="0" w:type="dxa"/>
        <w:tblLayout w:type="fixed"/>
        <w:tblCellMar>
          <w:top w:w="0" w:type="dxa"/>
          <w:left w:w="0" w:type="dxa"/>
          <w:bottom w:w="0" w:type="dxa"/>
          <w:right w:w="0" w:type="dxa"/>
        </w:tblCellMar>
      </w:tblPr>
      <w:tblGrid>
        <w:gridCol w:w="1741"/>
        <w:gridCol w:w="346"/>
        <w:gridCol w:w="409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105535" cy="175260"/>
                      <wp:effectExtent l="0" t="0" r="0" b="0"/>
                      <wp:wrapNone/>
                      <wp:docPr id="219" name="Frame218"/>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600960" cy="175260"/>
                      <wp:effectExtent l="0" t="0" r="0" b="0"/>
                      <wp:wrapNone/>
                      <wp:docPr id="220" name="Frame219"/>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346" w:type="dxa"/>
            <w:tcBorders/>
            <w:vAlign w:val="center"/>
          </w:tcPr>
          <w:p>
            <w:pPr>
              <w:pStyle w:val="TableContents"/>
              <w:bidi w:val="0"/>
              <w:spacing w:before="0" w:after="0"/>
              <w:ind w:left="0" w:right="0" w:hanging="0"/>
              <w:jc w:val="left"/>
              <w:rPr/>
            </w:pPr>
            <w:r>
              <w:rPr/>
              <w:t>  ​ ​ ​</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/s/Chee Choon Wee</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Chee Choon Wee</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Chief Executive Officer and President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accompanies the Form 10-Q to which it relates, is not deemed filed with the Securities and Exchange Commission and is not to be incorporated by reference into any filing of Solana Company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70" w:name="hsdt-20260331xex32d2.htm"/>
      <w:bookmarkStart w:id="971" w:name="kshsdt20260331xex32d2"/>
      <w:bookmarkEnd w:id="970"/>
      <w:bookmarkEnd w:id="971"/>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SOLANA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 am the Chief Financial Officer of Solana Company, a Delaware corporation (the “Company”). I am delivering this certificate in connection with the Form 10-Q of the Company for the quarter ended March 31, 2026 and filed with the Securities and Exchange Commission (“Form 10-Q”).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hereby certify that, to the best of my knowledge, the Form 10-Q fully complies with the requirements of Section 13(a) or Section 15(d) of the Securities Exchange Act of 1934, as amended and that the information contained in the Form 10-Q fairly presents, in all material respects, the financial condition and results of operations of the Company.</w:t>
      </w:r>
    </w:p>
    <w:tbl>
      <w:tblPr>
        <w:tblW w:w="7836" w:type="dxa"/>
        <w:jc w:val="left"/>
        <w:tblInd w:w="0" w:type="dxa"/>
        <w:tblLayout w:type="fixed"/>
        <w:tblCellMar>
          <w:top w:w="0" w:type="dxa"/>
          <w:left w:w="0" w:type="dxa"/>
          <w:bottom w:w="0" w:type="dxa"/>
          <w:right w:w="0" w:type="dxa"/>
        </w:tblCellMar>
      </w:tblPr>
      <w:tblGrid>
        <w:gridCol w:w="1741"/>
        <w:gridCol w:w="109"/>
        <w:gridCol w:w="5986"/>
      </w:tblGrid>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801110" cy="175260"/>
                      <wp:effectExtent l="0" t="0" r="0" b="0"/>
                      <wp:wrapNone/>
                      <wp:docPr id="221" name="Frame220"/>
                      <a:graphic xmlns:a="http://schemas.openxmlformats.org/drawingml/2006/main">
                        <a:graphicData uri="http://schemas.microsoft.com/office/word/2010/wordprocessingShape">
                          <wps:wsp>
                            <wps:cNvSpPr txBox="1"/>
                            <wps:spPr>
                              <a:xfrm>
                                <a:off x="0" y="0"/>
                                <a:ext cx="3801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109" w:type="dxa"/>
            <w:tcBorders/>
            <w:vAlign w:val="center"/>
          </w:tcPr>
          <w:p>
            <w:pPr>
              <w:pStyle w:val="TableContents"/>
              <w:bidi w:val="0"/>
              <w:spacing w:before="0" w:after="0"/>
              <w:ind w:left="0" w:right="0" w:hanging="0"/>
              <w:jc w:val="left"/>
              <w:rPr/>
            </w:pPr>
            <w:r>
              <w:rPr/>
              <w:t>​</w:t>
            </w:r>
          </w:p>
        </w:tc>
        <w:tc>
          <w:tcPr>
            <w:tcW w:w="5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/s/Agustina Gani Tjandrasuwita</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9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Agustina Gani Tjandrasuwita</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Chief Operating Officer, Treasurer and Secretary</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accompanies the Form 10-Q to which it relates, is not deemed filed with the Securities and Exchange Commission and is not to be incorporated by reference into any filing of Solana Company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G 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10853/000156459018020736/hsdt-ex31_66.htm" TargetMode="External"/><Relationship Id="rId4" Type="http://schemas.openxmlformats.org/officeDocument/2006/relationships/hyperlink" Target="https://www.sec.gov/Archives/edgar/data/1610853/000119312518312155/d646047dex31.htm" TargetMode="External"/><Relationship Id="rId5" Type="http://schemas.openxmlformats.org/officeDocument/2006/relationships/hyperlink" Target="https://www.sec.gov/Archives/edgar/data/1610853/000156459020058917/hsdt-ex31_7.htm" TargetMode="External"/><Relationship Id="rId6" Type="http://schemas.openxmlformats.org/officeDocument/2006/relationships/hyperlink" Target="https://www.sec.gov/Archives/edgar/data/1610853/000110465923092276/tm2323789d1_ex3-1.htm" TargetMode="External"/><Relationship Id="rId7" Type="http://schemas.openxmlformats.org/officeDocument/2006/relationships/hyperlink" Target="https://www.sec.gov/Archives/edgar/data/1610853/000155837025005939/hsdt-20250430xex3d1.htm" TargetMode="External"/><Relationship Id="rId8" Type="http://schemas.openxmlformats.org/officeDocument/2006/relationships/hyperlink" Target="https://www.sec.gov/Archives/edgar/data/1610853/000155837025008942/hsdt-20250627xex3d1.htm" TargetMode="External"/><Relationship Id="rId9" Type="http://schemas.openxmlformats.org/officeDocument/2006/relationships/hyperlink" Target="https://www.sec.gov/Archives/edgar/data/1610853/000110465925091281/tm2526455d1_ex3-1.htm" TargetMode="External"/><Relationship Id="rId10" Type="http://schemas.openxmlformats.org/officeDocument/2006/relationships/hyperlink" Target="https://www.sec.gov/Archives/edgar/data/1610853/000110465925094134/tm2527115d1_ex3-1.htm" TargetMode="External"/><Relationship Id="rId11" Type="http://schemas.openxmlformats.org/officeDocument/2006/relationships/hyperlink" Target="https://www.sec.gov/Archives/edgar/data/1610853/000110465925094134/tm2527115d1_ex3-2.htm" TargetMode="External"/><Relationship Id="rId12" Type="http://schemas.openxmlformats.org/officeDocument/2006/relationships/hyperlink" Target="https://www.sec.gov/Archives/edgar/data/1610853/000110465926049070/tm2612791d1_ex4-1.htm" TargetMode="External"/><Relationship Id="rId13" Type="http://schemas.openxmlformats.org/officeDocument/2006/relationships/hyperlink" Target="https://www.sec.gov/Archives/edgar/data/1610853/000110465926049070/tm2612791d1_ex4-2.htm" TargetMode="External"/><Relationship Id="rId14" Type="http://schemas.openxmlformats.org/officeDocument/2006/relationships/hyperlink" Target="https://www.sec.gov/Archives/edgar/data/1610853/000110465926041571/hsdt-20260409xex10d1.htm" TargetMode="External"/><Relationship Id="rId15" Type="http://schemas.openxmlformats.org/officeDocument/2006/relationships/hyperlink" Target="https://www.sec.gov/Archives/edgar/data/1610853/000110465926042666/hsdt-20260408xex10d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26575</Words>
  <Characters>146693</Characters>
  <CharactersWithSpaces>174271</CharactersWithSpaces>
  <Paragraphs>3535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