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September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3154680</wp:posOffset>
            </wp:positionH>
            <wp:positionV relativeFrom="paragraph">
              <wp:posOffset>104775</wp:posOffset>
            </wp:positionV>
            <wp:extent cx="868680" cy="422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8680" cy="422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HELIUS MEDICAL TECHNOLOGIES,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34" w:lineRule="exact"/>
        <w:rPr>
          <w:sz w:val="24"/>
          <w:szCs w:val="24"/>
          <w:color w:val="auto"/>
        </w:rPr>
      </w:pPr>
    </w:p>
    <w:tbl>
      <w:tblPr>
        <w:tblLayout w:type="fixed"/>
        <w:tblInd w:w="868" w:type="dxa"/>
        <w:tblCellMar>
          <w:top w:w="0" w:type="dxa"/>
          <w:left w:w="0" w:type="dxa"/>
          <w:bottom w:w="0" w:type="dxa"/>
          <w:right w:w="0" w:type="dxa"/>
        </w:tblCellMar>
      </w:tblPr>
      <w:tr>
        <w:trPr>
          <w:trHeight w:val="144"/>
        </w:trPr>
        <w:tc>
          <w:tcPr>
            <w:tcW w:w="252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78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001-38445</w:t>
            </w:r>
          </w:p>
        </w:tc>
        <w:tc>
          <w:tcPr>
            <w:tcW w:w="174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36-4787690</w:t>
            </w:r>
          </w:p>
        </w:tc>
      </w:tr>
      <w:tr>
        <w:trPr>
          <w:trHeight w:val="144"/>
        </w:trPr>
        <w:tc>
          <w:tcPr>
            <w:tcW w:w="252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478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(Commission</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252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8"/>
              </w:rPr>
              <w:t>of incorporation or organization)</w:t>
            </w:r>
          </w:p>
        </w:tc>
        <w:tc>
          <w:tcPr>
            <w:tcW w:w="478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252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642 Newtown Yardley Road, Suite 100</w:t>
            </w:r>
          </w:p>
        </w:tc>
        <w:tc>
          <w:tcPr>
            <w:tcW w:w="47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44"/>
        </w:trPr>
        <w:tc>
          <w:tcPr>
            <w:tcW w:w="252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7"/>
              </w:rPr>
              <w:t>Newtown, PA</w:t>
            </w:r>
          </w:p>
        </w:tc>
        <w:tc>
          <w:tcPr>
            <w:tcW w:w="4780" w:type="dxa"/>
            <w:vAlign w:val="bottom"/>
          </w:tcPr>
          <w:p>
            <w:pPr>
              <w:spacing w:after="0"/>
              <w:rPr>
                <w:sz w:val="12"/>
                <w:szCs w:val="12"/>
                <w:color w:val="auto"/>
              </w:rPr>
            </w:pPr>
          </w:p>
        </w:tc>
        <w:tc>
          <w:tcPr>
            <w:tcW w:w="174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18940</w:t>
            </w:r>
          </w:p>
        </w:tc>
      </w:tr>
      <w:tr>
        <w:trPr>
          <w:trHeight w:val="159"/>
        </w:trPr>
        <w:tc>
          <w:tcPr>
            <w:tcW w:w="252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4780" w:type="dxa"/>
            <w:vAlign w:val="bottom"/>
          </w:tcPr>
          <w:p>
            <w:pPr>
              <w:spacing w:after="0"/>
              <w:rPr>
                <w:sz w:val="13"/>
                <w:szCs w:val="13"/>
                <w:color w:val="auto"/>
              </w:rPr>
            </w:pPr>
          </w:p>
        </w:tc>
        <w:tc>
          <w:tcPr>
            <w:tcW w:w="1740" w:type="dxa"/>
            <w:vAlign w:val="bottom"/>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288"/>
        </w:trPr>
        <w:tc>
          <w:tcPr>
            <w:tcW w:w="2520" w:type="dxa"/>
            <w:vAlign w:val="bottom"/>
          </w:tcPr>
          <w:p>
            <w:pPr>
              <w:spacing w:after="0"/>
              <w:rPr>
                <w:sz w:val="24"/>
                <w:szCs w:val="24"/>
                <w:color w:val="auto"/>
              </w:rPr>
            </w:pPr>
          </w:p>
        </w:tc>
        <w:tc>
          <w:tcPr>
            <w:tcW w:w="478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r>
              <w:rPr>
                <w:rFonts w:ascii="Times New Roman" w:cs="Times New Roman" w:eastAsia="Times New Roman" w:hAnsi="Times New Roman"/>
                <w:sz w:val="12"/>
                <w:szCs w:val="12"/>
                <w:color w:val="auto"/>
                <w:w w:val="99"/>
              </w:rPr>
              <w:t>:</w:t>
            </w:r>
            <w:r>
              <w:rPr>
                <w:rFonts w:ascii="Times New Roman" w:cs="Times New Roman" w:eastAsia="Times New Roman" w:hAnsi="Times New Roman"/>
                <w:sz w:val="12"/>
                <w:szCs w:val="12"/>
                <w:b w:val="1"/>
                <w:bCs w:val="1"/>
                <w:color w:val="auto"/>
                <w:w w:val="99"/>
              </w:rPr>
              <w:t xml:space="preserve"> (215) 944-6100</w:t>
            </w:r>
          </w:p>
        </w:tc>
        <w:tc>
          <w:tcPr>
            <w:tcW w:w="1740" w:type="dxa"/>
            <w:vAlign w:val="bottom"/>
          </w:tcPr>
          <w:p>
            <w:pPr>
              <w:spacing w:after="0"/>
              <w:rPr>
                <w:sz w:val="24"/>
                <w:szCs w:val="24"/>
                <w:color w:val="auto"/>
              </w:rPr>
            </w:pPr>
          </w:p>
        </w:tc>
      </w:tr>
    </w:tbl>
    <w:p>
      <w:pPr>
        <w:spacing w:after="0" w:line="129"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of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40" w:hanging="8"/>
        <w:spacing w:after="0" w:line="508" w:lineRule="auto"/>
        <w:tabs>
          <w:tab w:leader="none" w:pos="224"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HSDT</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bl>
    <w:p>
      <w:pPr>
        <w:spacing w:after="0" w:line="118" w:lineRule="exact"/>
        <w:rPr>
          <w:sz w:val="24"/>
          <w:szCs w:val="24"/>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2"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Securities Purchase Agreements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On September 15, 2025, Helius Medical Technologies,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entered into securities purchase agreements (the “</w:t>
      </w:r>
      <w:r>
        <w:rPr>
          <w:rFonts w:ascii="Times New Roman" w:cs="Times New Roman" w:eastAsia="Times New Roman" w:hAnsi="Times New Roman"/>
          <w:sz w:val="12"/>
          <w:szCs w:val="12"/>
          <w:u w:val="single" w:color="auto"/>
          <w:color w:val="auto"/>
        </w:rPr>
        <w:t>Cash Securities Purchase Agreements</w:t>
      </w:r>
      <w:r>
        <w:rPr>
          <w:rFonts w:ascii="Times New Roman" w:cs="Times New Roman" w:eastAsia="Times New Roman" w:hAnsi="Times New Roman"/>
          <w:sz w:val="12"/>
          <w:szCs w:val="12"/>
          <w:color w:val="auto"/>
        </w:rPr>
        <w:t>”) with certain accredited investors (the “</w:t>
      </w:r>
      <w:r>
        <w:rPr>
          <w:rFonts w:ascii="Times New Roman" w:cs="Times New Roman" w:eastAsia="Times New Roman" w:hAnsi="Times New Roman"/>
          <w:sz w:val="12"/>
          <w:szCs w:val="12"/>
          <w:u w:val="single" w:color="auto"/>
          <w:color w:val="auto"/>
        </w:rPr>
        <w:t>Cash Purchasers</w:t>
      </w:r>
      <w:r>
        <w:rPr>
          <w:rFonts w:ascii="Times New Roman" w:cs="Times New Roman" w:eastAsia="Times New Roman" w:hAnsi="Times New Roman"/>
          <w:sz w:val="12"/>
          <w:szCs w:val="12"/>
          <w:color w:val="auto"/>
        </w:rPr>
        <w:t>”) pursuant to which the Company agreed to sell and issue to the Cash Purchasers in a private placement offering (the “</w:t>
      </w:r>
      <w:r>
        <w:rPr>
          <w:rFonts w:ascii="Times New Roman" w:cs="Times New Roman" w:eastAsia="Times New Roman" w:hAnsi="Times New Roman"/>
          <w:sz w:val="12"/>
          <w:szCs w:val="12"/>
          <w:u w:val="single" w:color="auto"/>
          <w:color w:val="auto"/>
        </w:rPr>
        <w:t>Cash Offering</w:t>
      </w:r>
      <w:r>
        <w:rPr>
          <w:rFonts w:ascii="Times New Roman" w:cs="Times New Roman" w:eastAsia="Times New Roman" w:hAnsi="Times New Roman"/>
          <w:sz w:val="12"/>
          <w:szCs w:val="12"/>
          <w:color w:val="auto"/>
        </w:rPr>
        <w:t>”) an aggregate offering of (i) either shares (the “</w:t>
      </w:r>
      <w:r>
        <w:rPr>
          <w:rFonts w:ascii="Times New Roman" w:cs="Times New Roman" w:eastAsia="Times New Roman" w:hAnsi="Times New Roman"/>
          <w:sz w:val="12"/>
          <w:szCs w:val="12"/>
          <w:u w:val="single" w:color="auto"/>
          <w:color w:val="auto"/>
        </w:rPr>
        <w:t>Cash Shares</w:t>
      </w:r>
      <w:r>
        <w:rPr>
          <w:rFonts w:ascii="Times New Roman" w:cs="Times New Roman" w:eastAsia="Times New Roman" w:hAnsi="Times New Roman"/>
          <w:sz w:val="12"/>
          <w:szCs w:val="12"/>
          <w:color w:val="auto"/>
        </w:rPr>
        <w:t>”) of Class A common stock of the Company, par value $0.001 per share (the “</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at an offering price of $6.881 per Cash Share (the “</w:t>
      </w:r>
      <w:r>
        <w:rPr>
          <w:rFonts w:ascii="Times New Roman" w:cs="Times New Roman" w:eastAsia="Times New Roman" w:hAnsi="Times New Roman"/>
          <w:sz w:val="12"/>
          <w:szCs w:val="12"/>
          <w:u w:val="single" w:color="auto"/>
          <w:color w:val="auto"/>
        </w:rPr>
        <w:t>Per Share Cash Purchase Price</w:t>
      </w:r>
      <w:r>
        <w:rPr>
          <w:rFonts w:ascii="Times New Roman" w:cs="Times New Roman" w:eastAsia="Times New Roman" w:hAnsi="Times New Roman"/>
          <w:sz w:val="12"/>
          <w:szCs w:val="12"/>
          <w:color w:val="auto"/>
        </w:rPr>
        <w:t>”); and/or pre-funded warrants (the “</w:t>
      </w:r>
      <w:r>
        <w:rPr>
          <w:rFonts w:ascii="Times New Roman" w:cs="Times New Roman" w:eastAsia="Times New Roman" w:hAnsi="Times New Roman"/>
          <w:sz w:val="12"/>
          <w:szCs w:val="12"/>
          <w:u w:val="single" w:color="auto"/>
          <w:color w:val="auto"/>
        </w:rPr>
        <w:t>Cash Pre-Funded Warrants</w:t>
      </w:r>
      <w:r>
        <w:rPr>
          <w:rFonts w:ascii="Times New Roman" w:cs="Times New Roman" w:eastAsia="Times New Roman" w:hAnsi="Times New Roman"/>
          <w:sz w:val="12"/>
          <w:szCs w:val="12"/>
          <w:color w:val="auto"/>
        </w:rPr>
        <w:t>”) to purchase shares of the Common Stock (the “</w:t>
      </w:r>
      <w:r>
        <w:rPr>
          <w:rFonts w:ascii="Times New Roman" w:cs="Times New Roman" w:eastAsia="Times New Roman" w:hAnsi="Times New Roman"/>
          <w:sz w:val="12"/>
          <w:szCs w:val="12"/>
          <w:u w:val="single" w:color="auto"/>
          <w:color w:val="auto"/>
        </w:rPr>
        <w:t>Cash Pre-Funded Warrant Shares</w:t>
      </w:r>
      <w:r>
        <w:rPr>
          <w:rFonts w:ascii="Times New Roman" w:cs="Times New Roman" w:eastAsia="Times New Roman" w:hAnsi="Times New Roman"/>
          <w:sz w:val="12"/>
          <w:szCs w:val="12"/>
          <w:color w:val="auto"/>
        </w:rPr>
        <w:t>”) at an offering price of the Per Share Cash Purchase Price less $0.001 per Cash Pre-Funded Warrant, and (ii) stapled warrants (the “Cash Stapled Warrants” and, together with the Cash Shares and the Cash Pre-Funded Warrants, the “</w:t>
      </w:r>
      <w:r>
        <w:rPr>
          <w:rFonts w:ascii="Times New Roman" w:cs="Times New Roman" w:eastAsia="Times New Roman" w:hAnsi="Times New Roman"/>
          <w:sz w:val="12"/>
          <w:szCs w:val="12"/>
          <w:u w:val="single" w:color="auto"/>
          <w:color w:val="auto"/>
        </w:rPr>
        <w:t>Cash Securities</w:t>
      </w:r>
      <w:r>
        <w:rPr>
          <w:rFonts w:ascii="Times New Roman" w:cs="Times New Roman" w:eastAsia="Times New Roman" w:hAnsi="Times New Roman"/>
          <w:sz w:val="12"/>
          <w:szCs w:val="12"/>
          <w:color w:val="auto"/>
        </w:rPr>
        <w:t>”) to purchase shares of the Common Stock (the “</w:t>
      </w:r>
      <w:r>
        <w:rPr>
          <w:rFonts w:ascii="Times New Roman" w:cs="Times New Roman" w:eastAsia="Times New Roman" w:hAnsi="Times New Roman"/>
          <w:sz w:val="12"/>
          <w:szCs w:val="12"/>
          <w:u w:val="single" w:color="auto"/>
          <w:color w:val="auto"/>
        </w:rPr>
        <w:t>Cash Stapled Warrant Shares</w:t>
      </w:r>
      <w:r>
        <w:rPr>
          <w:rFonts w:ascii="Times New Roman" w:cs="Times New Roman" w:eastAsia="Times New Roman" w:hAnsi="Times New Roman"/>
          <w:sz w:val="12"/>
          <w:szCs w:val="12"/>
          <w:color w:val="auto"/>
        </w:rPr>
        <w:t>”) at an exercise price of $10.134 per Cash Stapled Warrant. In the Cash Offering, the Cash Purchasers will tender any of U.S. dollars, USDC or USDT (or a combination thereof) to the Company as consideration for the Cash Shares, Cash Stapled Warrants and Cash Pre-Funded Warrants.</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Each of the Cash Pre-Funded Warrants is exercisable for one share of Common Stock at the remaining exercise price of $0.001 per Cash Pre-Funded Warrant Share, immediately exercisable by the registered holder, and may be exercised at any time following registration until all of the Cash Pre-Funded Warrants issued in the Cash Offering are exercised in full. Each Purchaser’s ability to exercise its Cash Pre-Funded Warrants in exchange for shares of Common Stock is subject to certain beneficial ownership limitations set forth therein. Each of the Cash Stapled Warrants is exercisable for one share of Common Stock at the exercise price of $10.134 per Cash Stapled Warrant Share, immediately exercisable upon registration, and may be exercised at any time following registration until the earlier of (i) 36 months after the closing of the Cash Offering or (ii) all of the Cash Stapled Warrants issued in the Cash Offering are exercised in full. If the daily volume-weighted average price of the Common Stock is above 200% of the share offering price during any 20 trading days in a 30-trading day period (the “</w:t>
      </w:r>
      <w:r>
        <w:rPr>
          <w:rFonts w:ascii="Times New Roman" w:cs="Times New Roman" w:eastAsia="Times New Roman" w:hAnsi="Times New Roman"/>
          <w:sz w:val="12"/>
          <w:szCs w:val="12"/>
          <w:u w:val="single" w:color="auto"/>
          <w:color w:val="auto"/>
        </w:rPr>
        <w:t>Measurement Period</w:t>
      </w:r>
      <w:r>
        <w:rPr>
          <w:rFonts w:ascii="Times New Roman" w:cs="Times New Roman" w:eastAsia="Times New Roman" w:hAnsi="Times New Roman"/>
          <w:sz w:val="12"/>
          <w:szCs w:val="12"/>
          <w:color w:val="auto"/>
        </w:rPr>
        <w:t>”) and for each of the last five (5) consecutive trading days during the Measurement Period, at the election of the Company, the Company can require the Cash Stapled Warrants be exercised.</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Additionally, on September 15, 2025, the Company entered into securities purchase agreements (the “</w:t>
      </w:r>
      <w:r>
        <w:rPr>
          <w:rFonts w:ascii="Times New Roman" w:cs="Times New Roman" w:eastAsia="Times New Roman" w:hAnsi="Times New Roman"/>
          <w:sz w:val="12"/>
          <w:szCs w:val="12"/>
          <w:u w:val="single" w:color="auto"/>
          <w:color w:val="auto"/>
        </w:rPr>
        <w:t>Cryptocurrency Securities Purchase Agreements</w:t>
      </w:r>
      <w:r>
        <w:rPr>
          <w:rFonts w:ascii="Times New Roman" w:cs="Times New Roman" w:eastAsia="Times New Roman" w:hAnsi="Times New Roman"/>
          <w:sz w:val="12"/>
          <w:szCs w:val="12"/>
          <w:color w:val="auto"/>
        </w:rPr>
        <w:t>,” and together with the Cash Securities Purchase Agreements, the “</w:t>
      </w:r>
      <w:r>
        <w:rPr>
          <w:rFonts w:ascii="Times New Roman" w:cs="Times New Roman" w:eastAsia="Times New Roman" w:hAnsi="Times New Roman"/>
          <w:sz w:val="12"/>
          <w:szCs w:val="12"/>
          <w:u w:val="single" w:color="auto"/>
          <w:color w:val="auto"/>
        </w:rPr>
        <w:t>Securities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Purchase Agreements</w:t>
      </w:r>
      <w:r>
        <w:rPr>
          <w:rFonts w:ascii="Times New Roman" w:cs="Times New Roman" w:eastAsia="Times New Roman" w:hAnsi="Times New Roman"/>
          <w:sz w:val="12"/>
          <w:szCs w:val="12"/>
          <w:color w:val="auto"/>
        </w:rPr>
        <w:t>”) with certain accredited investors (the “</w:t>
      </w:r>
      <w:r>
        <w:rPr>
          <w:rFonts w:ascii="Times New Roman" w:cs="Times New Roman" w:eastAsia="Times New Roman" w:hAnsi="Times New Roman"/>
          <w:sz w:val="12"/>
          <w:szCs w:val="12"/>
          <w:u w:val="single" w:color="auto"/>
          <w:color w:val="auto"/>
        </w:rPr>
        <w:t>Cryptocurrency Purchasers</w:t>
      </w:r>
      <w:r>
        <w:rPr>
          <w:rFonts w:ascii="Times New Roman" w:cs="Times New Roman" w:eastAsia="Times New Roman" w:hAnsi="Times New Roman"/>
          <w:sz w:val="12"/>
          <w:szCs w:val="12"/>
          <w:color w:val="auto"/>
        </w:rPr>
        <w:t>,” and together with the Cash Purchasers, the “</w:t>
      </w:r>
      <w:r>
        <w:rPr>
          <w:rFonts w:ascii="Times New Roman" w:cs="Times New Roman" w:eastAsia="Times New Roman" w:hAnsi="Times New Roman"/>
          <w:sz w:val="12"/>
          <w:szCs w:val="12"/>
          <w:u w:val="single" w:color="auto"/>
          <w:color w:val="auto"/>
        </w:rPr>
        <w:t>Purchasers</w:t>
      </w:r>
      <w:r>
        <w:rPr>
          <w:rFonts w:ascii="Times New Roman" w:cs="Times New Roman" w:eastAsia="Times New Roman" w:hAnsi="Times New Roman"/>
          <w:sz w:val="12"/>
          <w:szCs w:val="12"/>
          <w:color w:val="auto"/>
        </w:rPr>
        <w:t>”) pursuant to which the Company agreed to sell and issue to the Cryptocurrency Purchasers in a private placement (the “</w:t>
      </w:r>
      <w:r>
        <w:rPr>
          <w:rFonts w:ascii="Times New Roman" w:cs="Times New Roman" w:eastAsia="Times New Roman" w:hAnsi="Times New Roman"/>
          <w:sz w:val="12"/>
          <w:szCs w:val="12"/>
          <w:u w:val="single" w:color="auto"/>
          <w:color w:val="auto"/>
        </w:rPr>
        <w:t>Cryptocurrency Offering</w:t>
      </w:r>
      <w:r>
        <w:rPr>
          <w:rFonts w:ascii="Times New Roman" w:cs="Times New Roman" w:eastAsia="Times New Roman" w:hAnsi="Times New Roman"/>
          <w:sz w:val="12"/>
          <w:szCs w:val="12"/>
          <w:color w:val="auto"/>
        </w:rPr>
        <w:t>,” and together with the Cash Offering, the “</w:t>
      </w:r>
      <w:r>
        <w:rPr>
          <w:rFonts w:ascii="Times New Roman" w:cs="Times New Roman" w:eastAsia="Times New Roman" w:hAnsi="Times New Roman"/>
          <w:sz w:val="12"/>
          <w:szCs w:val="12"/>
          <w:u w:val="single" w:color="auto"/>
          <w:color w:val="auto"/>
        </w:rPr>
        <w:t>Offerings</w:t>
      </w:r>
      <w:r>
        <w:rPr>
          <w:rFonts w:ascii="Times New Roman" w:cs="Times New Roman" w:eastAsia="Times New Roman" w:hAnsi="Times New Roman"/>
          <w:sz w:val="12"/>
          <w:szCs w:val="12"/>
          <w:color w:val="auto"/>
        </w:rPr>
        <w:t>”) (i) pre-funded warrants (“</w:t>
      </w:r>
      <w:r>
        <w:rPr>
          <w:rFonts w:ascii="Times New Roman" w:cs="Times New Roman" w:eastAsia="Times New Roman" w:hAnsi="Times New Roman"/>
          <w:sz w:val="12"/>
          <w:szCs w:val="12"/>
          <w:u w:val="single" w:color="auto"/>
          <w:color w:val="auto"/>
        </w:rPr>
        <w:t>Cryptocurrency Pre-Funded Warrants</w:t>
      </w:r>
      <w:r>
        <w:rPr>
          <w:rFonts w:ascii="Times New Roman" w:cs="Times New Roman" w:eastAsia="Times New Roman" w:hAnsi="Times New Roman"/>
          <w:sz w:val="12"/>
          <w:szCs w:val="12"/>
          <w:color w:val="auto"/>
        </w:rPr>
        <w:t>” and, together with the Cash Pre-Funded Warrants, the “</w:t>
      </w:r>
      <w:r>
        <w:rPr>
          <w:rFonts w:ascii="Times New Roman" w:cs="Times New Roman" w:eastAsia="Times New Roman" w:hAnsi="Times New Roman"/>
          <w:sz w:val="12"/>
          <w:szCs w:val="12"/>
          <w:u w:val="single" w:color="auto"/>
          <w:color w:val="auto"/>
        </w:rPr>
        <w:t>Pre-Funded Warrants</w:t>
      </w:r>
      <w:r>
        <w:rPr>
          <w:rFonts w:ascii="Times New Roman" w:cs="Times New Roman" w:eastAsia="Times New Roman" w:hAnsi="Times New Roman"/>
          <w:sz w:val="12"/>
          <w:szCs w:val="12"/>
          <w:color w:val="auto"/>
        </w:rPr>
        <w:t>”) to purchase shares of Common Stock (“</w:t>
      </w:r>
      <w:r>
        <w:rPr>
          <w:rFonts w:ascii="Times New Roman" w:cs="Times New Roman" w:eastAsia="Times New Roman" w:hAnsi="Times New Roman"/>
          <w:sz w:val="12"/>
          <w:szCs w:val="12"/>
          <w:u w:val="single" w:color="auto"/>
          <w:color w:val="auto"/>
        </w:rPr>
        <w:t>Cryptocurrency Pre-Funded Warrant Shares</w:t>
      </w:r>
      <w:r>
        <w:rPr>
          <w:rFonts w:ascii="Times New Roman" w:cs="Times New Roman" w:eastAsia="Times New Roman" w:hAnsi="Times New Roman"/>
          <w:sz w:val="12"/>
          <w:szCs w:val="12"/>
          <w:color w:val="auto"/>
        </w:rPr>
        <w:t>” and, together with the Cash Pre-Funded Warrant Shares, the “</w:t>
      </w:r>
      <w:r>
        <w:rPr>
          <w:rFonts w:ascii="Times New Roman" w:cs="Times New Roman" w:eastAsia="Times New Roman" w:hAnsi="Times New Roman"/>
          <w:sz w:val="12"/>
          <w:szCs w:val="12"/>
          <w:u w:val="single" w:color="auto"/>
          <w:color w:val="auto"/>
        </w:rPr>
        <w:t>Pre-Funded Warrant Shares</w:t>
      </w:r>
      <w:r>
        <w:rPr>
          <w:rFonts w:ascii="Times New Roman" w:cs="Times New Roman" w:eastAsia="Times New Roman" w:hAnsi="Times New Roman"/>
          <w:sz w:val="12"/>
          <w:szCs w:val="12"/>
          <w:color w:val="auto"/>
        </w:rPr>
        <w:t>”) at an offering price of $6.881 less $0.001 and (ii) stapled warrants (the “</w:t>
      </w:r>
      <w:r>
        <w:rPr>
          <w:rFonts w:ascii="Times New Roman" w:cs="Times New Roman" w:eastAsia="Times New Roman" w:hAnsi="Times New Roman"/>
          <w:sz w:val="12"/>
          <w:szCs w:val="12"/>
          <w:u w:val="single" w:color="auto"/>
          <w:color w:val="auto"/>
        </w:rPr>
        <w:t>Cryptocurrency Stapled Warrants</w:t>
      </w:r>
      <w:r>
        <w:rPr>
          <w:rFonts w:ascii="Times New Roman" w:cs="Times New Roman" w:eastAsia="Times New Roman" w:hAnsi="Times New Roman"/>
          <w:sz w:val="12"/>
          <w:szCs w:val="12"/>
          <w:color w:val="auto"/>
        </w:rPr>
        <w:t>,” and together with the Cash Stapled Warrants, the “</w:t>
      </w:r>
      <w:r>
        <w:rPr>
          <w:rFonts w:ascii="Times New Roman" w:cs="Times New Roman" w:eastAsia="Times New Roman" w:hAnsi="Times New Roman"/>
          <w:sz w:val="12"/>
          <w:szCs w:val="12"/>
          <w:u w:val="single" w:color="auto"/>
          <w:color w:val="auto"/>
        </w:rPr>
        <w:t>Stapled Warrants</w:t>
      </w:r>
      <w:r>
        <w:rPr>
          <w:rFonts w:ascii="Times New Roman" w:cs="Times New Roman" w:eastAsia="Times New Roman" w:hAnsi="Times New Roman"/>
          <w:sz w:val="12"/>
          <w:szCs w:val="12"/>
          <w:color w:val="auto"/>
        </w:rPr>
        <w:t>”) to purchase shares of Common Stock (the “</w:t>
      </w:r>
      <w:r>
        <w:rPr>
          <w:rFonts w:ascii="Times New Roman" w:cs="Times New Roman" w:eastAsia="Times New Roman" w:hAnsi="Times New Roman"/>
          <w:sz w:val="12"/>
          <w:szCs w:val="12"/>
          <w:u w:val="single" w:color="auto"/>
          <w:color w:val="auto"/>
        </w:rPr>
        <w:t>Cryptocurrency Stapled Warrant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Shares</w:t>
      </w:r>
      <w:r>
        <w:rPr>
          <w:rFonts w:ascii="Times New Roman" w:cs="Times New Roman" w:eastAsia="Times New Roman" w:hAnsi="Times New Roman"/>
          <w:sz w:val="12"/>
          <w:szCs w:val="12"/>
          <w:color w:val="auto"/>
        </w:rPr>
        <w:t>,” and together with the Cash Stapled Warrant Shares, the “</w:t>
      </w:r>
      <w:r>
        <w:rPr>
          <w:rFonts w:ascii="Times New Roman" w:cs="Times New Roman" w:eastAsia="Times New Roman" w:hAnsi="Times New Roman"/>
          <w:sz w:val="12"/>
          <w:szCs w:val="12"/>
          <w:u w:val="single" w:color="auto"/>
          <w:color w:val="auto"/>
        </w:rPr>
        <w:t>Stapled Warrant Shares</w:t>
      </w:r>
      <w:r>
        <w:rPr>
          <w:rFonts w:ascii="Times New Roman" w:cs="Times New Roman" w:eastAsia="Times New Roman" w:hAnsi="Times New Roman"/>
          <w:sz w:val="12"/>
          <w:szCs w:val="12"/>
          <w:color w:val="auto"/>
        </w:rPr>
        <w:t>”) at an exercise price of $10.134 per Cryptocurrency Stapled Warrant. In the Cryptocurrency Offering, the Cryptocurrency Purchasers will tender either Unlocked SOL tokens or Locked SOL tokens to the Company as consideration for the Cryptocurrency Pre-Funded Warrants and the Cryptocurrency Stapled Warrants.</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exercise of the Cryptocurrency Pre-Funded Warrants and Cryptocurrency Stapled Warrants into Cryptocurrency Pre-Funded Warrant Shares and Cryptocurrency Stapled Warrant Shares, respectively, is subject to stockholder approval (“</w:t>
      </w:r>
      <w:r>
        <w:rPr>
          <w:rFonts w:ascii="Times New Roman" w:cs="Times New Roman" w:eastAsia="Times New Roman" w:hAnsi="Times New Roman"/>
          <w:sz w:val="12"/>
          <w:szCs w:val="12"/>
          <w:u w:val="single" w:color="auto"/>
          <w:color w:val="auto"/>
        </w:rPr>
        <w:t>Stockholder Approval</w:t>
      </w:r>
      <w:r>
        <w:rPr>
          <w:rFonts w:ascii="Times New Roman" w:cs="Times New Roman" w:eastAsia="Times New Roman" w:hAnsi="Times New Roman"/>
          <w:sz w:val="12"/>
          <w:szCs w:val="12"/>
          <w:color w:val="auto"/>
        </w:rPr>
        <w:t>”) and such warrants will not be exercisable for Common Stock until such Shareholder Approval is received. Pursuant to the Cryptocurrency Securities Purchase Agreement, the Company will hold a special meeting of stockholders to obtain Stockholder Approval as soon as practicable after the closing date of the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jc w:val="both"/>
        <w:ind w:left="8"/>
        <w:spacing w:after="0" w:line="278" w:lineRule="auto"/>
        <w:rPr>
          <w:sz w:val="20"/>
          <w:szCs w:val="20"/>
          <w:color w:val="auto"/>
        </w:rPr>
      </w:pPr>
      <w:r>
        <w:rPr>
          <w:rFonts w:ascii="Times New Roman" w:cs="Times New Roman" w:eastAsia="Times New Roman" w:hAnsi="Times New Roman"/>
          <w:sz w:val="11"/>
          <w:szCs w:val="11"/>
          <w:color w:val="auto"/>
        </w:rPr>
        <w:t>Each of the Cryptocurrency Pre-Funded Warrants is exercisable for one share of Common Stock at the exercise price of $0.001 per Cryptocurrency Pre-Funded Warrant Share, immediately exercisable following Stockholder Approval (the “</w:t>
      </w:r>
      <w:r>
        <w:rPr>
          <w:rFonts w:ascii="Times New Roman" w:cs="Times New Roman" w:eastAsia="Times New Roman" w:hAnsi="Times New Roman"/>
          <w:sz w:val="11"/>
          <w:szCs w:val="11"/>
          <w:u w:val="single" w:color="auto"/>
          <w:color w:val="auto"/>
        </w:rPr>
        <w:t>Effective Date</w:t>
      </w:r>
      <w:r>
        <w:rPr>
          <w:rFonts w:ascii="Times New Roman" w:cs="Times New Roman" w:eastAsia="Times New Roman" w:hAnsi="Times New Roman"/>
          <w:sz w:val="11"/>
          <w:szCs w:val="11"/>
          <w:color w:val="auto"/>
        </w:rPr>
        <w:t>”), and may be exercised at any time on or after the Effective Date until all of the Cryptocurrency Pre-Funded Warrants issued in the Offerings are exercised in full. Each Cryptocurrency Purchaser’s ability to exercise its Cryptocurrency Pre-Funded Warrants in exchange for shares of Common Stock is subject to certain beneficial ownership limitations set forth therein. Each of the Cryptocurrency Stapled Warrants is exercisable for one share of Common Stock at the exercise price of $10.134 per Cryptocurrency Stapled Warrant Share, immediately exercisable on or after the Effective Date, and may be exercised at any time on or after the Effective Date until the earlier of</w:t>
      </w:r>
    </w:p>
    <w:p>
      <w:pPr>
        <w:spacing w:after="0" w:line="1" w:lineRule="exact"/>
        <w:rPr>
          <w:sz w:val="20"/>
          <w:szCs w:val="20"/>
          <w:color w:val="auto"/>
        </w:rPr>
      </w:pPr>
    </w:p>
    <w:p>
      <w:pPr>
        <w:jc w:val="both"/>
        <w:ind w:left="8" w:hanging="8"/>
        <w:spacing w:after="0" w:line="255" w:lineRule="auto"/>
        <w:tabs>
          <w:tab w:leader="none" w:pos="156"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36 months after the closing of the Cryptocurrency Offering or (ii) all of the Cryptocurrency Stapled Warrants issued in the Cryptocurrency Offering are exercised in full. If the daily volume-weighted average price of the Common Stock is above 200% of the share offering price during the Measurement Period and for each of the last five (5) consecutive trading days during the Measurement Period, and subject to election and notice by the Company, the Company can require the Cryptocurrency Stapled Warrants be exercised.</w:t>
      </w:r>
    </w:p>
    <w:p>
      <w:pPr>
        <w:spacing w:after="0" w:line="125" w:lineRule="exact"/>
        <w:rPr>
          <w:sz w:val="20"/>
          <w:szCs w:val="20"/>
          <w:color w:val="auto"/>
        </w:rPr>
      </w:pPr>
    </w:p>
    <w:p>
      <w:pPr>
        <w:jc w:val="both"/>
        <w:ind w:left="8" w:right="20"/>
        <w:spacing w:after="0" w:line="260" w:lineRule="auto"/>
        <w:rPr>
          <w:sz w:val="20"/>
          <w:szCs w:val="20"/>
          <w:color w:val="auto"/>
        </w:rPr>
      </w:pPr>
      <w:r>
        <w:rPr>
          <w:rFonts w:ascii="Times New Roman" w:cs="Times New Roman" w:eastAsia="Times New Roman" w:hAnsi="Times New Roman"/>
          <w:sz w:val="12"/>
          <w:szCs w:val="12"/>
          <w:color w:val="auto"/>
        </w:rPr>
        <w:t>The Common Stock, the Pre-Funded Warrants, the Pre-Funded Warrant Shares, the Stapled Warrants, and the Stapled Warrant Shares are being offered in reliance upon the exemption from the registration requirement of the Securities Act of 1933, as amended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pursuant to Section 4(a)(2) thereof and/or Rule 506(b) of Regulation D promulgated thereunder, and applicable state securities laws. The issuance of the Common Stock, the Pre-Funded Warrants, the Pre-Funded Warrant Shares, the Stapled Warrants, and the Stapled Warrant Shares have not been registered under the Securities Act and such securities may not be offered or sold in the United States absent registration or an exemption from registration under the Securities Act and any applicable state securities laws.</w:t>
      </w:r>
    </w:p>
    <w:p>
      <w:pPr>
        <w:spacing w:after="0" w:line="12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closing of the Offerings is expected to occur on or about September 18, 2025, subject to the satisfaction of customary closing conditions. The Company intends to use the net proceeds from the Offerings to fund the acquisition of SOL, the native cryptocurrency of the Solana Foundation blockchain, through open market purchases only and the establishment of the Company’s Solana treasury operations, as well as for working capital, general corporate purposes and to pay all transaction fees and expenses related thereto. The Company will not use the net proceeds from the Offerings: (a) for the redemption of any outstanding Common Stock or Common Stock equivalents of the Company, (b) for the settlement of any outstanding litigation or (c) in violation of the Foreign Corrupt Practices Act of 1977, as amended or the Office of Foreign Assets Control of the U.S. Treasury Department regulations.</w:t>
      </w:r>
    </w:p>
    <w:p>
      <w:pPr>
        <w:spacing w:after="0" w:line="12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Securities Purchase Agreements contain customary representations, warranties and agreements by the Company, customary conditions to closing, indemnification obligations of the Company, other obligations of the parties and termination provisions. Additionally, pursuant to the Purchase Agreements, the Company agreed to use commercially reasonable efforts to file a registration statement with the U.S. Securities and Exchange Commission, within 30 days of the closing of the Offering registering the resale of the Common Stock sold in the Offering, the Pre-Funded Warrants, the Pre-Funded Warrant Shares, the Stapled Warrants, the Stapled Warrant Shares, and certain securities to be issued to the Company’s strategic advisor.</w:t>
      </w:r>
    </w:p>
    <w:p>
      <w:pPr>
        <w:spacing w:after="0" w:line="12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Each of the Cash Purchasers have agreed to not to sell, transfer, pledge, hedge, or otherwise dispose of any Cash Securities until the resale registration statement is declared effective (the “</w:t>
      </w:r>
      <w:r>
        <w:rPr>
          <w:rFonts w:ascii="Times New Roman" w:cs="Times New Roman" w:eastAsia="Times New Roman" w:hAnsi="Times New Roman"/>
          <w:sz w:val="12"/>
          <w:szCs w:val="12"/>
          <w:u w:val="single" w:color="auto"/>
          <w:color w:val="auto"/>
        </w:rPr>
        <w:t>Effectiveness Date</w:t>
      </w:r>
      <w:r>
        <w:rPr>
          <w:rFonts w:ascii="Times New Roman" w:cs="Times New Roman" w:eastAsia="Times New Roman" w:hAnsi="Times New Roman"/>
          <w:sz w:val="12"/>
          <w:szCs w:val="12"/>
          <w:color w:val="auto"/>
        </w:rPr>
        <w:t>”), and with respect to 50% of the Cash Securities, until 30 calendar days following the Effectiveness Date (the “</w:t>
      </w:r>
      <w:r>
        <w:rPr>
          <w:rFonts w:ascii="Times New Roman" w:cs="Times New Roman" w:eastAsia="Times New Roman" w:hAnsi="Times New Roman"/>
          <w:sz w:val="12"/>
          <w:szCs w:val="12"/>
          <w:u w:val="single" w:color="auto"/>
          <w:color w:val="auto"/>
        </w:rPr>
        <w:t>PIPE Lock-Up Period</w:t>
      </w:r>
      <w:r>
        <w:rPr>
          <w:rFonts w:ascii="Times New Roman" w:cs="Times New Roman" w:eastAsia="Times New Roman" w:hAnsi="Times New Roman"/>
          <w:sz w:val="12"/>
          <w:szCs w:val="12"/>
          <w:color w:val="auto"/>
        </w:rPr>
        <w:t>”), except with the Company’s prior written consent and subject to certain customary exceptions. Each of the Cryptocurrency Purchasers have agreed to not to sell, transfer, pledge, hedge, or otherwise dispose of any Cryptocurrency Securities during the PIPE Lock-Up Period, except with the Company’s prior written consent and subject to certain customary exceptions.</w:t>
      </w:r>
    </w:p>
    <w:p>
      <w:pPr>
        <w:spacing w:after="0" w:line="12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foregoing summaries of the Cash Pre-Funded Warrants, Cryptocurrency Pre-Funded Warrants, the Cash Stapled Warrants, the Cryptocurrency Stapled Warrants, the Cash Purchase Agreement, the Cryptocurrency Purchase Agreement and the PIPE Lock-Up Agreement, do not purport to be complete and are qualified in their entirety by reference to the complete text of those agreements, which are attached hereto as Exhibits 4.1, 4.2, 4.3, 4.4, and 10.1, 10.2 and 10.3, respectively, to this Current Report on Form 8-K (this “</w:t>
      </w:r>
      <w:r>
        <w:rPr>
          <w:rFonts w:ascii="Times New Roman" w:cs="Times New Roman" w:eastAsia="Times New Roman" w:hAnsi="Times New Roman"/>
          <w:sz w:val="12"/>
          <w:szCs w:val="12"/>
          <w:u w:val="single" w:color="auto"/>
          <w:color w:val="auto"/>
        </w:rPr>
        <w:t>Current Report</w:t>
      </w:r>
      <w:r>
        <w:rPr>
          <w:rFonts w:ascii="Times New Roman" w:cs="Times New Roman" w:eastAsia="Times New Roman" w:hAnsi="Times New Roman"/>
          <w:sz w:val="12"/>
          <w:szCs w:val="12"/>
          <w:color w:val="auto"/>
        </w:rPr>
        <w:t>”) and are hereby incorporated by reference into this Item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i w:val="1"/>
          <w:iCs w:val="1"/>
          <w:color w:val="auto"/>
        </w:rPr>
        <w:t>Advisory Agreements</w:t>
      </w:r>
    </w:p>
    <w:p>
      <w:pPr>
        <w:spacing w:after="0" w:line="1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1"/>
          <w:szCs w:val="11"/>
          <w:color w:val="auto"/>
        </w:rPr>
        <w:t>On September 15, 2025, the Company entered into a Strategic Advisor Agreement (the “</w:t>
      </w:r>
      <w:r>
        <w:rPr>
          <w:rFonts w:ascii="Times New Roman" w:cs="Times New Roman" w:eastAsia="Times New Roman" w:hAnsi="Times New Roman"/>
          <w:sz w:val="11"/>
          <w:szCs w:val="11"/>
          <w:u w:val="single" w:color="auto"/>
          <w:color w:val="auto"/>
        </w:rPr>
        <w:t>Strategic Advisor Agreement</w:t>
      </w:r>
      <w:r>
        <w:rPr>
          <w:rFonts w:ascii="Times New Roman" w:cs="Times New Roman" w:eastAsia="Times New Roman" w:hAnsi="Times New Roman"/>
          <w:sz w:val="11"/>
          <w:szCs w:val="11"/>
          <w:color w:val="auto"/>
        </w:rPr>
        <w:t>”) with Pantera Capital Management LP, a Delaware limited partnership (“</w:t>
      </w:r>
      <w:r>
        <w:rPr>
          <w:rFonts w:ascii="Times New Roman" w:cs="Times New Roman" w:eastAsia="Times New Roman" w:hAnsi="Times New Roman"/>
          <w:sz w:val="11"/>
          <w:szCs w:val="11"/>
          <w:u w:val="single" w:color="auto"/>
          <w:color w:val="auto"/>
        </w:rPr>
        <w:t>Pantera</w:t>
      </w:r>
      <w:r>
        <w:rPr>
          <w:rFonts w:ascii="Times New Roman" w:cs="Times New Roman" w:eastAsia="Times New Roman" w:hAnsi="Times New Roman"/>
          <w:sz w:val="11"/>
          <w:szCs w:val="11"/>
          <w:color w:val="auto"/>
        </w:rPr>
        <w:t>”) and Summer Wisdom Holdings Limited (“</w:t>
      </w:r>
      <w:r>
        <w:rPr>
          <w:rFonts w:ascii="Times New Roman" w:cs="Times New Roman" w:eastAsia="Times New Roman" w:hAnsi="Times New Roman"/>
          <w:sz w:val="11"/>
          <w:szCs w:val="11"/>
          <w:u w:val="single" w:color="auto"/>
          <w:color w:val="auto"/>
        </w:rPr>
        <w:t>Summer</w:t>
      </w:r>
      <w:r>
        <w:rPr>
          <w:rFonts w:ascii="Times New Roman" w:cs="Times New Roman" w:eastAsia="Times New Roman" w:hAnsi="Times New Roman"/>
          <w:sz w:val="11"/>
          <w:szCs w:val="11"/>
          <w:color w:val="auto"/>
        </w:rPr>
        <w:t>” and with Pantera, the “</w:t>
      </w:r>
      <w:r>
        <w:rPr>
          <w:rFonts w:ascii="Times New Roman" w:cs="Times New Roman" w:eastAsia="Times New Roman" w:hAnsi="Times New Roman"/>
          <w:sz w:val="11"/>
          <w:szCs w:val="11"/>
          <w:u w:val="single" w:color="auto"/>
          <w:color w:val="auto"/>
        </w:rPr>
        <w:t>Advisors</w:t>
      </w:r>
      <w:r>
        <w:rPr>
          <w:rFonts w:ascii="Times New Roman" w:cs="Times New Roman" w:eastAsia="Times New Roman" w:hAnsi="Times New Roman"/>
          <w:sz w:val="11"/>
          <w:szCs w:val="11"/>
          <w:color w:val="auto"/>
        </w:rPr>
        <w:t>”), pursuant to which the Company engaged each of Pantera and Summer to provide strategic advice and guidance relating to the Company’s business, operations, growth initiatives and industry trends in the crypto technology sector for an initial term of two (2) years, which term automatically renews for successive periods of one (1) year each. Either the Company or the Advisors may terminate the Strategic Advisor Agreement upon written notice of a material breach by the other party that has not been cured within thirty (30) days’ of receipt of the written notice. Pursuant to the terms of the Strategic Advisor Agreement, the Company issued (i) to Pantera, the Strategic Advisor warrants (the “</w:t>
      </w:r>
      <w:r>
        <w:rPr>
          <w:rFonts w:ascii="Times New Roman" w:cs="Times New Roman" w:eastAsia="Times New Roman" w:hAnsi="Times New Roman"/>
          <w:sz w:val="11"/>
          <w:szCs w:val="11"/>
          <w:u w:val="single" w:color="auto"/>
          <w:color w:val="auto"/>
        </w:rPr>
        <w:t>Strategic Advisor Warrants</w:t>
      </w:r>
      <w:r>
        <w:rPr>
          <w:rFonts w:ascii="Times New Roman" w:cs="Times New Roman" w:eastAsia="Times New Roman" w:hAnsi="Times New Roman"/>
          <w:sz w:val="11"/>
          <w:szCs w:val="11"/>
          <w:color w:val="auto"/>
        </w:rPr>
        <w:t>”) to purchase shares of the Company’s Common Stock (the “</w:t>
      </w:r>
      <w:r>
        <w:rPr>
          <w:rFonts w:ascii="Times New Roman" w:cs="Times New Roman" w:eastAsia="Times New Roman" w:hAnsi="Times New Roman"/>
          <w:sz w:val="11"/>
          <w:szCs w:val="11"/>
          <w:u w:val="single" w:color="auto"/>
          <w:color w:val="auto"/>
        </w:rPr>
        <w:t>Strategic Advisor Base Warrant Shares</w:t>
      </w:r>
      <w:r>
        <w:rPr>
          <w:rFonts w:ascii="Times New Roman" w:cs="Times New Roman" w:eastAsia="Times New Roman" w:hAnsi="Times New Roman"/>
          <w:sz w:val="11"/>
          <w:szCs w:val="11"/>
          <w:color w:val="auto"/>
        </w:rPr>
        <w:t>”) equal to 7% of the aggregate number of shares of Cash Shares and the Pre-Funded Warrant Shares and (ii) to Summer, Strategic Advisor Warrants to purchase shares of the Company’s Common Stock equal to 3% of the aggregate number of shares of Cash Shares and the Pre-Funded Warrant Shares. Upon the exercise of each Stapled Warrant, each of Pantera and Summer shall receive an additional grant of Strategic Advisor Warrants to purchase an amount of shares of Common Stock equal to their respective portion of 5% of the Stapled Warrant Shares underlying such exercised Stapled Warrant (such shares of Common Stock underlying the Strategic Advisor Warrants, the “</w:t>
      </w:r>
      <w:r>
        <w:rPr>
          <w:rFonts w:ascii="Times New Roman" w:cs="Times New Roman" w:eastAsia="Times New Roman" w:hAnsi="Times New Roman"/>
          <w:sz w:val="11"/>
          <w:szCs w:val="11"/>
          <w:u w:val="single" w:color="auto"/>
          <w:color w:val="auto"/>
        </w:rPr>
        <w:t>Strategic Advisor Performance Shares</w:t>
      </w:r>
      <w:r>
        <w:rPr>
          <w:rFonts w:ascii="Times New Roman" w:cs="Times New Roman" w:eastAsia="Times New Roman" w:hAnsi="Times New Roman"/>
          <w:sz w:val="11"/>
          <w:szCs w:val="11"/>
          <w:color w:val="auto"/>
        </w:rPr>
        <w:t>” and, together with the</w:t>
      </w:r>
    </w:p>
    <w:p>
      <w:pPr>
        <w:spacing w:after="0" w:line="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2"/>
          <w:szCs w:val="12"/>
          <w:color w:val="auto"/>
        </w:rPr>
        <w:t>Strategic Advisor Base Warrant Shares, the “</w:t>
      </w:r>
      <w:r>
        <w:rPr>
          <w:rFonts w:ascii="Times New Roman" w:cs="Times New Roman" w:eastAsia="Times New Roman" w:hAnsi="Times New Roman"/>
          <w:sz w:val="12"/>
          <w:szCs w:val="12"/>
          <w:u w:val="single" w:color="auto"/>
          <w:color w:val="auto"/>
        </w:rPr>
        <w:t>Strategic Advisor Warrant Shares</w:t>
      </w:r>
      <w:r>
        <w:rPr>
          <w:rFonts w:ascii="Times New Roman" w:cs="Times New Roman" w:eastAsia="Times New Roman" w:hAnsi="Times New Roman"/>
          <w:sz w:val="12"/>
          <w:szCs w:val="12"/>
          <w:color w:val="auto"/>
        </w:rPr>
        <w:t xml:space="preserve">”). The Performance Warrant shall (i) have an exercise price equal to $0.001 per </w:t>
      </w:r>
      <w:r>
        <w:rPr>
          <w:rFonts w:ascii="Times New Roman" w:cs="Times New Roman" w:eastAsia="Times New Roman" w:hAnsi="Times New Roman"/>
          <w:sz w:val="12"/>
          <w:szCs w:val="12"/>
          <w:u w:val="single" w:color="auto"/>
          <w:color w:val="auto"/>
        </w:rPr>
        <w:t>Strategic Advisor Performance Share</w:t>
      </w:r>
      <w:r>
        <w:rPr>
          <w:rFonts w:ascii="Times New Roman" w:cs="Times New Roman" w:eastAsia="Times New Roman" w:hAnsi="Times New Roman"/>
          <w:sz w:val="12"/>
          <w:szCs w:val="12"/>
          <w:color w:val="auto"/>
        </w:rPr>
        <w:t>, (ii) a term ending on the fifth (5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anniversary of the issue date, and (iii) terminate automatically, without consideration, to the extent unvested upon the expiration of its term. The Performance Warrant will permit cashless exercise and will be settled solely in shares. Summer is controlled by Joeseph Chee, who is expected to be named Executive Chairman following the Closing of the Offerings.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exercise of the Strategic Advisor Warrants is subject to stockholder approval and such warrants will not be exercisable for Common Stock until such stockholder approval is received.</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exercise price per share of the Strategic Advisor Warrants shall be equal to $0.001 per Strategic Advisor Warrant Share. The Strategic Advisor Warrants shall be exercisable, in whole or in part, at any time and from time to time following the receipt of stockholder approval, for a period of five (5) years from the date of issuance. The Strategic Advisor Agreements also contain customary representations and warranties, confidentiality provisions and limitations on liability.</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Strategic Advisor Warrants and the Strategic Advisor Warrant Shares are being offered in reliance upon the exemption from the registration requirements of the Securities Act, pursuant to Section 4(a)(2) thereof and/or Rule 506(b) of Regulation D promulgated thereunder, and applicable state securities laws. The issuance of the Strategic Advisor Warrants and the Strategic Advisor Warrant Shares have not been registered under the Securities Act and such securities may not be offered or sold in the United States absent registration or an exemption from registration under the Securities Act and any applicable state securities laws.</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Pursuant to the Strategic Advisory Agreement, Pantera agreed not to sell, transfer, pledge, hedge, or otherwise dispose of any shares underlying the Strategic Advisory Warrants for 180 days after the closing of the Offering (the “</w:t>
      </w:r>
      <w:r>
        <w:rPr>
          <w:rFonts w:ascii="Times New Roman" w:cs="Times New Roman" w:eastAsia="Times New Roman" w:hAnsi="Times New Roman"/>
          <w:sz w:val="12"/>
          <w:szCs w:val="12"/>
          <w:u w:val="single" w:color="auto"/>
          <w:color w:val="auto"/>
        </w:rPr>
        <w:t>Advisor Lock-Up Period</w:t>
      </w:r>
      <w:r>
        <w:rPr>
          <w:rFonts w:ascii="Times New Roman" w:cs="Times New Roman" w:eastAsia="Times New Roman" w:hAnsi="Times New Roman"/>
          <w:sz w:val="12"/>
          <w:szCs w:val="12"/>
          <w:color w:val="auto"/>
        </w:rPr>
        <w:t>”), except (i) transfers to affiliates that agree in writing to be bound by the remainder of the Advisor Lock-Up Period, or (ii) with the Company’s prior written consent.</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Additionally, on September 15, 2025, the Company entered into a Trading Advisory Agreement (the “</w:t>
      </w:r>
      <w:r>
        <w:rPr>
          <w:rFonts w:ascii="Times New Roman" w:cs="Times New Roman" w:eastAsia="Times New Roman" w:hAnsi="Times New Roman"/>
          <w:sz w:val="12"/>
          <w:szCs w:val="12"/>
          <w:u w:val="single" w:color="auto"/>
          <w:color w:val="auto"/>
        </w:rPr>
        <w:t>Trading Advisory Agreement</w:t>
      </w:r>
      <w:r>
        <w:rPr>
          <w:rFonts w:ascii="Times New Roman" w:cs="Times New Roman" w:eastAsia="Times New Roman" w:hAnsi="Times New Roman"/>
          <w:sz w:val="12"/>
          <w:szCs w:val="12"/>
          <w:color w:val="auto"/>
        </w:rPr>
        <w:t>”) with Pantera, pursuant to which the Company engaged Pantera to manage the investment of substantially all of Company’s digital assets, digital asset derivatives, cash and other assets for an initial term of ten (10) years, which term automatically renews for successive periods of one (1) year each, subject to the mutual agreement of the Company and Pantera. The management fees pursuant to the Trading Advisory Agreement shall be equal to: (a) 1.0%, if the Client’s Assets Under Management is less than or equal to $1 billion, (b) 0.75% per annum of assets under management (“</w:t>
      </w:r>
      <w:r>
        <w:rPr>
          <w:rFonts w:ascii="Times New Roman" w:cs="Times New Roman" w:eastAsia="Times New Roman" w:hAnsi="Times New Roman"/>
          <w:sz w:val="12"/>
          <w:szCs w:val="12"/>
          <w:u w:val="single" w:color="auto"/>
          <w:color w:val="auto"/>
        </w:rPr>
        <w:t>AUM</w:t>
      </w:r>
      <w:r>
        <w:rPr>
          <w:rFonts w:ascii="Times New Roman" w:cs="Times New Roman" w:eastAsia="Times New Roman" w:hAnsi="Times New Roman"/>
          <w:sz w:val="12"/>
          <w:szCs w:val="12"/>
          <w:color w:val="auto"/>
        </w:rPr>
        <w:t>”) if AUM is more than $1 billion but less than or equal to $5 billion and (c) 0.50% per annum of AUM if AUM is more than $5 billion.</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Strategic Advisor Agreements, Trading Advisory Agreement and Strategic Advisor Warrants do not purport to be complete and are qualified in their entirety by reference to the full texts of such agreements, copies of which are attached hereto as Exhibits, 10.4, 10.5 and 4.5, respectively,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Item 3.02 Unregistered Sales of Equity Securities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disclosure required by this Item is included in Item 1.01 of this Current Report on Form 8-K and is incorporated herein by reference. Based in part upon the representations of the Purchasers in the Purchase Agreement, the offering and sale of the Shares, the Pre-Funded Warrant Shares, the Stapled Warrants and the Stapled Warrant Shares, will be exempt from registration under Section 4(a)(2) of the Securities Act of 1933, as amended and/or Rule 506(b) of Regulation D promulgated thereunder, and applicable state securities laws.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Press Release on Announcing the Offering</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September 15, 2025, the Company issued a press release announcing the signing of the Purchase Agreements and pricing of the Offerings and estimated aggregate gross proceeds of approximately $500 million in cash, before deducting placement agent fees and other offering expenses, to implement a SOL treasury strategy. A copy of the press release is included as Exhibit 99.1 to this Current Report on Form 8-K and is incorporated herein by reference.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Investor Presentation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connection with the Offerings, the Company delivered an investor presentation to potential investors on a confidential basis, a copy of which is furnished as Exhibit 99.2 to this Current Report on Form 8-K.</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under this Item 7.01, including Exhibits 99.1 and 99.2, shall not be deemed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the liabilities of that section, and shall not be deemed to be incorporated by reference into the filings of the Company under the Securities Act or the Exchange Act, except as shall be expressly set forth by specific reference in such filing.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Forward-Looking Statements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This Current Report contains forward-looking statements within the meaning of the Private Securities Litigation Reform Act of 1995, including statements relating to the expected settlement of the Offerings, the Company’s existing operations and the implementation of a SOL treasury strategy. Forward-looking statements are subject to risks and uncertainties that could cause actual results to differ materially, and reported results should not be considered as an indication of future performance. Important factors that may affect actual results or outcomes include, but are not limited to: risks related to whether the Company will be able to satisfy the conditions required to close the Offerings; the potential impact of market and other general economic conditions; the ability of the Company to successfully execute its business plan, including the implementation of the SOL treasury strategy and achieve the intended benefits thereof; the Company’s failure to manage growth effectively; the Company’s failure to fully realize the anticipated benefits of the Offerings and use of proceeds therefrom; and other risks and uncertainties set forth in the Company’s Annual Report on Form 10-K for the year ended December 31, 2024 filed with the SEC on March 23, 2025, and in the Company’s subsequent filings with the SEC. These forward-looking statements speak only as of the date hereof, and the Company disclaims any obligation to update these forward-looking statements, whether as a result of new information, future events, or otherwise, except as required by law.</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cautions investors not to place considerable reliance on the forward-looking statements contained in this Current Report. Investors are encouraged to read the Company’s filings with the SEC, available at www.sec.gov, for a discussion of these and other risks and uncertainties. The forward-looking statements in this Current Report speak only as of the date of this document, and the Company undertakes no obligation to update or revise any of these statements. The Company’s business is subject to substantial risks and uncertainties, including those referenced above. Investors, potential investors, and others should give careful consideration to these risks and uncertainties.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 Offer or Solicitation</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None of this Current Report nor the exhibits attached hereto constitutes an offer to sell, or a solicitation of an offer to buy the Securities described herein, nor shall there be any sale of such securities in any jurisdiction in which such offer, solicitation or sale would be unlawful prior to the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Item 8.01 Other Matters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connection with the Offerings and related transactions described herein, the Company is filing certain updated risk factors disclosure applicable to its business for the purpose of supplementing and updating disclosures contained in the Company’s prior public filings, including those discussed under the heading “Item 1A. Risk Factors” in the Company’s Annual Report on Form 10-K for the year ended December 31, 2024, filed with the Securities and Exchange Commission on March 25, 2025. The supplemental updated risk factors are filed herewith as Exhibit 99.3 and are incorporated herein by reference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 Exhibits</w:t>
            </w: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288"/>
        </w:trPr>
        <w:tc>
          <w:tcPr>
            <w:tcW w:w="112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140" w:type="dxa"/>
            <w:vAlign w:val="bottom"/>
            <w:tcBorders>
              <w:top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0000EE"/>
                <w:w w:val="79"/>
              </w:rPr>
              <w:t>4.</w:t>
            </w:r>
            <w:r>
              <w:rPr>
                <w:rFonts w:ascii="Times New Roman" w:cs="Times New Roman" w:eastAsia="Times New Roman" w:hAnsi="Times New Roman"/>
                <w:sz w:val="12"/>
                <w:szCs w:val="12"/>
                <w:u w:val="single" w:color="auto"/>
                <w:color w:val="0000EE"/>
                <w:w w:val="79"/>
              </w:rPr>
              <w:t>1</w:t>
            </w: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180" w:type="dxa"/>
            <w:vAlign w:val="bottom"/>
            <w:tcBorders>
              <w:top w:val="single" w:sz="8" w:color="auto"/>
            </w:tcBorders>
            <w:gridSpan w:val="13"/>
          </w:tcPr>
          <w:p>
            <w:pPr>
              <w:spacing w:after="0" w:line="106" w:lineRule="exact"/>
              <w:rPr>
                <w:sz w:val="20"/>
                <w:szCs w:val="20"/>
                <w:color w:val="auto"/>
              </w:rPr>
            </w:pPr>
            <w:r>
              <w:rPr>
                <w:rFonts w:ascii="Times New Roman" w:cs="Times New Roman" w:eastAsia="Times New Roman" w:hAnsi="Times New Roman"/>
                <w:sz w:val="12"/>
                <w:szCs w:val="12"/>
                <w:color w:val="0000EE"/>
              </w:rPr>
              <w:t>Form of Cash Pre-Funded Warrant</w:t>
            </w:r>
          </w:p>
        </w:tc>
      </w:tr>
      <w:tr>
        <w:trPr>
          <w:trHeight w:val="20"/>
        </w:trPr>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4"/>
        </w:trPr>
        <w:tc>
          <w:tcPr>
            <w:tcW w:w="1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79"/>
              </w:rPr>
              <w:t>4.</w:t>
            </w:r>
            <w:r>
              <w:rPr>
                <w:rFonts w:ascii="Times New Roman" w:cs="Times New Roman" w:eastAsia="Times New Roman" w:hAnsi="Times New Roman"/>
                <w:sz w:val="12"/>
                <w:szCs w:val="12"/>
                <w:u w:val="single" w:color="auto"/>
                <w:color w:val="0000EE"/>
                <w:w w:val="79"/>
              </w:rPr>
              <w:t>2</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180" w:type="dxa"/>
            <w:vAlign w:val="bottom"/>
            <w:gridSpan w:val="13"/>
          </w:tcPr>
          <w:p>
            <w:pPr>
              <w:spacing w:after="0" w:line="124" w:lineRule="exact"/>
              <w:rPr>
                <w:sz w:val="20"/>
                <w:szCs w:val="20"/>
                <w:color w:val="auto"/>
              </w:rPr>
            </w:pPr>
            <w:r>
              <w:rPr>
                <w:rFonts w:ascii="Times New Roman" w:cs="Times New Roman" w:eastAsia="Times New Roman" w:hAnsi="Times New Roman"/>
                <w:sz w:val="12"/>
                <w:szCs w:val="12"/>
                <w:color w:val="0000EE"/>
              </w:rPr>
              <w:t>Form of Cryptocurrency Pre-Funded Warrant</w:t>
            </w:r>
          </w:p>
        </w:tc>
      </w:tr>
      <w:tr>
        <w:trPr>
          <w:trHeight w:val="124"/>
        </w:trPr>
        <w:tc>
          <w:tcPr>
            <w:tcW w:w="14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79"/>
              </w:rPr>
              <w:t>4.</w:t>
            </w:r>
            <w:r>
              <w:rPr>
                <w:rFonts w:ascii="Times New Roman" w:cs="Times New Roman" w:eastAsia="Times New Roman" w:hAnsi="Times New Roman"/>
                <w:sz w:val="12"/>
                <w:szCs w:val="12"/>
                <w:u w:val="single" w:color="auto"/>
                <w:color w:val="0000EE"/>
                <w:w w:val="79"/>
              </w:rPr>
              <w:t>3</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tcBorders>
              <w:top w:val="single" w:sz="8" w:color="0000EE"/>
            </w:tcBorders>
            <w:gridSpan w:val="8"/>
          </w:tcPr>
          <w:p>
            <w:pPr>
              <w:spacing w:after="0" w:line="124" w:lineRule="exact"/>
              <w:rPr>
                <w:sz w:val="20"/>
                <w:szCs w:val="20"/>
                <w:color w:val="auto"/>
              </w:rPr>
            </w:pPr>
            <w:r>
              <w:rPr>
                <w:rFonts w:ascii="Times New Roman" w:cs="Times New Roman" w:eastAsia="Times New Roman" w:hAnsi="Times New Roman"/>
                <w:sz w:val="12"/>
                <w:szCs w:val="12"/>
                <w:color w:val="0000EE"/>
              </w:rPr>
              <w:t>Form of Cash Stapled Warrant</w:t>
            </w:r>
          </w:p>
        </w:tc>
        <w:tc>
          <w:tcPr>
            <w:tcW w:w="8000" w:type="dxa"/>
            <w:vAlign w:val="bottom"/>
            <w:gridSpan w:val="5"/>
          </w:tcPr>
          <w:p>
            <w:pPr>
              <w:spacing w:after="0"/>
              <w:rPr>
                <w:sz w:val="10"/>
                <w:szCs w:val="10"/>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4"/>
        </w:trPr>
        <w:tc>
          <w:tcPr>
            <w:tcW w:w="1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79"/>
              </w:rPr>
              <w:t>4.</w:t>
            </w:r>
            <w:r>
              <w:rPr>
                <w:rFonts w:ascii="Times New Roman" w:cs="Times New Roman" w:eastAsia="Times New Roman" w:hAnsi="Times New Roman"/>
                <w:sz w:val="12"/>
                <w:szCs w:val="12"/>
                <w:u w:val="single" w:color="auto"/>
                <w:color w:val="0000EE"/>
                <w:w w:val="79"/>
              </w:rPr>
              <w:t>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180" w:type="dxa"/>
            <w:vAlign w:val="bottom"/>
            <w:gridSpan w:val="13"/>
          </w:tcPr>
          <w:p>
            <w:pPr>
              <w:spacing w:after="0" w:line="124" w:lineRule="exact"/>
              <w:rPr>
                <w:sz w:val="20"/>
                <w:szCs w:val="20"/>
                <w:color w:val="auto"/>
              </w:rPr>
            </w:pPr>
            <w:r>
              <w:rPr>
                <w:rFonts w:ascii="Times New Roman" w:cs="Times New Roman" w:eastAsia="Times New Roman" w:hAnsi="Times New Roman"/>
                <w:sz w:val="12"/>
                <w:szCs w:val="12"/>
                <w:color w:val="0000EE"/>
              </w:rPr>
              <w:t>Form of Cryptocurrency Stapled Warrant</w:t>
            </w:r>
          </w:p>
        </w:tc>
      </w:tr>
      <w:tr>
        <w:trPr>
          <w:trHeight w:val="124"/>
        </w:trPr>
        <w:tc>
          <w:tcPr>
            <w:tcW w:w="140" w:type="dxa"/>
            <w:vAlign w:val="bottom"/>
            <w:tcBorders>
              <w:top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79"/>
              </w:rPr>
              <w:t>4.</w:t>
            </w:r>
            <w:r>
              <w:rPr>
                <w:rFonts w:ascii="Times New Roman" w:cs="Times New Roman" w:eastAsia="Times New Roman" w:hAnsi="Times New Roman"/>
                <w:sz w:val="12"/>
                <w:szCs w:val="12"/>
                <w:u w:val="single" w:color="auto"/>
                <w:color w:val="0000EE"/>
                <w:w w:val="79"/>
              </w:rPr>
              <w:t>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80" w:type="dxa"/>
            <w:vAlign w:val="bottom"/>
            <w:tcBorders>
              <w:top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Form of Strategic Advisory Warrant</w:t>
            </w:r>
          </w:p>
        </w:tc>
        <w:tc>
          <w:tcPr>
            <w:tcW w:w="8200" w:type="dxa"/>
            <w:vAlign w:val="bottom"/>
            <w:gridSpan w:val="7"/>
          </w:tcPr>
          <w:p>
            <w:pPr>
              <w:spacing w:after="0"/>
              <w:rPr>
                <w:sz w:val="10"/>
                <w:szCs w:val="10"/>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4"/>
        </w:trPr>
        <w:tc>
          <w:tcPr>
            <w:tcW w:w="20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1</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320" w:type="dxa"/>
            <w:vAlign w:val="bottom"/>
            <w:tcBorders>
              <w:bottom w:val="single" w:sz="8" w:color="0000EE"/>
            </w:tcBorders>
            <w:gridSpan w:val="11"/>
          </w:tcPr>
          <w:p>
            <w:pPr>
              <w:spacing w:after="0" w:line="124" w:lineRule="exact"/>
              <w:rPr>
                <w:sz w:val="20"/>
                <w:szCs w:val="20"/>
                <w:color w:val="auto"/>
              </w:rPr>
            </w:pPr>
            <w:r>
              <w:rPr>
                <w:rFonts w:ascii="Times New Roman" w:cs="Times New Roman" w:eastAsia="Times New Roman" w:hAnsi="Times New Roman"/>
                <w:sz w:val="12"/>
                <w:szCs w:val="12"/>
                <w:color w:val="0000EE"/>
                <w:w w:val="99"/>
              </w:rPr>
              <w:t>Form of Cash Purchase Agreement, dated as of September 15, 2025, between Helius Medical Technologies, Inc. and each Purchaser (as defined therein)</w:t>
            </w:r>
          </w:p>
        </w:tc>
        <w:tc>
          <w:tcPr>
            <w:tcW w:w="2860" w:type="dxa"/>
            <w:vAlign w:val="bottom"/>
            <w:gridSpan w:val="2"/>
          </w:tcPr>
          <w:p>
            <w:pPr>
              <w:spacing w:after="0"/>
              <w:rPr>
                <w:sz w:val="10"/>
                <w:szCs w:val="10"/>
                <w:color w:val="auto"/>
              </w:rPr>
            </w:pPr>
          </w:p>
        </w:tc>
      </w:tr>
      <w:tr>
        <w:trPr>
          <w:trHeight w:val="124"/>
        </w:trPr>
        <w:tc>
          <w:tcPr>
            <w:tcW w:w="20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2</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40" w:type="dxa"/>
            <w:vAlign w:val="bottom"/>
            <w:tcBorders>
              <w:bottom w:val="single" w:sz="8" w:color="0000EE"/>
            </w:tcBorders>
            <w:gridSpan w:val="12"/>
          </w:tcPr>
          <w:p>
            <w:pPr>
              <w:spacing w:after="0" w:line="124" w:lineRule="exact"/>
              <w:rPr>
                <w:sz w:val="20"/>
                <w:szCs w:val="20"/>
                <w:color w:val="auto"/>
              </w:rPr>
            </w:pPr>
            <w:r>
              <w:rPr>
                <w:rFonts w:ascii="Times New Roman" w:cs="Times New Roman" w:eastAsia="Times New Roman" w:hAnsi="Times New Roman"/>
                <w:sz w:val="12"/>
                <w:szCs w:val="12"/>
                <w:color w:val="0000EE"/>
                <w:w w:val="99"/>
              </w:rPr>
              <w:t>Form of Cryptocurrency Purchase Agreement, dated as of September 15, 2025, between Helius Medical Technologies, Inc. and each Purchaser (as defined therein)</w:t>
            </w:r>
          </w:p>
        </w:tc>
        <w:tc>
          <w:tcPr>
            <w:tcW w:w="2340" w:type="dxa"/>
            <w:vAlign w:val="bottom"/>
          </w:tcPr>
          <w:p>
            <w:pPr>
              <w:spacing w:after="0"/>
              <w:rPr>
                <w:sz w:val="10"/>
                <w:szCs w:val="10"/>
                <w:color w:val="auto"/>
              </w:rPr>
            </w:pPr>
          </w:p>
        </w:tc>
      </w:tr>
      <w:tr>
        <w:trPr>
          <w:trHeight w:val="124"/>
        </w:trPr>
        <w:tc>
          <w:tcPr>
            <w:tcW w:w="20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3</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tcBorders>
              <w:bottom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Form of PIPE Lock-Up Agreement</w:t>
            </w:r>
          </w:p>
        </w:tc>
        <w:tc>
          <w:tcPr>
            <w:tcW w:w="8440" w:type="dxa"/>
            <w:vAlign w:val="bottom"/>
            <w:gridSpan w:val="8"/>
          </w:tcPr>
          <w:p>
            <w:pPr>
              <w:spacing w:after="0"/>
              <w:rPr>
                <w:sz w:val="10"/>
                <w:szCs w:val="10"/>
                <w:color w:val="auto"/>
              </w:rPr>
            </w:pPr>
          </w:p>
        </w:tc>
      </w:tr>
      <w:tr>
        <w:trPr>
          <w:trHeight w:val="124"/>
        </w:trPr>
        <w:tc>
          <w:tcPr>
            <w:tcW w:w="2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4</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180" w:type="dxa"/>
            <w:vAlign w:val="bottom"/>
            <w:gridSpan w:val="13"/>
          </w:tcPr>
          <w:p>
            <w:pPr>
              <w:spacing w:after="0" w:line="124" w:lineRule="exact"/>
              <w:rPr>
                <w:sz w:val="20"/>
                <w:szCs w:val="20"/>
                <w:color w:val="auto"/>
              </w:rPr>
            </w:pPr>
            <w:r>
              <w:rPr>
                <w:rFonts w:ascii="Times New Roman" w:cs="Times New Roman" w:eastAsia="Times New Roman" w:hAnsi="Times New Roman"/>
                <w:sz w:val="12"/>
                <w:szCs w:val="12"/>
                <w:color w:val="0000EE"/>
              </w:rPr>
              <w:t>Strategic Advisor Agreement, dated as of September 15, 2025, between Helius Medical Technologies, Inc. Pantera Capital and Summer Capital</w:t>
            </w:r>
          </w:p>
        </w:tc>
      </w:tr>
      <w:tr>
        <w:trPr>
          <w:trHeight w:val="124"/>
        </w:trPr>
        <w:tc>
          <w:tcPr>
            <w:tcW w:w="200" w:type="dxa"/>
            <w:vAlign w:val="bottom"/>
            <w:tcBorders>
              <w:top w:val="single" w:sz="8" w:color="0000EE"/>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5</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100" w:type="dxa"/>
            <w:vAlign w:val="bottom"/>
            <w:tcBorders>
              <w:top w:val="single" w:sz="8" w:color="0000EE"/>
              <w:bottom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9"/>
              </w:rPr>
              <w:t>Trading Advisory Agreement, dated as of September 15, 2025, between Helius Medical Technologies, Inc. and Pantera Capital</w:t>
            </w:r>
          </w:p>
        </w:tc>
        <w:tc>
          <w:tcPr>
            <w:tcW w:w="800" w:type="dxa"/>
            <w:vAlign w:val="bottom"/>
            <w:tcBorders>
              <w:top w:val="single" w:sz="8" w:color="0000EE"/>
            </w:tcBorders>
          </w:tcPr>
          <w:p>
            <w:pPr>
              <w:spacing w:after="0"/>
              <w:rPr>
                <w:sz w:val="10"/>
                <w:szCs w:val="10"/>
                <w:color w:val="auto"/>
              </w:rPr>
            </w:pPr>
          </w:p>
        </w:tc>
        <w:tc>
          <w:tcPr>
            <w:tcW w:w="3280" w:type="dxa"/>
            <w:vAlign w:val="bottom"/>
            <w:gridSpan w:val="3"/>
          </w:tcPr>
          <w:p>
            <w:pPr>
              <w:spacing w:after="0"/>
              <w:rPr>
                <w:sz w:val="10"/>
                <w:szCs w:val="10"/>
                <w:color w:val="auto"/>
              </w:rPr>
            </w:pPr>
          </w:p>
        </w:tc>
      </w:tr>
      <w:tr>
        <w:trPr>
          <w:trHeight w:val="124"/>
        </w:trPr>
        <w:tc>
          <w:tcPr>
            <w:tcW w:w="20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0" w:type="dxa"/>
            <w:vAlign w:val="bottom"/>
            <w:tcBorders>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Press Release, dated September 15, 2025</w:t>
            </w:r>
          </w:p>
        </w:tc>
        <w:tc>
          <w:tcPr>
            <w:tcW w:w="8180" w:type="dxa"/>
            <w:vAlign w:val="bottom"/>
            <w:gridSpan w:val="6"/>
          </w:tcPr>
          <w:p>
            <w:pPr>
              <w:spacing w:after="0"/>
              <w:rPr>
                <w:sz w:val="10"/>
                <w:szCs w:val="10"/>
                <w:color w:val="auto"/>
              </w:rPr>
            </w:pPr>
          </w:p>
        </w:tc>
      </w:tr>
      <w:tr>
        <w:trPr>
          <w:trHeight w:val="124"/>
        </w:trPr>
        <w:tc>
          <w:tcPr>
            <w:tcW w:w="20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rPr>
              <w:t>Investor Presentation</w:t>
            </w:r>
          </w:p>
        </w:tc>
        <w:tc>
          <w:tcPr>
            <w:tcW w:w="9120" w:type="dxa"/>
            <w:vAlign w:val="bottom"/>
            <w:gridSpan w:val="12"/>
          </w:tcPr>
          <w:p>
            <w:pPr>
              <w:spacing w:after="0"/>
              <w:rPr>
                <w:sz w:val="10"/>
                <w:szCs w:val="10"/>
                <w:color w:val="auto"/>
              </w:rPr>
            </w:pPr>
          </w:p>
        </w:tc>
      </w:tr>
      <w:tr>
        <w:trPr>
          <w:trHeight w:val="124"/>
        </w:trPr>
        <w:tc>
          <w:tcPr>
            <w:tcW w:w="20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3</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8"/>
              </w:rPr>
              <w:t>Supplemental Risk Factors</w:t>
            </w:r>
          </w:p>
        </w:tc>
        <w:tc>
          <w:tcPr>
            <w:tcW w:w="8880" w:type="dxa"/>
            <w:vAlign w:val="bottom"/>
            <w:gridSpan w:val="11"/>
          </w:tcPr>
          <w:p>
            <w:pPr>
              <w:spacing w:after="0"/>
              <w:rPr>
                <w:sz w:val="10"/>
                <w:szCs w:val="10"/>
                <w:color w:val="auto"/>
              </w:rPr>
            </w:pPr>
          </w:p>
        </w:tc>
      </w:tr>
      <w:tr>
        <w:trPr>
          <w:trHeight w:val="151"/>
        </w:trPr>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80" w:type="dxa"/>
            <w:vAlign w:val="bottom"/>
            <w:gridSpan w:val="1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288"/>
        </w:trPr>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80" w:type="dxa"/>
            <w:vAlign w:val="bottom"/>
          </w:tcPr>
          <w:p>
            <w:pPr>
              <w:spacing w:after="0"/>
              <w:rPr>
                <w:sz w:val="13"/>
                <w:szCs w:val="13"/>
                <w:color w:val="auto"/>
              </w:rPr>
            </w:pPr>
          </w:p>
        </w:tc>
        <w:tc>
          <w:tcPr>
            <w:tcW w:w="7820" w:type="dxa"/>
            <w:vAlign w:val="bottom"/>
            <w:gridSpan w:val="2"/>
          </w:tcPr>
          <w:p>
            <w:pPr>
              <w:ind w:left="2180"/>
              <w:spacing w:after="0"/>
              <w:rPr>
                <w:sz w:val="20"/>
                <w:szCs w:val="20"/>
                <w:color w:val="auto"/>
              </w:rPr>
            </w:pPr>
            <w:r>
              <w:rPr>
                <w:rFonts w:ascii="Times New Roman" w:cs="Times New Roman" w:eastAsia="Times New Roman" w:hAnsi="Times New Roman"/>
                <w:sz w:val="12"/>
                <w:szCs w:val="12"/>
                <w:b w:val="1"/>
                <w:bCs w:val="1"/>
                <w:color w:val="auto"/>
              </w:rPr>
              <w:t>Helius Medical Technologies Inc.</w:t>
            </w:r>
          </w:p>
        </w:tc>
      </w:tr>
      <w:tr>
        <w:trPr>
          <w:trHeight w:val="297"/>
        </w:trPr>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Dated: September 15, 2025</w:t>
            </w:r>
          </w:p>
        </w:tc>
        <w:tc>
          <w:tcPr>
            <w:tcW w:w="2740" w:type="dxa"/>
            <w:vAlign w:val="bottom"/>
          </w:tcPr>
          <w:p>
            <w:pPr>
              <w:ind w:left="218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Jeffrey S. Mathiesen</w:t>
            </w:r>
          </w:p>
        </w:tc>
      </w:tr>
      <w:tr>
        <w:trPr>
          <w:trHeight w:val="122"/>
        </w:trPr>
        <w:tc>
          <w:tcPr>
            <w:tcW w:w="3480" w:type="dxa"/>
            <w:vAlign w:val="bottom"/>
          </w:tcPr>
          <w:p>
            <w:pPr>
              <w:spacing w:after="0"/>
              <w:rPr>
                <w:sz w:val="10"/>
                <w:szCs w:val="10"/>
                <w:color w:val="auto"/>
              </w:rPr>
            </w:pPr>
          </w:p>
        </w:tc>
        <w:tc>
          <w:tcPr>
            <w:tcW w:w="2740" w:type="dxa"/>
            <w:vAlign w:val="bottom"/>
          </w:tcPr>
          <w:p>
            <w:pPr>
              <w:ind w:left="218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Jeffrey S. Mathiesen</w:t>
            </w:r>
          </w:p>
        </w:tc>
      </w:tr>
      <w:tr>
        <w:trPr>
          <w:trHeight w:val="155"/>
        </w:trPr>
        <w:tc>
          <w:tcPr>
            <w:tcW w:w="3480" w:type="dxa"/>
            <w:vAlign w:val="bottom"/>
          </w:tcPr>
          <w:p>
            <w:pPr>
              <w:spacing w:after="0"/>
              <w:rPr>
                <w:sz w:val="13"/>
                <w:szCs w:val="13"/>
                <w:color w:val="auto"/>
              </w:rPr>
            </w:pPr>
          </w:p>
        </w:tc>
        <w:tc>
          <w:tcPr>
            <w:tcW w:w="2740" w:type="dxa"/>
            <w:vAlign w:val="bottom"/>
          </w:tcPr>
          <w:p>
            <w:pPr>
              <w:ind w:left="218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Treasurer and Secretary</w:t>
            </w:r>
          </w:p>
        </w:tc>
      </w:tr>
      <w:tr>
        <w:trPr>
          <w:trHeight w:val="288"/>
        </w:trPr>
        <w:tc>
          <w:tcPr>
            <w:tcW w:w="34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2"/>
          <w:szCs w:val="12"/>
          <w:b w:val="1"/>
          <w:bCs w:val="1"/>
          <w:color w:val="auto"/>
        </w:rPr>
        <w:t>Exhibit 4.1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Pre-Funded Warrant</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b w:val="1"/>
          <w:bCs w:val="1"/>
          <w:color w:val="auto"/>
        </w:rPr>
        <w:t>THIS WARRANT AND THE SHARES OF CLASS A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OFFERED, SOLD, TRANSFERRED, ASSIGNED OR OTHERWISE DISPOSED OF EXCEPT PURSUANT TO (I) AN EFFECTIVE REGISTRATION STATEMENT UNDER THE SECURITIES ACT OR (II) AN AVAILABLE EXEMPTION FROM SUCH REGISTRATION AND THE DELIVERY TO THE COMPANY OF AN OPINION OF COUNSEL REASONABLY SATISFACTORY TO IT THAT SUCH REGISTRATION IS NOT REQUIRED.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PRE-FUNDED WARRANT TO PURCHASE COMMON STOCK</w:t>
      </w:r>
    </w:p>
    <w:p>
      <w:pPr>
        <w:spacing w:after="0" w:line="154"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2"/>
          <w:szCs w:val="12"/>
          <w:color w:val="auto"/>
        </w:rPr>
        <w:t>Number of Shares: [●]</w:t>
      </w:r>
    </w:p>
    <w:p>
      <w:pPr>
        <w:spacing w:after="0" w:line="17"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1"/>
          <w:szCs w:val="11"/>
          <w:color w:val="auto"/>
        </w:rPr>
        <w:t>(subject to adjustment)</w:t>
      </w:r>
    </w:p>
    <w:p>
      <w:pPr>
        <w:spacing w:after="0" w:line="151" w:lineRule="exact"/>
        <w:rPr>
          <w:sz w:val="20"/>
          <w:szCs w:val="20"/>
          <w:color w:val="auto"/>
        </w:rPr>
      </w:pPr>
    </w:p>
    <w:p>
      <w:pPr>
        <w:spacing w:after="0"/>
        <w:tabs>
          <w:tab w:leader="none" w:pos="9820" w:val="left"/>
        </w:tabs>
        <w:rPr>
          <w:sz w:val="20"/>
          <w:szCs w:val="20"/>
          <w:color w:val="auto"/>
        </w:rPr>
      </w:pPr>
      <w:r>
        <w:rPr>
          <w:rFonts w:ascii="Times New Roman" w:cs="Times New Roman" w:eastAsia="Times New Roman" w:hAnsi="Times New Roman"/>
          <w:sz w:val="12"/>
          <w:szCs w:val="12"/>
          <w:color w:val="auto"/>
        </w:rPr>
        <w:t>Warrant No. [●]</w:t>
      </w:r>
      <w:r>
        <w:rPr>
          <w:sz w:val="20"/>
          <w:szCs w:val="20"/>
          <w:color w:val="auto"/>
        </w:rPr>
        <w:tab/>
      </w:r>
      <w:r>
        <w:rPr>
          <w:rFonts w:ascii="Times New Roman" w:cs="Times New Roman" w:eastAsia="Times New Roman" w:hAnsi="Times New Roman"/>
          <w:sz w:val="12"/>
          <w:szCs w:val="12"/>
          <w:color w:val="auto"/>
        </w:rPr>
        <w:t>Original Issue Date: [●], 2025</w:t>
      </w:r>
    </w:p>
    <w:p>
      <w:pPr>
        <w:spacing w:after="0" w:line="14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Helius Medical Technologies,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hereby certifies that, for good and valuable consideration, the receipt and sufficiency of which are hereby acknowledged, [●] or its registered assigns (the “</w:t>
      </w:r>
      <w:r>
        <w:rPr>
          <w:rFonts w:ascii="Times New Roman" w:cs="Times New Roman" w:eastAsia="Times New Roman" w:hAnsi="Times New Roman"/>
          <w:sz w:val="12"/>
          <w:szCs w:val="12"/>
          <w:b w:val="1"/>
          <w:bCs w:val="1"/>
          <w:color w:val="auto"/>
        </w:rPr>
        <w:t>Holder</w:t>
      </w:r>
      <w:r>
        <w:rPr>
          <w:rFonts w:ascii="Times New Roman" w:cs="Times New Roman" w:eastAsia="Times New Roman" w:hAnsi="Times New Roman"/>
          <w:sz w:val="12"/>
          <w:szCs w:val="12"/>
          <w:color w:val="auto"/>
        </w:rPr>
        <w:t>”), is entitled, subject to the terms set forth below, to purchase from the Company up to a total of [●] shares of Class A common stock of the Company, $0.001 par value per share, and any other class of securities into which such securities may hereafter be reclassified or changed (the “</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of the Company (each such share, a “</w:t>
      </w:r>
      <w:r>
        <w:rPr>
          <w:rFonts w:ascii="Times New Roman" w:cs="Times New Roman" w:eastAsia="Times New Roman" w:hAnsi="Times New Roman"/>
          <w:sz w:val="12"/>
          <w:szCs w:val="12"/>
          <w:b w:val="1"/>
          <w:bCs w:val="1"/>
          <w:color w:val="auto"/>
        </w:rPr>
        <w:t>Warrant Share</w:t>
      </w:r>
      <w:r>
        <w:rPr>
          <w:rFonts w:ascii="Times New Roman" w:cs="Times New Roman" w:eastAsia="Times New Roman" w:hAnsi="Times New Roman"/>
          <w:sz w:val="12"/>
          <w:szCs w:val="12"/>
          <w:color w:val="auto"/>
        </w:rPr>
        <w:t>” and all such shares, the “</w:t>
      </w:r>
      <w:r>
        <w:rPr>
          <w:rFonts w:ascii="Times New Roman" w:cs="Times New Roman" w:eastAsia="Times New Roman" w:hAnsi="Times New Roman"/>
          <w:sz w:val="12"/>
          <w:szCs w:val="12"/>
          <w:b w:val="1"/>
          <w:bCs w:val="1"/>
          <w:color w:val="auto"/>
        </w:rPr>
        <w:t>Warrant Shares</w:t>
      </w:r>
      <w:r>
        <w:rPr>
          <w:rFonts w:ascii="Times New Roman" w:cs="Times New Roman" w:eastAsia="Times New Roman" w:hAnsi="Times New Roman"/>
          <w:sz w:val="12"/>
          <w:szCs w:val="12"/>
          <w:color w:val="auto"/>
        </w:rPr>
        <w:t>”) at the remaining exercise price per share equal to $0.001 per Warrant Share (the “</w:t>
      </w:r>
      <w:r>
        <w:rPr>
          <w:rFonts w:ascii="Times New Roman" w:cs="Times New Roman" w:eastAsia="Times New Roman" w:hAnsi="Times New Roman"/>
          <w:sz w:val="12"/>
          <w:szCs w:val="12"/>
          <w:b w:val="1"/>
          <w:bCs w:val="1"/>
          <w:color w:val="auto"/>
        </w:rPr>
        <w:t>Remaining Exercise Price</w:t>
      </w:r>
      <w:r>
        <w:rPr>
          <w:rFonts w:ascii="Times New Roman" w:cs="Times New Roman" w:eastAsia="Times New Roman" w:hAnsi="Times New Roman"/>
          <w:sz w:val="12"/>
          <w:szCs w:val="12"/>
          <w:color w:val="auto"/>
        </w:rPr>
        <w:t>” and, together with the pre-funded purchase price per share, the “</w:t>
      </w:r>
      <w:r>
        <w:rPr>
          <w:rFonts w:ascii="Times New Roman" w:cs="Times New Roman" w:eastAsia="Times New Roman" w:hAnsi="Times New Roman"/>
          <w:sz w:val="12"/>
          <w:szCs w:val="12"/>
          <w:b w:val="1"/>
          <w:bCs w:val="1"/>
          <w:color w:val="auto"/>
        </w:rPr>
        <w:t>Exercise Price</w:t>
      </w:r>
      <w:r>
        <w:rPr>
          <w:rFonts w:ascii="Times New Roman" w:cs="Times New Roman" w:eastAsia="Times New Roman" w:hAnsi="Times New Roman"/>
          <w:sz w:val="12"/>
          <w:szCs w:val="12"/>
          <w:color w:val="auto"/>
        </w:rPr>
        <w:t xml:space="preserve">”), in each case as adjusted from time to time as provided in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upon surrender of this Pre-Funded Warrant to Purchase Common Stock (including any Warrants to purchase Common Stock issued in exchange, transfer or replacement hereof, the “</w:t>
      </w:r>
      <w:r>
        <w:rPr>
          <w:rFonts w:ascii="Times New Roman" w:cs="Times New Roman" w:eastAsia="Times New Roman" w:hAnsi="Times New Roman"/>
          <w:sz w:val="12"/>
          <w:szCs w:val="12"/>
          <w:b w:val="1"/>
          <w:bCs w:val="1"/>
          <w:color w:val="auto"/>
        </w:rPr>
        <w:t>Warrant</w:t>
      </w:r>
      <w:r>
        <w:rPr>
          <w:rFonts w:ascii="Times New Roman" w:cs="Times New Roman" w:eastAsia="Times New Roman" w:hAnsi="Times New Roman"/>
          <w:sz w:val="12"/>
          <w:szCs w:val="12"/>
          <w:color w:val="auto"/>
        </w:rPr>
        <w:t>”) at any time and from time to time on or after the date hereof (the “</w:t>
      </w:r>
      <w:r>
        <w:rPr>
          <w:rFonts w:ascii="Times New Roman" w:cs="Times New Roman" w:eastAsia="Times New Roman" w:hAnsi="Times New Roman"/>
          <w:sz w:val="12"/>
          <w:szCs w:val="12"/>
          <w:b w:val="1"/>
          <w:bCs w:val="1"/>
          <w:color w:val="auto"/>
        </w:rPr>
        <w:t>Original Issue Date</w:t>
      </w:r>
      <w:r>
        <w:rPr>
          <w:rFonts w:ascii="Times New Roman" w:cs="Times New Roman" w:eastAsia="Times New Roman" w:hAnsi="Times New Roman"/>
          <w:sz w:val="12"/>
          <w:szCs w:val="12"/>
          <w:color w:val="auto"/>
        </w:rPr>
        <w:t>”), subject to the following terms and conditions:</w:t>
      </w:r>
    </w:p>
    <w:p>
      <w:pPr>
        <w:spacing w:after="0" w:line="121"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This Warrant is one of a series of similar warrants issued pursuant to that certain Subscription Agreement, dated September 15, 2025, by and among the Company and the Subscribers identified therein (the “</w:t>
      </w:r>
      <w:r>
        <w:rPr>
          <w:rFonts w:ascii="Times New Roman" w:cs="Times New Roman" w:eastAsia="Times New Roman" w:hAnsi="Times New Roman"/>
          <w:sz w:val="12"/>
          <w:szCs w:val="12"/>
          <w:b w:val="1"/>
          <w:bCs w:val="1"/>
          <w:color w:val="auto"/>
        </w:rPr>
        <w:t>Purchase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Certain capitalized terms used below and not otherwise defined have the meanings given to such terms in the Purchase Agreement.</w:t>
      </w:r>
    </w:p>
    <w:p>
      <w:pPr>
        <w:spacing w:after="0" w:line="103" w:lineRule="exact"/>
        <w:rPr>
          <w:sz w:val="20"/>
          <w:szCs w:val="20"/>
          <w:color w:val="auto"/>
        </w:rPr>
      </w:pPr>
    </w:p>
    <w:p>
      <w:pPr>
        <w:ind w:left="540" w:hanging="116"/>
        <w:spacing w:after="0"/>
        <w:tabs>
          <w:tab w:leader="none" w:pos="54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Definitions</w:t>
      </w:r>
      <w:r>
        <w:rPr>
          <w:rFonts w:ascii="Times New Roman" w:cs="Times New Roman" w:eastAsia="Times New Roman" w:hAnsi="Times New Roman"/>
          <w:sz w:val="12"/>
          <w:szCs w:val="12"/>
          <w:color w:val="auto"/>
        </w:rPr>
        <w:t>. For purposes of this Warrant, the following terms shall have the following meanings:</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xml:space="preserve">” means, with respect to any specified Person, (a) any other Person that, directly or indirectly through one or more intermediates, controls, is controlled by or is under common control with such Person or (b) in the event that the specified Person is a natural Person, a Member of the Immediate Family of such Person; provided that the Company and each of its subsidiaries shall be deemed not to be Affiliates of any Subscriber. As used in this definition, the term “control” means the possession, directly or indirectly, of the power to direct or cause the direction of the management and policies of a Person, whether through ownership of voting securities, by contract or otherwise;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Affiliates of any Person that is an investment fund shall not include any portfolio companies of such investment fund or any affiliated investment fund.</w:t>
      </w:r>
    </w:p>
    <w:p>
      <w:pPr>
        <w:spacing w:after="0" w:line="117"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Attribution Parties</w:t>
      </w:r>
      <w:r>
        <w:rPr>
          <w:rFonts w:ascii="Times New Roman" w:cs="Times New Roman" w:eastAsia="Times New Roman" w:hAnsi="Times New Roman"/>
          <w:sz w:val="12"/>
          <w:szCs w:val="12"/>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or any of its Affiliates or principals,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8" w:name="page9"/>
    <w:bookmarkEnd w:id="8"/>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Closing Sale Price</w:t>
      </w:r>
      <w:r>
        <w:rPr>
          <w:rFonts w:ascii="Times New Roman" w:cs="Times New Roman" w:eastAsia="Times New Roman" w:hAnsi="Times New Roman"/>
          <w:sz w:val="12"/>
          <w:szCs w:val="12"/>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Commission</w:t>
      </w:r>
      <w:r>
        <w:rPr>
          <w:rFonts w:ascii="Times New Roman" w:cs="Times New Roman" w:eastAsia="Times New Roman" w:hAnsi="Times New Roman"/>
          <w:sz w:val="12"/>
          <w:szCs w:val="12"/>
          <w:color w:val="auto"/>
        </w:rPr>
        <w:t>” means the U.S. Securities and Exchange Commission.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means the U.S. Securities Exchange Act of 1934, as amended, and all of the rules and regulations promulgated thereunder.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Group</w:t>
      </w:r>
      <w:r>
        <w:rPr>
          <w:rFonts w:ascii="Times New Roman" w:cs="Times New Roman" w:eastAsia="Times New Roman" w:hAnsi="Times New Roman"/>
          <w:sz w:val="12"/>
          <w:szCs w:val="12"/>
          <w:color w:val="auto"/>
        </w:rPr>
        <w:t>” shall have the meaning ascribed to it in Section 13(d) of the Exchange Act, and all related rules, regulations and jurisprudence.</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Member of the Immediate Family</w:t>
      </w:r>
      <w:r>
        <w:rPr>
          <w:rFonts w:ascii="Times New Roman" w:cs="Times New Roman" w:eastAsia="Times New Roman" w:hAnsi="Times New Roman"/>
          <w:sz w:val="12"/>
          <w:szCs w:val="12"/>
          <w:color w:val="auto"/>
        </w:rPr>
        <w:t>” means, with respect to any Person who is an individual, (a) each parent, spouse (but not including a former spouse or a spouse from whom such Person is legally separated) or child (including those adopted) of such individual and (b) each trustee, solely in his or her capacity as trustee, for a trust naming only one or more of the Persons listed in sub-clause (a) as beneficiaries.</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Principal Trading Market</w:t>
      </w:r>
      <w:r>
        <w:rPr>
          <w:rFonts w:ascii="Times New Roman" w:cs="Times New Roman" w:eastAsia="Times New Roman" w:hAnsi="Times New Roman"/>
          <w:sz w:val="12"/>
          <w:szCs w:val="12"/>
          <w:color w:val="auto"/>
        </w:rPr>
        <w:t>” means the national securities exchange or other trading market on which the Common Stock is primarily listed on and quoted for trading, which, as of the Original Issue Date, is The Nasdaq Capital Market.</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means the U.S. Securities Act of 1933, as amended, and all of the rules and regulations promulgated thereunder.</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Standard Settlement Period</w:t>
      </w:r>
      <w:r>
        <w:rPr>
          <w:rFonts w:ascii="Times New Roman" w:cs="Times New Roman" w:eastAsia="Times New Roman" w:hAnsi="Times New Roman"/>
          <w:sz w:val="12"/>
          <w:szCs w:val="12"/>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Trading Day</w:t>
      </w:r>
      <w:r>
        <w:rPr>
          <w:rFonts w:ascii="Times New Roman" w:cs="Times New Roman" w:eastAsia="Times New Roman" w:hAnsi="Times New Roman"/>
          <w:sz w:val="12"/>
          <w:szCs w:val="12"/>
          <w:color w:val="auto"/>
        </w:rPr>
        <w:t>” means any weekday on which the Principal Trading Market is open for trading.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 Agent</w:t>
      </w:r>
      <w:r>
        <w:rPr>
          <w:rFonts w:ascii="Times New Roman" w:cs="Times New Roman" w:eastAsia="Times New Roman" w:hAnsi="Times New Roman"/>
          <w:sz w:val="12"/>
          <w:szCs w:val="12"/>
          <w:color w:val="auto"/>
        </w:rPr>
        <w:t>” means Equiniti Trust Company, LLC, the Company’s transfer agent and registrar for the Common Stock, and any successor appointed in such capacity.</w:t>
      </w:r>
    </w:p>
    <w:p>
      <w:pPr>
        <w:spacing w:after="0" w:line="150" w:lineRule="exact"/>
        <w:rPr>
          <w:sz w:val="20"/>
          <w:szCs w:val="20"/>
          <w:color w:val="auto"/>
        </w:rPr>
      </w:pPr>
    </w:p>
    <w:p>
      <w:pPr>
        <w:jc w:val="both"/>
        <w:ind w:firstLine="424"/>
        <w:spacing w:after="0" w:line="268" w:lineRule="auto"/>
        <w:tabs>
          <w:tab w:leader="none" w:pos="552"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Issuance of Securities; Registration of Warrants</w:t>
      </w:r>
      <w:r>
        <w:rPr>
          <w:rFonts w:ascii="Times New Roman" w:cs="Times New Roman" w:eastAsia="Times New Roman" w:hAnsi="Times New Roman"/>
          <w:sz w:val="12"/>
          <w:szCs w:val="12"/>
          <w:color w:val="auto"/>
        </w:rPr>
        <w:t>. The Company shall register ownership of this Warrant, upon records to be maintained by the Company for that purpose (the “</w:t>
      </w:r>
      <w:r>
        <w:rPr>
          <w:rFonts w:ascii="Times New Roman" w:cs="Times New Roman" w:eastAsia="Times New Roman" w:hAnsi="Times New Roman"/>
          <w:sz w:val="12"/>
          <w:szCs w:val="12"/>
          <w:b w:val="1"/>
          <w:bCs w:val="1"/>
          <w:color w:val="auto"/>
        </w:rPr>
        <w:t>Warrant Register</w:t>
      </w:r>
      <w:r>
        <w:rPr>
          <w:rFonts w:ascii="Times New Roman" w:cs="Times New Roman" w:eastAsia="Times New Roman" w:hAnsi="Times New Roman"/>
          <w:sz w:val="12"/>
          <w:szCs w:val="12"/>
          <w:color w:val="auto"/>
        </w:rPr>
        <w:t>”), in the name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13" w:lineRule="exact"/>
        <w:rPr>
          <w:rFonts w:ascii="Times New Roman" w:cs="Times New Roman" w:eastAsia="Times New Roman" w:hAnsi="Times New Roman"/>
          <w:sz w:val="12"/>
          <w:szCs w:val="12"/>
          <w:b w:val="1"/>
          <w:bCs w:val="1"/>
          <w:color w:val="auto"/>
        </w:rPr>
      </w:pPr>
    </w:p>
    <w:p>
      <w:pPr>
        <w:jc w:val="both"/>
        <w:ind w:firstLine="424"/>
        <w:spacing w:after="0" w:line="255" w:lineRule="auto"/>
        <w:tabs>
          <w:tab w:leader="none" w:pos="552"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Registration of Transfers</w:t>
      </w:r>
      <w:r>
        <w:rPr>
          <w:rFonts w:ascii="Times New Roman" w:cs="Times New Roman" w:eastAsia="Times New Roman" w:hAnsi="Times New Roman"/>
          <w:sz w:val="12"/>
          <w:szCs w:val="12"/>
          <w:color w:val="auto"/>
        </w:rPr>
        <w:t>. This Warrant and all rights hereunder (including, without limitation, any registration rights in respect of the Warrant Shares) are transferable, in whole or in part, upon surrender of this Warrant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principal office of the Company or its designated agent, together with a written assignment of this Warrant substantially in the form attached hereto duly executed by the Holder or its agent or attorney, duly authorized,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2"/>
          <w:szCs w:val="12"/>
          <w:b w:val="1"/>
          <w:bCs w:val="1"/>
          <w:color w:val="auto"/>
        </w:rPr>
        <w:t>New Warrant</w:t>
      </w:r>
      <w:r>
        <w:rPr>
          <w:rFonts w:ascii="Times New Roman" w:cs="Times New Roman" w:eastAsia="Times New Roman" w:hAnsi="Times New Roman"/>
          <w:sz w:val="12"/>
          <w:szCs w:val="12"/>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Until due presentment for registration of transfer, the Company may treat the registered Holder hereof as the owner and holder for all purposes, and the Company shall not be affected by any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 w:name="page10"/>
    <w:bookmarkEnd w:id="9"/>
    <w:p>
      <w:pPr>
        <w:ind w:left="548" w:hanging="116"/>
        <w:spacing w:after="0"/>
        <w:tabs>
          <w:tab w:leader="none" w:pos="548" w:val="left"/>
        </w:tabs>
        <w:numPr>
          <w:ilvl w:val="1"/>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Exercise of Warrants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b w:val="1"/>
          <w:bCs w:val="1"/>
          <w:color w:val="auto"/>
        </w:rPr>
      </w:pPr>
    </w:p>
    <w:p>
      <w:pPr>
        <w:ind w:left="8" w:right="20" w:firstLine="856"/>
        <w:spacing w:after="0" w:line="279" w:lineRule="auto"/>
        <w:tabs>
          <w:tab w:leader="none" w:pos="1030" w:val="left"/>
        </w:tabs>
        <w:numPr>
          <w:ilvl w:val="2"/>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at any time and from time to time on or after the Original Issue Date, and such rights shall not expire until exercised in full.</w:t>
      </w:r>
    </w:p>
    <w:p>
      <w:pPr>
        <w:spacing w:after="0" w:line="107" w:lineRule="exact"/>
        <w:rPr>
          <w:rFonts w:ascii="Times New Roman" w:cs="Times New Roman" w:eastAsia="Times New Roman" w:hAnsi="Times New Roman"/>
          <w:sz w:val="12"/>
          <w:szCs w:val="12"/>
          <w:color w:val="auto"/>
        </w:rPr>
      </w:pPr>
    </w:p>
    <w:p>
      <w:pPr>
        <w:jc w:val="both"/>
        <w:ind w:left="8" w:firstLine="856"/>
        <w:spacing w:after="0" w:line="259" w:lineRule="auto"/>
        <w:tabs>
          <w:tab w:leader="none" w:pos="1046" w:val="left"/>
        </w:tabs>
        <w:numPr>
          <w:ilvl w:val="2"/>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Holder may exercise this Warrant by delivering to the Company (i) an exercise notice, in the form attached as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hereto (the “</w:t>
      </w:r>
      <w:r>
        <w:rPr>
          <w:rFonts w:ascii="Times New Roman" w:cs="Times New Roman" w:eastAsia="Times New Roman" w:hAnsi="Times New Roman"/>
          <w:sz w:val="12"/>
          <w:szCs w:val="12"/>
          <w:b w:val="1"/>
          <w:bCs w:val="1"/>
          <w:color w:val="auto"/>
        </w:rPr>
        <w:t>Exercise Notice</w:t>
      </w:r>
      <w:r>
        <w:rPr>
          <w:rFonts w:ascii="Times New Roman" w:cs="Times New Roman" w:eastAsia="Times New Roman" w:hAnsi="Times New Roman"/>
          <w:sz w:val="12"/>
          <w:szCs w:val="12"/>
          <w:color w:val="auto"/>
        </w:rPr>
        <w:t xml:space="preserve">”), completed and duly signed, and (ii) payment of the Remaining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2"/>
          <w:szCs w:val="12"/>
          <w:b w:val="1"/>
          <w:bCs w:val="1"/>
          <w:color w:val="auto"/>
        </w:rPr>
        <w:t>“Exercise Date</w:t>
      </w:r>
      <w:r>
        <w:rPr>
          <w:rFonts w:ascii="Times New Roman" w:cs="Times New Roman" w:eastAsia="Times New Roman" w:hAnsi="Times New Roman"/>
          <w:sz w:val="12"/>
          <w:szCs w:val="12"/>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23" w:lineRule="exact"/>
        <w:rPr>
          <w:rFonts w:ascii="Times New Roman" w:cs="Times New Roman" w:eastAsia="Times New Roman" w:hAnsi="Times New Roman"/>
          <w:sz w:val="12"/>
          <w:szCs w:val="12"/>
          <w:color w:val="auto"/>
        </w:rPr>
      </w:pPr>
    </w:p>
    <w:p>
      <w:pPr>
        <w:ind w:left="8" w:firstLine="856"/>
        <w:spacing w:after="0" w:line="279" w:lineRule="auto"/>
        <w:tabs>
          <w:tab w:leader="none" w:pos="1033" w:val="left"/>
        </w:tabs>
        <w:numPr>
          <w:ilvl w:val="2"/>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107" w:lineRule="exact"/>
        <w:rPr>
          <w:rFonts w:ascii="Times New Roman" w:cs="Times New Roman" w:eastAsia="Times New Roman" w:hAnsi="Times New Roman"/>
          <w:sz w:val="12"/>
          <w:szCs w:val="12"/>
          <w:color w:val="auto"/>
        </w:rPr>
      </w:pPr>
    </w:p>
    <w:p>
      <w:pPr>
        <w:ind w:left="548" w:hanging="116"/>
        <w:spacing w:after="0"/>
        <w:tabs>
          <w:tab w:leader="none" w:pos="548" w:val="left"/>
        </w:tabs>
        <w:numPr>
          <w:ilvl w:val="1"/>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Delivery of Warrant Shares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b w:val="1"/>
          <w:bCs w:val="1"/>
          <w:color w:val="auto"/>
        </w:rPr>
      </w:pPr>
    </w:p>
    <w:p>
      <w:pPr>
        <w:jc w:val="both"/>
        <w:ind w:left="8" w:firstLine="856"/>
        <w:spacing w:after="0" w:line="259" w:lineRule="auto"/>
        <w:tabs>
          <w:tab w:leader="none" w:pos="1038" w:val="left"/>
        </w:tabs>
        <w:numPr>
          <w:ilvl w:val="2"/>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2"/>
          <w:szCs w:val="12"/>
          <w:b w:val="1"/>
          <w:bCs w:val="1"/>
          <w:color w:val="auto"/>
        </w:rPr>
        <w:t>Exercise Shares</w:t>
      </w:r>
      <w:r>
        <w:rPr>
          <w:rFonts w:ascii="Times New Roman" w:cs="Times New Roman" w:eastAsia="Times New Roman" w:hAnsi="Times New Roman"/>
          <w:sz w:val="12"/>
          <w:szCs w:val="12"/>
          <w:color w:val="auto"/>
        </w:rPr>
        <w:t>”) to</w:t>
      </w:r>
    </w:p>
    <w:p>
      <w:pPr>
        <w:spacing w:after="0" w:line="1" w:lineRule="exact"/>
        <w:rPr>
          <w:rFonts w:ascii="Times New Roman" w:cs="Times New Roman" w:eastAsia="Times New Roman" w:hAnsi="Times New Roman"/>
          <w:sz w:val="12"/>
          <w:szCs w:val="12"/>
          <w:color w:val="auto"/>
        </w:rPr>
      </w:pPr>
    </w:p>
    <w:p>
      <w:pPr>
        <w:jc w:val="both"/>
        <w:ind w:left="8" w:hanging="8"/>
        <w:spacing w:after="0" w:line="251" w:lineRule="auto"/>
        <w:tabs>
          <w:tab w:leader="none" w:pos="153"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Holder’s or its designee’s balance account with The Depository Trust Company (“</w:t>
      </w:r>
      <w:r>
        <w:rPr>
          <w:rFonts w:ascii="Times New Roman" w:cs="Times New Roman" w:eastAsia="Times New Roman" w:hAnsi="Times New Roman"/>
          <w:sz w:val="12"/>
          <w:szCs w:val="12"/>
          <w:b w:val="1"/>
          <w:bCs w:val="1"/>
          <w:color w:val="auto"/>
        </w:rPr>
        <w:t>DTC</w:t>
      </w:r>
      <w:r>
        <w:rPr>
          <w:rFonts w:ascii="Times New Roman" w:cs="Times New Roman" w:eastAsia="Times New Roman" w:hAnsi="Times New Roman"/>
          <w:sz w:val="12"/>
          <w:szCs w:val="12"/>
          <w:color w:val="auto"/>
        </w:rPr>
        <w:t>”) through its Deposit Withdrawal At Custodian system or (ii) in book-entry form via a direct registration system (“</w:t>
      </w:r>
      <w:r>
        <w:rPr>
          <w:rFonts w:ascii="Times New Roman" w:cs="Times New Roman" w:eastAsia="Times New Roman" w:hAnsi="Times New Roman"/>
          <w:sz w:val="12"/>
          <w:szCs w:val="12"/>
          <w:b w:val="1"/>
          <w:bCs w:val="1"/>
          <w:color w:val="auto"/>
        </w:rPr>
        <w:t>DRS</w:t>
      </w:r>
      <w:r>
        <w:rPr>
          <w:rFonts w:ascii="Times New Roman" w:cs="Times New Roman" w:eastAsia="Times New Roman" w:hAnsi="Times New Roman"/>
          <w:sz w:val="12"/>
          <w:szCs w:val="12"/>
          <w:color w:val="auto"/>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and stop transfer notation,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reflecting such legend and notation.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0" w:name="page11"/>
    <w:bookmarkEnd w:id="10"/>
    <w:p>
      <w:pPr>
        <w:jc w:val="both"/>
        <w:ind w:left="-424" w:firstLine="856"/>
        <w:spacing w:after="0" w:line="255" w:lineRule="auto"/>
        <w:tabs>
          <w:tab w:leader="none" w:pos="610"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addition to any other rights available to the Holder, if the Company fails to cause the Transfer Agent to deliver to the Holder or its designee Exercise Shares in the manner required pursuant to </w:t>
      </w:r>
      <w:r>
        <w:rPr>
          <w:rFonts w:ascii="Times New Roman" w:cs="Times New Roman" w:eastAsia="Times New Roman" w:hAnsi="Times New Roman"/>
          <w:sz w:val="12"/>
          <w:szCs w:val="12"/>
          <w:u w:val="single" w:color="auto"/>
          <w:color w:val="auto"/>
        </w:rPr>
        <w:t>Section 5(a)</w:t>
      </w:r>
      <w:r>
        <w:rPr>
          <w:rFonts w:ascii="Times New Roman" w:cs="Times New Roman" w:eastAsia="Times New Roman" w:hAnsi="Times New Roman"/>
          <w:sz w:val="12"/>
          <w:szCs w:val="12"/>
          <w:color w:val="auto"/>
        </w:rPr>
        <w:t xml:space="preserve"> within the Standard Settlement Period following the Exercise Date (other than a failure caused by 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2"/>
          <w:szCs w:val="12"/>
          <w:b w:val="1"/>
          <w:bCs w:val="1"/>
          <w:color w:val="auto"/>
        </w:rPr>
        <w:t>Buy-In</w:t>
      </w:r>
      <w:r>
        <w:rPr>
          <w:rFonts w:ascii="Times New Roman" w:cs="Times New Roman" w:eastAsia="Times New Roman" w:hAnsi="Times New Roman"/>
          <w:sz w:val="12"/>
          <w:szCs w:val="12"/>
          <w:color w:val="auto"/>
        </w:rPr>
        <w:t xml:space="preserve">”) but did not receive within the Standard Settlement Period, then the Company shall, within two (2)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2"/>
          <w:szCs w:val="12"/>
          <w:u w:val="single" w:color="auto"/>
          <w:color w:val="auto"/>
        </w:rPr>
        <w:t>Section 5(a)</w:t>
      </w:r>
      <w:r>
        <w:rPr>
          <w:rFonts w:ascii="Times New Roman" w:cs="Times New Roman" w:eastAsia="Times New Roman" w:hAnsi="Times New Roman"/>
          <w:sz w:val="12"/>
          <w:szCs w:val="12"/>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125" w:lineRule="exact"/>
        <w:rPr>
          <w:rFonts w:ascii="Times New Roman" w:cs="Times New Roman" w:eastAsia="Times New Roman" w:hAnsi="Times New Roman"/>
          <w:sz w:val="12"/>
          <w:szCs w:val="12"/>
          <w:color w:val="auto"/>
        </w:rPr>
      </w:pPr>
    </w:p>
    <w:p>
      <w:pPr>
        <w:jc w:val="both"/>
        <w:ind w:left="-424" w:firstLine="856"/>
        <w:spacing w:after="0" w:line="255" w:lineRule="auto"/>
        <w:tabs>
          <w:tab w:leader="none" w:pos="606"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 extent permitted by law and subject to </w:t>
      </w:r>
      <w:r>
        <w:rPr>
          <w:rFonts w:ascii="Times New Roman" w:cs="Times New Roman" w:eastAsia="Times New Roman" w:hAnsi="Times New Roman"/>
          <w:sz w:val="12"/>
          <w:szCs w:val="12"/>
          <w:u w:val="single" w:color="auto"/>
          <w:color w:val="auto"/>
        </w:rPr>
        <w:t>Section 5(b)</w:t>
      </w:r>
      <w:r>
        <w:rPr>
          <w:rFonts w:ascii="Times New Roman" w:cs="Times New Roman" w:eastAsia="Times New Roman" w:hAnsi="Times New Roman"/>
          <w:sz w:val="12"/>
          <w:szCs w:val="12"/>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2"/>
          <w:szCs w:val="12"/>
          <w:u w:val="single" w:color="auto"/>
          <w:color w:val="auto"/>
        </w:rPr>
        <w:t>Section 5(b)</w:t>
      </w:r>
      <w:r>
        <w:rPr>
          <w:rFonts w:ascii="Times New Roman" w:cs="Times New Roman" w:eastAsia="Times New Roman" w:hAnsi="Times New Roman"/>
          <w:sz w:val="12"/>
          <w:szCs w:val="12"/>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w:t>
      </w:r>
    </w:p>
    <w:p>
      <w:pPr>
        <w:spacing w:after="0" w:line="121" w:lineRule="exact"/>
        <w:rPr>
          <w:rFonts w:ascii="Times New Roman" w:cs="Times New Roman" w:eastAsia="Times New Roman" w:hAnsi="Times New Roman"/>
          <w:sz w:val="12"/>
          <w:szCs w:val="12"/>
          <w:color w:val="auto"/>
        </w:rPr>
      </w:pPr>
    </w:p>
    <w:p>
      <w:pPr>
        <w:jc w:val="both"/>
        <w:ind w:left="-424" w:firstLine="424"/>
        <w:spacing w:after="0" w:line="262" w:lineRule="auto"/>
        <w:tabs>
          <w:tab w:leader="none" w:pos="137"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Charges, Taxes and Expenses</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Issuance and delivery of Exercise Shares shall be made without charge to the Holder for any issue or transfer tax, transfer agent fee or other incidental tax or expense (excluding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The Holder shall be responsible for all other tax liabilities that may arise as a result of holding or transferring this Warrant or receiving Warrant Shares upon exercise hereof. Each party hereto intends that this Warrant shall be treated as stock for U.S. federal (and applicable state and local) income tax purposes.</w:t>
      </w:r>
    </w:p>
    <w:p>
      <w:pPr>
        <w:spacing w:after="0" w:line="117" w:lineRule="exact"/>
        <w:rPr>
          <w:rFonts w:ascii="Times New Roman" w:cs="Times New Roman" w:eastAsia="Times New Roman" w:hAnsi="Times New Roman"/>
          <w:sz w:val="12"/>
          <w:szCs w:val="12"/>
          <w:b w:val="1"/>
          <w:bCs w:val="1"/>
          <w:color w:val="auto"/>
        </w:rPr>
      </w:pPr>
    </w:p>
    <w:p>
      <w:pPr>
        <w:jc w:val="both"/>
        <w:ind w:left="-424" w:firstLine="424"/>
        <w:spacing w:after="0" w:line="262" w:lineRule="auto"/>
        <w:tabs>
          <w:tab w:leader="none" w:pos="12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Replacement of Warrant</w:t>
      </w:r>
      <w:r>
        <w:rPr>
          <w:rFonts w:ascii="Times New Roman" w:cs="Times New Roman" w:eastAsia="Times New Roman" w:hAnsi="Times New Roman"/>
          <w:sz w:val="12"/>
          <w:szCs w:val="12"/>
          <w:color w:val="auto"/>
        </w:rPr>
        <w:t>. If this Warrant is mutilated, lost, stolen or destroyed, the Company shall issue or cause to be issued in exchange and substitution for and upon cancellation hereof, or in lieu of and substitution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Warrant, a New Warrant, but only upon receipt of evidence reasonably satisfactory to the Company of such loss, theft or destruction (in such case) and, in each case, a customary contractual indemnity reasonably acceptable to the Company, if requested. If a New Warrant is requested as a result of a mutilation of this Warrant, then the Holder shall deliver such mutilated Warrant to the Company as a condition precedent to the Company’s obligation to issue the New Warrant.</w:t>
      </w:r>
    </w:p>
    <w:p>
      <w:pPr>
        <w:spacing w:after="0" w:line="117" w:lineRule="exact"/>
        <w:rPr>
          <w:rFonts w:ascii="Times New Roman" w:cs="Times New Roman" w:eastAsia="Times New Roman" w:hAnsi="Times New Roman"/>
          <w:sz w:val="12"/>
          <w:szCs w:val="12"/>
          <w:b w:val="1"/>
          <w:bCs w:val="1"/>
          <w:color w:val="auto"/>
        </w:rPr>
      </w:pPr>
    </w:p>
    <w:p>
      <w:pPr>
        <w:jc w:val="both"/>
        <w:ind w:left="-424" w:firstLine="424"/>
        <w:spacing w:after="0" w:line="256" w:lineRule="auto"/>
        <w:tabs>
          <w:tab w:leader="none" w:pos="12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Reservation of Warrant Shares</w:t>
      </w:r>
      <w:r>
        <w:rPr>
          <w:rFonts w:ascii="Times New Roman" w:cs="Times New Roman" w:eastAsia="Times New Roman" w:hAnsi="Times New Roman"/>
          <w:sz w:val="12"/>
          <w:szCs w:val="12"/>
          <w:color w:val="auto"/>
        </w:rPr>
        <w:t>. The Company covenants that it will, at all times while this Warrant is outstanding, reserve and keep available out of the aggregate of its authorized but unissued and otherwise unreserved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Common Stock, solely for the purpose of enabling it to issue Warrant Shares upon exercise of this Warrant as herein provided, the number of Warrant Shares that are at all times issuable and deliverable upon the exercise of this entire Warrant (without regard to any limitations or restrictions on exercise of this Warrant, including without limitation, the Maximum Percentage (as defined below)), free from preemptive rights or any other contingent purchase rights of persons other than the Holder (taking into account the adjustments and restrictions of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The Company covenants that all Warrant Shares so issuable and deliverable shall, upon issuance and the payment of the applicable Remaining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by the Company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178435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76"/>
          </w:cols>
          <w:pgMar w:left="724" w:top="651" w:right="299" w:bottom="1440" w:gutter="0" w:footer="0" w:header="0"/>
        </w:sectPr>
      </w:pPr>
    </w:p>
    <w:bookmarkStart w:id="11" w:name="page12"/>
    <w:bookmarkEnd w:id="11"/>
    <w:p>
      <w:pPr>
        <w:ind w:left="540" w:hanging="116"/>
        <w:spacing w:after="0"/>
        <w:tabs>
          <w:tab w:leader="none" w:pos="540" w:val="left"/>
        </w:tabs>
        <w:numPr>
          <w:ilvl w:val="0"/>
          <w:numId w:val="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u w:val="single" w:color="auto"/>
          <w:color w:val="auto"/>
        </w:rPr>
        <w:t>Certain Adjustments</w:t>
      </w:r>
      <w:r>
        <w:rPr>
          <w:rFonts w:ascii="Times New Roman" w:cs="Times New Roman" w:eastAsia="Times New Roman" w:hAnsi="Times New Roman"/>
          <w:sz w:val="11"/>
          <w:szCs w:val="11"/>
          <w:color w:val="auto"/>
        </w:rPr>
        <w:t>. The Remaining Exercise Price and number of Warrant Shares issuable upon exercise of this Warrant (the “</w:t>
      </w:r>
      <w:r>
        <w:rPr>
          <w:rFonts w:ascii="Times New Roman" w:cs="Times New Roman" w:eastAsia="Times New Roman" w:hAnsi="Times New Roman"/>
          <w:sz w:val="11"/>
          <w:szCs w:val="11"/>
          <w:b w:val="1"/>
          <w:bCs w:val="1"/>
          <w:color w:val="auto"/>
        </w:rPr>
        <w:t>Number of Warrant Shares</w:t>
      </w:r>
      <w:r>
        <w:rPr>
          <w:rFonts w:ascii="Times New Roman" w:cs="Times New Roman" w:eastAsia="Times New Roman" w:hAnsi="Times New Roman"/>
          <w:sz w:val="11"/>
          <w:szCs w:val="11"/>
          <w:color w:val="auto"/>
        </w:rPr>
        <w:t>”) are subject to adjustment from time to time as set forth in this</w:t>
      </w:r>
    </w:p>
    <w:p>
      <w:pPr>
        <w:spacing w:after="0" w:line="32" w:lineRule="exact"/>
        <w:rPr>
          <w:rFonts w:ascii="Times New Roman" w:cs="Times New Roman" w:eastAsia="Times New Roman" w:hAnsi="Times New Roman"/>
          <w:sz w:val="11"/>
          <w:szCs w:val="11"/>
          <w:b w:val="1"/>
          <w:bCs w:val="1"/>
          <w:color w:val="auto"/>
        </w:rPr>
      </w:pPr>
    </w:p>
    <w:p>
      <w:pPr>
        <w:spacing w:after="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w:t>
      </w:r>
    </w:p>
    <w:p>
      <w:pPr>
        <w:spacing w:after="0" w:line="139" w:lineRule="exact"/>
        <w:rPr>
          <w:rFonts w:ascii="Times New Roman" w:cs="Times New Roman" w:eastAsia="Times New Roman" w:hAnsi="Times New Roman"/>
          <w:sz w:val="11"/>
          <w:szCs w:val="11"/>
          <w:b w:val="1"/>
          <w:bCs w:val="1"/>
          <w:color w:val="auto"/>
        </w:rPr>
      </w:pPr>
    </w:p>
    <w:p>
      <w:pPr>
        <w:jc w:val="both"/>
        <w:ind w:firstLine="856"/>
        <w:spacing w:after="0" w:line="254" w:lineRule="auto"/>
        <w:tabs>
          <w:tab w:leader="none" w:pos="1027"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Stock Dividends and Splits</w:t>
      </w:r>
      <w:r>
        <w:rPr>
          <w:rFonts w:ascii="Times New Roman" w:cs="Times New Roman" w:eastAsia="Times New Roman" w:hAnsi="Times New Roman"/>
          <w:sz w:val="12"/>
          <w:szCs w:val="12"/>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27" w:lineRule="exact"/>
        <w:rPr>
          <w:rFonts w:ascii="Times New Roman" w:cs="Times New Roman" w:eastAsia="Times New Roman" w:hAnsi="Times New Roman"/>
          <w:sz w:val="12"/>
          <w:szCs w:val="12"/>
          <w:color w:val="auto"/>
        </w:rPr>
      </w:pPr>
    </w:p>
    <w:p>
      <w:pPr>
        <w:jc w:val="both"/>
        <w:ind w:firstLine="856"/>
        <w:spacing w:after="0" w:line="253" w:lineRule="auto"/>
        <w:tabs>
          <w:tab w:leader="none" w:pos="1043"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 Rata Distributions</w:t>
      </w:r>
      <w:r>
        <w:rPr>
          <w:rFonts w:ascii="Times New Roman" w:cs="Times New Roman" w:eastAsia="Times New Roman" w:hAnsi="Times New Roman"/>
          <w:sz w:val="12"/>
          <w:szCs w:val="12"/>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2"/>
          <w:szCs w:val="12"/>
          <w:u w:val="single" w:color="auto"/>
          <w:color w:val="auto"/>
        </w:rPr>
        <w:t>Section 9(a)</w:t>
      </w:r>
      <w:r>
        <w:rPr>
          <w:rFonts w:ascii="Times New Roman" w:cs="Times New Roman" w:eastAsia="Times New Roman" w:hAnsi="Times New Roman"/>
          <w:sz w:val="12"/>
          <w:szCs w:val="12"/>
          <w:color w:val="auto"/>
        </w:rPr>
        <w:t xml:space="preserve">, any distribution of Purchase Rights (as defined below) subject to </w:t>
      </w:r>
      <w:r>
        <w:rPr>
          <w:rFonts w:ascii="Times New Roman" w:cs="Times New Roman" w:eastAsia="Times New Roman" w:hAnsi="Times New Roman"/>
          <w:sz w:val="12"/>
          <w:szCs w:val="12"/>
          <w:u w:val="single" w:color="auto"/>
          <w:color w:val="auto"/>
        </w:rPr>
        <w:t>Section 9(c)</w:t>
      </w:r>
      <w:r>
        <w:rPr>
          <w:rFonts w:ascii="Times New Roman" w:cs="Times New Roman" w:eastAsia="Times New Roman" w:hAnsi="Times New Roman"/>
          <w:sz w:val="12"/>
          <w:szCs w:val="12"/>
          <w:color w:val="auto"/>
        </w:rPr>
        <w:t xml:space="preserve"> and any Fundamental Transaction (as defined below) subject to </w:t>
      </w:r>
      <w:r>
        <w:rPr>
          <w:rFonts w:ascii="Times New Roman" w:cs="Times New Roman" w:eastAsia="Times New Roman" w:hAnsi="Times New Roman"/>
          <w:sz w:val="12"/>
          <w:szCs w:val="12"/>
          <w:u w:val="single" w:color="auto"/>
          <w:color w:val="auto"/>
        </w:rPr>
        <w:t>Section 9(d))</w:t>
      </w:r>
      <w:r>
        <w:rPr>
          <w:rFonts w:ascii="Times New Roman" w:cs="Times New Roman" w:eastAsia="Times New Roman" w:hAnsi="Times New Roman"/>
          <w:sz w:val="12"/>
          <w:szCs w:val="12"/>
          <w:color w:val="auto"/>
        </w:rPr>
        <w:t xml:space="preserve"> (a “</w:t>
      </w:r>
      <w:r>
        <w:rPr>
          <w:rFonts w:ascii="Times New Roman" w:cs="Times New Roman" w:eastAsia="Times New Roman" w:hAnsi="Times New Roman"/>
          <w:sz w:val="12"/>
          <w:szCs w:val="12"/>
          <w:b w:val="1"/>
          <w:bCs w:val="1"/>
          <w:color w:val="auto"/>
        </w:rPr>
        <w:t>Distribution</w:t>
      </w:r>
      <w:r>
        <w:rPr>
          <w:rFonts w:ascii="Times New Roman" w:cs="Times New Roman" w:eastAsia="Times New Roman" w:hAnsi="Times New Roman"/>
          <w:sz w:val="12"/>
          <w:szCs w:val="12"/>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179705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 w:name="page13"/>
    <w:bookmarkEnd w:id="12"/>
    <w:p>
      <w:pPr>
        <w:jc w:val="both"/>
        <w:ind w:left="8" w:firstLine="856"/>
        <w:spacing w:after="0" w:line="252" w:lineRule="auto"/>
        <w:tabs>
          <w:tab w:leader="none" w:pos="1035"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Purchase Rights</w:t>
      </w:r>
      <w:r>
        <w:rPr>
          <w:rFonts w:ascii="Times New Roman" w:cs="Times New Roman" w:eastAsia="Times New Roman" w:hAnsi="Times New Roman"/>
          <w:sz w:val="12"/>
          <w:szCs w:val="12"/>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2"/>
          <w:szCs w:val="12"/>
          <w:b w:val="1"/>
          <w:bCs w:val="1"/>
          <w:color w:val="auto"/>
        </w:rPr>
        <w:t>Purchase Rights</w:t>
      </w:r>
      <w:r>
        <w:rPr>
          <w:rFonts w:ascii="Times New Roman" w:cs="Times New Roman" w:eastAsia="Times New Roman" w:hAnsi="Times New Roman"/>
          <w:sz w:val="12"/>
          <w:szCs w:val="12"/>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2"/>
          <w:szCs w:val="12"/>
          <w:u w:val="single" w:color="auto"/>
          <w:color w:val="auto"/>
        </w:rPr>
        <w:t>Section 9(c)</w:t>
      </w:r>
      <w:r>
        <w:rPr>
          <w:rFonts w:ascii="Times New Roman" w:cs="Times New Roman" w:eastAsia="Times New Roman" w:hAnsi="Times New Roman"/>
          <w:sz w:val="12"/>
          <w:szCs w:val="12"/>
          <w:color w:val="auto"/>
        </w:rPr>
        <w:t>, (i) “</w:t>
      </w:r>
      <w:r>
        <w:rPr>
          <w:rFonts w:ascii="Times New Roman" w:cs="Times New Roman" w:eastAsia="Times New Roman" w:hAnsi="Times New Roman"/>
          <w:sz w:val="12"/>
          <w:szCs w:val="12"/>
          <w:b w:val="1"/>
          <w:bCs w:val="1"/>
          <w:color w:val="auto"/>
        </w:rPr>
        <w:t>Options</w:t>
      </w:r>
      <w:r>
        <w:rPr>
          <w:rFonts w:ascii="Times New Roman" w:cs="Times New Roman" w:eastAsia="Times New Roman" w:hAnsi="Times New Roman"/>
          <w:sz w:val="12"/>
          <w:szCs w:val="12"/>
          <w:color w:val="auto"/>
        </w:rPr>
        <w:t>” means any rights, warrants or options to subscribe for or purchase shares of Common Stock or Convertible Securities and (ii) “</w:t>
      </w:r>
      <w:r>
        <w:rPr>
          <w:rFonts w:ascii="Times New Roman" w:cs="Times New Roman" w:eastAsia="Times New Roman" w:hAnsi="Times New Roman"/>
          <w:sz w:val="12"/>
          <w:szCs w:val="12"/>
          <w:b w:val="1"/>
          <w:bCs w:val="1"/>
          <w:color w:val="auto"/>
        </w:rPr>
        <w:t>Convertible Securities</w:t>
      </w:r>
      <w:r>
        <w:rPr>
          <w:rFonts w:ascii="Times New Roman" w:cs="Times New Roman" w:eastAsia="Times New Roman" w:hAnsi="Times New Roman"/>
          <w:sz w:val="12"/>
          <w:szCs w:val="12"/>
          <w:color w:val="auto"/>
        </w:rPr>
        <w:t>” mean any stock or securities (other than Options) directly or indirectly convertible into or exercisable or exchangeable for shares of Common Stock.</w:t>
      </w:r>
    </w:p>
    <w:p>
      <w:pPr>
        <w:spacing w:after="0" w:line="132" w:lineRule="exact"/>
        <w:rPr>
          <w:rFonts w:ascii="Times New Roman" w:cs="Times New Roman" w:eastAsia="Times New Roman" w:hAnsi="Times New Roman"/>
          <w:sz w:val="12"/>
          <w:szCs w:val="12"/>
          <w:color w:val="auto"/>
        </w:rPr>
      </w:pPr>
    </w:p>
    <w:p>
      <w:pPr>
        <w:jc w:val="both"/>
        <w:ind w:left="8" w:firstLine="856"/>
        <w:spacing w:after="0" w:line="277" w:lineRule="auto"/>
        <w:tabs>
          <w:tab w:leader="none" w:pos="1042" w:val="left"/>
        </w:tabs>
        <w:numPr>
          <w:ilvl w:val="1"/>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Fundamental Transactions</w:t>
      </w:r>
      <w:r>
        <w:rPr>
          <w:rFonts w:ascii="Times New Roman" w:cs="Times New Roman" w:eastAsia="Times New Roman" w:hAnsi="Times New Roman"/>
          <w:sz w:val="11"/>
          <w:szCs w:val="11"/>
          <w:color w:val="auto"/>
        </w:rPr>
        <w:t xml:space="preserve">. If, at any time while this Warrant is outstanding (i) the Company, directly or indirectly, in one or more related transactions effects any merger or amalgamation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converted into or exchanged for other securities, cash or property (other than as a result of a subdivision or combination of shares of Common Stock covered by </w:t>
      </w:r>
      <w:r>
        <w:rPr>
          <w:rFonts w:ascii="Times New Roman" w:cs="Times New Roman" w:eastAsia="Times New Roman" w:hAnsi="Times New Roman"/>
          <w:sz w:val="11"/>
          <w:szCs w:val="11"/>
          <w:u w:val="single" w:color="auto"/>
          <w:color w:val="auto"/>
        </w:rPr>
        <w:t>Section 9(a)</w:t>
      </w:r>
      <w:r>
        <w:rPr>
          <w:rFonts w:ascii="Times New Roman" w:cs="Times New Roman" w:eastAsia="Times New Roman" w:hAnsi="Times New Roman"/>
          <w:sz w:val="11"/>
          <w:szCs w:val="11"/>
          <w:color w:val="auto"/>
        </w:rPr>
        <w:t xml:space="preserve"> above) (in any such case, a “</w:t>
      </w:r>
      <w:r>
        <w:rPr>
          <w:rFonts w:ascii="Times New Roman" w:cs="Times New Roman" w:eastAsia="Times New Roman" w:hAnsi="Times New Roman"/>
          <w:sz w:val="11"/>
          <w:szCs w:val="11"/>
          <w:b w:val="1"/>
          <w:bCs w:val="1"/>
          <w:color w:val="auto"/>
        </w:rPr>
        <w:t>Fundamental Transaction</w:t>
      </w:r>
      <w:r>
        <w:rPr>
          <w:rFonts w:ascii="Times New Roman" w:cs="Times New Roman" w:eastAsia="Times New Roman" w:hAnsi="Times New Roman"/>
          <w:sz w:val="11"/>
          <w:szCs w:val="11"/>
          <w:color w:val="auto"/>
        </w:rPr>
        <w:t>”), then following such Fundamental Transaction, the Holder shall have the right to receive, for each Warrant Share that would have been issuable upon such exercise immediately prior to the occurrence of such Fundamental Transaction, at the option of the Holder, the same amount and kind of securities of the successor or acquiring corporation or of the Company,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Sections 9(b) or 9(c) above) without regard to any limitations on exercise contained herein (the “</w:t>
      </w:r>
      <w:r>
        <w:rPr>
          <w:rFonts w:ascii="Times New Roman" w:cs="Times New Roman" w:eastAsia="Times New Roman" w:hAnsi="Times New Roman"/>
          <w:sz w:val="11"/>
          <w:szCs w:val="11"/>
          <w:b w:val="1"/>
          <w:bCs w:val="1"/>
          <w:color w:val="auto"/>
        </w:rPr>
        <w:t>Alternate Consideration</w:t>
      </w:r>
      <w:r>
        <w:rPr>
          <w:rFonts w:ascii="Times New Roman" w:cs="Times New Roman" w:eastAsia="Times New Roman" w:hAnsi="Times New Roman"/>
          <w:sz w:val="11"/>
          <w:szCs w:val="11"/>
          <w:color w:val="auto"/>
        </w:rPr>
        <w:t>”) (provided, that to the extent that the Holder’s right to receive any such Alternate Consideration would result in the Holder and the other Attribution Parties exceeding the Maximum Percentage, then the holder shall not be entitled to receive such Alternate Consideration to such extent (and shall not be entitled to beneficial ownership of such Common Stock as a result of such Alternate Consideration (and beneficial ownership) to such extent) and at the Holder’s election, in its sole discretion, either</w:t>
      </w:r>
    </w:p>
    <w:p>
      <w:pPr>
        <w:spacing w:after="0" w:line="129" w:lineRule="exact"/>
        <w:rPr>
          <w:rFonts w:ascii="Times New Roman" w:cs="Times New Roman" w:eastAsia="Times New Roman" w:hAnsi="Times New Roman"/>
          <w:sz w:val="11"/>
          <w:szCs w:val="11"/>
          <w:color w:val="auto"/>
        </w:rPr>
      </w:pPr>
    </w:p>
    <w:p>
      <w:pPr>
        <w:jc w:val="both"/>
        <w:ind w:left="8" w:hanging="8"/>
        <w:spacing w:after="0" w:line="251" w:lineRule="auto"/>
        <w:tabs>
          <w:tab w:leader="none" w:pos="1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such Alternate Consideration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Alternate Consideration granted, issued or sold on such initial receipt or on any subsequent receipt to be held similarly in abeyance) to the same extent as if there had been no such limitation) or (2) the Company shall offer the Holder the right upon receipt of such Alternate Consideration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Alternate Consideration).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Notwithstanding, anything to the contrary contained herein, the Company shall cause any successor entity in a Fundamental Transaction in which the Company is not the survivor (the “</w:t>
      </w:r>
      <w:r>
        <w:rPr>
          <w:rFonts w:ascii="Times New Roman" w:cs="Times New Roman" w:eastAsia="Times New Roman" w:hAnsi="Times New Roman"/>
          <w:sz w:val="12"/>
          <w:szCs w:val="12"/>
          <w:b w:val="1"/>
          <w:bCs w:val="1"/>
          <w:color w:val="auto"/>
        </w:rPr>
        <w:t>Successor Entity</w:t>
      </w:r>
      <w:r>
        <w:rPr>
          <w:rFonts w:ascii="Times New Roman" w:cs="Times New Roman" w:eastAsia="Times New Roman" w:hAnsi="Times New Roman"/>
          <w:sz w:val="12"/>
          <w:szCs w:val="12"/>
          <w:color w:val="auto"/>
        </w:rPr>
        <w:t xml:space="preserve">”) to assume in writing all of the obligations of the Company under this Warrant in accordance with the provisions of this Section 9(d).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the Holder shall be entitled to the benefits of the provisions of this </w:t>
      </w:r>
      <w:r>
        <w:rPr>
          <w:rFonts w:ascii="Times New Roman" w:cs="Times New Roman" w:eastAsia="Times New Roman" w:hAnsi="Times New Roman"/>
          <w:sz w:val="12"/>
          <w:szCs w:val="12"/>
          <w:u w:val="single" w:color="auto"/>
          <w:color w:val="auto"/>
        </w:rPr>
        <w:t>Section 9(d)</w:t>
      </w:r>
      <w:r>
        <w:rPr>
          <w:rFonts w:ascii="Times New Roman" w:cs="Times New Roman" w:eastAsia="Times New Roman" w:hAnsi="Times New Roman"/>
          <w:sz w:val="12"/>
          <w:szCs w:val="12"/>
          <w:color w:val="auto"/>
        </w:rPr>
        <w:t xml:space="preserve"> regardless of (i) whether the Company has sufficient authorized shares of Common Stock for the issuance of Warrant Shares and/or (ii) whether a Fundamental Transaction occurs prior to the Exercise Date. The provisions of this paragraph (d) shall similarly apply to subsequent transactions analogous to a Fundamental Transaction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3" w:name="page14"/>
    <w:bookmarkEnd w:id="13"/>
    <w:p>
      <w:pPr>
        <w:jc w:val="both"/>
        <w:ind w:left="-856" w:right="20" w:firstLine="856"/>
        <w:spacing w:after="0" w:line="265" w:lineRule="auto"/>
        <w:tabs>
          <w:tab w:leader="none" w:pos="171"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Number of Warrant Shares</w:t>
      </w:r>
      <w:r>
        <w:rPr>
          <w:rFonts w:ascii="Times New Roman" w:cs="Times New Roman" w:eastAsia="Times New Roman" w:hAnsi="Times New Roman"/>
          <w:sz w:val="12"/>
          <w:szCs w:val="12"/>
          <w:color w:val="auto"/>
        </w:rPr>
        <w:t xml:space="preserve">. Simultaneously with any adjustment to the Number of Warrant Shares pursuant to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the Remaining Exercise Price shall be increased or decreased proportionately, so that after such adjustment the aggregate Remaining Exercise Price payable hereunder for the increased or decreased Number of Warrant Shares shall be the same as the aggregate Remaining Exercise Price in effect immediately prior to such adjustment. Notwithstanding the foregoing, in no event may the Remaining Exercise Price be adjusted below the par value of the Common Stock then in effect.</w:t>
      </w:r>
    </w:p>
    <w:p>
      <w:pPr>
        <w:spacing w:after="0" w:line="118" w:lineRule="exact"/>
        <w:rPr>
          <w:rFonts w:ascii="Times New Roman" w:cs="Times New Roman" w:eastAsia="Times New Roman" w:hAnsi="Times New Roman"/>
          <w:sz w:val="12"/>
          <w:szCs w:val="12"/>
          <w:color w:val="auto"/>
        </w:rPr>
      </w:pPr>
    </w:p>
    <w:p>
      <w:pPr>
        <w:ind w:left="144" w:hanging="144"/>
        <w:spacing w:after="0"/>
        <w:tabs>
          <w:tab w:leader="none" w:pos="144"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Calculations</w:t>
      </w:r>
      <w:r>
        <w:rPr>
          <w:rFonts w:ascii="Times New Roman" w:cs="Times New Roman" w:eastAsia="Times New Roman" w:hAnsi="Times New Roman"/>
          <w:sz w:val="12"/>
          <w:szCs w:val="12"/>
          <w:color w:val="auto"/>
        </w:rPr>
        <w:t xml:space="preserve">. All calculations under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shall be made to the nearest one-tenth of one cent or rounded down to the nearest whole share, as applicable.</w:t>
      </w:r>
    </w:p>
    <w:p>
      <w:pPr>
        <w:spacing w:after="0" w:line="150" w:lineRule="exact"/>
        <w:rPr>
          <w:rFonts w:ascii="Times New Roman" w:cs="Times New Roman" w:eastAsia="Times New Roman" w:hAnsi="Times New Roman"/>
          <w:sz w:val="12"/>
          <w:szCs w:val="12"/>
          <w:color w:val="auto"/>
        </w:rPr>
      </w:pPr>
    </w:p>
    <w:p>
      <w:pPr>
        <w:jc w:val="both"/>
        <w:ind w:left="-856" w:firstLine="856"/>
        <w:spacing w:after="0" w:line="260" w:lineRule="auto"/>
        <w:tabs>
          <w:tab w:leader="none" w:pos="17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of Adjustments</w:t>
      </w:r>
      <w:r>
        <w:rPr>
          <w:rFonts w:ascii="Times New Roman" w:cs="Times New Roman" w:eastAsia="Times New Roman" w:hAnsi="Times New Roman"/>
          <w:sz w:val="12"/>
          <w:szCs w:val="12"/>
          <w:color w:val="auto"/>
        </w:rPr>
        <w:t xml:space="preserve">. Upon the occurrence of each adjustment pursuant to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Remaining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22" w:lineRule="exact"/>
        <w:rPr>
          <w:rFonts w:ascii="Times New Roman" w:cs="Times New Roman" w:eastAsia="Times New Roman" w:hAnsi="Times New Roman"/>
          <w:sz w:val="12"/>
          <w:szCs w:val="12"/>
          <w:color w:val="auto"/>
        </w:rPr>
      </w:pPr>
    </w:p>
    <w:p>
      <w:pPr>
        <w:jc w:val="both"/>
        <w:ind w:left="-856" w:firstLine="856"/>
        <w:spacing w:after="0" w:line="253" w:lineRule="auto"/>
        <w:tabs>
          <w:tab w:leader="none" w:pos="187"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of Corporate Events</w:t>
      </w:r>
      <w:r>
        <w:rPr>
          <w:rFonts w:ascii="Times New Roman" w:cs="Times New Roman" w:eastAsia="Times New Roman" w:hAnsi="Times New Roman"/>
          <w:sz w:val="12"/>
          <w:szCs w:val="12"/>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business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2"/>
          <w:szCs w:val="12"/>
          <w:u w:val="single" w:color="auto"/>
          <w:color w:val="auto"/>
        </w:rPr>
        <w:t>Section 9(d)</w:t>
      </w:r>
      <w:r>
        <w:rPr>
          <w:rFonts w:ascii="Times New Roman" w:cs="Times New Roman" w:eastAsia="Times New Roman" w:hAnsi="Times New Roman"/>
          <w:sz w:val="12"/>
          <w:szCs w:val="12"/>
          <w:color w:val="auto"/>
        </w:rPr>
        <w:t xml:space="preserve">, other than a Fundamental Transaction under clause (iii) of </w:t>
      </w:r>
      <w:r>
        <w:rPr>
          <w:rFonts w:ascii="Times New Roman" w:cs="Times New Roman" w:eastAsia="Times New Roman" w:hAnsi="Times New Roman"/>
          <w:sz w:val="12"/>
          <w:szCs w:val="12"/>
          <w:u w:val="single" w:color="auto"/>
          <w:color w:val="auto"/>
        </w:rPr>
        <w:t>Section 9(d)</w:t>
      </w:r>
      <w:r>
        <w:rPr>
          <w:rFonts w:ascii="Times New Roman" w:cs="Times New Roman" w:eastAsia="Times New Roman" w:hAnsi="Times New Roman"/>
          <w:sz w:val="12"/>
          <w:szCs w:val="12"/>
          <w:color w:val="auto"/>
        </w:rPr>
        <w:t xml:space="preserve">, the Company shall deliver to the Holder a notice of such Fundamental Transaction at least ten (10) business days prior to the date such Fundamental Transaction is consummated. Holder agrees to maintain any information disclosed pursuant to this </w:t>
      </w:r>
      <w:r>
        <w:rPr>
          <w:rFonts w:ascii="Times New Roman" w:cs="Times New Roman" w:eastAsia="Times New Roman" w:hAnsi="Times New Roman"/>
          <w:sz w:val="12"/>
          <w:szCs w:val="12"/>
          <w:u w:val="single" w:color="auto"/>
          <w:color w:val="auto"/>
        </w:rPr>
        <w:t>Section 9(h)</w:t>
      </w:r>
      <w:r>
        <w:rPr>
          <w:rFonts w:ascii="Times New Roman" w:cs="Times New Roman" w:eastAsia="Times New Roman" w:hAnsi="Times New Roman"/>
          <w:sz w:val="12"/>
          <w:szCs w:val="12"/>
          <w:color w:val="auto"/>
        </w:rPr>
        <w:t xml:space="preserve"> in confidence until such information is publicly available, and shall comply with applicable law with respect to trading in the Company’s securities following receipt of any such information. Notwithstanding anything in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to the contrary, the Company shall be deemed to have provided the information required to be delivered to a Holder under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if disseminated by press release or filed in any report or statement filed with the Commission prior to the applicable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180340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651" w:right="299" w:bottom="1440" w:gutter="0" w:footer="0" w:header="0"/>
        </w:sectPr>
      </w:pPr>
    </w:p>
    <w:bookmarkStart w:id="14" w:name="page15"/>
    <w:bookmarkEnd w:id="14"/>
    <w:p>
      <w:pPr>
        <w:ind w:firstLine="424"/>
        <w:spacing w:after="0" w:line="286" w:lineRule="auto"/>
        <w:tabs>
          <w:tab w:leader="none" w:pos="612"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Payment of Exercise Price</w:t>
      </w:r>
      <w:r>
        <w:rPr>
          <w:rFonts w:ascii="Times New Roman" w:cs="Times New Roman" w:eastAsia="Times New Roman" w:hAnsi="Times New Roman"/>
          <w:sz w:val="12"/>
          <w:szCs w:val="12"/>
          <w:color w:val="auto"/>
        </w:rPr>
        <w:t>. Notwithstanding anything contained herein to the contrary, the Holder may, in its sole discretion, satisfy its obligation to pay the Remaining Exercise Price through a “cashless exercise”,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event the Company shall issue to the Holder the number of Warrant Shares in an exchange of securities effected pursuant to Section 3(a)(9) of the Securities Act, determined as follows:</w:t>
      </w:r>
    </w:p>
    <w:p>
      <w:pPr>
        <w:spacing w:after="0" w:line="1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 = Y [(A-B)/A]</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where: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 equals the number of Warrant Shares to be issued to the Holder;</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“Y” equals the total number of Warrant Shares with respect to which this Warrant is then being exercised if such exercise were by means of a cash exercise rather than a cashless exercise;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equals the Closing Sale Price of the shares of Common Stock on the Trading Day immediately preceding the Exercise Date; and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equals the Remaining Exercise Price then in effect for the applicable Warrant Shares at the time of such exercise.</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issue price for each such Warrant Shares to be issued pursuant to the cashless exercise of a Warrant will be equal to (B), as defined above, and the total issue price for the aggregate number of Warrant Shares issued pursuant to the cashless exercise of a Warrant will be deemed paid and satisfied in full by the deemed surrender to the Company of the portion of such Warrant being exercised in accordance with this Section 10.</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2"/>
          <w:szCs w:val="12"/>
          <w:u w:val="single" w:color="auto"/>
          <w:color w:val="auto"/>
        </w:rPr>
        <w:t>Section 5(b)</w:t>
      </w:r>
      <w:r>
        <w:rPr>
          <w:rFonts w:ascii="Times New Roman" w:cs="Times New Roman" w:eastAsia="Times New Roman" w:hAnsi="Times New Roman"/>
          <w:sz w:val="12"/>
          <w:szCs w:val="12"/>
          <w:color w:val="auto"/>
        </w:rPr>
        <w:t xml:space="preserve"> (Buy-in Remedy) and </w:t>
      </w:r>
      <w:r>
        <w:rPr>
          <w:rFonts w:ascii="Times New Roman" w:cs="Times New Roman" w:eastAsia="Times New Roman" w:hAnsi="Times New Roman"/>
          <w:sz w:val="12"/>
          <w:szCs w:val="12"/>
          <w:u w:val="single" w:color="auto"/>
          <w:color w:val="auto"/>
        </w:rPr>
        <w:t>Section 12</w:t>
      </w:r>
      <w:r>
        <w:rPr>
          <w:rFonts w:ascii="Times New Roman" w:cs="Times New Roman" w:eastAsia="Times New Roman" w:hAnsi="Times New Roman"/>
          <w:sz w:val="12"/>
          <w:szCs w:val="12"/>
          <w:color w:val="auto"/>
        </w:rPr>
        <w:t xml:space="preserve"> (No Fractional Shares), in no event will the exercise of this Warrant be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5" w:name="page16"/>
    <w:bookmarkEnd w:id="15"/>
    <w:p>
      <w:pPr>
        <w:ind w:left="176" w:hanging="176"/>
        <w:spacing w:after="0"/>
        <w:tabs>
          <w:tab w:leader="none" w:pos="176"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Limitations on Exercise</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b w:val="1"/>
          <w:bCs w:val="1"/>
          <w:color w:val="auto"/>
        </w:rPr>
      </w:pPr>
    </w:p>
    <w:p>
      <w:pPr>
        <w:jc w:val="both"/>
        <w:ind w:left="-424" w:firstLine="856"/>
        <w:spacing w:after="0" w:line="251" w:lineRule="auto"/>
        <w:tabs>
          <w:tab w:leader="none" w:pos="605"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 or 9.99% (or such other amount as a holder may specify) (the “</w:t>
      </w:r>
      <w:r>
        <w:rPr>
          <w:rFonts w:ascii="Times New Roman" w:cs="Times New Roman" w:eastAsia="Times New Roman" w:hAnsi="Times New Roman"/>
          <w:sz w:val="12"/>
          <w:szCs w:val="12"/>
          <w:b w:val="1"/>
          <w:bCs w:val="1"/>
          <w:color w:val="auto"/>
        </w:rPr>
        <w:t>Maximum Percentage</w:t>
      </w:r>
      <w:r>
        <w:rPr>
          <w:rFonts w:ascii="Times New Roman" w:cs="Times New Roman" w:eastAsia="Times New Roman" w:hAnsi="Times New Roman"/>
          <w:sz w:val="12"/>
          <w:szCs w:val="12"/>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2"/>
          <w:szCs w:val="12"/>
          <w:u w:val="single" w:color="auto"/>
          <w:color w:val="auto"/>
        </w:rPr>
        <w:t>Section 11(a)</w:t>
      </w:r>
      <w:r>
        <w:rPr>
          <w:rFonts w:ascii="Times New Roman" w:cs="Times New Roman" w:eastAsia="Times New Roman" w:hAnsi="Times New Roman"/>
          <w:sz w:val="12"/>
          <w:szCs w:val="12"/>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2"/>
          <w:szCs w:val="12"/>
          <w:b w:val="1"/>
          <w:bCs w:val="1"/>
          <w:color w:val="auto"/>
        </w:rPr>
        <w:t>Reported Outstanding Share Number</w:t>
      </w:r>
      <w:r>
        <w:rPr>
          <w:rFonts w:ascii="Times New Roman" w:cs="Times New Roman" w:eastAsia="Times New Roman" w:hAnsi="Times New Roman"/>
          <w:sz w:val="12"/>
          <w:szCs w:val="12"/>
          <w:color w:val="auto"/>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2"/>
          <w:szCs w:val="12"/>
          <w:u w:val="single" w:color="auto"/>
          <w:color w:val="auto"/>
        </w:rPr>
        <w:t>Section 11(a)</w:t>
      </w:r>
      <w:r>
        <w:rPr>
          <w:rFonts w:ascii="Times New Roman" w:cs="Times New Roman" w:eastAsia="Times New Roman" w:hAnsi="Times New Roman"/>
          <w:sz w:val="12"/>
          <w:szCs w:val="12"/>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2"/>
          <w:szCs w:val="12"/>
          <w:b w:val="1"/>
          <w:bCs w:val="1"/>
          <w:color w:val="auto"/>
        </w:rPr>
        <w:t>Reduction Shares</w:t>
      </w:r>
      <w:r>
        <w:rPr>
          <w:rFonts w:ascii="Times New Roman" w:cs="Times New Roman" w:eastAsia="Times New Roman" w:hAnsi="Times New Roman"/>
          <w:sz w:val="12"/>
          <w:szCs w:val="12"/>
          <w:color w:val="auto"/>
        </w:rPr>
        <w:t>”) or that no reduction is necessary in order to receive shares in compliance with the Maximum Percentage, and (ii) as soon as reasonably practicable, the Company shall return to the Holder any exercise price paid by the Holder for the Reduction Shares (if any) and to issue the shares to the Holder (reduced by the Reduction Shares, if applicable).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2"/>
          <w:szCs w:val="12"/>
          <w:b w:val="1"/>
          <w:bCs w:val="1"/>
          <w:color w:val="auto"/>
        </w:rPr>
        <w:t>Excess Shares</w:t>
      </w:r>
      <w:r>
        <w:rPr>
          <w:rFonts w:ascii="Times New Roman" w:cs="Times New Roman" w:eastAsia="Times New Roman" w:hAnsi="Times New Roman"/>
          <w:sz w:val="12"/>
          <w:szCs w:val="12"/>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and the Holder shall return such Excess Shares (if in its possession) to the Company. By written notice to the Company, a Holder of this Warrant may from time to time increase or decrease the Maximum Percentage to any other percentage specified in such notice, provided, however, that (1) in no case shall the percentage specified be in excess of 19.99% and (2) any increase in the Maximum Percentage will not be effective until the 61st day after such notice is delivered to the Company and shall not negatively affect any partial exercise effected prior to such change.</w:t>
      </w:r>
    </w:p>
    <w:p>
      <w:pPr>
        <w:spacing w:after="0" w:line="135" w:lineRule="exact"/>
        <w:rPr>
          <w:rFonts w:ascii="Times New Roman" w:cs="Times New Roman" w:eastAsia="Times New Roman" w:hAnsi="Times New Roman"/>
          <w:sz w:val="12"/>
          <w:szCs w:val="12"/>
          <w:color w:val="auto"/>
        </w:rPr>
      </w:pPr>
    </w:p>
    <w:p>
      <w:pPr>
        <w:jc w:val="both"/>
        <w:ind w:left="-424" w:firstLine="856"/>
        <w:spacing w:after="0" w:line="255" w:lineRule="auto"/>
        <w:tabs>
          <w:tab w:leader="none" w:pos="621"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2"/>
          <w:szCs w:val="12"/>
          <w:u w:val="single" w:color="auto"/>
          <w:color w:val="auto"/>
        </w:rPr>
        <w:t>Section 9(c)</w:t>
      </w:r>
      <w:r>
        <w:rPr>
          <w:rFonts w:ascii="Times New Roman" w:cs="Times New Roman" w:eastAsia="Times New Roman" w:hAnsi="Times New Roman"/>
          <w:sz w:val="12"/>
          <w:szCs w:val="12"/>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178435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76"/>
          </w:cols>
          <w:pgMar w:left="724" w:top="647" w:right="299" w:bottom="1440" w:gutter="0" w:footer="0" w:header="0"/>
        </w:sectPr>
      </w:pPr>
    </w:p>
    <w:bookmarkStart w:id="16" w:name="page17"/>
    <w:bookmarkEnd w:id="16"/>
    <w:p>
      <w:pPr>
        <w:ind w:left="-420" w:firstLine="424"/>
        <w:spacing w:after="0" w:line="286" w:lineRule="auto"/>
        <w:tabs>
          <w:tab w:leader="none" w:pos="192"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No Fractional Shares</w:t>
      </w:r>
      <w:r>
        <w:rPr>
          <w:rFonts w:ascii="Times New Roman" w:cs="Times New Roman" w:eastAsia="Times New Roman" w:hAnsi="Times New Roman"/>
          <w:sz w:val="12"/>
          <w:szCs w:val="12"/>
          <w:color w:val="auto"/>
        </w:rPr>
        <w:t>. No fractional Warrant Shares will be issued in connection with any exercise of this Warrant. In lieu of any fractional shares that would otherwise be issuable, the number of Warrant Shares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issued shall be rounded down to the next whole number.</w:t>
      </w:r>
    </w:p>
    <w:p>
      <w:pPr>
        <w:spacing w:after="0" w:line="103" w:lineRule="exact"/>
        <w:rPr>
          <w:rFonts w:ascii="Times New Roman" w:cs="Times New Roman" w:eastAsia="Times New Roman" w:hAnsi="Times New Roman"/>
          <w:sz w:val="12"/>
          <w:szCs w:val="12"/>
          <w:b w:val="1"/>
          <w:bCs w:val="1"/>
          <w:color w:val="auto"/>
        </w:rPr>
      </w:pPr>
    </w:p>
    <w:p>
      <w:pPr>
        <w:jc w:val="both"/>
        <w:ind w:left="-420" w:firstLine="424"/>
        <w:spacing w:after="0" w:line="262" w:lineRule="auto"/>
        <w:tabs>
          <w:tab w:leader="none" w:pos="192"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Notices</w:t>
      </w:r>
      <w:r>
        <w:rPr>
          <w:rFonts w:ascii="Times New Roman" w:cs="Times New Roman" w:eastAsia="Times New Roman" w:hAnsi="Times New Roman"/>
          <w:sz w:val="12"/>
          <w:szCs w:val="12"/>
          <w:color w:val="auto"/>
        </w:rPr>
        <w:t>. Any and all notices or other communications or deliveries hereunder (including, without limitation, any Exercise Notice) shall be in writing and shall be deemed given and effective on the earliest of (a) the date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transmission, if such notice or communication is delivered confirmed e-mail prior to 5:00 P.M., New York City time, on a Trading Day, (b) the next Trading Day after the date of transmission, if such notice or communication is delivered via confirmed e-mail on a day that is not a Trading Day or later than 5:00 P.M., New York City time, on any Trading Day, (c) the Trading Day following the date of mailing, if sent by nationally recognized overnight courier service specifying next business day delivery, or (d) upon actual receipt by the Person to whom such notice is required to be given, if by hand delivery: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If to the Company, addressed as follows: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Helius Medical Technologies, Inc.</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642 Newtown Yardley Road, Suite 100</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Newtown, Pennsylvania 18940</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Attention: Dane Andreeff</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with a copy (which shall not constitute notice):</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Honigman LLP</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650 Trade Centre Way, Suite 200</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Kalamazoo, Michigan 49002</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Attn: Phillip D. Torrence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 If to the Holder, at its address or e-mail address set forth in the books and records of the Company, which may be modified by written notice from the Holder to the Company.</w:t>
      </w:r>
    </w:p>
    <w:p>
      <w:pPr>
        <w:spacing w:after="0" w:line="146" w:lineRule="exact"/>
        <w:rPr>
          <w:sz w:val="20"/>
          <w:szCs w:val="20"/>
          <w:color w:val="auto"/>
        </w:rPr>
      </w:pPr>
    </w:p>
    <w:p>
      <w:pPr>
        <w:jc w:val="both"/>
        <w:ind w:left="-420" w:firstLine="424"/>
        <w:spacing w:after="0" w:line="259" w:lineRule="auto"/>
        <w:tabs>
          <w:tab w:leader="none" w:pos="192"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Warrant Agent</w:t>
      </w:r>
      <w:r>
        <w:rPr>
          <w:rFonts w:ascii="Times New Roman" w:cs="Times New Roman" w:eastAsia="Times New Roman" w:hAnsi="Times New Roman"/>
          <w:sz w:val="12"/>
          <w:szCs w:val="12"/>
          <w:color w:val="auto"/>
        </w:rPr>
        <w:t>. The Company shall initially serve as warrant agent under this Warrant. Upon ten (10) days’ notice to the Holder, the Company may appoint a new warrant agent. Any corporation into which the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The Holder acknowledges that this Warrant may be held in book-entry form through the facilities of the Company’s warrant agent and, at the request of the Holder, may be issued in definitive form.</w:t>
      </w:r>
    </w:p>
    <w:p>
      <w:pPr>
        <w:spacing w:after="0" w:line="119" w:lineRule="exact"/>
        <w:rPr>
          <w:rFonts w:ascii="Times New Roman" w:cs="Times New Roman" w:eastAsia="Times New Roman" w:hAnsi="Times New Roman"/>
          <w:sz w:val="12"/>
          <w:szCs w:val="12"/>
          <w:b w:val="1"/>
          <w:bCs w:val="1"/>
          <w:color w:val="auto"/>
        </w:rPr>
      </w:pPr>
    </w:p>
    <w:p>
      <w:pPr>
        <w:ind w:left="180" w:hanging="176"/>
        <w:spacing w:after="0"/>
        <w:tabs>
          <w:tab w:leader="none" w:pos="180"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Miscellaneous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b w:val="1"/>
          <w:bCs w:val="1"/>
          <w:color w:val="auto"/>
        </w:rPr>
      </w:pPr>
    </w:p>
    <w:p>
      <w:pPr>
        <w:jc w:val="both"/>
        <w:ind w:left="-420" w:firstLine="856"/>
        <w:spacing w:after="0" w:line="256" w:lineRule="auto"/>
        <w:tabs>
          <w:tab w:leader="none" w:pos="607"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Rights as a Stockholder</w:t>
      </w:r>
      <w:r>
        <w:rPr>
          <w:rFonts w:ascii="Times New Roman" w:cs="Times New Roman" w:eastAsia="Times New Roman" w:hAnsi="Times New Roman"/>
          <w:sz w:val="12"/>
          <w:szCs w:val="12"/>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177800</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17" w:name="page18"/>
    <w:bookmarkEnd w:id="17"/>
    <w:p>
      <w:pPr>
        <w:jc w:val="both"/>
        <w:ind w:left="-856" w:firstLine="856"/>
        <w:spacing w:after="0" w:line="254" w:lineRule="auto"/>
        <w:tabs>
          <w:tab w:leader="none" w:pos="17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27" w:lineRule="exact"/>
        <w:rPr>
          <w:rFonts w:ascii="Times New Roman" w:cs="Times New Roman" w:eastAsia="Times New Roman" w:hAnsi="Times New Roman"/>
          <w:sz w:val="12"/>
          <w:szCs w:val="12"/>
          <w:color w:val="auto"/>
        </w:rPr>
      </w:pPr>
    </w:p>
    <w:p>
      <w:pPr>
        <w:jc w:val="both"/>
        <w:ind w:left="-856" w:firstLine="856"/>
        <w:spacing w:after="0" w:line="265" w:lineRule="auto"/>
        <w:tabs>
          <w:tab w:leader="none" w:pos="17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18" w:lineRule="exact"/>
        <w:rPr>
          <w:rFonts w:ascii="Times New Roman" w:cs="Times New Roman" w:eastAsia="Times New Roman" w:hAnsi="Times New Roman"/>
          <w:sz w:val="12"/>
          <w:szCs w:val="12"/>
          <w:color w:val="auto"/>
        </w:rPr>
      </w:pPr>
    </w:p>
    <w:p>
      <w:pPr>
        <w:ind w:left="-856" w:right="20" w:firstLine="856"/>
        <w:spacing w:after="0" w:line="279" w:lineRule="auto"/>
        <w:tabs>
          <w:tab w:leader="none" w:pos="17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 and Waiver</w:t>
      </w:r>
      <w:r>
        <w:rPr>
          <w:rFonts w:ascii="Times New Roman" w:cs="Times New Roman" w:eastAsia="Times New Roman" w:hAnsi="Times New Roman"/>
          <w:sz w:val="12"/>
          <w:szCs w:val="12"/>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spacing w:after="0" w:line="111" w:lineRule="exact"/>
        <w:rPr>
          <w:rFonts w:ascii="Times New Roman" w:cs="Times New Roman" w:eastAsia="Times New Roman" w:hAnsi="Times New Roman"/>
          <w:sz w:val="12"/>
          <w:szCs w:val="12"/>
          <w:color w:val="auto"/>
        </w:rPr>
      </w:pPr>
    </w:p>
    <w:p>
      <w:pPr>
        <w:ind w:left="164" w:hanging="164"/>
        <w:spacing w:after="0"/>
        <w:tabs>
          <w:tab w:leader="none" w:pos="164"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Acceptance</w:t>
      </w:r>
      <w:r>
        <w:rPr>
          <w:rFonts w:ascii="Times New Roman" w:cs="Times New Roman" w:eastAsia="Times New Roman" w:hAnsi="Times New Roman"/>
          <w:sz w:val="12"/>
          <w:szCs w:val="12"/>
          <w:color w:val="auto"/>
        </w:rPr>
        <w:t>. Receipt of this Warrant by the Holder shall constitute acceptance of and agreement to all of the terms and conditions contained herein.</w:t>
      </w:r>
    </w:p>
    <w:p>
      <w:pPr>
        <w:spacing w:after="0" w:line="150" w:lineRule="exact"/>
        <w:rPr>
          <w:rFonts w:ascii="Times New Roman" w:cs="Times New Roman" w:eastAsia="Times New Roman" w:hAnsi="Times New Roman"/>
          <w:sz w:val="12"/>
          <w:szCs w:val="12"/>
          <w:color w:val="auto"/>
        </w:rPr>
      </w:pPr>
    </w:p>
    <w:p>
      <w:pPr>
        <w:jc w:val="both"/>
        <w:ind w:left="-856" w:firstLine="856"/>
        <w:spacing w:after="0" w:line="253" w:lineRule="auto"/>
        <w:tabs>
          <w:tab w:leader="none" w:pos="15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 Jurisdiction</w:t>
      </w:r>
      <w:r>
        <w:rPr>
          <w:rFonts w:ascii="Times New Roman" w:cs="Times New Roman" w:eastAsia="Times New Roman" w:hAnsi="Times New Roman"/>
          <w:sz w:val="12"/>
          <w:szCs w:val="12"/>
          <w:color w:val="auto"/>
        </w:rPr>
        <w:t>. ALL QUESTIONS CONCERNING THE CONSTRUCTION, VALIDITY, ENFORCEMENT AND INTERPRETATION OF THIS WARRANT SHALL BE GOVERNED BY AND CONSTRUED AND ENFORCED IN ACCORDANCE WITH THE LAWS OF THE STATE OF DELAWARE WITHOUT REGARD TO THE PRINCIPLES OF CONFLICTS OF LAW THEREOF. EACH OF THE COMPANY AND THE HOLDER HEREBY IRREVOCABLY SUBMITS TO THE EXCLUSIVE JURISDICTION OF THE STATE AND FEDERAL COURTS SITTING IN THE CITY OF WILMINGTON,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29" w:lineRule="exact"/>
        <w:rPr>
          <w:rFonts w:ascii="Times New Roman" w:cs="Times New Roman" w:eastAsia="Times New Roman" w:hAnsi="Times New Roman"/>
          <w:sz w:val="12"/>
          <w:szCs w:val="12"/>
          <w:color w:val="auto"/>
        </w:rPr>
      </w:pPr>
    </w:p>
    <w:p>
      <w:pPr>
        <w:ind w:left="164" w:hanging="164"/>
        <w:spacing w:after="0"/>
        <w:tabs>
          <w:tab w:leader="none" w:pos="164"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Headings</w:t>
      </w:r>
      <w:r>
        <w:rPr>
          <w:rFonts w:ascii="Times New Roman" w:cs="Times New Roman" w:eastAsia="Times New Roman" w:hAnsi="Times New Roman"/>
          <w:sz w:val="12"/>
          <w:szCs w:val="12"/>
          <w:color w:val="auto"/>
        </w:rPr>
        <w:t>. The headings herein are for convenience only, do not constitute a part of this Warrant and shall not be deemed to limit or affect any of the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193675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651" w:right="299" w:bottom="1440" w:gutter="0" w:footer="0" w:header="0"/>
        </w:sectPr>
      </w:pPr>
    </w:p>
    <w:bookmarkStart w:id="18" w:name="page19"/>
    <w:bookmarkEnd w:id="18"/>
    <w:p>
      <w:pPr>
        <w:ind w:firstLine="856"/>
        <w:spacing w:after="0" w:line="279" w:lineRule="auto"/>
        <w:tabs>
          <w:tab w:leader="none" w:pos="1034"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196215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9" w:name="page20"/>
    <w:bookmarkEnd w:id="19"/>
    <w:p>
      <w:pPr>
        <w:ind w:left="420"/>
        <w:spacing w:after="0"/>
        <w:rPr>
          <w:sz w:val="20"/>
          <w:szCs w:val="20"/>
          <w:color w:val="auto"/>
        </w:rPr>
      </w:pPr>
      <w:r>
        <w:rPr>
          <w:rFonts w:ascii="Times New Roman" w:cs="Times New Roman" w:eastAsia="Times New Roman" w:hAnsi="Times New Roman"/>
          <w:sz w:val="12"/>
          <w:szCs w:val="12"/>
          <w:color w:val="auto"/>
        </w:rPr>
        <w:t>IN WITNESS WHEREOF, the Company has caused this Warrant to be duly executed by its authorized officer as of the date first indicated above.</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HELIUS MEDICAL TECHNOLOGIES, INC.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13"/>
                <w:szCs w:val="13"/>
                <w:color w:val="auto"/>
              </w:rPr>
            </w:pP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Jeffrey S. Mathiesen</w:t>
            </w:r>
          </w:p>
        </w:tc>
      </w:t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Treasurer and Secretary</w:t>
            </w:r>
          </w:p>
        </w:tc>
      </w:tr>
      <w:tr>
        <w:trPr>
          <w:trHeight w:val="288"/>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20" w:name="page21"/>
    <w:bookmarkEnd w:id="2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EXERCISE NOTICE</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[To be executed by the Holder to purchase shares of Common Stock under the Warrant]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46" w:lineRule="exact"/>
        <w:rPr>
          <w:sz w:val="20"/>
          <w:szCs w:val="20"/>
          <w:color w:val="auto"/>
        </w:rPr>
      </w:pPr>
    </w:p>
    <w:p>
      <w:pPr>
        <w:ind w:left="8" w:hanging="8"/>
        <w:spacing w:after="0" w:line="286" w:lineRule="auto"/>
        <w:tabs>
          <w:tab w:leader="none" w:pos="181"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is the Holder of Warrant No. __ (the “</w:t>
      </w:r>
      <w:r>
        <w:rPr>
          <w:rFonts w:ascii="Times New Roman" w:cs="Times New Roman" w:eastAsia="Times New Roman" w:hAnsi="Times New Roman"/>
          <w:sz w:val="12"/>
          <w:szCs w:val="12"/>
          <w:b w:val="1"/>
          <w:bCs w:val="1"/>
          <w:color w:val="auto"/>
        </w:rPr>
        <w:t>Warrant</w:t>
      </w:r>
      <w:r>
        <w:rPr>
          <w:rFonts w:ascii="Times New Roman" w:cs="Times New Roman" w:eastAsia="Times New Roman" w:hAnsi="Times New Roman"/>
          <w:sz w:val="12"/>
          <w:szCs w:val="12"/>
          <w:color w:val="auto"/>
        </w:rPr>
        <w:t>”) issued by Helius Medical Technologies,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Capitalized terms used herein and not otherwise defined herein have the respective meanings set forth in the Warrant.</w:t>
      </w:r>
    </w:p>
    <w:p>
      <w:pPr>
        <w:spacing w:after="0" w:line="107"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hereby exercises its right to purchase _____ Warrant Shares pursuant to the Warrant.</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 intends that payment of the Remaining Exercise Price shall be made as (check one):</w:t>
      </w:r>
    </w:p>
    <w:p>
      <w:pPr>
        <w:spacing w:after="0" w:line="150" w:lineRule="exact"/>
        <w:rPr>
          <w:rFonts w:ascii="Times New Roman" w:cs="Times New Roman" w:eastAsia="Times New Roman" w:hAnsi="Times New Roman"/>
          <w:sz w:val="12"/>
          <w:szCs w:val="12"/>
          <w:color w:val="auto"/>
        </w:rPr>
      </w:pPr>
    </w:p>
    <w:p>
      <w:pPr>
        <w:ind w:left="708" w:hanging="522"/>
        <w:spacing w:after="0"/>
        <w:tabs>
          <w:tab w:leader="none" w:pos="708" w:val="left"/>
        </w:tabs>
        <w:numPr>
          <w:ilvl w:val="2"/>
          <w:numId w:val="19"/>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Cash Exercise</w:t>
      </w:r>
    </w:p>
    <w:p>
      <w:pPr>
        <w:spacing w:after="0" w:line="150" w:lineRule="exact"/>
        <w:rPr>
          <w:rFonts w:ascii="MS PGothic" w:cs="MS PGothic" w:eastAsia="MS PGothic" w:hAnsi="MS PGothic"/>
          <w:sz w:val="12"/>
          <w:szCs w:val="12"/>
          <w:color w:val="auto"/>
        </w:rPr>
      </w:pPr>
    </w:p>
    <w:p>
      <w:pPr>
        <w:ind w:left="708" w:hanging="522"/>
        <w:spacing w:after="0"/>
        <w:tabs>
          <w:tab w:leader="none" w:pos="708" w:val="left"/>
        </w:tabs>
        <w:numPr>
          <w:ilvl w:val="2"/>
          <w:numId w:val="19"/>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xml:space="preserve">“Cashless Exercise” under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of the Warrant</w:t>
      </w:r>
    </w:p>
    <w:p>
      <w:pPr>
        <w:spacing w:after="0" w:line="150" w:lineRule="exact"/>
        <w:rPr>
          <w:rFonts w:ascii="MS PGothic" w:cs="MS PGothic" w:eastAsia="MS PGothic" w:hAnsi="MS PGothic"/>
          <w:sz w:val="12"/>
          <w:szCs w:val="12"/>
          <w:color w:val="auto"/>
        </w:rPr>
      </w:pPr>
    </w:p>
    <w:p>
      <w:pPr>
        <w:ind w:left="168" w:hanging="168"/>
        <w:spacing w:after="0"/>
        <w:tabs>
          <w:tab w:leader="none" w:pos="16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has elected a Cash Exercise, the Holder shall pay the sum of $ _____ in immediately available funds to the Company in accordance with the terms of the Warrant.</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this Exercise Notice, the Company shall deliver to the Holder Warrant Shares determined in accordance with the terms of the Warrant. The Warrant Shares shall be delivered (check one):</w:t>
      </w:r>
    </w:p>
    <w:p>
      <w:pPr>
        <w:spacing w:after="0" w:line="150" w:lineRule="exact"/>
        <w:rPr>
          <w:rFonts w:ascii="Times New Roman" w:cs="Times New Roman" w:eastAsia="Times New Roman" w:hAnsi="Times New Roman"/>
          <w:sz w:val="12"/>
          <w:szCs w:val="12"/>
          <w:color w:val="auto"/>
        </w:rPr>
      </w:pPr>
    </w:p>
    <w:p>
      <w:pPr>
        <w:ind w:left="288" w:hanging="216"/>
        <w:spacing w:after="0"/>
        <w:tabs>
          <w:tab w:leader="none" w:pos="288" w:val="left"/>
        </w:tabs>
        <w:numPr>
          <w:ilvl w:val="1"/>
          <w:numId w:val="19"/>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to the following DWAC Account Number: _______________________________</w:t>
      </w:r>
    </w:p>
    <w:p>
      <w:pPr>
        <w:spacing w:after="0" w:line="18" w:lineRule="exact"/>
        <w:rPr>
          <w:rFonts w:ascii="MS PGothic" w:cs="MS PGothic" w:eastAsia="MS PGothic" w:hAnsi="MS PGothic"/>
          <w:sz w:val="12"/>
          <w:szCs w:val="12"/>
          <w:color w:val="auto"/>
        </w:rPr>
      </w:pPr>
    </w:p>
    <w:p>
      <w:pPr>
        <w:ind w:left="288" w:hanging="216"/>
        <w:spacing w:after="0"/>
        <w:tabs>
          <w:tab w:leader="none" w:pos="288" w:val="left"/>
        </w:tabs>
        <w:numPr>
          <w:ilvl w:val="1"/>
          <w:numId w:val="19"/>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in book-entry form via a direct registration system</w:t>
      </w:r>
    </w:p>
    <w:p>
      <w:pPr>
        <w:spacing w:after="0" w:line="6" w:lineRule="exact"/>
        <w:rPr>
          <w:rFonts w:ascii="MS PGothic" w:cs="MS PGothic" w:eastAsia="MS PGothic" w:hAnsi="MS PGothic"/>
          <w:sz w:val="12"/>
          <w:szCs w:val="12"/>
          <w:color w:val="auto"/>
        </w:rPr>
      </w:pPr>
    </w:p>
    <w:p>
      <w:pPr>
        <w:ind w:left="288" w:hanging="216"/>
        <w:spacing w:after="0"/>
        <w:tabs>
          <w:tab w:leader="none" w:pos="288" w:val="left"/>
        </w:tabs>
        <w:numPr>
          <w:ilvl w:val="1"/>
          <w:numId w:val="19"/>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by physical delivery of a certificate to: __________________________________________________________</w:t>
      </w:r>
    </w:p>
    <w:p>
      <w:pPr>
        <w:spacing w:after="0" w:line="6"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w:t>
      </w:r>
    </w:p>
    <w:p>
      <w:pPr>
        <w:spacing w:after="0" w:line="138" w:lineRule="exact"/>
        <w:rPr>
          <w:sz w:val="20"/>
          <w:szCs w:val="20"/>
          <w:color w:val="auto"/>
        </w:rPr>
      </w:pPr>
    </w:p>
    <w:p>
      <w:pPr>
        <w:ind w:left="288" w:hanging="216"/>
        <w:spacing w:after="0"/>
        <w:tabs>
          <w:tab w:leader="none" w:pos="288" w:val="left"/>
        </w:tabs>
        <w:numPr>
          <w:ilvl w:val="1"/>
          <w:numId w:val="20"/>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in restricted book-entry form in the Company’s share register</w:t>
      </w:r>
    </w:p>
    <w:p>
      <w:pPr>
        <w:spacing w:after="0" w:line="150" w:lineRule="exact"/>
        <w:rPr>
          <w:rFonts w:ascii="MS PGothic" w:cs="MS PGothic" w:eastAsia="MS PGothic" w:hAnsi="MS PGothic"/>
          <w:sz w:val="12"/>
          <w:szCs w:val="12"/>
          <w:color w:val="auto"/>
        </w:rPr>
      </w:pPr>
    </w:p>
    <w:p>
      <w:pPr>
        <w:jc w:val="both"/>
        <w:ind w:left="8" w:hanging="8"/>
        <w:spacing w:after="0" w:line="265" w:lineRule="auto"/>
        <w:tabs>
          <w:tab w:leader="none" w:pos="17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By its delivery of this Exercise Notice, the undersigned represents and warrants to the Company that in giving effect to the exercise evidenced hereby the Holder (i)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2"/>
          <w:szCs w:val="12"/>
          <w:u w:val="single" w:color="auto"/>
          <w:color w:val="auto"/>
        </w:rPr>
        <w:t>Section 11(a)</w:t>
      </w:r>
      <w:r>
        <w:rPr>
          <w:rFonts w:ascii="Times New Roman" w:cs="Times New Roman" w:eastAsia="Times New Roman" w:hAnsi="Times New Roman"/>
          <w:sz w:val="12"/>
          <w:szCs w:val="12"/>
          <w:color w:val="auto"/>
        </w:rPr>
        <w:t xml:space="preserve"> of the Warrant to which this notice relates.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8902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8902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8902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8902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8902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2"/>
          <w:szCs w:val="12"/>
          <w:b w:val="1"/>
          <w:bCs w:val="1"/>
          <w:color w:val="auto"/>
        </w:rPr>
        <w:t>Exhibit 4.2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Pre-Funded Warrant</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b w:val="1"/>
          <w:bCs w:val="1"/>
          <w:color w:val="auto"/>
        </w:rPr>
        <w:t>THIS WARRANT AND THE SHARES OF CLASS A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OFFERED, SOLD, TRANSFERRED, ASSIGNED OR OTHERWISE DISPOSED OF EXCEPT PURSUANT TO (I) AN EFFECTIVE REGISTRATION STATEMENT UNDER THE SECURITIES ACT OR (II) AN AVAILABLE EXEMPTION FROM SUCH REGISTRATION AND THE DELIVERY TO THE COMPANY OF AN OPINION OF COUNSEL REASONABLY SATISFACTORY TO IT THAT SUCH REGISTRATION IS NOT REQUIRED.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PRE-FUNDED WARRANT TO PURCHASE COMMON STOCK</w:t>
      </w:r>
    </w:p>
    <w:p>
      <w:pPr>
        <w:spacing w:after="0" w:line="154"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2"/>
          <w:szCs w:val="12"/>
          <w:color w:val="auto"/>
        </w:rPr>
        <w:t>Number of Shares: [●]</w:t>
      </w:r>
    </w:p>
    <w:p>
      <w:pPr>
        <w:spacing w:after="0" w:line="17"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1"/>
          <w:szCs w:val="11"/>
          <w:color w:val="auto"/>
        </w:rPr>
        <w:t>(subject to adjustment)</w:t>
      </w:r>
    </w:p>
    <w:p>
      <w:pPr>
        <w:spacing w:after="0" w:line="151" w:lineRule="exact"/>
        <w:rPr>
          <w:sz w:val="20"/>
          <w:szCs w:val="20"/>
          <w:color w:val="auto"/>
        </w:rPr>
      </w:pPr>
    </w:p>
    <w:p>
      <w:pPr>
        <w:spacing w:after="0"/>
        <w:tabs>
          <w:tab w:leader="none" w:pos="9820" w:val="left"/>
        </w:tabs>
        <w:rPr>
          <w:sz w:val="20"/>
          <w:szCs w:val="20"/>
          <w:color w:val="auto"/>
        </w:rPr>
      </w:pPr>
      <w:r>
        <w:rPr>
          <w:rFonts w:ascii="Times New Roman" w:cs="Times New Roman" w:eastAsia="Times New Roman" w:hAnsi="Times New Roman"/>
          <w:sz w:val="12"/>
          <w:szCs w:val="12"/>
          <w:color w:val="auto"/>
        </w:rPr>
        <w:t>Warrant No. [●]</w:t>
      </w:r>
      <w:r>
        <w:rPr>
          <w:sz w:val="20"/>
          <w:szCs w:val="20"/>
          <w:color w:val="auto"/>
        </w:rPr>
        <w:tab/>
      </w:r>
      <w:r>
        <w:rPr>
          <w:rFonts w:ascii="Times New Roman" w:cs="Times New Roman" w:eastAsia="Times New Roman" w:hAnsi="Times New Roman"/>
          <w:sz w:val="12"/>
          <w:szCs w:val="12"/>
          <w:color w:val="auto"/>
        </w:rPr>
        <w:t>Original Issue Date: [●], 2025</w:t>
      </w:r>
    </w:p>
    <w:p>
      <w:pPr>
        <w:spacing w:after="0" w:line="14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Helius Medical Technologies,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hereby certifies that, for good and valuable consideration, the receipt and sufficiency of which are hereby acknowledged, [●] or its registered assigns (the “</w:t>
      </w:r>
      <w:r>
        <w:rPr>
          <w:rFonts w:ascii="Times New Roman" w:cs="Times New Roman" w:eastAsia="Times New Roman" w:hAnsi="Times New Roman"/>
          <w:sz w:val="12"/>
          <w:szCs w:val="12"/>
          <w:b w:val="1"/>
          <w:bCs w:val="1"/>
          <w:color w:val="auto"/>
        </w:rPr>
        <w:t>Holder</w:t>
      </w:r>
      <w:r>
        <w:rPr>
          <w:rFonts w:ascii="Times New Roman" w:cs="Times New Roman" w:eastAsia="Times New Roman" w:hAnsi="Times New Roman"/>
          <w:sz w:val="12"/>
          <w:szCs w:val="12"/>
          <w:color w:val="auto"/>
        </w:rPr>
        <w:t>”), is entitled, subject to the terms set forth below, to purchase from the Company up to a total of [●] shares of Class A common stock of the Company, $0.001 par value per share, and any other class of securities into which such securities may hereafter be reclassified or changed (the “</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of the Company (each such share, a “</w:t>
      </w:r>
      <w:r>
        <w:rPr>
          <w:rFonts w:ascii="Times New Roman" w:cs="Times New Roman" w:eastAsia="Times New Roman" w:hAnsi="Times New Roman"/>
          <w:sz w:val="12"/>
          <w:szCs w:val="12"/>
          <w:b w:val="1"/>
          <w:bCs w:val="1"/>
          <w:color w:val="auto"/>
        </w:rPr>
        <w:t>Warrant Share</w:t>
      </w:r>
      <w:r>
        <w:rPr>
          <w:rFonts w:ascii="Times New Roman" w:cs="Times New Roman" w:eastAsia="Times New Roman" w:hAnsi="Times New Roman"/>
          <w:sz w:val="12"/>
          <w:szCs w:val="12"/>
          <w:color w:val="auto"/>
        </w:rPr>
        <w:t>” and all such shares, the “</w:t>
      </w:r>
      <w:r>
        <w:rPr>
          <w:rFonts w:ascii="Times New Roman" w:cs="Times New Roman" w:eastAsia="Times New Roman" w:hAnsi="Times New Roman"/>
          <w:sz w:val="12"/>
          <w:szCs w:val="12"/>
          <w:b w:val="1"/>
          <w:bCs w:val="1"/>
          <w:color w:val="auto"/>
        </w:rPr>
        <w:t>Warrant Shares</w:t>
      </w:r>
      <w:r>
        <w:rPr>
          <w:rFonts w:ascii="Times New Roman" w:cs="Times New Roman" w:eastAsia="Times New Roman" w:hAnsi="Times New Roman"/>
          <w:sz w:val="12"/>
          <w:szCs w:val="12"/>
          <w:color w:val="auto"/>
        </w:rPr>
        <w:t>”) at the remaining exercise price per share equal to $0.001 per Warrant Share (the “</w:t>
      </w:r>
      <w:r>
        <w:rPr>
          <w:rFonts w:ascii="Times New Roman" w:cs="Times New Roman" w:eastAsia="Times New Roman" w:hAnsi="Times New Roman"/>
          <w:sz w:val="12"/>
          <w:szCs w:val="12"/>
          <w:b w:val="1"/>
          <w:bCs w:val="1"/>
          <w:color w:val="auto"/>
        </w:rPr>
        <w:t>Remaining Exercise Price</w:t>
      </w:r>
      <w:r>
        <w:rPr>
          <w:rFonts w:ascii="Times New Roman" w:cs="Times New Roman" w:eastAsia="Times New Roman" w:hAnsi="Times New Roman"/>
          <w:sz w:val="12"/>
          <w:szCs w:val="12"/>
          <w:color w:val="auto"/>
        </w:rPr>
        <w:t>” and, together with the pre-funded purchase price per share, the “</w:t>
      </w:r>
      <w:r>
        <w:rPr>
          <w:rFonts w:ascii="Times New Roman" w:cs="Times New Roman" w:eastAsia="Times New Roman" w:hAnsi="Times New Roman"/>
          <w:sz w:val="12"/>
          <w:szCs w:val="12"/>
          <w:b w:val="1"/>
          <w:bCs w:val="1"/>
          <w:color w:val="auto"/>
        </w:rPr>
        <w:t>Exercise Price</w:t>
      </w:r>
      <w:r>
        <w:rPr>
          <w:rFonts w:ascii="Times New Roman" w:cs="Times New Roman" w:eastAsia="Times New Roman" w:hAnsi="Times New Roman"/>
          <w:sz w:val="12"/>
          <w:szCs w:val="12"/>
          <w:color w:val="auto"/>
        </w:rPr>
        <w:t xml:space="preserve">”), in each case as adjusted from time to time as provided in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upon surrender of this Pre-Funded Warrant to Purchase Common Stock (including any Warrants to purchase Common Stock issued in exchange, transfer or replacement hereof, the “</w:t>
      </w:r>
      <w:r>
        <w:rPr>
          <w:rFonts w:ascii="Times New Roman" w:cs="Times New Roman" w:eastAsia="Times New Roman" w:hAnsi="Times New Roman"/>
          <w:sz w:val="12"/>
          <w:szCs w:val="12"/>
          <w:b w:val="1"/>
          <w:bCs w:val="1"/>
          <w:color w:val="auto"/>
        </w:rPr>
        <w:t>Warrant</w:t>
      </w:r>
      <w:r>
        <w:rPr>
          <w:rFonts w:ascii="Times New Roman" w:cs="Times New Roman" w:eastAsia="Times New Roman" w:hAnsi="Times New Roman"/>
          <w:sz w:val="12"/>
          <w:szCs w:val="12"/>
          <w:color w:val="auto"/>
        </w:rPr>
        <w:t>”) at any time and from time to time on or after the effective date of Shareholder Approval (the “</w:t>
      </w:r>
      <w:r>
        <w:rPr>
          <w:rFonts w:ascii="Times New Roman" w:cs="Times New Roman" w:eastAsia="Times New Roman" w:hAnsi="Times New Roman"/>
          <w:sz w:val="12"/>
          <w:szCs w:val="12"/>
          <w:b w:val="1"/>
          <w:bCs w:val="1"/>
          <w:color w:val="auto"/>
        </w:rPr>
        <w:t>Original Issue Date</w:t>
      </w:r>
      <w:r>
        <w:rPr>
          <w:rFonts w:ascii="Times New Roman" w:cs="Times New Roman" w:eastAsia="Times New Roman" w:hAnsi="Times New Roman"/>
          <w:sz w:val="12"/>
          <w:szCs w:val="12"/>
          <w:color w:val="auto"/>
        </w:rPr>
        <w:t>”), subject to the following terms and conditions:</w:t>
      </w:r>
    </w:p>
    <w:p>
      <w:pPr>
        <w:spacing w:after="0" w:line="121"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This Warrant is one of a series of similar warrants issued pursuant to that certain Subscription Agreement, dated September 15, 2025, by and among the Company and the Subscribers identified therein (the “</w:t>
      </w:r>
      <w:r>
        <w:rPr>
          <w:rFonts w:ascii="Times New Roman" w:cs="Times New Roman" w:eastAsia="Times New Roman" w:hAnsi="Times New Roman"/>
          <w:sz w:val="12"/>
          <w:szCs w:val="12"/>
          <w:b w:val="1"/>
          <w:bCs w:val="1"/>
          <w:color w:val="auto"/>
        </w:rPr>
        <w:t>Purchase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Certain capitalized terms used below and not otherwise defined have the meanings given to such terms in the Purchase Agreement.</w:t>
      </w:r>
    </w:p>
    <w:p>
      <w:pPr>
        <w:spacing w:after="0" w:line="103" w:lineRule="exact"/>
        <w:rPr>
          <w:sz w:val="20"/>
          <w:szCs w:val="20"/>
          <w:color w:val="auto"/>
        </w:rPr>
      </w:pPr>
    </w:p>
    <w:p>
      <w:pPr>
        <w:ind w:left="540" w:hanging="116"/>
        <w:spacing w:after="0"/>
        <w:tabs>
          <w:tab w:leader="none" w:pos="540" w:val="left"/>
        </w:tabs>
        <w:numPr>
          <w:ilvl w:val="0"/>
          <w:numId w:val="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Definitions</w:t>
      </w:r>
      <w:r>
        <w:rPr>
          <w:rFonts w:ascii="Times New Roman" w:cs="Times New Roman" w:eastAsia="Times New Roman" w:hAnsi="Times New Roman"/>
          <w:sz w:val="12"/>
          <w:szCs w:val="12"/>
          <w:color w:val="auto"/>
        </w:rPr>
        <w:t>. For purposes of this Warrant, the following terms shall have the following meanings:</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xml:space="preserve">” means, with respect to any specified Person, (a) any other Person that, directly or indirectly through one or more intermediates, controls, is controlled by or is under common control with such Person or (b) in the event that the specified Person is a natural Person, a Member of the Immediate Family of such Person; provided that the Company and each of its subsidiaries shall be deemed not to be Affiliates of any Subscriber. As used in this definition, the term “control” means the possession, directly or indirectly, of the power to direct or cause the direction of the management and policies of a Person, whether through ownership of voting securities, by contract or otherwise;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Affiliates of any Person that is an investment fund shall not include any portfolio companies of such investment fund or any affiliated investment fund.</w:t>
      </w:r>
    </w:p>
    <w:p>
      <w:pPr>
        <w:spacing w:after="0" w:line="117"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Attribution Parties</w:t>
      </w:r>
      <w:r>
        <w:rPr>
          <w:rFonts w:ascii="Times New Roman" w:cs="Times New Roman" w:eastAsia="Times New Roman" w:hAnsi="Times New Roman"/>
          <w:sz w:val="12"/>
          <w:szCs w:val="12"/>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or any of its Affiliates or principals,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22" w:name="page23"/>
    <w:bookmarkEnd w:id="22"/>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Closing Sale Price</w:t>
      </w:r>
      <w:r>
        <w:rPr>
          <w:rFonts w:ascii="Times New Roman" w:cs="Times New Roman" w:eastAsia="Times New Roman" w:hAnsi="Times New Roman"/>
          <w:sz w:val="12"/>
          <w:szCs w:val="12"/>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Commission</w:t>
      </w:r>
      <w:r>
        <w:rPr>
          <w:rFonts w:ascii="Times New Roman" w:cs="Times New Roman" w:eastAsia="Times New Roman" w:hAnsi="Times New Roman"/>
          <w:sz w:val="12"/>
          <w:szCs w:val="12"/>
          <w:color w:val="auto"/>
        </w:rPr>
        <w:t>” means the U.S. Securities and Exchange Commission.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means the U.S. Securities Exchange Act of 1934, as amended, and all of the rules and regulations promulgated thereunder.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Group</w:t>
      </w:r>
      <w:r>
        <w:rPr>
          <w:rFonts w:ascii="Times New Roman" w:cs="Times New Roman" w:eastAsia="Times New Roman" w:hAnsi="Times New Roman"/>
          <w:sz w:val="12"/>
          <w:szCs w:val="12"/>
          <w:color w:val="auto"/>
        </w:rPr>
        <w:t>” shall have the meaning ascribed to it in Section 13(d) of the Exchange Act, and all related rules, regulations and jurisprudence.</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Member of the Immediate Family</w:t>
      </w:r>
      <w:r>
        <w:rPr>
          <w:rFonts w:ascii="Times New Roman" w:cs="Times New Roman" w:eastAsia="Times New Roman" w:hAnsi="Times New Roman"/>
          <w:sz w:val="12"/>
          <w:szCs w:val="12"/>
          <w:color w:val="auto"/>
        </w:rPr>
        <w:t>” means, with respect to any Person who is an individual, (a) each parent, spouse (but not including a former spouse or a spouse from whom such Person is legally separated) or child (including those adopted) of such individual and (b) each trustee, solely in his or her capacity as trustee, for a trust naming only one or more of the Persons listed in sub-clause (a) as beneficiaries.</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Principal Trading Market</w:t>
      </w:r>
      <w:r>
        <w:rPr>
          <w:rFonts w:ascii="Times New Roman" w:cs="Times New Roman" w:eastAsia="Times New Roman" w:hAnsi="Times New Roman"/>
          <w:sz w:val="12"/>
          <w:szCs w:val="12"/>
          <w:color w:val="auto"/>
        </w:rPr>
        <w:t>” means the national securities exchange or other trading market on which the Common Stock is primarily listed on and quoted for trading, which, as of the Original Issue Date, is The Nasdaq Capital Market.</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means the U.S. Securities Act of 1933, as amended, and all of the rules and regulations promulgated thereunder.</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Standard Settlement Period</w:t>
      </w:r>
      <w:r>
        <w:rPr>
          <w:rFonts w:ascii="Times New Roman" w:cs="Times New Roman" w:eastAsia="Times New Roman" w:hAnsi="Times New Roman"/>
          <w:sz w:val="12"/>
          <w:szCs w:val="12"/>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Trading Day</w:t>
      </w:r>
      <w:r>
        <w:rPr>
          <w:rFonts w:ascii="Times New Roman" w:cs="Times New Roman" w:eastAsia="Times New Roman" w:hAnsi="Times New Roman"/>
          <w:sz w:val="12"/>
          <w:szCs w:val="12"/>
          <w:color w:val="auto"/>
        </w:rPr>
        <w:t>” means any weekday on which the Principal Trading Market is open for trading.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 Agent</w:t>
      </w:r>
      <w:r>
        <w:rPr>
          <w:rFonts w:ascii="Times New Roman" w:cs="Times New Roman" w:eastAsia="Times New Roman" w:hAnsi="Times New Roman"/>
          <w:sz w:val="12"/>
          <w:szCs w:val="12"/>
          <w:color w:val="auto"/>
        </w:rPr>
        <w:t>” means Equiniti Trust Company, LLC, the Company’s transfer agent and registrar for the Common Stock, and any successor appointed in such capacity.</w:t>
      </w:r>
    </w:p>
    <w:p>
      <w:pPr>
        <w:spacing w:after="0" w:line="150" w:lineRule="exact"/>
        <w:rPr>
          <w:sz w:val="20"/>
          <w:szCs w:val="20"/>
          <w:color w:val="auto"/>
        </w:rPr>
      </w:pPr>
    </w:p>
    <w:p>
      <w:pPr>
        <w:jc w:val="both"/>
        <w:ind w:firstLine="424"/>
        <w:spacing w:after="0" w:line="268" w:lineRule="auto"/>
        <w:tabs>
          <w:tab w:leader="none" w:pos="552" w:val="left"/>
        </w:tabs>
        <w:numPr>
          <w:ilvl w:val="0"/>
          <w:numId w:val="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Issuance of Securities; Registration of Warrants</w:t>
      </w:r>
      <w:r>
        <w:rPr>
          <w:rFonts w:ascii="Times New Roman" w:cs="Times New Roman" w:eastAsia="Times New Roman" w:hAnsi="Times New Roman"/>
          <w:sz w:val="12"/>
          <w:szCs w:val="12"/>
          <w:color w:val="auto"/>
        </w:rPr>
        <w:t>. The Company shall register ownership of this Warrant, upon records to be maintained by the Company for that purpose (the “</w:t>
      </w:r>
      <w:r>
        <w:rPr>
          <w:rFonts w:ascii="Times New Roman" w:cs="Times New Roman" w:eastAsia="Times New Roman" w:hAnsi="Times New Roman"/>
          <w:sz w:val="12"/>
          <w:szCs w:val="12"/>
          <w:b w:val="1"/>
          <w:bCs w:val="1"/>
          <w:color w:val="auto"/>
        </w:rPr>
        <w:t>Warrant Register</w:t>
      </w:r>
      <w:r>
        <w:rPr>
          <w:rFonts w:ascii="Times New Roman" w:cs="Times New Roman" w:eastAsia="Times New Roman" w:hAnsi="Times New Roman"/>
          <w:sz w:val="12"/>
          <w:szCs w:val="12"/>
          <w:color w:val="auto"/>
        </w:rPr>
        <w:t>”), in the name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13" w:lineRule="exact"/>
        <w:rPr>
          <w:rFonts w:ascii="Times New Roman" w:cs="Times New Roman" w:eastAsia="Times New Roman" w:hAnsi="Times New Roman"/>
          <w:sz w:val="12"/>
          <w:szCs w:val="12"/>
          <w:b w:val="1"/>
          <w:bCs w:val="1"/>
          <w:color w:val="auto"/>
        </w:rPr>
      </w:pPr>
    </w:p>
    <w:p>
      <w:pPr>
        <w:jc w:val="both"/>
        <w:ind w:firstLine="424"/>
        <w:spacing w:after="0" w:line="255" w:lineRule="auto"/>
        <w:tabs>
          <w:tab w:leader="none" w:pos="552" w:val="left"/>
        </w:tabs>
        <w:numPr>
          <w:ilvl w:val="0"/>
          <w:numId w:val="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Registration of Transfers</w:t>
      </w:r>
      <w:r>
        <w:rPr>
          <w:rFonts w:ascii="Times New Roman" w:cs="Times New Roman" w:eastAsia="Times New Roman" w:hAnsi="Times New Roman"/>
          <w:sz w:val="12"/>
          <w:szCs w:val="12"/>
          <w:color w:val="auto"/>
        </w:rPr>
        <w:t>. This Warrant and all rights hereunder (including, without limitation, any registration rights in respect of the Warrant Shares) are transferable, in whole or in part, upon surrender of this Warrant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principal office of the Company or its designated agent, together with a written assignment of this Warrant substantially in the form attached hereto duly executed by the Holder or its agent or attorney, duly authorized,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2"/>
          <w:szCs w:val="12"/>
          <w:b w:val="1"/>
          <w:bCs w:val="1"/>
          <w:color w:val="auto"/>
        </w:rPr>
        <w:t>New Warrant</w:t>
      </w:r>
      <w:r>
        <w:rPr>
          <w:rFonts w:ascii="Times New Roman" w:cs="Times New Roman" w:eastAsia="Times New Roman" w:hAnsi="Times New Roman"/>
          <w:sz w:val="12"/>
          <w:szCs w:val="12"/>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Until due presentment for registration of transfer, the Company may treat the registered Holder hereof as the owner and holder for all purposes, and the Company shall not be affected by any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3" w:name="page24"/>
    <w:bookmarkEnd w:id="23"/>
    <w:p>
      <w:pPr>
        <w:ind w:left="548" w:hanging="116"/>
        <w:spacing w:after="0"/>
        <w:tabs>
          <w:tab w:leader="none" w:pos="548" w:val="left"/>
        </w:tabs>
        <w:numPr>
          <w:ilvl w:val="1"/>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Exercise of Warrants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b w:val="1"/>
          <w:bCs w:val="1"/>
          <w:color w:val="auto"/>
        </w:rPr>
      </w:pPr>
    </w:p>
    <w:p>
      <w:pPr>
        <w:ind w:left="8" w:right="20" w:firstLine="856"/>
        <w:spacing w:after="0" w:line="279" w:lineRule="auto"/>
        <w:tabs>
          <w:tab w:leader="none" w:pos="1030" w:val="left"/>
        </w:tabs>
        <w:numPr>
          <w:ilvl w:val="2"/>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at any time and from time to time on or after the Original Issue Date, and such rights shall not expire until exercised in full.</w:t>
      </w:r>
    </w:p>
    <w:p>
      <w:pPr>
        <w:spacing w:after="0" w:line="107" w:lineRule="exact"/>
        <w:rPr>
          <w:rFonts w:ascii="Times New Roman" w:cs="Times New Roman" w:eastAsia="Times New Roman" w:hAnsi="Times New Roman"/>
          <w:sz w:val="12"/>
          <w:szCs w:val="12"/>
          <w:color w:val="auto"/>
        </w:rPr>
      </w:pPr>
    </w:p>
    <w:p>
      <w:pPr>
        <w:jc w:val="both"/>
        <w:ind w:left="8" w:firstLine="856"/>
        <w:spacing w:after="0" w:line="259" w:lineRule="auto"/>
        <w:tabs>
          <w:tab w:leader="none" w:pos="1046" w:val="left"/>
        </w:tabs>
        <w:numPr>
          <w:ilvl w:val="2"/>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Holder may exercise this Warrant by delivering to the Company (i) an exercise notice, in the form attached as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hereto (the “</w:t>
      </w:r>
      <w:r>
        <w:rPr>
          <w:rFonts w:ascii="Times New Roman" w:cs="Times New Roman" w:eastAsia="Times New Roman" w:hAnsi="Times New Roman"/>
          <w:sz w:val="12"/>
          <w:szCs w:val="12"/>
          <w:b w:val="1"/>
          <w:bCs w:val="1"/>
          <w:color w:val="auto"/>
        </w:rPr>
        <w:t>Exercise Notice</w:t>
      </w:r>
      <w:r>
        <w:rPr>
          <w:rFonts w:ascii="Times New Roman" w:cs="Times New Roman" w:eastAsia="Times New Roman" w:hAnsi="Times New Roman"/>
          <w:sz w:val="12"/>
          <w:szCs w:val="12"/>
          <w:color w:val="auto"/>
        </w:rPr>
        <w:t xml:space="preserve">”), completed and duly signed, and (ii) payment of the Remaining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2"/>
          <w:szCs w:val="12"/>
          <w:b w:val="1"/>
          <w:bCs w:val="1"/>
          <w:color w:val="auto"/>
        </w:rPr>
        <w:t>“Exercise Date</w:t>
      </w:r>
      <w:r>
        <w:rPr>
          <w:rFonts w:ascii="Times New Roman" w:cs="Times New Roman" w:eastAsia="Times New Roman" w:hAnsi="Times New Roman"/>
          <w:sz w:val="12"/>
          <w:szCs w:val="12"/>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23" w:lineRule="exact"/>
        <w:rPr>
          <w:rFonts w:ascii="Times New Roman" w:cs="Times New Roman" w:eastAsia="Times New Roman" w:hAnsi="Times New Roman"/>
          <w:sz w:val="12"/>
          <w:szCs w:val="12"/>
          <w:color w:val="auto"/>
        </w:rPr>
      </w:pPr>
    </w:p>
    <w:p>
      <w:pPr>
        <w:ind w:left="8" w:firstLine="856"/>
        <w:spacing w:after="0" w:line="279" w:lineRule="auto"/>
        <w:tabs>
          <w:tab w:leader="none" w:pos="1033" w:val="left"/>
        </w:tabs>
        <w:numPr>
          <w:ilvl w:val="2"/>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107" w:lineRule="exact"/>
        <w:rPr>
          <w:rFonts w:ascii="Times New Roman" w:cs="Times New Roman" w:eastAsia="Times New Roman" w:hAnsi="Times New Roman"/>
          <w:sz w:val="12"/>
          <w:szCs w:val="12"/>
          <w:color w:val="auto"/>
        </w:rPr>
      </w:pPr>
    </w:p>
    <w:p>
      <w:pPr>
        <w:ind w:left="548" w:hanging="116"/>
        <w:spacing w:after="0"/>
        <w:tabs>
          <w:tab w:leader="none" w:pos="548" w:val="left"/>
        </w:tabs>
        <w:numPr>
          <w:ilvl w:val="1"/>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Delivery of Warrant Shares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b w:val="1"/>
          <w:bCs w:val="1"/>
          <w:color w:val="auto"/>
        </w:rPr>
      </w:pPr>
    </w:p>
    <w:p>
      <w:pPr>
        <w:jc w:val="both"/>
        <w:ind w:left="8" w:firstLine="856"/>
        <w:spacing w:after="0" w:line="259" w:lineRule="auto"/>
        <w:tabs>
          <w:tab w:leader="none" w:pos="1038" w:val="left"/>
        </w:tabs>
        <w:numPr>
          <w:ilvl w:val="2"/>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2"/>
          <w:szCs w:val="12"/>
          <w:b w:val="1"/>
          <w:bCs w:val="1"/>
          <w:color w:val="auto"/>
        </w:rPr>
        <w:t>Exercise Shares</w:t>
      </w:r>
      <w:r>
        <w:rPr>
          <w:rFonts w:ascii="Times New Roman" w:cs="Times New Roman" w:eastAsia="Times New Roman" w:hAnsi="Times New Roman"/>
          <w:sz w:val="12"/>
          <w:szCs w:val="12"/>
          <w:color w:val="auto"/>
        </w:rPr>
        <w:t>”) to</w:t>
      </w:r>
    </w:p>
    <w:p>
      <w:pPr>
        <w:spacing w:after="0" w:line="1" w:lineRule="exact"/>
        <w:rPr>
          <w:rFonts w:ascii="Times New Roman" w:cs="Times New Roman" w:eastAsia="Times New Roman" w:hAnsi="Times New Roman"/>
          <w:sz w:val="12"/>
          <w:szCs w:val="12"/>
          <w:color w:val="auto"/>
        </w:rPr>
      </w:pPr>
    </w:p>
    <w:p>
      <w:pPr>
        <w:jc w:val="both"/>
        <w:ind w:left="8" w:hanging="8"/>
        <w:spacing w:after="0" w:line="251" w:lineRule="auto"/>
        <w:tabs>
          <w:tab w:leader="none" w:pos="153"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Holder’s or its designee’s balance account with The Depository Trust Company (“</w:t>
      </w:r>
      <w:r>
        <w:rPr>
          <w:rFonts w:ascii="Times New Roman" w:cs="Times New Roman" w:eastAsia="Times New Roman" w:hAnsi="Times New Roman"/>
          <w:sz w:val="12"/>
          <w:szCs w:val="12"/>
          <w:b w:val="1"/>
          <w:bCs w:val="1"/>
          <w:color w:val="auto"/>
        </w:rPr>
        <w:t>DTC</w:t>
      </w:r>
      <w:r>
        <w:rPr>
          <w:rFonts w:ascii="Times New Roman" w:cs="Times New Roman" w:eastAsia="Times New Roman" w:hAnsi="Times New Roman"/>
          <w:sz w:val="12"/>
          <w:szCs w:val="12"/>
          <w:color w:val="auto"/>
        </w:rPr>
        <w:t>”) through its Deposit Withdrawal At Custodian system or (ii) in book-entry form via a direct registration system (“</w:t>
      </w:r>
      <w:r>
        <w:rPr>
          <w:rFonts w:ascii="Times New Roman" w:cs="Times New Roman" w:eastAsia="Times New Roman" w:hAnsi="Times New Roman"/>
          <w:sz w:val="12"/>
          <w:szCs w:val="12"/>
          <w:b w:val="1"/>
          <w:bCs w:val="1"/>
          <w:color w:val="auto"/>
        </w:rPr>
        <w:t>DRS</w:t>
      </w:r>
      <w:r>
        <w:rPr>
          <w:rFonts w:ascii="Times New Roman" w:cs="Times New Roman" w:eastAsia="Times New Roman" w:hAnsi="Times New Roman"/>
          <w:sz w:val="12"/>
          <w:szCs w:val="12"/>
          <w:color w:val="auto"/>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and stop transfer notation,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reflecting such legend and notation.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4" w:name="page25"/>
    <w:bookmarkEnd w:id="24"/>
    <w:p>
      <w:pPr>
        <w:jc w:val="both"/>
        <w:ind w:left="-424" w:firstLine="856"/>
        <w:spacing w:after="0" w:line="255" w:lineRule="auto"/>
        <w:tabs>
          <w:tab w:leader="none" w:pos="610"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addition to any other rights available to the Holder, if the Company fails to cause the Transfer Agent to deliver to the Holder or its designee Exercise Shares in the manner required pursuant to </w:t>
      </w:r>
      <w:r>
        <w:rPr>
          <w:rFonts w:ascii="Times New Roman" w:cs="Times New Roman" w:eastAsia="Times New Roman" w:hAnsi="Times New Roman"/>
          <w:sz w:val="12"/>
          <w:szCs w:val="12"/>
          <w:u w:val="single" w:color="auto"/>
          <w:color w:val="auto"/>
        </w:rPr>
        <w:t>Section 5(a)</w:t>
      </w:r>
      <w:r>
        <w:rPr>
          <w:rFonts w:ascii="Times New Roman" w:cs="Times New Roman" w:eastAsia="Times New Roman" w:hAnsi="Times New Roman"/>
          <w:sz w:val="12"/>
          <w:szCs w:val="12"/>
          <w:color w:val="auto"/>
        </w:rPr>
        <w:t xml:space="preserve"> within the Standard Settlement Period following the Exercise Date (other than a failure caused by 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2"/>
          <w:szCs w:val="12"/>
          <w:b w:val="1"/>
          <w:bCs w:val="1"/>
          <w:color w:val="auto"/>
        </w:rPr>
        <w:t>Buy-In</w:t>
      </w:r>
      <w:r>
        <w:rPr>
          <w:rFonts w:ascii="Times New Roman" w:cs="Times New Roman" w:eastAsia="Times New Roman" w:hAnsi="Times New Roman"/>
          <w:sz w:val="12"/>
          <w:szCs w:val="12"/>
          <w:color w:val="auto"/>
        </w:rPr>
        <w:t xml:space="preserve">”) but did not receive within the Standard Settlement Period, then the Company shall, within two (2)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2"/>
          <w:szCs w:val="12"/>
          <w:u w:val="single" w:color="auto"/>
          <w:color w:val="auto"/>
        </w:rPr>
        <w:t>Section 5(a)</w:t>
      </w:r>
      <w:r>
        <w:rPr>
          <w:rFonts w:ascii="Times New Roman" w:cs="Times New Roman" w:eastAsia="Times New Roman" w:hAnsi="Times New Roman"/>
          <w:sz w:val="12"/>
          <w:szCs w:val="12"/>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125" w:lineRule="exact"/>
        <w:rPr>
          <w:rFonts w:ascii="Times New Roman" w:cs="Times New Roman" w:eastAsia="Times New Roman" w:hAnsi="Times New Roman"/>
          <w:sz w:val="12"/>
          <w:szCs w:val="12"/>
          <w:color w:val="auto"/>
        </w:rPr>
      </w:pPr>
    </w:p>
    <w:p>
      <w:pPr>
        <w:jc w:val="both"/>
        <w:ind w:left="-424" w:firstLine="856"/>
        <w:spacing w:after="0" w:line="255" w:lineRule="auto"/>
        <w:tabs>
          <w:tab w:leader="none" w:pos="606"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 extent permitted by law and subject to </w:t>
      </w:r>
      <w:r>
        <w:rPr>
          <w:rFonts w:ascii="Times New Roman" w:cs="Times New Roman" w:eastAsia="Times New Roman" w:hAnsi="Times New Roman"/>
          <w:sz w:val="12"/>
          <w:szCs w:val="12"/>
          <w:u w:val="single" w:color="auto"/>
          <w:color w:val="auto"/>
        </w:rPr>
        <w:t>Section 5(b)</w:t>
      </w:r>
      <w:r>
        <w:rPr>
          <w:rFonts w:ascii="Times New Roman" w:cs="Times New Roman" w:eastAsia="Times New Roman" w:hAnsi="Times New Roman"/>
          <w:sz w:val="12"/>
          <w:szCs w:val="12"/>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2"/>
          <w:szCs w:val="12"/>
          <w:u w:val="single" w:color="auto"/>
          <w:color w:val="auto"/>
        </w:rPr>
        <w:t>Section 5(b)</w:t>
      </w:r>
      <w:r>
        <w:rPr>
          <w:rFonts w:ascii="Times New Roman" w:cs="Times New Roman" w:eastAsia="Times New Roman" w:hAnsi="Times New Roman"/>
          <w:sz w:val="12"/>
          <w:szCs w:val="12"/>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w:t>
      </w:r>
    </w:p>
    <w:p>
      <w:pPr>
        <w:spacing w:after="0" w:line="121" w:lineRule="exact"/>
        <w:rPr>
          <w:rFonts w:ascii="Times New Roman" w:cs="Times New Roman" w:eastAsia="Times New Roman" w:hAnsi="Times New Roman"/>
          <w:sz w:val="12"/>
          <w:szCs w:val="12"/>
          <w:color w:val="auto"/>
        </w:rPr>
      </w:pPr>
    </w:p>
    <w:p>
      <w:pPr>
        <w:jc w:val="both"/>
        <w:ind w:left="-424" w:firstLine="424"/>
        <w:spacing w:after="0" w:line="262" w:lineRule="auto"/>
        <w:tabs>
          <w:tab w:leader="none" w:pos="137" w:val="left"/>
        </w:tabs>
        <w:numPr>
          <w:ilvl w:val="0"/>
          <w:numId w:val="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Charges, Taxes and Expenses</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Issuance and delivery of Exercise Shares shall be made without charge to the Holder for any issue or transfer tax, transfer agent fee or other incidental tax or expense (excluding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The Holder shall be responsible for all other tax liabilities that may arise as a result of holding or transferring this Warrant or receiving Warrant Shares upon exercise hereof. Each party hereto intends that this Warrant shall be treated as stock for U.S. federal (and applicable state and local) income tax purposes.</w:t>
      </w:r>
    </w:p>
    <w:p>
      <w:pPr>
        <w:spacing w:after="0" w:line="117" w:lineRule="exact"/>
        <w:rPr>
          <w:rFonts w:ascii="Times New Roman" w:cs="Times New Roman" w:eastAsia="Times New Roman" w:hAnsi="Times New Roman"/>
          <w:sz w:val="12"/>
          <w:szCs w:val="12"/>
          <w:b w:val="1"/>
          <w:bCs w:val="1"/>
          <w:color w:val="auto"/>
        </w:rPr>
      </w:pPr>
    </w:p>
    <w:p>
      <w:pPr>
        <w:jc w:val="both"/>
        <w:ind w:left="-424" w:firstLine="424"/>
        <w:spacing w:after="0" w:line="262" w:lineRule="auto"/>
        <w:tabs>
          <w:tab w:leader="none" w:pos="128" w:val="left"/>
        </w:tabs>
        <w:numPr>
          <w:ilvl w:val="0"/>
          <w:numId w:val="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Replacement of Warrant</w:t>
      </w:r>
      <w:r>
        <w:rPr>
          <w:rFonts w:ascii="Times New Roman" w:cs="Times New Roman" w:eastAsia="Times New Roman" w:hAnsi="Times New Roman"/>
          <w:sz w:val="12"/>
          <w:szCs w:val="12"/>
          <w:color w:val="auto"/>
        </w:rPr>
        <w:t>. If this Warrant is mutilated, lost, stolen or destroyed, the Company shall issue or cause to be issued in exchange and substitution for and upon cancellation hereof, or in lieu of and substitution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Warrant, a New Warrant, but only upon receipt of evidence reasonably satisfactory to the Company of such loss, theft or destruction (in such case) and, in each case, a customary contractual indemnity reasonably acceptable to the Company, if requested. If a New Warrant is requested as a result of a mutilation of this Warrant, then the Holder shall deliver such mutilated Warrant to the Company as a condition precedent to the Company’s obligation to issue the New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175260</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76"/>
          </w:cols>
          <w:pgMar w:left="724" w:top="651" w:right="299" w:bottom="1440" w:gutter="0" w:footer="0" w:header="0"/>
        </w:sectPr>
      </w:pPr>
    </w:p>
    <w:bookmarkStart w:id="25" w:name="page26"/>
    <w:bookmarkEnd w:id="25"/>
    <w:p>
      <w:pPr>
        <w:jc w:val="both"/>
        <w:ind w:firstLine="424"/>
        <w:spacing w:after="0" w:line="256" w:lineRule="auto"/>
        <w:tabs>
          <w:tab w:leader="none" w:pos="552" w:val="left"/>
        </w:tabs>
        <w:numPr>
          <w:ilvl w:val="0"/>
          <w:numId w:val="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Reservation of Warrant Shares</w:t>
      </w:r>
      <w:r>
        <w:rPr>
          <w:rFonts w:ascii="Times New Roman" w:cs="Times New Roman" w:eastAsia="Times New Roman" w:hAnsi="Times New Roman"/>
          <w:sz w:val="12"/>
          <w:szCs w:val="12"/>
          <w:color w:val="auto"/>
        </w:rPr>
        <w:t>. The Company covenants that it will, at all times while this Warrant is outstanding, reserve and keep available out of the aggregate of its authorized but unissued and otherwise unreserved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Common Stock, solely for the purpose of enabling it to issue Warrant Shares upon exercise of this Warrant as herein provided, the number of Warrant Shares that are at all times issuable and deliverable upon the exercise of this entire Warrant (without regard to any limitations or restrictions on exercise of this Warrant, including without limitation, the Maximum Percentage (as defined below)), free from preemptive rights or any other contingent purchase rights of persons other than the Holder (taking into account the adjustments and restrictions of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The Company covenants that all Warrant Shares so issuable and deliverable shall, upon issuance and the payment of the applicable Remaining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by the Company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22" w:lineRule="exact"/>
        <w:rPr>
          <w:sz w:val="20"/>
          <w:szCs w:val="20"/>
          <w:color w:val="auto"/>
        </w:rPr>
      </w:pPr>
    </w:p>
    <w:p>
      <w:pPr>
        <w:ind w:right="20" w:firstLine="424"/>
        <w:spacing w:after="0" w:line="286" w:lineRule="auto"/>
        <w:tabs>
          <w:tab w:leader="none" w:pos="561"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Trading Market Limitation</w:t>
      </w:r>
      <w:r>
        <w:rPr>
          <w:rFonts w:ascii="Times New Roman" w:cs="Times New Roman" w:eastAsia="Times New Roman" w:hAnsi="Times New Roman"/>
          <w:sz w:val="12"/>
          <w:szCs w:val="12"/>
          <w:color w:val="auto"/>
        </w:rPr>
        <w:t>. Notwithstanding any other provision herein, this Warrant may not be exercised, and the Company may not issue any shares of Common Stock upon submission of a Exercise Notice, until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receipt of Shareholder Approval. Until receipt of Shareholder Approval, no Holder of this Warrant shall be issued shares of Common Stock upon an attempted exercise of this Warrant.</w:t>
      </w:r>
    </w:p>
    <w:p>
      <w:pPr>
        <w:spacing w:after="0" w:line="103" w:lineRule="exact"/>
        <w:rPr>
          <w:rFonts w:ascii="Times New Roman" w:cs="Times New Roman" w:eastAsia="Times New Roman" w:hAnsi="Times New Roman"/>
          <w:sz w:val="12"/>
          <w:szCs w:val="12"/>
          <w:b w:val="1"/>
          <w:bCs w:val="1"/>
          <w:color w:val="auto"/>
        </w:rPr>
      </w:pPr>
    </w:p>
    <w:p>
      <w:pPr>
        <w:ind w:left="540" w:hanging="116"/>
        <w:spacing w:after="0"/>
        <w:tabs>
          <w:tab w:leader="none" w:pos="540" w:val="left"/>
        </w:tabs>
        <w:numPr>
          <w:ilvl w:val="0"/>
          <w:numId w:val="2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u w:val="single" w:color="auto"/>
          <w:color w:val="auto"/>
        </w:rPr>
        <w:t>Certain Adjustments</w:t>
      </w:r>
      <w:r>
        <w:rPr>
          <w:rFonts w:ascii="Times New Roman" w:cs="Times New Roman" w:eastAsia="Times New Roman" w:hAnsi="Times New Roman"/>
          <w:sz w:val="11"/>
          <w:szCs w:val="11"/>
          <w:color w:val="auto"/>
        </w:rPr>
        <w:t>. The Remaining Exercise Price and number of Warrant Shares issuable upon exercise of this Warrant (the “</w:t>
      </w:r>
      <w:r>
        <w:rPr>
          <w:rFonts w:ascii="Times New Roman" w:cs="Times New Roman" w:eastAsia="Times New Roman" w:hAnsi="Times New Roman"/>
          <w:sz w:val="11"/>
          <w:szCs w:val="11"/>
          <w:b w:val="1"/>
          <w:bCs w:val="1"/>
          <w:color w:val="auto"/>
        </w:rPr>
        <w:t>Number of Warrant Shares</w:t>
      </w:r>
      <w:r>
        <w:rPr>
          <w:rFonts w:ascii="Times New Roman" w:cs="Times New Roman" w:eastAsia="Times New Roman" w:hAnsi="Times New Roman"/>
          <w:sz w:val="11"/>
          <w:szCs w:val="11"/>
          <w:color w:val="auto"/>
        </w:rPr>
        <w:t>”) are subject to adjustment from time to time as set forth in this</w:t>
      </w:r>
    </w:p>
    <w:p>
      <w:pPr>
        <w:spacing w:after="0" w:line="32" w:lineRule="exact"/>
        <w:rPr>
          <w:rFonts w:ascii="Times New Roman" w:cs="Times New Roman" w:eastAsia="Times New Roman" w:hAnsi="Times New Roman"/>
          <w:sz w:val="11"/>
          <w:szCs w:val="11"/>
          <w:b w:val="1"/>
          <w:bCs w:val="1"/>
          <w:color w:val="auto"/>
        </w:rPr>
      </w:pPr>
    </w:p>
    <w:p>
      <w:pPr>
        <w:spacing w:after="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w:t>
      </w:r>
    </w:p>
    <w:p>
      <w:pPr>
        <w:spacing w:after="0" w:line="139" w:lineRule="exact"/>
        <w:rPr>
          <w:rFonts w:ascii="Times New Roman" w:cs="Times New Roman" w:eastAsia="Times New Roman" w:hAnsi="Times New Roman"/>
          <w:sz w:val="11"/>
          <w:szCs w:val="11"/>
          <w:b w:val="1"/>
          <w:bCs w:val="1"/>
          <w:color w:val="auto"/>
        </w:rPr>
      </w:pPr>
    </w:p>
    <w:p>
      <w:pPr>
        <w:jc w:val="both"/>
        <w:ind w:firstLine="856"/>
        <w:spacing w:after="0" w:line="254" w:lineRule="auto"/>
        <w:tabs>
          <w:tab w:leader="none" w:pos="1027"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Stock Dividends and Splits</w:t>
      </w:r>
      <w:r>
        <w:rPr>
          <w:rFonts w:ascii="Times New Roman" w:cs="Times New Roman" w:eastAsia="Times New Roman" w:hAnsi="Times New Roman"/>
          <w:sz w:val="12"/>
          <w:szCs w:val="12"/>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27" w:lineRule="exact"/>
        <w:rPr>
          <w:rFonts w:ascii="Times New Roman" w:cs="Times New Roman" w:eastAsia="Times New Roman" w:hAnsi="Times New Roman"/>
          <w:sz w:val="12"/>
          <w:szCs w:val="12"/>
          <w:color w:val="auto"/>
        </w:rPr>
      </w:pPr>
    </w:p>
    <w:p>
      <w:pPr>
        <w:jc w:val="both"/>
        <w:ind w:firstLine="856"/>
        <w:spacing w:after="0" w:line="253" w:lineRule="auto"/>
        <w:tabs>
          <w:tab w:leader="none" w:pos="1043"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 Rata Distributions</w:t>
      </w:r>
      <w:r>
        <w:rPr>
          <w:rFonts w:ascii="Times New Roman" w:cs="Times New Roman" w:eastAsia="Times New Roman" w:hAnsi="Times New Roman"/>
          <w:sz w:val="12"/>
          <w:szCs w:val="12"/>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2"/>
          <w:szCs w:val="12"/>
          <w:u w:val="single" w:color="auto"/>
          <w:color w:val="auto"/>
        </w:rPr>
        <w:t>Section 9(a)</w:t>
      </w:r>
      <w:r>
        <w:rPr>
          <w:rFonts w:ascii="Times New Roman" w:cs="Times New Roman" w:eastAsia="Times New Roman" w:hAnsi="Times New Roman"/>
          <w:sz w:val="12"/>
          <w:szCs w:val="12"/>
          <w:color w:val="auto"/>
        </w:rPr>
        <w:t xml:space="preserve">, any distribution of Purchase Rights (as defined below) subject to </w:t>
      </w:r>
      <w:r>
        <w:rPr>
          <w:rFonts w:ascii="Times New Roman" w:cs="Times New Roman" w:eastAsia="Times New Roman" w:hAnsi="Times New Roman"/>
          <w:sz w:val="12"/>
          <w:szCs w:val="12"/>
          <w:u w:val="single" w:color="auto"/>
          <w:color w:val="auto"/>
        </w:rPr>
        <w:t>Section 9(c)</w:t>
      </w:r>
      <w:r>
        <w:rPr>
          <w:rFonts w:ascii="Times New Roman" w:cs="Times New Roman" w:eastAsia="Times New Roman" w:hAnsi="Times New Roman"/>
          <w:sz w:val="12"/>
          <w:szCs w:val="12"/>
          <w:color w:val="auto"/>
        </w:rPr>
        <w:t xml:space="preserve"> and any Fundamental Transaction (as defined below) subject to </w:t>
      </w:r>
      <w:r>
        <w:rPr>
          <w:rFonts w:ascii="Times New Roman" w:cs="Times New Roman" w:eastAsia="Times New Roman" w:hAnsi="Times New Roman"/>
          <w:sz w:val="12"/>
          <w:szCs w:val="12"/>
          <w:u w:val="single" w:color="auto"/>
          <w:color w:val="auto"/>
        </w:rPr>
        <w:t>Section 9(d))</w:t>
      </w:r>
      <w:r>
        <w:rPr>
          <w:rFonts w:ascii="Times New Roman" w:cs="Times New Roman" w:eastAsia="Times New Roman" w:hAnsi="Times New Roman"/>
          <w:sz w:val="12"/>
          <w:szCs w:val="12"/>
          <w:color w:val="auto"/>
        </w:rPr>
        <w:t xml:space="preserve"> (a “</w:t>
      </w:r>
      <w:r>
        <w:rPr>
          <w:rFonts w:ascii="Times New Roman" w:cs="Times New Roman" w:eastAsia="Times New Roman" w:hAnsi="Times New Roman"/>
          <w:sz w:val="12"/>
          <w:szCs w:val="12"/>
          <w:b w:val="1"/>
          <w:bCs w:val="1"/>
          <w:color w:val="auto"/>
        </w:rPr>
        <w:t>Distribution</w:t>
      </w:r>
      <w:r>
        <w:rPr>
          <w:rFonts w:ascii="Times New Roman" w:cs="Times New Roman" w:eastAsia="Times New Roman" w:hAnsi="Times New Roman"/>
          <w:sz w:val="12"/>
          <w:szCs w:val="12"/>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179705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6" w:name="page27"/>
    <w:bookmarkEnd w:id="26"/>
    <w:p>
      <w:pPr>
        <w:jc w:val="both"/>
        <w:ind w:left="8" w:firstLine="856"/>
        <w:spacing w:after="0" w:line="252" w:lineRule="auto"/>
        <w:tabs>
          <w:tab w:leader="none" w:pos="1035"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Purchase Rights</w:t>
      </w:r>
      <w:r>
        <w:rPr>
          <w:rFonts w:ascii="Times New Roman" w:cs="Times New Roman" w:eastAsia="Times New Roman" w:hAnsi="Times New Roman"/>
          <w:sz w:val="12"/>
          <w:szCs w:val="12"/>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2"/>
          <w:szCs w:val="12"/>
          <w:b w:val="1"/>
          <w:bCs w:val="1"/>
          <w:color w:val="auto"/>
        </w:rPr>
        <w:t>Purchase Rights</w:t>
      </w:r>
      <w:r>
        <w:rPr>
          <w:rFonts w:ascii="Times New Roman" w:cs="Times New Roman" w:eastAsia="Times New Roman" w:hAnsi="Times New Roman"/>
          <w:sz w:val="12"/>
          <w:szCs w:val="12"/>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2"/>
          <w:szCs w:val="12"/>
          <w:i w:val="1"/>
          <w:iCs w:val="1"/>
          <w:u w:val="single" w:color="auto"/>
          <w:color w:val="auto"/>
        </w:rPr>
        <w:t>provided</w:t>
      </w:r>
      <w:r>
        <w:rPr>
          <w:rFonts w:ascii="Times New Roman" w:cs="Times New Roman" w:eastAsia="Times New Roman" w:hAnsi="Times New Roman"/>
          <w:sz w:val="12"/>
          <w:szCs w:val="12"/>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2"/>
          <w:szCs w:val="12"/>
          <w:u w:val="single" w:color="auto"/>
          <w:color w:val="auto"/>
        </w:rPr>
        <w:t>Section 9(c)</w:t>
      </w:r>
      <w:r>
        <w:rPr>
          <w:rFonts w:ascii="Times New Roman" w:cs="Times New Roman" w:eastAsia="Times New Roman" w:hAnsi="Times New Roman"/>
          <w:sz w:val="12"/>
          <w:szCs w:val="12"/>
          <w:color w:val="auto"/>
        </w:rPr>
        <w:t>, (i) “</w:t>
      </w:r>
      <w:r>
        <w:rPr>
          <w:rFonts w:ascii="Times New Roman" w:cs="Times New Roman" w:eastAsia="Times New Roman" w:hAnsi="Times New Roman"/>
          <w:sz w:val="12"/>
          <w:szCs w:val="12"/>
          <w:b w:val="1"/>
          <w:bCs w:val="1"/>
          <w:color w:val="auto"/>
        </w:rPr>
        <w:t>Options</w:t>
      </w:r>
      <w:r>
        <w:rPr>
          <w:rFonts w:ascii="Times New Roman" w:cs="Times New Roman" w:eastAsia="Times New Roman" w:hAnsi="Times New Roman"/>
          <w:sz w:val="12"/>
          <w:szCs w:val="12"/>
          <w:color w:val="auto"/>
        </w:rPr>
        <w:t>” means any rights, warrants or options to subscribe for or purchase shares of Common Stock or Convertible Securities and (ii) “</w:t>
      </w:r>
      <w:r>
        <w:rPr>
          <w:rFonts w:ascii="Times New Roman" w:cs="Times New Roman" w:eastAsia="Times New Roman" w:hAnsi="Times New Roman"/>
          <w:sz w:val="12"/>
          <w:szCs w:val="12"/>
          <w:b w:val="1"/>
          <w:bCs w:val="1"/>
          <w:color w:val="auto"/>
        </w:rPr>
        <w:t>Convertible Securities</w:t>
      </w:r>
      <w:r>
        <w:rPr>
          <w:rFonts w:ascii="Times New Roman" w:cs="Times New Roman" w:eastAsia="Times New Roman" w:hAnsi="Times New Roman"/>
          <w:sz w:val="12"/>
          <w:szCs w:val="12"/>
          <w:color w:val="auto"/>
        </w:rPr>
        <w:t>” mean any stock or securities (other than Options) directly or indirectly convertible into or exercisable or exchangeable for shares of Common Stock.</w:t>
      </w:r>
    </w:p>
    <w:p>
      <w:pPr>
        <w:spacing w:after="0" w:line="132" w:lineRule="exact"/>
        <w:rPr>
          <w:rFonts w:ascii="Times New Roman" w:cs="Times New Roman" w:eastAsia="Times New Roman" w:hAnsi="Times New Roman"/>
          <w:sz w:val="12"/>
          <w:szCs w:val="12"/>
          <w:color w:val="auto"/>
        </w:rPr>
      </w:pPr>
    </w:p>
    <w:p>
      <w:pPr>
        <w:jc w:val="both"/>
        <w:ind w:left="8" w:firstLine="856"/>
        <w:spacing w:after="0" w:line="277" w:lineRule="auto"/>
        <w:tabs>
          <w:tab w:leader="none" w:pos="1042" w:val="left"/>
        </w:tabs>
        <w:numPr>
          <w:ilvl w:val="1"/>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Fundamental Transactions</w:t>
      </w:r>
      <w:r>
        <w:rPr>
          <w:rFonts w:ascii="Times New Roman" w:cs="Times New Roman" w:eastAsia="Times New Roman" w:hAnsi="Times New Roman"/>
          <w:sz w:val="11"/>
          <w:szCs w:val="11"/>
          <w:color w:val="auto"/>
        </w:rPr>
        <w:t xml:space="preserve">. If, at any time while this Warrant is outstanding (i) the Company, directly or indirectly, in one or more related transactions effects any merger or amalgamation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converted into or exchanged for other securities, cash or property (other than as a result of a subdivision or combination of shares of Common Stock covered by </w:t>
      </w:r>
      <w:r>
        <w:rPr>
          <w:rFonts w:ascii="Times New Roman" w:cs="Times New Roman" w:eastAsia="Times New Roman" w:hAnsi="Times New Roman"/>
          <w:sz w:val="11"/>
          <w:szCs w:val="11"/>
          <w:u w:val="single" w:color="auto"/>
          <w:color w:val="auto"/>
        </w:rPr>
        <w:t>Section 9(a)</w:t>
      </w:r>
      <w:r>
        <w:rPr>
          <w:rFonts w:ascii="Times New Roman" w:cs="Times New Roman" w:eastAsia="Times New Roman" w:hAnsi="Times New Roman"/>
          <w:sz w:val="11"/>
          <w:szCs w:val="11"/>
          <w:color w:val="auto"/>
        </w:rPr>
        <w:t xml:space="preserve"> above) (in any such case, a “</w:t>
      </w:r>
      <w:r>
        <w:rPr>
          <w:rFonts w:ascii="Times New Roman" w:cs="Times New Roman" w:eastAsia="Times New Roman" w:hAnsi="Times New Roman"/>
          <w:sz w:val="11"/>
          <w:szCs w:val="11"/>
          <w:b w:val="1"/>
          <w:bCs w:val="1"/>
          <w:color w:val="auto"/>
        </w:rPr>
        <w:t>Fundamental Transaction</w:t>
      </w:r>
      <w:r>
        <w:rPr>
          <w:rFonts w:ascii="Times New Roman" w:cs="Times New Roman" w:eastAsia="Times New Roman" w:hAnsi="Times New Roman"/>
          <w:sz w:val="11"/>
          <w:szCs w:val="11"/>
          <w:color w:val="auto"/>
        </w:rPr>
        <w:t>”), then following such Fundamental Transaction, the Holder shall have the right to receive, for each Warrant Share that would have been issuable upon such exercise immediately prior to the occurrence of such Fundamental Transaction, at the option of the Holder, the same amount and kind of securities of the successor or acquiring corporation or of the Company,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Sections 9(b) or 9(c) above) without regard to any limitations on exercise contained herein (the “</w:t>
      </w:r>
      <w:r>
        <w:rPr>
          <w:rFonts w:ascii="Times New Roman" w:cs="Times New Roman" w:eastAsia="Times New Roman" w:hAnsi="Times New Roman"/>
          <w:sz w:val="11"/>
          <w:szCs w:val="11"/>
          <w:b w:val="1"/>
          <w:bCs w:val="1"/>
          <w:color w:val="auto"/>
        </w:rPr>
        <w:t>Alternate Consideration</w:t>
      </w:r>
      <w:r>
        <w:rPr>
          <w:rFonts w:ascii="Times New Roman" w:cs="Times New Roman" w:eastAsia="Times New Roman" w:hAnsi="Times New Roman"/>
          <w:sz w:val="11"/>
          <w:szCs w:val="11"/>
          <w:color w:val="auto"/>
        </w:rPr>
        <w:t>”) (provided, that to the extent that the Holder’s right to receive any such Alternate Consideration would result in the Holder and the other Attribution Parties exceeding the Maximum Percentage, then the holder shall not be entitled to receive such Alternate Consideration to such extent (and shall not be entitled to beneficial ownership of such Common Stock as a result of such Alternate Consideration (and beneficial ownership) to such extent) and at the Holder’s election, in its sole discretion, either</w:t>
      </w:r>
    </w:p>
    <w:p>
      <w:pPr>
        <w:spacing w:after="0" w:line="129" w:lineRule="exact"/>
        <w:rPr>
          <w:rFonts w:ascii="Times New Roman" w:cs="Times New Roman" w:eastAsia="Times New Roman" w:hAnsi="Times New Roman"/>
          <w:sz w:val="11"/>
          <w:szCs w:val="11"/>
          <w:color w:val="auto"/>
        </w:rPr>
      </w:pPr>
    </w:p>
    <w:p>
      <w:pPr>
        <w:jc w:val="both"/>
        <w:ind w:left="8" w:hanging="8"/>
        <w:spacing w:after="0" w:line="251" w:lineRule="auto"/>
        <w:tabs>
          <w:tab w:leader="none" w:pos="1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such Alternate Consideration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Alternate Consideration granted, issued or sold on such initial receipt or on any subsequent receipt to be held similarly in abeyance) to the same extent as if there had been no such limitation) or (2) the Company shall offer the Holder the right upon receipt of such Alternate Consideration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Alternate Consideration).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Notwithstanding, anything to the contrary contained herein, the Company shall cause any successor entity in a Fundamental Transaction in which the Company is not the survivor (the “</w:t>
      </w:r>
      <w:r>
        <w:rPr>
          <w:rFonts w:ascii="Times New Roman" w:cs="Times New Roman" w:eastAsia="Times New Roman" w:hAnsi="Times New Roman"/>
          <w:sz w:val="12"/>
          <w:szCs w:val="12"/>
          <w:b w:val="1"/>
          <w:bCs w:val="1"/>
          <w:color w:val="auto"/>
        </w:rPr>
        <w:t>Successor Entity</w:t>
      </w:r>
      <w:r>
        <w:rPr>
          <w:rFonts w:ascii="Times New Roman" w:cs="Times New Roman" w:eastAsia="Times New Roman" w:hAnsi="Times New Roman"/>
          <w:sz w:val="12"/>
          <w:szCs w:val="12"/>
          <w:color w:val="auto"/>
        </w:rPr>
        <w:t xml:space="preserve">”) to assume in writing all of the obligations of the Company under this Warrant in accordance with the provisions of this Section 9(d).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the Holder shall be entitled to the benefits of the provisions of this </w:t>
      </w:r>
      <w:r>
        <w:rPr>
          <w:rFonts w:ascii="Times New Roman" w:cs="Times New Roman" w:eastAsia="Times New Roman" w:hAnsi="Times New Roman"/>
          <w:sz w:val="12"/>
          <w:szCs w:val="12"/>
          <w:u w:val="single" w:color="auto"/>
          <w:color w:val="auto"/>
        </w:rPr>
        <w:t>Section 9(d)</w:t>
      </w:r>
      <w:r>
        <w:rPr>
          <w:rFonts w:ascii="Times New Roman" w:cs="Times New Roman" w:eastAsia="Times New Roman" w:hAnsi="Times New Roman"/>
          <w:sz w:val="12"/>
          <w:szCs w:val="12"/>
          <w:color w:val="auto"/>
        </w:rPr>
        <w:t xml:space="preserve"> regardless of (i) whether the Company has sufficient authorized shares of Common Stock for the issuance of Warrant Shares and/or (ii) whether a Fundamental Transaction occurs prior to the Exercise Date. The provisions of this paragraph (d) shall similarly apply to subsequent transactions analogous to a Fundamental Transaction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27" w:name="page28"/>
    <w:bookmarkEnd w:id="27"/>
    <w:p>
      <w:pPr>
        <w:jc w:val="both"/>
        <w:ind w:left="-856" w:right="20" w:firstLine="856"/>
        <w:spacing w:after="0" w:line="265" w:lineRule="auto"/>
        <w:tabs>
          <w:tab w:leader="none" w:pos="171"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Number of Warrant Shares</w:t>
      </w:r>
      <w:r>
        <w:rPr>
          <w:rFonts w:ascii="Times New Roman" w:cs="Times New Roman" w:eastAsia="Times New Roman" w:hAnsi="Times New Roman"/>
          <w:sz w:val="12"/>
          <w:szCs w:val="12"/>
          <w:color w:val="auto"/>
        </w:rPr>
        <w:t xml:space="preserve">. Simultaneously with any adjustment to the Number of Warrant Shares pursuant to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the Remaining Exercise Price shall be increased or decreased proportionately, so that after such adjustment the aggregate Remaining Exercise Price payable hereunder for the increased or decreased Number of Warrant Shares shall be the same as the aggregate Remaining Exercise Price in effect immediately prior to such adjustment. Notwithstanding the foregoing, in no event may the Remaining Exercise Price be adjusted below the par value of the Common Stock then in effect.</w:t>
      </w:r>
    </w:p>
    <w:p>
      <w:pPr>
        <w:spacing w:after="0" w:line="118" w:lineRule="exact"/>
        <w:rPr>
          <w:rFonts w:ascii="Times New Roman" w:cs="Times New Roman" w:eastAsia="Times New Roman" w:hAnsi="Times New Roman"/>
          <w:sz w:val="12"/>
          <w:szCs w:val="12"/>
          <w:color w:val="auto"/>
        </w:rPr>
      </w:pPr>
    </w:p>
    <w:p>
      <w:pPr>
        <w:ind w:left="144" w:hanging="144"/>
        <w:spacing w:after="0"/>
        <w:tabs>
          <w:tab w:leader="none" w:pos="144"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Calculations</w:t>
      </w:r>
      <w:r>
        <w:rPr>
          <w:rFonts w:ascii="Times New Roman" w:cs="Times New Roman" w:eastAsia="Times New Roman" w:hAnsi="Times New Roman"/>
          <w:sz w:val="12"/>
          <w:szCs w:val="12"/>
          <w:color w:val="auto"/>
        </w:rPr>
        <w:t xml:space="preserve">. All calculations under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shall be made to the nearest one-tenth of one cent or rounded down to the nearest whole share, as applicable.</w:t>
      </w:r>
    </w:p>
    <w:p>
      <w:pPr>
        <w:spacing w:after="0" w:line="150" w:lineRule="exact"/>
        <w:rPr>
          <w:rFonts w:ascii="Times New Roman" w:cs="Times New Roman" w:eastAsia="Times New Roman" w:hAnsi="Times New Roman"/>
          <w:sz w:val="12"/>
          <w:szCs w:val="12"/>
          <w:color w:val="auto"/>
        </w:rPr>
      </w:pPr>
    </w:p>
    <w:p>
      <w:pPr>
        <w:jc w:val="both"/>
        <w:ind w:left="-856" w:firstLine="856"/>
        <w:spacing w:after="0" w:line="260" w:lineRule="auto"/>
        <w:tabs>
          <w:tab w:leader="none" w:pos="17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of Adjustments</w:t>
      </w:r>
      <w:r>
        <w:rPr>
          <w:rFonts w:ascii="Times New Roman" w:cs="Times New Roman" w:eastAsia="Times New Roman" w:hAnsi="Times New Roman"/>
          <w:sz w:val="12"/>
          <w:szCs w:val="12"/>
          <w:color w:val="auto"/>
        </w:rPr>
        <w:t xml:space="preserve">. Upon the occurrence of each adjustment pursuant to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Remaining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22" w:lineRule="exact"/>
        <w:rPr>
          <w:rFonts w:ascii="Times New Roman" w:cs="Times New Roman" w:eastAsia="Times New Roman" w:hAnsi="Times New Roman"/>
          <w:sz w:val="12"/>
          <w:szCs w:val="12"/>
          <w:color w:val="auto"/>
        </w:rPr>
      </w:pPr>
    </w:p>
    <w:p>
      <w:pPr>
        <w:jc w:val="both"/>
        <w:ind w:left="-856" w:firstLine="856"/>
        <w:spacing w:after="0" w:line="253" w:lineRule="auto"/>
        <w:tabs>
          <w:tab w:leader="none" w:pos="187"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of Corporate Events</w:t>
      </w:r>
      <w:r>
        <w:rPr>
          <w:rFonts w:ascii="Times New Roman" w:cs="Times New Roman" w:eastAsia="Times New Roman" w:hAnsi="Times New Roman"/>
          <w:sz w:val="12"/>
          <w:szCs w:val="12"/>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business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2"/>
          <w:szCs w:val="12"/>
          <w:u w:val="single" w:color="auto"/>
          <w:color w:val="auto"/>
        </w:rPr>
        <w:t>Section 9(d)</w:t>
      </w:r>
      <w:r>
        <w:rPr>
          <w:rFonts w:ascii="Times New Roman" w:cs="Times New Roman" w:eastAsia="Times New Roman" w:hAnsi="Times New Roman"/>
          <w:sz w:val="12"/>
          <w:szCs w:val="12"/>
          <w:color w:val="auto"/>
        </w:rPr>
        <w:t xml:space="preserve">, other than a Fundamental Transaction under clause (iii) of </w:t>
      </w:r>
      <w:r>
        <w:rPr>
          <w:rFonts w:ascii="Times New Roman" w:cs="Times New Roman" w:eastAsia="Times New Roman" w:hAnsi="Times New Roman"/>
          <w:sz w:val="12"/>
          <w:szCs w:val="12"/>
          <w:u w:val="single" w:color="auto"/>
          <w:color w:val="auto"/>
        </w:rPr>
        <w:t>Section 9(d)</w:t>
      </w:r>
      <w:r>
        <w:rPr>
          <w:rFonts w:ascii="Times New Roman" w:cs="Times New Roman" w:eastAsia="Times New Roman" w:hAnsi="Times New Roman"/>
          <w:sz w:val="12"/>
          <w:szCs w:val="12"/>
          <w:color w:val="auto"/>
        </w:rPr>
        <w:t xml:space="preserve">, the Company shall deliver to the Holder a notice of such Fundamental Transaction at least ten (10) business days prior to the date such Fundamental Transaction is consummated. Holder agrees to maintain any information disclosed pursuant to this </w:t>
      </w:r>
      <w:r>
        <w:rPr>
          <w:rFonts w:ascii="Times New Roman" w:cs="Times New Roman" w:eastAsia="Times New Roman" w:hAnsi="Times New Roman"/>
          <w:sz w:val="12"/>
          <w:szCs w:val="12"/>
          <w:u w:val="single" w:color="auto"/>
          <w:color w:val="auto"/>
        </w:rPr>
        <w:t>Section 9(h)</w:t>
      </w:r>
      <w:r>
        <w:rPr>
          <w:rFonts w:ascii="Times New Roman" w:cs="Times New Roman" w:eastAsia="Times New Roman" w:hAnsi="Times New Roman"/>
          <w:sz w:val="12"/>
          <w:szCs w:val="12"/>
          <w:color w:val="auto"/>
        </w:rPr>
        <w:t xml:space="preserve"> in confidence until such information is publicly available, and shall comply with applicable law with respect to trading in the Company’s securities following receipt of any such information. Notwithstanding anything in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to the contrary, the Company shall be deemed to have provided the information required to be delivered to a Holder under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xml:space="preserve"> if disseminated by press release or filed in any report or statement filed with the Commission prior to the applicable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180340</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651" w:right="299" w:bottom="1440" w:gutter="0" w:footer="0" w:header="0"/>
        </w:sectPr>
      </w:pPr>
    </w:p>
    <w:bookmarkStart w:id="28" w:name="page29"/>
    <w:bookmarkEnd w:id="28"/>
    <w:p>
      <w:pPr>
        <w:ind w:firstLine="424"/>
        <w:spacing w:after="0" w:line="286" w:lineRule="auto"/>
        <w:tabs>
          <w:tab w:leader="none" w:pos="612" w:val="left"/>
        </w:tabs>
        <w:numPr>
          <w:ilvl w:val="0"/>
          <w:numId w:val="3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Payment of Exercise Price</w:t>
      </w:r>
      <w:r>
        <w:rPr>
          <w:rFonts w:ascii="Times New Roman" w:cs="Times New Roman" w:eastAsia="Times New Roman" w:hAnsi="Times New Roman"/>
          <w:sz w:val="12"/>
          <w:szCs w:val="12"/>
          <w:color w:val="auto"/>
        </w:rPr>
        <w:t>. Notwithstanding anything contained herein to the contrary, the Holder may, in its sole discretion, satisfy its obligation to pay the Remaining Exercise Price through a “cashless exercise”,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event the Company shall issue to the Holder the number of Warrant Shares in an exchange of securities effected pursuant to Section 3(a)(9) of the Securities Act, determined as follows:</w:t>
      </w:r>
    </w:p>
    <w:p>
      <w:pPr>
        <w:spacing w:after="0" w:line="1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 = Y [(A-B)/A]</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where: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“X” equals the number of Warrant Shares to be issued to the Holder;</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“Y” equals the total number of Warrant Shares with respect to which this Warrant is then being exercised if such exercise were by means of a cash exercise rather than a cashless exercise;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equals the Closing Sale Price of the shares of Common Stock on the Trading Day immediately preceding the Exercise Date; and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equals the Remaining Exercise Price then in effect for the applicable Warrant Shares at the time of such exercise.</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issue price for each such Warrant Shares to be issued pursuant to the cashless exercise of a Warrant will be equal to (B), as defined above, and the total issue price for the aggregate number of Warrant Shares issued pursuant to the cashless exercise of a Warrant will be deemed paid and satisfied in full by the deemed surrender to the Company of the portion of such Warrant being exercised in accordance with this Section 10.</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2"/>
          <w:szCs w:val="12"/>
          <w:u w:val="single" w:color="auto"/>
          <w:color w:val="auto"/>
        </w:rPr>
        <w:t>Section 5(b)</w:t>
      </w:r>
      <w:r>
        <w:rPr>
          <w:rFonts w:ascii="Times New Roman" w:cs="Times New Roman" w:eastAsia="Times New Roman" w:hAnsi="Times New Roman"/>
          <w:sz w:val="12"/>
          <w:szCs w:val="12"/>
          <w:color w:val="auto"/>
        </w:rPr>
        <w:t xml:space="preserve"> (Buy-in Remedy) and </w:t>
      </w:r>
      <w:r>
        <w:rPr>
          <w:rFonts w:ascii="Times New Roman" w:cs="Times New Roman" w:eastAsia="Times New Roman" w:hAnsi="Times New Roman"/>
          <w:sz w:val="12"/>
          <w:szCs w:val="12"/>
          <w:u w:val="single" w:color="auto"/>
          <w:color w:val="auto"/>
        </w:rPr>
        <w:t>Section 12</w:t>
      </w:r>
      <w:r>
        <w:rPr>
          <w:rFonts w:ascii="Times New Roman" w:cs="Times New Roman" w:eastAsia="Times New Roman" w:hAnsi="Times New Roman"/>
          <w:sz w:val="12"/>
          <w:szCs w:val="12"/>
          <w:color w:val="auto"/>
        </w:rPr>
        <w:t xml:space="preserve"> (No Fractional Shares), in no event will the exercise of this Warrant be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9" w:name="page30"/>
    <w:bookmarkEnd w:id="29"/>
    <w:p>
      <w:pPr>
        <w:ind w:left="608" w:hanging="176"/>
        <w:spacing w:after="0"/>
        <w:tabs>
          <w:tab w:leader="none" w:pos="608" w:val="left"/>
        </w:tabs>
        <w:numPr>
          <w:ilvl w:val="1"/>
          <w:numId w:val="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Limitations on Exercise</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b w:val="1"/>
          <w:bCs w:val="1"/>
          <w:color w:val="auto"/>
        </w:rPr>
      </w:pPr>
    </w:p>
    <w:p>
      <w:pPr>
        <w:jc w:val="both"/>
        <w:ind w:left="8" w:firstLine="856"/>
        <w:spacing w:after="0" w:line="253" w:lineRule="auto"/>
        <w:tabs>
          <w:tab w:leader="none" w:pos="1037" w:val="left"/>
        </w:tabs>
        <w:numPr>
          <w:ilvl w:val="2"/>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 (the “</w:t>
      </w:r>
      <w:r>
        <w:rPr>
          <w:rFonts w:ascii="Times New Roman" w:cs="Times New Roman" w:eastAsia="Times New Roman" w:hAnsi="Times New Roman"/>
          <w:sz w:val="12"/>
          <w:szCs w:val="12"/>
          <w:b w:val="1"/>
          <w:bCs w:val="1"/>
          <w:color w:val="auto"/>
        </w:rPr>
        <w:t>Maximum Percentage</w:t>
      </w:r>
      <w:r>
        <w:rPr>
          <w:rFonts w:ascii="Times New Roman" w:cs="Times New Roman" w:eastAsia="Times New Roman" w:hAnsi="Times New Roman"/>
          <w:sz w:val="12"/>
          <w:szCs w:val="12"/>
          <w:color w:val="auto"/>
        </w:rPr>
        <w:t>”)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w:t>
      </w:r>
    </w:p>
    <w:p>
      <w:pPr>
        <w:spacing w:after="0" w:line="2" w:lineRule="exact"/>
        <w:rPr>
          <w:rFonts w:ascii="Times New Roman" w:cs="Times New Roman" w:eastAsia="Times New Roman" w:hAnsi="Times New Roman"/>
          <w:sz w:val="12"/>
          <w:szCs w:val="12"/>
          <w:color w:val="auto"/>
        </w:rPr>
      </w:pPr>
    </w:p>
    <w:p>
      <w:pPr>
        <w:jc w:val="both"/>
        <w:ind w:left="8" w:hanging="8"/>
        <w:spacing w:after="0" w:line="250" w:lineRule="auto"/>
        <w:tabs>
          <w:tab w:leader="none" w:pos="152"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2"/>
          <w:szCs w:val="12"/>
          <w:u w:val="single" w:color="auto"/>
          <w:color w:val="auto"/>
        </w:rPr>
        <w:t>Section 11(a)</w:t>
      </w:r>
      <w:r>
        <w:rPr>
          <w:rFonts w:ascii="Times New Roman" w:cs="Times New Roman" w:eastAsia="Times New Roman" w:hAnsi="Times New Roman"/>
          <w:sz w:val="12"/>
          <w:szCs w:val="12"/>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2"/>
          <w:szCs w:val="12"/>
          <w:b w:val="1"/>
          <w:bCs w:val="1"/>
          <w:color w:val="auto"/>
        </w:rPr>
        <w:t>Reported Outstanding Share Number</w:t>
      </w:r>
      <w:r>
        <w:rPr>
          <w:rFonts w:ascii="Times New Roman" w:cs="Times New Roman" w:eastAsia="Times New Roman" w:hAnsi="Times New Roman"/>
          <w:sz w:val="12"/>
          <w:szCs w:val="12"/>
          <w:color w:val="auto"/>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2"/>
          <w:szCs w:val="12"/>
          <w:u w:val="single" w:color="auto"/>
          <w:color w:val="auto"/>
        </w:rPr>
        <w:t>Section 11(a)</w:t>
      </w:r>
      <w:r>
        <w:rPr>
          <w:rFonts w:ascii="Times New Roman" w:cs="Times New Roman" w:eastAsia="Times New Roman" w:hAnsi="Times New Roman"/>
          <w:sz w:val="12"/>
          <w:szCs w:val="12"/>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2"/>
          <w:szCs w:val="12"/>
          <w:b w:val="1"/>
          <w:bCs w:val="1"/>
          <w:color w:val="auto"/>
        </w:rPr>
        <w:t>Reduction Shares</w:t>
      </w:r>
      <w:r>
        <w:rPr>
          <w:rFonts w:ascii="Times New Roman" w:cs="Times New Roman" w:eastAsia="Times New Roman" w:hAnsi="Times New Roman"/>
          <w:sz w:val="12"/>
          <w:szCs w:val="12"/>
          <w:color w:val="auto"/>
        </w:rPr>
        <w:t>”) or that no reduction is necessary in order to receive shares in compliance with the Maximum Percentage, and (ii) as soon as reasonably practicable, the Company shall return to the Holder any exercise price paid by the Holder for the Reduction Shares (if any) and to issue the shares to the Holder (reduced by the Reduction Shares, if applicable).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2"/>
          <w:szCs w:val="12"/>
          <w:b w:val="1"/>
          <w:bCs w:val="1"/>
          <w:color w:val="auto"/>
        </w:rPr>
        <w:t>Excess Shares</w:t>
      </w:r>
      <w:r>
        <w:rPr>
          <w:rFonts w:ascii="Times New Roman" w:cs="Times New Roman" w:eastAsia="Times New Roman" w:hAnsi="Times New Roman"/>
          <w:sz w:val="12"/>
          <w:szCs w:val="12"/>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and the Holder shall return such Excess Shares (if in its possession) to the Company. By written notice to the Company, a Holder of this Warrant may from time to time increase or decrease the Maximum Percentage to any other percentage specified in such notice, provided, however, that (1) in no case shall the percentage specified be in excess of 19.99% and (2) any increase in the Maximum Percentage will not be effective until the 61st day after such notice is delivered to the Company and shall not negatively affect any partial exercise effected prior to such change.</w:t>
      </w:r>
    </w:p>
    <w:p>
      <w:pPr>
        <w:spacing w:after="0" w:line="138" w:lineRule="exact"/>
        <w:rPr>
          <w:rFonts w:ascii="Times New Roman" w:cs="Times New Roman" w:eastAsia="Times New Roman" w:hAnsi="Times New Roman"/>
          <w:sz w:val="12"/>
          <w:szCs w:val="12"/>
          <w:color w:val="auto"/>
        </w:rPr>
      </w:pPr>
    </w:p>
    <w:p>
      <w:pPr>
        <w:jc w:val="both"/>
        <w:ind w:left="8" w:firstLine="856"/>
        <w:spacing w:after="0" w:line="255" w:lineRule="auto"/>
        <w:tabs>
          <w:tab w:leader="none" w:pos="1053" w:val="left"/>
        </w:tabs>
        <w:numPr>
          <w:ilvl w:val="2"/>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2"/>
          <w:szCs w:val="12"/>
          <w:u w:val="single" w:color="auto"/>
          <w:color w:val="auto"/>
        </w:rPr>
        <w:t>Section 9(c)</w:t>
      </w:r>
      <w:r>
        <w:rPr>
          <w:rFonts w:ascii="Times New Roman" w:cs="Times New Roman" w:eastAsia="Times New Roman" w:hAnsi="Times New Roman"/>
          <w:sz w:val="12"/>
          <w:szCs w:val="12"/>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178435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0" w:name="page31"/>
    <w:bookmarkEnd w:id="30"/>
    <w:p>
      <w:pPr>
        <w:ind w:left="-420" w:firstLine="424"/>
        <w:spacing w:after="0" w:line="286" w:lineRule="auto"/>
        <w:tabs>
          <w:tab w:leader="none" w:pos="192" w:val="left"/>
        </w:tabs>
        <w:numPr>
          <w:ilvl w:val="0"/>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No Fractional Shares</w:t>
      </w:r>
      <w:r>
        <w:rPr>
          <w:rFonts w:ascii="Times New Roman" w:cs="Times New Roman" w:eastAsia="Times New Roman" w:hAnsi="Times New Roman"/>
          <w:sz w:val="12"/>
          <w:szCs w:val="12"/>
          <w:color w:val="auto"/>
        </w:rPr>
        <w:t>. No fractional Warrant Shares will be issued in connection with any exercise of this Warrant. In lieu of any fractional shares that would otherwise be issuable, the number of Warrant Shares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issued shall be rounded down to the next whole number.</w:t>
      </w:r>
    </w:p>
    <w:p>
      <w:pPr>
        <w:spacing w:after="0" w:line="103" w:lineRule="exact"/>
        <w:rPr>
          <w:rFonts w:ascii="Times New Roman" w:cs="Times New Roman" w:eastAsia="Times New Roman" w:hAnsi="Times New Roman"/>
          <w:sz w:val="12"/>
          <w:szCs w:val="12"/>
          <w:b w:val="1"/>
          <w:bCs w:val="1"/>
          <w:color w:val="auto"/>
        </w:rPr>
      </w:pPr>
    </w:p>
    <w:p>
      <w:pPr>
        <w:jc w:val="both"/>
        <w:ind w:left="-420" w:firstLine="424"/>
        <w:spacing w:after="0" w:line="262" w:lineRule="auto"/>
        <w:tabs>
          <w:tab w:leader="none" w:pos="192" w:val="left"/>
        </w:tabs>
        <w:numPr>
          <w:ilvl w:val="0"/>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Notices</w:t>
      </w:r>
      <w:r>
        <w:rPr>
          <w:rFonts w:ascii="Times New Roman" w:cs="Times New Roman" w:eastAsia="Times New Roman" w:hAnsi="Times New Roman"/>
          <w:sz w:val="12"/>
          <w:szCs w:val="12"/>
          <w:color w:val="auto"/>
        </w:rPr>
        <w:t>. Any and all notices or other communications or deliveries hereunder (including, without limitation, any Exercise Notice) shall be in writing and shall be deemed given and effective on the earliest of (a) the date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transmission, if such notice or communication is delivered confirmed e-mail prior to 5:00 P.M., New York City time, on a Trading Day, (b) the next Trading Day after the date of transmission, if such notice or communication is delivered via confirmed e-mail on a day that is not a Trading Day or later than 5:00 P.M., New York City time, on any Trading Day, (c) the Trading Day following the date of mailing, if sent by nationally recognized overnight courier service specifying next business day delivery, or (d) upon actual receipt by the Person to whom such notice is required to be given, if by hand delivery: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If to the Company, addressed as follows: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Helius Medical Technologies, Inc.</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642 Newtown Yardley Road, Suite 100</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Newtown, Pennsylvania 18940</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Attention: Dane Andreeff</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with a copy (which shall not constitute notice):</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Honigman LLP</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650 Trade Centre Way, Suite 200</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Kalamazoo, Michigan 49002</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Attn: Phillip D. Torrence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 If to the Holder, at its address or e-mail address set forth in the books and records of the Company, which may be modified by written notice from the Holder to the Company.</w:t>
      </w:r>
    </w:p>
    <w:p>
      <w:pPr>
        <w:spacing w:after="0" w:line="146" w:lineRule="exact"/>
        <w:rPr>
          <w:sz w:val="20"/>
          <w:szCs w:val="20"/>
          <w:color w:val="auto"/>
        </w:rPr>
      </w:pPr>
    </w:p>
    <w:p>
      <w:pPr>
        <w:jc w:val="both"/>
        <w:ind w:left="-420" w:firstLine="424"/>
        <w:spacing w:after="0" w:line="259" w:lineRule="auto"/>
        <w:tabs>
          <w:tab w:leader="none" w:pos="192" w:val="left"/>
        </w:tabs>
        <w:numPr>
          <w:ilvl w:val="0"/>
          <w:numId w:val="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Warrant Agent</w:t>
      </w:r>
      <w:r>
        <w:rPr>
          <w:rFonts w:ascii="Times New Roman" w:cs="Times New Roman" w:eastAsia="Times New Roman" w:hAnsi="Times New Roman"/>
          <w:sz w:val="12"/>
          <w:szCs w:val="12"/>
          <w:color w:val="auto"/>
        </w:rPr>
        <w:t>. The Company shall initially serve as warrant agent under this Warrant. Upon ten (10) days’ notice to the Holder, the Company may appoint a new warrant agent. Any corporation into which the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The Holder acknowledges that this Warrant may be held in book-entry form through the facilities of the Company’s warrant agent and, at the request of the Holder, may be issued in definitive form.</w:t>
      </w:r>
    </w:p>
    <w:p>
      <w:pPr>
        <w:spacing w:after="0" w:line="119" w:lineRule="exact"/>
        <w:rPr>
          <w:rFonts w:ascii="Times New Roman" w:cs="Times New Roman" w:eastAsia="Times New Roman" w:hAnsi="Times New Roman"/>
          <w:sz w:val="12"/>
          <w:szCs w:val="12"/>
          <w:b w:val="1"/>
          <w:bCs w:val="1"/>
          <w:color w:val="auto"/>
        </w:rPr>
      </w:pPr>
    </w:p>
    <w:p>
      <w:pPr>
        <w:ind w:left="180" w:hanging="176"/>
        <w:spacing w:after="0"/>
        <w:tabs>
          <w:tab w:leader="none" w:pos="180" w:val="left"/>
        </w:tabs>
        <w:numPr>
          <w:ilvl w:val="0"/>
          <w:numId w:val="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Miscellaneous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b w:val="1"/>
          <w:bCs w:val="1"/>
          <w:color w:val="auto"/>
        </w:rPr>
      </w:pPr>
    </w:p>
    <w:p>
      <w:pPr>
        <w:jc w:val="both"/>
        <w:ind w:left="-420" w:firstLine="856"/>
        <w:spacing w:after="0" w:line="256" w:lineRule="auto"/>
        <w:tabs>
          <w:tab w:leader="none" w:pos="607"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Rights as a Stockholder</w:t>
      </w:r>
      <w:r>
        <w:rPr>
          <w:rFonts w:ascii="Times New Roman" w:cs="Times New Roman" w:eastAsia="Times New Roman" w:hAnsi="Times New Roman"/>
          <w:sz w:val="12"/>
          <w:szCs w:val="12"/>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177800</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31" w:name="page32"/>
    <w:bookmarkEnd w:id="31"/>
    <w:p>
      <w:pPr>
        <w:jc w:val="both"/>
        <w:ind w:left="-856" w:firstLine="856"/>
        <w:spacing w:after="0" w:line="254" w:lineRule="auto"/>
        <w:tabs>
          <w:tab w:leader="none" w:pos="17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27" w:lineRule="exact"/>
        <w:rPr>
          <w:rFonts w:ascii="Times New Roman" w:cs="Times New Roman" w:eastAsia="Times New Roman" w:hAnsi="Times New Roman"/>
          <w:sz w:val="12"/>
          <w:szCs w:val="12"/>
          <w:color w:val="auto"/>
        </w:rPr>
      </w:pPr>
    </w:p>
    <w:p>
      <w:pPr>
        <w:jc w:val="both"/>
        <w:ind w:left="-856" w:firstLine="856"/>
        <w:spacing w:after="0" w:line="265" w:lineRule="auto"/>
        <w:tabs>
          <w:tab w:leader="none" w:pos="171"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18" w:lineRule="exact"/>
        <w:rPr>
          <w:rFonts w:ascii="Times New Roman" w:cs="Times New Roman" w:eastAsia="Times New Roman" w:hAnsi="Times New Roman"/>
          <w:sz w:val="12"/>
          <w:szCs w:val="12"/>
          <w:color w:val="auto"/>
        </w:rPr>
      </w:pPr>
    </w:p>
    <w:p>
      <w:pPr>
        <w:ind w:left="-856" w:right="20" w:firstLine="856"/>
        <w:spacing w:after="0" w:line="279" w:lineRule="auto"/>
        <w:tabs>
          <w:tab w:leader="none" w:pos="17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 and Waiver</w:t>
      </w:r>
      <w:r>
        <w:rPr>
          <w:rFonts w:ascii="Times New Roman" w:cs="Times New Roman" w:eastAsia="Times New Roman" w:hAnsi="Times New Roman"/>
          <w:sz w:val="12"/>
          <w:szCs w:val="12"/>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spacing w:after="0" w:line="111" w:lineRule="exact"/>
        <w:rPr>
          <w:rFonts w:ascii="Times New Roman" w:cs="Times New Roman" w:eastAsia="Times New Roman" w:hAnsi="Times New Roman"/>
          <w:sz w:val="12"/>
          <w:szCs w:val="12"/>
          <w:color w:val="auto"/>
        </w:rPr>
      </w:pPr>
    </w:p>
    <w:p>
      <w:pPr>
        <w:ind w:left="164" w:hanging="164"/>
        <w:spacing w:after="0"/>
        <w:tabs>
          <w:tab w:leader="none" w:pos="164"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Acceptance</w:t>
      </w:r>
      <w:r>
        <w:rPr>
          <w:rFonts w:ascii="Times New Roman" w:cs="Times New Roman" w:eastAsia="Times New Roman" w:hAnsi="Times New Roman"/>
          <w:sz w:val="12"/>
          <w:szCs w:val="12"/>
          <w:color w:val="auto"/>
        </w:rPr>
        <w:t>. Receipt of this Warrant by the Holder shall constitute acceptance of and agreement to all of the terms and conditions contained herein.</w:t>
      </w:r>
    </w:p>
    <w:p>
      <w:pPr>
        <w:spacing w:after="0" w:line="150" w:lineRule="exact"/>
        <w:rPr>
          <w:rFonts w:ascii="Times New Roman" w:cs="Times New Roman" w:eastAsia="Times New Roman" w:hAnsi="Times New Roman"/>
          <w:sz w:val="12"/>
          <w:szCs w:val="12"/>
          <w:color w:val="auto"/>
        </w:rPr>
      </w:pPr>
    </w:p>
    <w:p>
      <w:pPr>
        <w:jc w:val="both"/>
        <w:ind w:left="-856" w:firstLine="856"/>
        <w:spacing w:after="0" w:line="253" w:lineRule="auto"/>
        <w:tabs>
          <w:tab w:leader="none" w:pos="15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 Jurisdiction</w:t>
      </w:r>
      <w:r>
        <w:rPr>
          <w:rFonts w:ascii="Times New Roman" w:cs="Times New Roman" w:eastAsia="Times New Roman" w:hAnsi="Times New Roman"/>
          <w:sz w:val="12"/>
          <w:szCs w:val="12"/>
          <w:color w:val="auto"/>
        </w:rPr>
        <w:t>. ALL QUESTIONS CONCERNING THE CONSTRUCTION, VALIDITY, ENFORCEMENT AND INTERPRETATION OF THIS WARRANT SHALL BE GOVERNED BY AND CONSTRUED AND ENFORCED IN ACCORDANCE WITH THE LAWS OF THE STATE OF DELAWARE WITHOUT REGARD TO THE PRINCIPLES OF CONFLICTS OF LAW THEREOF. EACH OF THE COMPANY AND THE HOLDER HEREBY IRREVOCABLY SUBMITS TO THE EXCLUSIVE JURISDICTION OF THE STATE AND FEDERAL COURTS SITTING IN THE CITY OF WILMINGTON,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180340</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651" w:right="299" w:bottom="1440" w:gutter="0" w:footer="0" w:header="0"/>
        </w:sectPr>
      </w:pPr>
    </w:p>
    <w:bookmarkStart w:id="32" w:name="page33"/>
    <w:bookmarkEnd w:id="32"/>
    <w:p>
      <w:pPr>
        <w:ind w:left="1020" w:hanging="164"/>
        <w:spacing w:after="0"/>
        <w:tabs>
          <w:tab w:leader="none" w:pos="10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Headings</w:t>
      </w:r>
      <w:r>
        <w:rPr>
          <w:rFonts w:ascii="Times New Roman" w:cs="Times New Roman" w:eastAsia="Times New Roman" w:hAnsi="Times New Roman"/>
          <w:sz w:val="12"/>
          <w:szCs w:val="12"/>
          <w:color w:val="auto"/>
        </w:rPr>
        <w:t>. The headings herein are for convenience only, do not constitute a part of this Warrant and shall not be deemed to limit or affect any of the provisions hereof.</w:t>
      </w:r>
    </w:p>
    <w:p>
      <w:pPr>
        <w:spacing w:after="0" w:line="150" w:lineRule="exact"/>
        <w:rPr>
          <w:rFonts w:ascii="Times New Roman" w:cs="Times New Roman" w:eastAsia="Times New Roman" w:hAnsi="Times New Roman"/>
          <w:sz w:val="12"/>
          <w:szCs w:val="12"/>
          <w:color w:val="auto"/>
        </w:rPr>
      </w:pPr>
    </w:p>
    <w:p>
      <w:pPr>
        <w:ind w:firstLine="856"/>
        <w:spacing w:after="0" w:line="279" w:lineRule="auto"/>
        <w:tabs>
          <w:tab w:leader="none" w:pos="1034"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196215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33" w:name="page34"/>
    <w:bookmarkEnd w:id="33"/>
    <w:p>
      <w:pPr>
        <w:ind w:left="420"/>
        <w:spacing w:after="0"/>
        <w:rPr>
          <w:sz w:val="20"/>
          <w:szCs w:val="20"/>
          <w:color w:val="auto"/>
        </w:rPr>
      </w:pPr>
      <w:r>
        <w:rPr>
          <w:rFonts w:ascii="Times New Roman" w:cs="Times New Roman" w:eastAsia="Times New Roman" w:hAnsi="Times New Roman"/>
          <w:sz w:val="12"/>
          <w:szCs w:val="12"/>
          <w:color w:val="auto"/>
        </w:rPr>
        <w:t>IN WITNESS WHEREOF, the Company has caused this Warrant to be duly executed by its authorized officer as of the date first indicated above.</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HELIUS MEDICAL TECHNOLOGIES, INC.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13"/>
                <w:szCs w:val="13"/>
                <w:color w:val="auto"/>
              </w:rPr>
            </w:pP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Jeffrey S. Mathiesen</w:t>
            </w:r>
          </w:p>
        </w:tc>
      </w:t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Treasurer and Secretary</w:t>
            </w:r>
          </w:p>
        </w:tc>
      </w:tr>
      <w:tr>
        <w:trPr>
          <w:trHeight w:val="288"/>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34" w:name="page35"/>
    <w:bookmarkEnd w:id="34"/>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EXERCISE NOTICE</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[To be executed by the Holder to purchase shares of Common Stock under the Warrant]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46" w:lineRule="exact"/>
        <w:rPr>
          <w:sz w:val="20"/>
          <w:szCs w:val="20"/>
          <w:color w:val="auto"/>
        </w:rPr>
      </w:pPr>
    </w:p>
    <w:p>
      <w:pPr>
        <w:ind w:left="8" w:hanging="8"/>
        <w:spacing w:after="0" w:line="286" w:lineRule="auto"/>
        <w:tabs>
          <w:tab w:leader="none" w:pos="181"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is the Holder of Warrant No. __ (the “</w:t>
      </w:r>
      <w:r>
        <w:rPr>
          <w:rFonts w:ascii="Times New Roman" w:cs="Times New Roman" w:eastAsia="Times New Roman" w:hAnsi="Times New Roman"/>
          <w:sz w:val="12"/>
          <w:szCs w:val="12"/>
          <w:b w:val="1"/>
          <w:bCs w:val="1"/>
          <w:color w:val="auto"/>
        </w:rPr>
        <w:t>Warrant</w:t>
      </w:r>
      <w:r>
        <w:rPr>
          <w:rFonts w:ascii="Times New Roman" w:cs="Times New Roman" w:eastAsia="Times New Roman" w:hAnsi="Times New Roman"/>
          <w:sz w:val="12"/>
          <w:szCs w:val="12"/>
          <w:color w:val="auto"/>
        </w:rPr>
        <w:t>”) issued by Helius Medical Technologies,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Capitalized terms used herein and not otherwise defined herein have the respective meanings set forth in the Warrant.</w:t>
      </w:r>
    </w:p>
    <w:p>
      <w:pPr>
        <w:spacing w:after="0" w:line="107"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hereby exercises its right to purchase _____ Warrant Shares pursuant to the Warrant.</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 intends that payment of the Remaining Exercise Price shall be made as (check one):</w:t>
      </w:r>
    </w:p>
    <w:p>
      <w:pPr>
        <w:spacing w:after="0" w:line="150" w:lineRule="exact"/>
        <w:rPr>
          <w:rFonts w:ascii="Times New Roman" w:cs="Times New Roman" w:eastAsia="Times New Roman" w:hAnsi="Times New Roman"/>
          <w:sz w:val="12"/>
          <w:szCs w:val="12"/>
          <w:color w:val="auto"/>
        </w:rPr>
      </w:pPr>
    </w:p>
    <w:p>
      <w:pPr>
        <w:ind w:left="708" w:hanging="522"/>
        <w:spacing w:after="0"/>
        <w:tabs>
          <w:tab w:leader="none" w:pos="708" w:val="left"/>
        </w:tabs>
        <w:numPr>
          <w:ilvl w:val="2"/>
          <w:numId w:val="39"/>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Cash Exercise</w:t>
      </w:r>
    </w:p>
    <w:p>
      <w:pPr>
        <w:spacing w:after="0" w:line="150" w:lineRule="exact"/>
        <w:rPr>
          <w:rFonts w:ascii="MS PGothic" w:cs="MS PGothic" w:eastAsia="MS PGothic" w:hAnsi="MS PGothic"/>
          <w:sz w:val="12"/>
          <w:szCs w:val="12"/>
          <w:color w:val="auto"/>
        </w:rPr>
      </w:pPr>
    </w:p>
    <w:p>
      <w:pPr>
        <w:ind w:left="708" w:hanging="522"/>
        <w:spacing w:after="0"/>
        <w:tabs>
          <w:tab w:leader="none" w:pos="708" w:val="left"/>
        </w:tabs>
        <w:numPr>
          <w:ilvl w:val="2"/>
          <w:numId w:val="39"/>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xml:space="preserve">“Cashless Exercise” under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of the Warrant</w:t>
      </w:r>
    </w:p>
    <w:p>
      <w:pPr>
        <w:spacing w:after="0" w:line="150" w:lineRule="exact"/>
        <w:rPr>
          <w:rFonts w:ascii="MS PGothic" w:cs="MS PGothic" w:eastAsia="MS PGothic" w:hAnsi="MS PGothic"/>
          <w:sz w:val="12"/>
          <w:szCs w:val="12"/>
          <w:color w:val="auto"/>
        </w:rPr>
      </w:pPr>
    </w:p>
    <w:p>
      <w:pPr>
        <w:ind w:left="168" w:hanging="168"/>
        <w:spacing w:after="0"/>
        <w:tabs>
          <w:tab w:leader="none" w:pos="1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Holder has elected a Cash Exercise, the Holder shall pay the sum of $ _____ in immediately available funds to the Company in accordance with the terms of the Warrant.</w:t>
      </w:r>
    </w:p>
    <w:p>
      <w:pPr>
        <w:spacing w:after="0" w:line="15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this Exercise Notice, the Company shall deliver to the Holder Warrant Shares determined in accordance with the terms of the Warrant. The Warrant Shares shall be delivered (check one):</w:t>
      </w:r>
    </w:p>
    <w:p>
      <w:pPr>
        <w:spacing w:after="0" w:line="150" w:lineRule="exact"/>
        <w:rPr>
          <w:rFonts w:ascii="Times New Roman" w:cs="Times New Roman" w:eastAsia="Times New Roman" w:hAnsi="Times New Roman"/>
          <w:sz w:val="12"/>
          <w:szCs w:val="12"/>
          <w:color w:val="auto"/>
        </w:rPr>
      </w:pPr>
    </w:p>
    <w:p>
      <w:pPr>
        <w:ind w:left="288" w:hanging="216"/>
        <w:spacing w:after="0"/>
        <w:tabs>
          <w:tab w:leader="none" w:pos="288" w:val="left"/>
        </w:tabs>
        <w:numPr>
          <w:ilvl w:val="1"/>
          <w:numId w:val="39"/>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to the following DWAC Account Number: _______________________________</w:t>
      </w:r>
    </w:p>
    <w:p>
      <w:pPr>
        <w:spacing w:after="0" w:line="18" w:lineRule="exact"/>
        <w:rPr>
          <w:rFonts w:ascii="MS PGothic" w:cs="MS PGothic" w:eastAsia="MS PGothic" w:hAnsi="MS PGothic"/>
          <w:sz w:val="12"/>
          <w:szCs w:val="12"/>
          <w:color w:val="auto"/>
        </w:rPr>
      </w:pPr>
    </w:p>
    <w:p>
      <w:pPr>
        <w:ind w:left="288" w:hanging="216"/>
        <w:spacing w:after="0"/>
        <w:tabs>
          <w:tab w:leader="none" w:pos="288" w:val="left"/>
        </w:tabs>
        <w:numPr>
          <w:ilvl w:val="1"/>
          <w:numId w:val="39"/>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in book-entry form via a direct registration system</w:t>
      </w:r>
    </w:p>
    <w:p>
      <w:pPr>
        <w:spacing w:after="0" w:line="6" w:lineRule="exact"/>
        <w:rPr>
          <w:rFonts w:ascii="MS PGothic" w:cs="MS PGothic" w:eastAsia="MS PGothic" w:hAnsi="MS PGothic"/>
          <w:sz w:val="12"/>
          <w:szCs w:val="12"/>
          <w:color w:val="auto"/>
        </w:rPr>
      </w:pPr>
    </w:p>
    <w:p>
      <w:pPr>
        <w:ind w:left="288" w:hanging="216"/>
        <w:spacing w:after="0"/>
        <w:tabs>
          <w:tab w:leader="none" w:pos="288" w:val="left"/>
        </w:tabs>
        <w:numPr>
          <w:ilvl w:val="1"/>
          <w:numId w:val="39"/>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by physical delivery of a certificate to: __________________________________________________________</w:t>
      </w:r>
    </w:p>
    <w:p>
      <w:pPr>
        <w:spacing w:after="0" w:line="6"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w:t>
      </w:r>
    </w:p>
    <w:p>
      <w:pPr>
        <w:spacing w:after="0" w:line="138" w:lineRule="exact"/>
        <w:rPr>
          <w:sz w:val="20"/>
          <w:szCs w:val="20"/>
          <w:color w:val="auto"/>
        </w:rPr>
      </w:pPr>
    </w:p>
    <w:p>
      <w:pPr>
        <w:ind w:left="288" w:hanging="216"/>
        <w:spacing w:after="0"/>
        <w:tabs>
          <w:tab w:leader="none" w:pos="288" w:val="left"/>
        </w:tabs>
        <w:numPr>
          <w:ilvl w:val="1"/>
          <w:numId w:val="40"/>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in restricted book-entry form in the Company’s share register</w:t>
      </w:r>
    </w:p>
    <w:p>
      <w:pPr>
        <w:spacing w:after="0" w:line="150" w:lineRule="exact"/>
        <w:rPr>
          <w:rFonts w:ascii="MS PGothic" w:cs="MS PGothic" w:eastAsia="MS PGothic" w:hAnsi="MS PGothic"/>
          <w:sz w:val="12"/>
          <w:szCs w:val="12"/>
          <w:color w:val="auto"/>
        </w:rPr>
      </w:pPr>
    </w:p>
    <w:p>
      <w:pPr>
        <w:jc w:val="both"/>
        <w:ind w:left="8" w:hanging="8"/>
        <w:spacing w:after="0" w:line="265" w:lineRule="auto"/>
        <w:tabs>
          <w:tab w:leader="none" w:pos="17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By its delivery of this Exercise Notice, the undersigned represents and warrants to the Company that in giving effect to the exercise evidenced hereby the Holder (i)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2"/>
          <w:szCs w:val="12"/>
          <w:u w:val="single" w:color="auto"/>
          <w:color w:val="auto"/>
        </w:rPr>
        <w:t>Section 11(a)</w:t>
      </w:r>
      <w:r>
        <w:rPr>
          <w:rFonts w:ascii="Times New Roman" w:cs="Times New Roman" w:eastAsia="Times New Roman" w:hAnsi="Times New Roman"/>
          <w:sz w:val="12"/>
          <w:szCs w:val="12"/>
          <w:color w:val="auto"/>
        </w:rPr>
        <w:t xml:space="preserve"> of the Warrant to which this notice relates.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8902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8902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8902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8902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8902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2"/>
          <w:szCs w:val="12"/>
          <w:b w:val="1"/>
          <w:bCs w:val="1"/>
          <w:color w:val="auto"/>
        </w:rPr>
        <w:t>EXHIBIT 4.3</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WARRANT AGREEMENT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THIS WARRANT AGREEMENT (this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September [●], 2025, is by and between Helius Medical Technologies,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and Equiniti Trust Company, LLC, as warrant agent (in such capacity, the “</w:t>
      </w:r>
      <w:r>
        <w:rPr>
          <w:rFonts w:ascii="Times New Roman" w:cs="Times New Roman" w:eastAsia="Times New Roman" w:hAnsi="Times New Roman"/>
          <w:sz w:val="12"/>
          <w:szCs w:val="12"/>
          <w:b w:val="1"/>
          <w:bCs w:val="1"/>
          <w:color w:val="auto"/>
        </w:rPr>
        <w:t>Warrant Agent</w:t>
      </w:r>
      <w:r>
        <w:rPr>
          <w:rFonts w:ascii="Times New Roman" w:cs="Times New Roman" w:eastAsia="Times New Roman" w:hAnsi="Times New Roman"/>
          <w:sz w:val="12"/>
          <w:szCs w:val="12"/>
          <w:color w:val="auto"/>
        </w:rPr>
        <w:t>,” and also referred to herein as the “</w:t>
      </w:r>
      <w:r>
        <w:rPr>
          <w:rFonts w:ascii="Times New Roman" w:cs="Times New Roman" w:eastAsia="Times New Roman" w:hAnsi="Times New Roman"/>
          <w:sz w:val="12"/>
          <w:szCs w:val="12"/>
          <w:b w:val="1"/>
          <w:bCs w:val="1"/>
          <w:color w:val="auto"/>
        </w:rPr>
        <w:t>Transfer Agent</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WHEREAS, the Company desires to sell to each Subscriber identified in the Subscription Agreement, dated as of September 15, 2025, between the Company and each subscriber identified on the signature pages thereto (the “</w:t>
      </w:r>
      <w:r>
        <w:rPr>
          <w:rFonts w:ascii="Times New Roman" w:cs="Times New Roman" w:eastAsia="Times New Roman" w:hAnsi="Times New Roman"/>
          <w:sz w:val="12"/>
          <w:szCs w:val="12"/>
          <w:b w:val="1"/>
          <w:bCs w:val="1"/>
          <w:color w:val="auto"/>
        </w:rPr>
        <w:t>Purchase Agreement</w:t>
      </w:r>
      <w:r>
        <w:rPr>
          <w:rFonts w:ascii="Times New Roman" w:cs="Times New Roman" w:eastAsia="Times New Roman" w:hAnsi="Times New Roman"/>
          <w:sz w:val="12"/>
          <w:szCs w:val="12"/>
          <w:color w:val="auto"/>
        </w:rPr>
        <w:t>”) under the Purchase Agreement stapled warrants to purchase additional shares of common stock of the Company, $0.001 par value per share, and any other class of securities into which such securities may hereafter be reclassified or changed (the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and, in connection therewith, has determined to issue and deliver up to [●] warrants to investors in a private offering (the “</w:t>
      </w:r>
      <w:r>
        <w:rPr>
          <w:rFonts w:ascii="Times New Roman" w:cs="Times New Roman" w:eastAsia="Times New Roman" w:hAnsi="Times New Roman"/>
          <w:sz w:val="12"/>
          <w:szCs w:val="12"/>
          <w:b w:val="1"/>
          <w:bCs w:val="1"/>
          <w:color w:val="auto"/>
        </w:rPr>
        <w:t>Warrants</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each Warrant entitles the holder thereof to purchase one share of Common Stock, with an exercise price of $10.134, subject to adjustment as described herein, with each Warrant bearing the legend set forth in Exhibit A hereto;</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including the registration rights included in the Purchase Agreement;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 and</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capitalized terms used in this Agreement but not defined herein shall have the meanings given to them in the Purchase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NOW, THEREFORE, in consideration of the mutual agreements herein contained, the parties hereto agree as follows:</w:t>
      </w:r>
    </w:p>
    <w:p>
      <w:pPr>
        <w:spacing w:after="0" w:line="150" w:lineRule="exact"/>
        <w:rPr>
          <w:sz w:val="20"/>
          <w:szCs w:val="20"/>
          <w:color w:val="auto"/>
        </w:rPr>
      </w:pPr>
    </w:p>
    <w:p>
      <w:pPr>
        <w:ind w:firstLine="424"/>
        <w:spacing w:after="0" w:line="279" w:lineRule="auto"/>
        <w:tabs>
          <w:tab w:leader="none" w:pos="552"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Appointment of Warrant Agent</w:t>
      </w:r>
      <w:r>
        <w:rPr>
          <w:rFonts w:ascii="Times New Roman" w:cs="Times New Roman" w:eastAsia="Times New Roman" w:hAnsi="Times New Roman"/>
          <w:sz w:val="12"/>
          <w:szCs w:val="12"/>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11" w:lineRule="exact"/>
        <w:rPr>
          <w:rFonts w:ascii="Times New Roman" w:cs="Times New Roman" w:eastAsia="Times New Roman" w:hAnsi="Times New Roman"/>
          <w:sz w:val="12"/>
          <w:szCs w:val="12"/>
          <w:color w:val="auto"/>
        </w:rPr>
      </w:pPr>
    </w:p>
    <w:p>
      <w:pPr>
        <w:ind w:left="540" w:hanging="116"/>
        <w:spacing w:after="0"/>
        <w:tabs>
          <w:tab w:leader="none" w:pos="5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u w:val="single" w:color="auto"/>
          <w:color w:val="auto"/>
        </w:rPr>
        <w:t>Form of Warrant</w:t>
      </w:r>
      <w:r>
        <w:rPr>
          <w:rFonts w:ascii="Times New Roman" w:cs="Times New Roman" w:eastAsia="Times New Roman" w:hAnsi="Times New Roman"/>
          <w:sz w:val="12"/>
          <w:szCs w:val="12"/>
          <w:color w:val="auto"/>
        </w:rPr>
        <w:t xml:space="preserve">. Each Warrant shall initially be issued in registered book-entry form only, and, if a physical certificate is issued, shall be in substantially the form of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hereto, the provisions of which are incorporated herein and shall be signed by, or bear the facsimile signature of, the Chairperson of the Company’s board of directors (the “</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President, Chief Executive Officer, Chief Financial Officer, Secretary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All of the Warrants shall initially be represented by one or more book-entry certificates (each, a “</w:t>
      </w:r>
      <w:r>
        <w:rPr>
          <w:rFonts w:ascii="Times New Roman" w:cs="Times New Roman" w:eastAsia="Times New Roman" w:hAnsi="Times New Roman"/>
          <w:sz w:val="12"/>
          <w:szCs w:val="12"/>
          <w:b w:val="1"/>
          <w:bCs w:val="1"/>
          <w:color w:val="auto"/>
        </w:rPr>
        <w:t>Book-Entry Warrant Certificate</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u w:val="single" w:color="auto"/>
          <w:color w:val="auto"/>
        </w:rPr>
        <w:t>Effect of Countersignature</w:t>
      </w:r>
      <w:r>
        <w:rPr>
          <w:rFonts w:ascii="Times New Roman" w:cs="Times New Roman" w:eastAsia="Times New Roman" w:hAnsi="Times New Roman"/>
          <w:sz w:val="12"/>
          <w:szCs w:val="12"/>
          <w:color w:val="auto"/>
        </w:rPr>
        <w:t>. If a physical certificate is issued, unless and until countersigned by the Warrant Agent pursuant to this Agreement, a Warrant certificate shall be invalid and of no effect and may not be exercised by the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260350</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36" w:name="page37"/>
    <w:bookmarkEnd w:id="36"/>
    <w:p>
      <w:pPr>
        <w:ind w:left="428"/>
        <w:spacing w:after="0"/>
        <w:rPr>
          <w:sz w:val="20"/>
          <w:szCs w:val="20"/>
          <w:color w:val="auto"/>
        </w:rPr>
      </w:pPr>
      <w:r>
        <w:rPr>
          <w:rFonts w:ascii="Times New Roman" w:cs="Times New Roman" w:eastAsia="Times New Roman" w:hAnsi="Times New Roman"/>
          <w:sz w:val="12"/>
          <w:szCs w:val="12"/>
          <w:color w:val="auto"/>
        </w:rPr>
        <w:t xml:space="preserve">2.3 </w:t>
      </w:r>
      <w:r>
        <w:rPr>
          <w:rFonts w:ascii="Times New Roman" w:cs="Times New Roman" w:eastAsia="Times New Roman" w:hAnsi="Times New Roman"/>
          <w:sz w:val="12"/>
          <w:szCs w:val="12"/>
          <w:u w:val="single" w:color="auto"/>
          <w:color w:val="auto"/>
        </w:rPr>
        <w:t>Registration</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left="8" w:firstLine="432"/>
        <w:spacing w:after="0" w:line="262" w:lineRule="auto"/>
        <w:rPr>
          <w:sz w:val="20"/>
          <w:szCs w:val="20"/>
          <w:color w:val="auto"/>
        </w:rPr>
      </w:pPr>
      <w:r>
        <w:rPr>
          <w:rFonts w:ascii="Times New Roman" w:cs="Times New Roman" w:eastAsia="Times New Roman" w:hAnsi="Times New Roman"/>
          <w:sz w:val="12"/>
          <w:szCs w:val="12"/>
          <w:color w:val="auto"/>
        </w:rPr>
        <w:t xml:space="preserve">2.3.1 </w:t>
      </w: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The Warrant Agent shall maintain books (the “</w:t>
      </w:r>
      <w:r>
        <w:rPr>
          <w:rFonts w:ascii="Times New Roman" w:cs="Times New Roman" w:eastAsia="Times New Roman" w:hAnsi="Times New Roman"/>
          <w:sz w:val="12"/>
          <w:szCs w:val="12"/>
          <w:b w:val="1"/>
          <w:bCs w:val="1"/>
          <w:color w:val="auto"/>
        </w:rPr>
        <w:t>Warrant Register</w:t>
      </w:r>
      <w:r>
        <w:rPr>
          <w:rFonts w:ascii="Times New Roman" w:cs="Times New Roman" w:eastAsia="Times New Roman" w:hAnsi="Times New Roman"/>
          <w:sz w:val="12"/>
          <w:szCs w:val="12"/>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All of the Warrants shall initially be represented by one or more Book-Entry Warrant Certificates. Ownership of beneficial interests in the Warrants shall be shown on, and the transfer of such ownership shall be effected through, records maintained by the Warrant Agent or its nominee for each Book-Entry Warrant Certificate.</w:t>
      </w:r>
    </w:p>
    <w:p>
      <w:pPr>
        <w:spacing w:after="0" w:line="121"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 xml:space="preserve">2.3.2 </w:t>
      </w:r>
      <w:r>
        <w:rPr>
          <w:rFonts w:ascii="Times New Roman" w:cs="Times New Roman" w:eastAsia="Times New Roman" w:hAnsi="Times New Roman"/>
          <w:sz w:val="12"/>
          <w:szCs w:val="12"/>
          <w:u w:val="single" w:color="auto"/>
          <w:color w:val="auto"/>
        </w:rPr>
        <w:t>Registered Holder</w:t>
      </w:r>
      <w:r>
        <w:rPr>
          <w:rFonts w:ascii="Times New Roman" w:cs="Times New Roman" w:eastAsia="Times New Roman" w:hAnsi="Times New Roman"/>
          <w:sz w:val="12"/>
          <w:szCs w:val="12"/>
          <w:color w:val="auto"/>
        </w:rPr>
        <w:t>. Prior to due presentment for registration of transfer of any Warrant, the Company and the Warrant Agent may deem and treat the person in whose name such Warrant is registered in the Warrant Register (the “</w:t>
      </w:r>
      <w:r>
        <w:rPr>
          <w:rFonts w:ascii="Times New Roman" w:cs="Times New Roman" w:eastAsia="Times New Roman" w:hAnsi="Times New Roman"/>
          <w:sz w:val="12"/>
          <w:szCs w:val="12"/>
          <w:b w:val="1"/>
          <w:bCs w:val="1"/>
          <w:color w:val="auto"/>
        </w:rPr>
        <w:t>Registered Holder</w:t>
      </w:r>
      <w:r>
        <w:rPr>
          <w:rFonts w:ascii="Times New Roman" w:cs="Times New Roman" w:eastAsia="Times New Roman" w:hAnsi="Times New Roman"/>
          <w:sz w:val="12"/>
          <w:szCs w:val="12"/>
          <w:color w:val="auto"/>
        </w:rPr>
        <w:t>”) as the absolute owner of such Warrant and of each Warrant represented thereby, for the purpose of any exercise thereof, and for all other purposes, and neither the Company nor the Warrant Agent shall be affected by any notice to the contrary.</w:t>
      </w:r>
    </w:p>
    <w:p>
      <w:pPr>
        <w:spacing w:after="0" w:line="119" w:lineRule="exact"/>
        <w:rPr>
          <w:sz w:val="20"/>
          <w:szCs w:val="20"/>
          <w:color w:val="auto"/>
        </w:rPr>
      </w:pPr>
    </w:p>
    <w:p>
      <w:pPr>
        <w:ind w:left="548" w:hanging="116"/>
        <w:spacing w:after="0"/>
        <w:tabs>
          <w:tab w:leader="none" w:pos="54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Terms and Exercise of 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u w:val="single" w:color="auto"/>
          <w:color w:val="auto"/>
        </w:rPr>
        <w:t>Warrant Price</w:t>
      </w:r>
      <w:r>
        <w:rPr>
          <w:rFonts w:ascii="Times New Roman" w:cs="Times New Roman" w:eastAsia="Times New Roman" w:hAnsi="Times New Roman"/>
          <w:sz w:val="12"/>
          <w:szCs w:val="12"/>
          <w:color w:val="auto"/>
        </w:rPr>
        <w:t xml:space="preserve">. Each Warrant shall entitle the Registered Holder thereof, subject to the provisions of such Warrant and of this Agreement, including without limitation,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to purchase from the Company the number of Shares stated therein, at the price of $10.134 per share, subject to the adjustments provided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hereof and in the last sentence of this </w:t>
      </w:r>
      <w:r>
        <w:rPr>
          <w:rFonts w:ascii="Times New Roman" w:cs="Times New Roman" w:eastAsia="Times New Roman" w:hAnsi="Times New Roman"/>
          <w:sz w:val="12"/>
          <w:szCs w:val="12"/>
          <w:u w:val="single" w:color="auto"/>
          <w:color w:val="auto"/>
        </w:rPr>
        <w:t>Section 3.1</w:t>
      </w:r>
      <w:r>
        <w:rPr>
          <w:rFonts w:ascii="Times New Roman" w:cs="Times New Roman" w:eastAsia="Times New Roman" w:hAnsi="Times New Roman"/>
          <w:sz w:val="12"/>
          <w:szCs w:val="12"/>
          <w:color w:val="auto"/>
        </w:rPr>
        <w:t>. The term “</w:t>
      </w:r>
      <w:r>
        <w:rPr>
          <w:rFonts w:ascii="Times New Roman" w:cs="Times New Roman" w:eastAsia="Times New Roman" w:hAnsi="Times New Roman"/>
          <w:sz w:val="12"/>
          <w:szCs w:val="12"/>
          <w:b w:val="1"/>
          <w:bCs w:val="1"/>
          <w:color w:val="auto"/>
        </w:rPr>
        <w:t>Warrant Price</w:t>
      </w:r>
      <w:r>
        <w:rPr>
          <w:rFonts w:ascii="Times New Roman" w:cs="Times New Roman" w:eastAsia="Times New Roman" w:hAnsi="Times New Roman"/>
          <w:sz w:val="12"/>
          <w:szCs w:val="12"/>
          <w:color w:val="auto"/>
        </w:rPr>
        <w:t xml:space="preserve">” as used in this Agreement shall mean the price per share payable in cash described in the prior sentence at which the Shares may be purchased at the time a Warrant is exercised. The Company in its sole discretion may lower the Warrant Price at any time prior to the Expiration Date (as defined below) for a period of not less than fifteen (15) business days (unless otherwise required by the Commission, any national securities exchange on which the Warrants are listed or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Company shall provide at least three (3) days’ prior written notice of such reduction to Registered Holders of the Warrants and, provided further that any such reduction shall be identical among all of the Warrants. The Company may not reduce the Warrant Price below the greater of (i) 50% of the original Warrant Price, or (ii) the par value of the Common Stock, without the prior written consent of Holders of a majority of the outstanding Warrants.</w:t>
      </w:r>
    </w:p>
    <w:p>
      <w:pPr>
        <w:spacing w:after="0" w:line="121"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Duration of Warrants</w:t>
      </w:r>
      <w:r>
        <w:rPr>
          <w:rFonts w:ascii="Times New Roman" w:cs="Times New Roman" w:eastAsia="Times New Roman" w:hAnsi="Times New Roman"/>
          <w:sz w:val="12"/>
          <w:szCs w:val="12"/>
          <w:color w:val="auto"/>
        </w:rPr>
        <w:t>. A Warrant may be exercised only during the period (the “</w:t>
      </w:r>
      <w:r>
        <w:rPr>
          <w:rFonts w:ascii="Times New Roman" w:cs="Times New Roman" w:eastAsia="Times New Roman" w:hAnsi="Times New Roman"/>
          <w:sz w:val="12"/>
          <w:szCs w:val="12"/>
          <w:b w:val="1"/>
          <w:bCs w:val="1"/>
          <w:color w:val="auto"/>
        </w:rPr>
        <w:t>Exercise Period</w:t>
      </w:r>
      <w:r>
        <w:rPr>
          <w:rFonts w:ascii="Times New Roman" w:cs="Times New Roman" w:eastAsia="Times New Roman" w:hAnsi="Times New Roman"/>
          <w:sz w:val="12"/>
          <w:szCs w:val="12"/>
          <w:color w:val="auto"/>
        </w:rPr>
        <w:t>”) beginning the issue date of the Warrant and ending on 5:00 p.m., New York City time, on the date that is thirty-six (36) months after the issue date of the Warrant (the “</w:t>
      </w:r>
      <w:r>
        <w:rPr>
          <w:rFonts w:ascii="Times New Roman" w:cs="Times New Roman" w:eastAsia="Times New Roman" w:hAnsi="Times New Roman"/>
          <w:sz w:val="12"/>
          <w:szCs w:val="12"/>
          <w:b w:val="1"/>
          <w:bCs w:val="1"/>
          <w:color w:val="auto"/>
        </w:rPr>
        <w:t>Expiration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however, that the exercise of any Warrant shall be subject to the satisfaction of any applicable conditions, as set forth in </w:t>
      </w:r>
      <w:r>
        <w:rPr>
          <w:rFonts w:ascii="Times New Roman" w:cs="Times New Roman" w:eastAsia="Times New Roman" w:hAnsi="Times New Roman"/>
          <w:sz w:val="12"/>
          <w:szCs w:val="12"/>
          <w:u w:val="single" w:color="auto"/>
          <w:color w:val="auto"/>
        </w:rPr>
        <w:t>subsection 3.3.2</w:t>
      </w:r>
      <w:r>
        <w:rPr>
          <w:rFonts w:ascii="Times New Roman" w:cs="Times New Roman" w:eastAsia="Times New Roman" w:hAnsi="Times New Roman"/>
          <w:sz w:val="12"/>
          <w:szCs w:val="12"/>
          <w:color w:val="auto"/>
        </w:rPr>
        <w:t xml:space="preserve"> below, with respect to an effective registration statement. Each outstanding Warrant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provide at least twenty (20) days prior written notice of any such extension to Registered Holders of the Warrants and,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that any such extension shall be identical in duration among all the Warrants.</w:t>
      </w:r>
    </w:p>
    <w:p>
      <w:pPr>
        <w:spacing w:after="0" w:line="1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u w:val="single" w:color="auto"/>
          <w:color w:val="auto"/>
        </w:rPr>
        <w:t>Exercise of 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3.3.1 </w:t>
      </w:r>
      <w:r>
        <w:rPr>
          <w:rFonts w:ascii="Times New Roman" w:cs="Times New Roman" w:eastAsia="Times New Roman" w:hAnsi="Times New Roman"/>
          <w:sz w:val="12"/>
          <w:szCs w:val="12"/>
          <w:u w:val="single" w:color="auto"/>
          <w:color w:val="auto"/>
        </w:rPr>
        <w:t>Payment</w:t>
      </w:r>
      <w:r>
        <w:rPr>
          <w:rFonts w:ascii="Times New Roman" w:cs="Times New Roman" w:eastAsia="Times New Roman" w:hAnsi="Times New Roman"/>
          <w:sz w:val="12"/>
          <w:szCs w:val="12"/>
          <w:color w:val="auto"/>
        </w:rPr>
        <w:t xml:space="preserve">. Subject to the provisions of the Warrant and this Agreement, including without limitation,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a Warrant may be exercised by the Registered Holder thereof by delivering to the Warrant Agent</w:t>
      </w:r>
    </w:p>
    <w:p>
      <w:pPr>
        <w:spacing w:after="0" w:line="17" w:lineRule="exact"/>
        <w:rPr>
          <w:sz w:val="20"/>
          <w:szCs w:val="20"/>
          <w:color w:val="auto"/>
        </w:rPr>
      </w:pPr>
    </w:p>
    <w:p>
      <w:pPr>
        <w:ind w:left="8" w:hanging="8"/>
        <w:spacing w:after="0" w:line="260" w:lineRule="auto"/>
        <w:tabs>
          <w:tab w:leader="none" w:pos="15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Warrants to be exercised (the “</w:t>
      </w:r>
      <w:r>
        <w:rPr>
          <w:rFonts w:ascii="Times New Roman" w:cs="Times New Roman" w:eastAsia="Times New Roman" w:hAnsi="Times New Roman"/>
          <w:sz w:val="12"/>
          <w:szCs w:val="12"/>
          <w:b w:val="1"/>
          <w:bCs w:val="1"/>
          <w:color w:val="auto"/>
        </w:rPr>
        <w:t>Book-Entry Warrants</w:t>
      </w:r>
      <w:r>
        <w:rPr>
          <w:rFonts w:ascii="Times New Roman" w:cs="Times New Roman" w:eastAsia="Times New Roman" w:hAnsi="Times New Roman"/>
          <w:sz w:val="12"/>
          <w:szCs w:val="12"/>
          <w:color w:val="auto"/>
        </w:rPr>
        <w:t>”) on the records of the Warrant Agent to an account of the Warrant Agent designated for such purposes and (ii) an election to purchase (“</w:t>
      </w:r>
      <w:r>
        <w:rPr>
          <w:rFonts w:ascii="Times New Roman" w:cs="Times New Roman" w:eastAsia="Times New Roman" w:hAnsi="Times New Roman"/>
          <w:sz w:val="12"/>
          <w:szCs w:val="12"/>
          <w:b w:val="1"/>
          <w:bCs w:val="1"/>
          <w:color w:val="auto"/>
        </w:rPr>
        <w:t>Election to Purchase</w:t>
      </w:r>
      <w:r>
        <w:rPr>
          <w:rFonts w:ascii="Times New Roman" w:cs="Times New Roman" w:eastAsia="Times New Roman" w:hAnsi="Times New Roman"/>
          <w:sz w:val="12"/>
          <w:szCs w:val="12"/>
          <w:color w:val="auto"/>
        </w:rPr>
        <w:t>”) Shares pursuant to the exercise of a Warrant, properly delivered by the Holder, in lawful money of the United States, in good certified check or wire payable to the Warrant Agent or by wire transfer of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7" w:name="page38"/>
    <w:bookmarkEnd w:id="37"/>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 xml:space="preserve">3.3.2 </w:t>
      </w:r>
      <w:r>
        <w:rPr>
          <w:rFonts w:ascii="Times New Roman" w:cs="Times New Roman" w:eastAsia="Times New Roman" w:hAnsi="Times New Roman"/>
          <w:sz w:val="12"/>
          <w:szCs w:val="12"/>
          <w:u w:val="single" w:color="auto"/>
          <w:color w:val="auto"/>
        </w:rPr>
        <w:t>Issuance of Shares on Exercise</w:t>
      </w:r>
      <w:r>
        <w:rPr>
          <w:rFonts w:ascii="Times New Roman" w:cs="Times New Roman" w:eastAsia="Times New Roman" w:hAnsi="Times New Roman"/>
          <w:sz w:val="12"/>
          <w:szCs w:val="12"/>
          <w:color w:val="auto"/>
        </w:rPr>
        <w:t xml:space="preserve">. As soon as practicable after the exercise of any Warrant and the clearance of the funds in payment of the Warrant Price but in any event no later than two (days) from such exercise, the Company shall issue to the Registered Holder of such Warrant a book-entry position or certificate, as applicable, for the number of Shares to which he, she or it is entitled, registered in such name or names as may be directed by him, her or it, and if such Warrant shall not have been exercised in full, a new book-entry position or countersigned Warrant, as applicable, for the number of Shares as to which such Warrant shall not have been exercised. If fewer than all the Warrants evidenced by a Book-Entry Warrant Certificate are exercised, a notation shall be made to the records maintained by the Warrant Agent, or its nominee for each Book-Entry Warrant Certificate, as appropriate, evidencing the balance of the Warrants remaining after such exercise. Notwithstanding the foregoing, the Company shall not be obligated to deliver any Shares pursuant to the exercise of a Warrant and shall have no obligation to settle such Warrant exercise unless a registration statement under the Securities Act with respect to the resale by the Registered Holders of both the Warrants and the Shares issuable upon exercise the Warrants is then effective and a prospectus relating thereto is current, subject to the Company’s satisfying its obligations under this </w:t>
      </w:r>
      <w:r>
        <w:rPr>
          <w:rFonts w:ascii="Times New Roman" w:cs="Times New Roman" w:eastAsia="Times New Roman" w:hAnsi="Times New Roman"/>
          <w:sz w:val="12"/>
          <w:szCs w:val="12"/>
          <w:u w:val="single" w:color="auto"/>
          <w:color w:val="auto"/>
        </w:rPr>
        <w:t>Section 3.3.2</w:t>
      </w:r>
      <w:r>
        <w:rPr>
          <w:rFonts w:ascii="Times New Roman" w:cs="Times New Roman" w:eastAsia="Times New Roman" w:hAnsi="Times New Roman"/>
          <w:sz w:val="12"/>
          <w:szCs w:val="12"/>
          <w:color w:val="auto"/>
        </w:rPr>
        <w:t xml:space="preserve">. No Warrant shall be exercisable and the Company shall not be obligated to issue Shares upon exercise of a Warrant unless the Shares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Warrant, the holder of such Warrant shall not be entitled to exercise such Warrant. In no event will the Company be required to net cash settle such Warrant exercise. Notwithstanding the foregoing, if at any time the Shares issued upon exercise of a Warrant constitute “restricted securities” (as defined in Rule 144 under the Securities Act), then the Company shall be permitted to add a legend in the form of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hereto to such Shares. In the event a registration statement is not effective or a prospectus relating thereto is not current, the Company shall, upon exercise of this Warrant for cash, deliver the underlying Shares as ‘restricted securities’ under the Securities Act, subject to an appropriate restrictive legend, and such Shares shall be deemed validly issued, fully paid and non-assessable. The Company shall cooperate in all respects, and shall cause its transfer agent to cooperate, in connection with any request by a Holder to remove restrictive legends or transfer restrictions from any Shares issued upon exercise of the Warrants, to the same extent and subject to the same procedures, standards and timing as are set forth in the Purchase Agreement. For the avoidance of doubt, the Holder shall be entitled to the same rights with respect to legend removal and transfer of Shares issuable upon exercise of the Warrants as it would have had under the Purchase Agreement with respect to the Acquired Securities.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3.3.3 </w:t>
      </w:r>
      <w:r>
        <w:rPr>
          <w:rFonts w:ascii="Times New Roman" w:cs="Times New Roman" w:eastAsia="Times New Roman" w:hAnsi="Times New Roman"/>
          <w:sz w:val="12"/>
          <w:szCs w:val="12"/>
          <w:u w:val="single" w:color="auto"/>
          <w:color w:val="auto"/>
        </w:rPr>
        <w:t>Valid Issuance</w:t>
      </w:r>
      <w:r>
        <w:rPr>
          <w:rFonts w:ascii="Times New Roman" w:cs="Times New Roman" w:eastAsia="Times New Roman" w:hAnsi="Times New Roman"/>
          <w:sz w:val="12"/>
          <w:szCs w:val="12"/>
          <w:color w:val="auto"/>
        </w:rPr>
        <w:t>. All Shares issued upon the proper exercise of a Warrant in conformity with this Agreement shall be validly issued, fully paid and non-assessable.</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3.3.4 </w:t>
      </w:r>
      <w:r>
        <w:rPr>
          <w:rFonts w:ascii="Times New Roman" w:cs="Times New Roman" w:eastAsia="Times New Roman" w:hAnsi="Times New Roman"/>
          <w:sz w:val="12"/>
          <w:szCs w:val="12"/>
          <w:u w:val="single" w:color="auto"/>
          <w:color w:val="auto"/>
        </w:rPr>
        <w:t>Date of Issuance</w:t>
      </w:r>
      <w:r>
        <w:rPr>
          <w:rFonts w:ascii="Times New Roman" w:cs="Times New Roman" w:eastAsia="Times New Roman" w:hAnsi="Times New Roman"/>
          <w:sz w:val="12"/>
          <w:szCs w:val="12"/>
          <w:color w:val="auto"/>
        </w:rPr>
        <w:t>. Each person in whose name any book-entry position or certificate, as applicable, for Shares is issued shall for all purposes be deemed to have become the holder of record of such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share transfer books of the Company or book-entry system of the Warrant Agent are closed, such person shall be deemed to have become the holder of such Shares at the close of business on the next succeeding date on which the share transfer books or book-entry system are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8" w:name="page39"/>
    <w:bookmarkEnd w:id="38"/>
    <w:p>
      <w:pPr>
        <w:jc w:val="both"/>
        <w:ind w:left="8" w:firstLine="432"/>
        <w:spacing w:after="0" w:line="251" w:lineRule="auto"/>
        <w:rPr>
          <w:sz w:val="20"/>
          <w:szCs w:val="20"/>
          <w:color w:val="auto"/>
        </w:rPr>
      </w:pPr>
      <w:r>
        <w:rPr>
          <w:rFonts w:ascii="Times New Roman" w:cs="Times New Roman" w:eastAsia="Times New Roman" w:hAnsi="Times New Roman"/>
          <w:sz w:val="12"/>
          <w:szCs w:val="12"/>
          <w:color w:val="auto"/>
        </w:rPr>
        <w:t xml:space="preserve">3.3.5 </w:t>
      </w:r>
      <w:r>
        <w:rPr>
          <w:rFonts w:ascii="Times New Roman" w:cs="Times New Roman" w:eastAsia="Times New Roman" w:hAnsi="Times New Roman"/>
          <w:sz w:val="12"/>
          <w:szCs w:val="12"/>
          <w:u w:val="single" w:color="auto"/>
          <w:color w:val="auto"/>
        </w:rPr>
        <w:t>Maximum Percentage</w:t>
      </w:r>
      <w:r>
        <w:rPr>
          <w:rFonts w:ascii="Times New Roman" w:cs="Times New Roman" w:eastAsia="Times New Roman" w:hAnsi="Times New Roman"/>
          <w:sz w:val="12"/>
          <w:szCs w:val="12"/>
          <w:color w:val="auto"/>
        </w:rPr>
        <w:t xml:space="preserve">. A holder of a Warrant may notify the Company in writing in the event it elects to be subject to the provisions contained in this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however, no holder of a Warrant shall be subject to this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or any “group” of which the holder or its affiliate is a member, would beneficially own in excess of 4.99% or 9.99% (or such other amount as a holder may specify) (the “</w:t>
      </w:r>
      <w:r>
        <w:rPr>
          <w:rFonts w:ascii="Times New Roman" w:cs="Times New Roman" w:eastAsia="Times New Roman" w:hAnsi="Times New Roman"/>
          <w:sz w:val="12"/>
          <w:szCs w:val="12"/>
          <w:b w:val="1"/>
          <w:bCs w:val="1"/>
          <w:color w:val="auto"/>
        </w:rPr>
        <w:t>Maximum Percentage</w:t>
      </w:r>
      <w:r>
        <w:rPr>
          <w:rFonts w:ascii="Times New Roman" w:cs="Times New Roman" w:eastAsia="Times New Roman" w:hAnsi="Times New Roman"/>
          <w:sz w:val="12"/>
          <w:szCs w:val="12"/>
          <w:color w:val="auto"/>
        </w:rPr>
        <w:t>”) of the Shares outstanding immediately after giving effect to such exercise. For purposes of the foregoing sentence, the aggregate number of Shares beneficially owned by such person and its affiliates, or any group of which such person and its affiliates is a member, shall include the number of Shares issuable upon exercise of the Warrant with respect to which the determination of such sentence is being made, but shall exclude Shares that would be issuable upon (x) exercise of the remaining, unexercised portion of the Warrant beneficially owned by such person and its affiliates, or any group of which any such person or its affiliates is a member, and (y) exercise or conversion of the unexercised or unconverted portion of any other securities of the Company beneficially owned by such person and its affiliates, or any group of which such person or its affiliates is a member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xml:space="preserve">”), and the applicable regulations of the Commission. For purposes hereof, “group” has the meaning set forth in Section 13(d) of the Exchange Act and applicable regulations of the Commission, and the percentage held by the holder shall be determined in a manner consistent with the provisions of Section 13(d) of the Exchange Act. To the extent that a holder makes the election described in this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the Warrant Agent shall not effect the exercise of the holder’s Warrant, and such holder shall not have the right to exercise such Warrant unless it provides to the Warrant Agent in its Election to Purchase, a certification that, upon after giving effect to such exercise, such person (together with such person’s affiliates) or any “group” of which such holder or its affiliates is a member, would not beneficially own in excess of the Maximum Percentage of the Shares outstanding immediately after giving effect to such exercise as determined in accordance with this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For purposes of the Warrant, in determining the number of outstanding Shares, the holder may rely on the number of outstanding Shares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Shares outstanding. For any reason at any time, upon the written request of the holder of the Warrant, the Company shall, within two (2) business days, confirm orally and in writing to such holder the number of Shares then outstanding. In any case, the number of outstanding Shares shall be determined after giving effect to the conversion or exercise of equity securities of the Company by the holder and its affiliates since the date as of which such number of outstanding Shares was reported. In the event that the exercise of the Warrant results in the person (together with such person’s affiliates) or any “group” of which such Subscriber or its affiliates is a member being deemed to beneficially own, in the aggregate, more than the Maximum Percentage, the number of shares so issued by which such person (together with such person’s affiliates) or any “group” of which such Subscriber or its affiliates is a member exceeds the Maximum Percentage (the “Excess Shares”) hall be deemed null and void and shall be cancelled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and the Subscriber shall not have the power to vote or transfer the Excess Shares. By written notice to the Company, the holder of a Warrant may from time to time increase or decrease the Maximum Percentage applicable to such holder to any other percentage specified in such notice;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any such increase shall not be effective until the sixty-first (61st) day after such notice is delivered to the Company.</w:t>
      </w:r>
    </w:p>
    <w:p>
      <w:pPr>
        <w:spacing w:after="0" w:line="137" w:lineRule="exact"/>
        <w:rPr>
          <w:sz w:val="20"/>
          <w:szCs w:val="20"/>
          <w:color w:val="auto"/>
        </w:rPr>
      </w:pPr>
    </w:p>
    <w:p>
      <w:pPr>
        <w:ind w:left="548" w:hanging="116"/>
        <w:spacing w:after="0"/>
        <w:tabs>
          <w:tab w:leader="none" w:pos="54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Adjustments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12"/>
          <w:szCs w:val="12"/>
          <w:u w:val="single" w:color="auto"/>
          <w:color w:val="auto"/>
        </w:rPr>
        <w:t>Share Capitalizations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432"/>
        <w:spacing w:after="0" w:line="278" w:lineRule="auto"/>
        <w:rPr>
          <w:sz w:val="20"/>
          <w:szCs w:val="20"/>
          <w:color w:val="auto"/>
        </w:rPr>
      </w:pPr>
      <w:r>
        <w:rPr>
          <w:rFonts w:ascii="Times New Roman" w:cs="Times New Roman" w:eastAsia="Times New Roman" w:hAnsi="Times New Roman"/>
          <w:sz w:val="11"/>
          <w:szCs w:val="11"/>
          <w:color w:val="auto"/>
        </w:rPr>
        <w:t xml:space="preserve">4.1.1 </w:t>
      </w:r>
      <w:r>
        <w:rPr>
          <w:rFonts w:ascii="Times New Roman" w:cs="Times New Roman" w:eastAsia="Times New Roman" w:hAnsi="Times New Roman"/>
          <w:sz w:val="11"/>
          <w:szCs w:val="11"/>
          <w:u w:val="single" w:color="auto"/>
          <w:color w:val="auto"/>
        </w:rPr>
        <w:t>Sub-division</w:t>
      </w:r>
      <w:r>
        <w:rPr>
          <w:rFonts w:ascii="Times New Roman" w:cs="Times New Roman" w:eastAsia="Times New Roman" w:hAnsi="Times New Roman"/>
          <w:sz w:val="11"/>
          <w:szCs w:val="11"/>
          <w:color w:val="auto"/>
        </w:rPr>
        <w:t xml:space="preserve">. If after the date hereof, and subject to the provisions of </w:t>
      </w:r>
      <w:r>
        <w:rPr>
          <w:rFonts w:ascii="Times New Roman" w:cs="Times New Roman" w:eastAsia="Times New Roman" w:hAnsi="Times New Roman"/>
          <w:sz w:val="11"/>
          <w:szCs w:val="11"/>
          <w:u w:val="single" w:color="auto"/>
          <w:color w:val="auto"/>
        </w:rPr>
        <w:t>Section 4.6</w:t>
      </w:r>
      <w:r>
        <w:rPr>
          <w:rFonts w:ascii="Times New Roman" w:cs="Times New Roman" w:eastAsia="Times New Roman" w:hAnsi="Times New Roman"/>
          <w:sz w:val="11"/>
          <w:szCs w:val="11"/>
          <w:color w:val="auto"/>
        </w:rPr>
        <w:t xml:space="preserve"> below, the number of outstanding Shares is increased by a share capitalization or share dividend payable in Shares, or by a sub-division of Shares or other similar event, then, on the effective date of such share capitalization, sub-division or similar event, the number of Shares issuable on exercise of each Warrant shall be increased in proportion to such increase in the outstanding Shares. A rights offering made to all or substantially all holders of the Shares entitling holders to purchase Shares at a price less than the Historical Fair Market Value (as defined below) shall be deemed a share capitalization of a number of Shares equal to the product of (i) the number of Shares actually sold in such rights offering (or issuable under any other equity securities sold in such rights offering that are convertible into or exercisable for Shares) and</w:t>
      </w:r>
    </w:p>
    <w:p>
      <w:pPr>
        <w:spacing w:after="0" w:line="1" w:lineRule="exact"/>
        <w:rPr>
          <w:sz w:val="20"/>
          <w:szCs w:val="20"/>
          <w:color w:val="auto"/>
        </w:rPr>
      </w:pPr>
    </w:p>
    <w:p>
      <w:pPr>
        <w:jc w:val="both"/>
        <w:ind w:left="8" w:hanging="8"/>
        <w:spacing w:after="0" w:line="253" w:lineRule="auto"/>
        <w:tabs>
          <w:tab w:leader="none" w:pos="193"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one (1) minus the quotient of (x) the price per Share paid in such rights offering divided by (y) the Historical Fair Market Value. For purposes of this </w:t>
      </w:r>
      <w:r>
        <w:rPr>
          <w:rFonts w:ascii="Times New Roman" w:cs="Times New Roman" w:eastAsia="Times New Roman" w:hAnsi="Times New Roman"/>
          <w:sz w:val="12"/>
          <w:szCs w:val="12"/>
          <w:u w:val="single" w:color="auto"/>
          <w:color w:val="auto"/>
        </w:rPr>
        <w:t>subsection 4.1.1</w:t>
      </w:r>
      <w:r>
        <w:rPr>
          <w:rFonts w:ascii="Times New Roman" w:cs="Times New Roman" w:eastAsia="Times New Roman" w:hAnsi="Times New Roman"/>
          <w:sz w:val="12"/>
          <w:szCs w:val="12"/>
          <w:color w:val="auto"/>
        </w:rPr>
        <w:t>, (i) if the rights offering is for securities convertible into or exercisable for Shares, in determining the price payable for Shares, there shall be taken into account any consideration received for such rights, as well as any additional amount payable upon exercise or conversion and (ii) “</w:t>
      </w:r>
      <w:r>
        <w:rPr>
          <w:rFonts w:ascii="Times New Roman" w:cs="Times New Roman" w:eastAsia="Times New Roman" w:hAnsi="Times New Roman"/>
          <w:sz w:val="12"/>
          <w:szCs w:val="12"/>
          <w:b w:val="1"/>
          <w:bCs w:val="1"/>
          <w:color w:val="auto"/>
        </w:rPr>
        <w:t>Historical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Fair Market Value</w:t>
      </w:r>
      <w:r>
        <w:rPr>
          <w:rFonts w:ascii="Times New Roman" w:cs="Times New Roman" w:eastAsia="Times New Roman" w:hAnsi="Times New Roman"/>
          <w:sz w:val="12"/>
          <w:szCs w:val="12"/>
          <w:color w:val="auto"/>
        </w:rPr>
        <w:t>” means the volume weighted average price of the Shares as reported during the ten (10) trading day period ending on the trading day prior to the first date on which the Shares trade on the applicable exchange or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applicable market, regular way, without the right to receive such rights. No Shares shall be issued at less than their par value.</w:t>
      </w:r>
    </w:p>
    <w:p>
      <w:pPr>
        <w:spacing w:after="0" w:line="127"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 xml:space="preserve">4.1.2 </w:t>
      </w:r>
      <w:r>
        <w:rPr>
          <w:rFonts w:ascii="Times New Roman" w:cs="Times New Roman" w:eastAsia="Times New Roman" w:hAnsi="Times New Roman"/>
          <w:sz w:val="12"/>
          <w:szCs w:val="12"/>
          <w:u w:val="single" w:color="auto"/>
          <w:color w:val="auto"/>
        </w:rPr>
        <w:t>Dividends</w:t>
      </w:r>
      <w:r>
        <w:rPr>
          <w:rFonts w:ascii="Times New Roman" w:cs="Times New Roman" w:eastAsia="Times New Roman" w:hAnsi="Times New Roman"/>
          <w:sz w:val="12"/>
          <w:szCs w:val="12"/>
          <w:color w:val="auto"/>
        </w:rPr>
        <w:t>. If the Company, at any time while the Warrants are outstanding and unexpired, shall pay a dividend or make a distribution in cash, securities or other assets to all or substantially all of the holders of Shares on account of such Shares (each such event, a “</w:t>
      </w:r>
      <w:r>
        <w:rPr>
          <w:rFonts w:ascii="Times New Roman" w:cs="Times New Roman" w:eastAsia="Times New Roman" w:hAnsi="Times New Roman"/>
          <w:sz w:val="12"/>
          <w:szCs w:val="12"/>
          <w:b w:val="1"/>
          <w:bCs w:val="1"/>
          <w:color w:val="auto"/>
        </w:rPr>
        <w:t>Dividend</w:t>
      </w:r>
      <w:r>
        <w:rPr>
          <w:rFonts w:ascii="Times New Roman" w:cs="Times New Roman" w:eastAsia="Times New Roman" w:hAnsi="Times New Roman"/>
          <w:sz w:val="12"/>
          <w:szCs w:val="12"/>
          <w:color w:val="auto"/>
        </w:rPr>
        <w:t xml:space="preserve">”), other than as described in </w:t>
      </w:r>
      <w:r>
        <w:rPr>
          <w:rFonts w:ascii="Times New Roman" w:cs="Times New Roman" w:eastAsia="Times New Roman" w:hAnsi="Times New Roman"/>
          <w:sz w:val="12"/>
          <w:szCs w:val="12"/>
          <w:u w:val="single" w:color="auto"/>
          <w:color w:val="auto"/>
        </w:rPr>
        <w:t>subsection 4.1.1</w:t>
      </w:r>
      <w:r>
        <w:rPr>
          <w:rFonts w:ascii="Times New Roman" w:cs="Times New Roman" w:eastAsia="Times New Roman" w:hAnsi="Times New Roman"/>
          <w:sz w:val="12"/>
          <w:szCs w:val="12"/>
          <w:color w:val="auto"/>
        </w:rPr>
        <w:t xml:space="preserve"> above, then the Warrant Price shall be decreased, effective immediately after the effective date of such Dividend, by the amount of cash and/or the fair market value (as determined by the Board, in good faith) of any securities or other assets paid on each Share in respect of such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9" w:name="page40"/>
    <w:bookmarkEnd w:id="39"/>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4.2 </w:t>
      </w:r>
      <w:r>
        <w:rPr>
          <w:rFonts w:ascii="Times New Roman" w:cs="Times New Roman" w:eastAsia="Times New Roman" w:hAnsi="Times New Roman"/>
          <w:sz w:val="12"/>
          <w:szCs w:val="12"/>
          <w:u w:val="single" w:color="auto"/>
          <w:color w:val="auto"/>
        </w:rPr>
        <w:t>Aggregation of Shares</w:t>
      </w:r>
      <w:r>
        <w:rPr>
          <w:rFonts w:ascii="Times New Roman" w:cs="Times New Roman" w:eastAsia="Times New Roman" w:hAnsi="Times New Roman"/>
          <w:sz w:val="12"/>
          <w:szCs w:val="12"/>
          <w:color w:val="auto"/>
        </w:rPr>
        <w:t xml:space="preserve">. If after the date hereof, and subject to the provisions of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 xml:space="preserve"> hereof, the number of outstanding Shares is decreased by a consolidation, combination, reverse share sub-division or reclassification of Shares or other similar event, then, on the effective date of such consolidation, combination, reverse share sub-division, reclassification or similar event, the number of Shares issuable on exercise of each Warrant shall be decreased in proportion to such decrease in outstanding Shares.</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u w:val="single" w:color="auto"/>
          <w:color w:val="auto"/>
        </w:rPr>
        <w:t>Adjustments in Warrant Price</w:t>
      </w:r>
      <w:r>
        <w:rPr>
          <w:rFonts w:ascii="Times New Roman" w:cs="Times New Roman" w:eastAsia="Times New Roman" w:hAnsi="Times New Roman"/>
          <w:sz w:val="12"/>
          <w:szCs w:val="12"/>
          <w:color w:val="auto"/>
        </w:rPr>
        <w:t xml:space="preserve">. Whenever the number of Shares purchasable upon the exercise of the Warrants is adjusted, as provided in </w:t>
      </w:r>
      <w:r>
        <w:rPr>
          <w:rFonts w:ascii="Times New Roman" w:cs="Times New Roman" w:eastAsia="Times New Roman" w:hAnsi="Times New Roman"/>
          <w:sz w:val="12"/>
          <w:szCs w:val="12"/>
          <w:u w:val="single" w:color="auto"/>
          <w:color w:val="auto"/>
        </w:rPr>
        <w:t>subsection 4.1.1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above, the Warrant Price shall be adjusted (to the nearest cent) by multiplying such Warrant Price immediately prior to such adjustment by a fraction (x) the numerator of which shall be the number of Shares purchasable upon the exercise of the Warrants immediately prior to such adjustment, and (y) the denominator of which shall be the number of Shares so purchasable immediately thereafter.</w:t>
      </w:r>
    </w:p>
    <w:p>
      <w:pPr>
        <w:spacing w:after="0" w:line="119"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 xml:space="preserve">4.4 </w:t>
      </w:r>
      <w:r>
        <w:rPr>
          <w:rFonts w:ascii="Times New Roman" w:cs="Times New Roman" w:eastAsia="Times New Roman" w:hAnsi="Times New Roman"/>
          <w:sz w:val="12"/>
          <w:szCs w:val="12"/>
          <w:u w:val="single" w:color="auto"/>
          <w:color w:val="auto"/>
        </w:rPr>
        <w:t>Replacement of Securities upon Reorganization, etc</w:t>
      </w:r>
      <w:r>
        <w:rPr>
          <w:rFonts w:ascii="Times New Roman" w:cs="Times New Roman" w:eastAsia="Times New Roman" w:hAnsi="Times New Roman"/>
          <w:sz w:val="12"/>
          <w:szCs w:val="12"/>
          <w:color w:val="auto"/>
        </w:rPr>
        <w:t xml:space="preserve">. In case of any reclassification or reorganization of the outstanding Shares (other than a change covered by </w:t>
      </w:r>
      <w:r>
        <w:rPr>
          <w:rFonts w:ascii="Times New Roman" w:cs="Times New Roman" w:eastAsia="Times New Roman" w:hAnsi="Times New Roman"/>
          <w:sz w:val="12"/>
          <w:szCs w:val="12"/>
          <w:u w:val="single" w:color="auto"/>
          <w:color w:val="auto"/>
        </w:rPr>
        <w:t>subsections 4.1.1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4.1.2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hereof or that solely affects the par value of such Shares), or in the case of any merger or consolidation of the Company with or into another entity or conversion of the Company as another entity (other than a consolidation or merger in which the Company is the continuing corporation and is not a subsidiary of another entity whose shareholders did not own all or substantially all of the Shares of the Company in substantially the same proportions immediately before such transaction and that does not result in any reclassification or reorganization of the outstanding Shares), or in the case of any sale or conveyance to another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Shares of the Company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Times New Roman" w:cs="Times New Roman" w:eastAsia="Times New Roman" w:hAnsi="Times New Roman"/>
          <w:sz w:val="12"/>
          <w:szCs w:val="12"/>
          <w:b w:val="1"/>
          <w:bCs w:val="1"/>
          <w:color w:val="auto"/>
        </w:rPr>
        <w:t>Alternative Issuance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 if the holders of the Shares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Shares in such consolidation or merger that affirmatively make such election, and (ii) if a tender, exchange or redemption offer shall have been made to and accepted by the holders of the Shares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voting power of the Company’s outstanding equity securities (including with respect to the election of directors), the holder of a Warrant shall be entitled to receive as the Alternative Issuance, the weighted average of the amount of cash, securities or other property to which such holder would actually have been entitled as a shareholder if such Warrant holder had exercised the Warrant prior to the expiration of such tender or exchange offer, accepted such offer and participated in such tender or exchange offer on a pro rata basis with all other holders of Shares, subject to adjustments (from and after the consummation of such tender or exchange offer) as nearly equivalent as possible to the adjustments provided for in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provided further that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(but in no event less than zero) of (i) the Warrant Price in effect prior to such reduction minus (ii) (A) the Per Share Consideration (as defined below) minus (B) the Black-Scholes Warrant Value (as defined below). For the avoidance of doubt, this reduction shall apply regardless of whether such event is effected with or without the approval of the Company’s board of directors and irrespective of whether the consideration is paid in cash, equity, or any combination thereof. The “</w:t>
      </w:r>
      <w:r>
        <w:rPr>
          <w:rFonts w:ascii="Times New Roman" w:cs="Times New Roman" w:eastAsia="Times New Roman" w:hAnsi="Times New Roman"/>
          <w:sz w:val="12"/>
          <w:szCs w:val="12"/>
          <w:b w:val="1"/>
          <w:bCs w:val="1"/>
          <w:color w:val="auto"/>
        </w:rPr>
        <w:t>Black-Scholes Warrant Value</w:t>
      </w:r>
      <w:r>
        <w:rPr>
          <w:rFonts w:ascii="Times New Roman" w:cs="Times New Roman" w:eastAsia="Times New Roman" w:hAnsi="Times New Roman"/>
          <w:sz w:val="12"/>
          <w:szCs w:val="12"/>
          <w:color w:val="auto"/>
        </w:rPr>
        <w:t>” means the value of a Warrant immediately prior to the consummation of the applicable event, calculated using the Black-Scholes Warrant Model for a Capped American Call on Bloomberg Financial Markets (“</w:t>
      </w:r>
      <w:r>
        <w:rPr>
          <w:rFonts w:ascii="Times New Roman" w:cs="Times New Roman" w:eastAsia="Times New Roman" w:hAnsi="Times New Roman"/>
          <w:sz w:val="12"/>
          <w:szCs w:val="12"/>
          <w:b w:val="1"/>
          <w:bCs w:val="1"/>
          <w:color w:val="auto"/>
        </w:rPr>
        <w:t>Bloomberg</w:t>
      </w:r>
      <w:r>
        <w:rPr>
          <w:rFonts w:ascii="Times New Roman" w:cs="Times New Roman" w:eastAsia="Times New Roman" w:hAnsi="Times New Roman"/>
          <w:sz w:val="12"/>
          <w:szCs w:val="12"/>
          <w:color w:val="auto"/>
        </w:rPr>
        <w:t>”), utilizing the following variables: (i) volatility shall be the greater of (A) the 100-trading day volatility of the Common Stock as reported by Bloomberg under the HVT function (or any successor function) for the period ending on and including the date of public announcement of the applicable event, and (B) an annualized volatility rate of one hundred percent (100%), calculated on a per annum basis; (ii) the price per share of Common Stock shall be the greater of (x) the per share consideration offered in the applicable event and (y) the highest closing price of the Common Stock as reported on the principal trading market for the Common Stock during the period commencing on the date of public announcement of the applicable event and ending on the date that is thirty (30) days following the closing of such event.; (iii) the assumed risk-free interest rate shall correspond to the U.S. Treasury rate for a period equal to the remaining term of the Warrant; and (iv) the cost to borrow shall be zero. “</w:t>
      </w:r>
      <w:r>
        <w:rPr>
          <w:rFonts w:ascii="Times New Roman" w:cs="Times New Roman" w:eastAsia="Times New Roman" w:hAnsi="Times New Roman"/>
          <w:sz w:val="12"/>
          <w:szCs w:val="12"/>
          <w:b w:val="1"/>
          <w:bCs w:val="1"/>
          <w:color w:val="auto"/>
        </w:rPr>
        <w:t>Per Share Consideration</w:t>
      </w:r>
      <w:r>
        <w:rPr>
          <w:rFonts w:ascii="Times New Roman" w:cs="Times New Roman" w:eastAsia="Times New Roman" w:hAnsi="Times New Roman"/>
          <w:sz w:val="12"/>
          <w:szCs w:val="12"/>
          <w:color w:val="auto"/>
        </w:rPr>
        <w:t xml:space="preserve">” means (i) if the consideration paid to holders of the Shares consists exclusively of cash, the amount of such cash per Share, and (ii) in all other cases, the volume weighted average price of the Shares as reported during the ten (10) trading day period ending on the trading day prior to the effective date of the applicable event. If any reclassification or reorganization also results in a change in Shares covered by </w:t>
      </w:r>
      <w:r>
        <w:rPr>
          <w:rFonts w:ascii="Times New Roman" w:cs="Times New Roman" w:eastAsia="Times New Roman" w:hAnsi="Times New Roman"/>
          <w:sz w:val="12"/>
          <w:szCs w:val="12"/>
          <w:u w:val="single" w:color="auto"/>
          <w:color w:val="auto"/>
        </w:rPr>
        <w:t>subsection 4.1.1</w:t>
      </w:r>
      <w:r>
        <w:rPr>
          <w:rFonts w:ascii="Times New Roman" w:cs="Times New Roman" w:eastAsia="Times New Roman" w:hAnsi="Times New Roman"/>
          <w:sz w:val="12"/>
          <w:szCs w:val="12"/>
          <w:color w:val="auto"/>
        </w:rPr>
        <w:t xml:space="preserve">, then such adjustment shall be made pursuant to </w:t>
      </w:r>
      <w:r>
        <w:rPr>
          <w:rFonts w:ascii="Times New Roman" w:cs="Times New Roman" w:eastAsia="Times New Roman" w:hAnsi="Times New Roman"/>
          <w:sz w:val="12"/>
          <w:szCs w:val="12"/>
          <w:u w:val="single" w:color="auto"/>
          <w:color w:val="auto"/>
        </w:rPr>
        <w:t>subsection 4.1.1</w:t>
      </w:r>
      <w:r>
        <w:rPr>
          <w:rFonts w:ascii="Times New Roman" w:cs="Times New Roman" w:eastAsia="Times New Roman" w:hAnsi="Times New Roman"/>
          <w:sz w:val="12"/>
          <w:szCs w:val="12"/>
          <w:color w:val="auto"/>
        </w:rPr>
        <w:t xml:space="preserve"> or Sections </w:t>
      </w:r>
      <w:r>
        <w:rPr>
          <w:rFonts w:ascii="Times New Roman" w:cs="Times New Roman" w:eastAsia="Times New Roman" w:hAnsi="Times New Roman"/>
          <w:sz w:val="12"/>
          <w:szCs w:val="12"/>
          <w:u w:val="single" w:color="auto"/>
          <w:color w:val="auto"/>
        </w:rPr>
        <w:t>4.2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4.3</w:t>
      </w:r>
      <w:r>
        <w:rPr>
          <w:rFonts w:ascii="Times New Roman" w:cs="Times New Roman" w:eastAsia="Times New Roman" w:hAnsi="Times New Roman"/>
          <w:sz w:val="12"/>
          <w:szCs w:val="12"/>
          <w:color w:val="auto"/>
        </w:rPr>
        <w:t xml:space="preserve"> and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The provisions of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275590</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0" w:name="page41"/>
    <w:bookmarkEnd w:id="40"/>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4.5 </w:t>
      </w:r>
      <w:r>
        <w:rPr>
          <w:rFonts w:ascii="Times New Roman" w:cs="Times New Roman" w:eastAsia="Times New Roman" w:hAnsi="Times New Roman"/>
          <w:sz w:val="12"/>
          <w:szCs w:val="12"/>
          <w:u w:val="single" w:color="auto"/>
          <w:color w:val="auto"/>
        </w:rPr>
        <w:t>Notices of Changes in Warrant</w:t>
      </w:r>
      <w:r>
        <w:rPr>
          <w:rFonts w:ascii="Times New Roman" w:cs="Times New Roman" w:eastAsia="Times New Roman" w:hAnsi="Times New Roman"/>
          <w:sz w:val="12"/>
          <w:szCs w:val="12"/>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Times New Roman" w:cs="Times New Roman" w:eastAsia="Times New Roman" w:hAnsi="Times New Roman"/>
          <w:sz w:val="12"/>
          <w:szCs w:val="12"/>
          <w:u w:val="single" w:color="auto"/>
          <w:color w:val="auto"/>
        </w:rPr>
        <w:t>Sections 4.1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4.3</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4.4</w:t>
      </w:r>
      <w:r>
        <w:rPr>
          <w:rFonts w:ascii="Times New Roman" w:cs="Times New Roman" w:eastAsia="Times New Roman" w:hAnsi="Times New Roman"/>
          <w:sz w:val="12"/>
          <w:szCs w:val="12"/>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4.6 </w:t>
      </w:r>
      <w:r>
        <w:rPr>
          <w:rFonts w:ascii="Times New Roman" w:cs="Times New Roman" w:eastAsia="Times New Roman" w:hAnsi="Times New Roman"/>
          <w:sz w:val="12"/>
          <w:szCs w:val="12"/>
          <w:u w:val="single" w:color="auto"/>
          <w:color w:val="auto"/>
        </w:rPr>
        <w:t>No Fractional Shares</w:t>
      </w:r>
      <w:r>
        <w:rPr>
          <w:rFonts w:ascii="Times New Roman" w:cs="Times New Roman" w:eastAsia="Times New Roman" w:hAnsi="Times New Roman"/>
          <w:sz w:val="12"/>
          <w:szCs w:val="12"/>
          <w:color w:val="auto"/>
        </w:rPr>
        <w:t xml:space="preserve">. Notwithstanding any provision contained in this Agreement to the contrary, the Company shall not issue fractional Shares upon the exercise of Warrants. If, by reason of any adjustment made pursuant to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the holder of any Warrant would be entitled, upon the exercise of such Warrant, to receive a fractional interest in a share, the Company shall, upon such exercise, round down to the nearest whole number the number of Shares to be issued to such holder.</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4.7 </w:t>
      </w:r>
      <w:r>
        <w:rPr>
          <w:rFonts w:ascii="Times New Roman" w:cs="Times New Roman" w:eastAsia="Times New Roman" w:hAnsi="Times New Roman"/>
          <w:sz w:val="12"/>
          <w:szCs w:val="12"/>
          <w:u w:val="single" w:color="auto"/>
          <w:color w:val="auto"/>
        </w:rPr>
        <w:t>Form of Warrant</w:t>
      </w:r>
      <w:r>
        <w:rPr>
          <w:rFonts w:ascii="Times New Roman" w:cs="Times New Roman" w:eastAsia="Times New Roman" w:hAnsi="Times New Roman"/>
          <w:sz w:val="12"/>
          <w:szCs w:val="12"/>
          <w:color w:val="auto"/>
        </w:rPr>
        <w:t xml:space="preserve">. The form of Warrant need not be changed because of any adjustment pursuant to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and Warrants issued after such adjustment may state the same Warrant Price and the same number of Shares as is stated in the Warrants initially issued pursuant to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4.8 </w:t>
      </w:r>
      <w:r>
        <w:rPr>
          <w:rFonts w:ascii="Times New Roman" w:cs="Times New Roman" w:eastAsia="Times New Roman" w:hAnsi="Times New Roman"/>
          <w:sz w:val="12"/>
          <w:szCs w:val="12"/>
          <w:u w:val="single" w:color="auto"/>
          <w:color w:val="auto"/>
        </w:rPr>
        <w:t>Other Events</w:t>
      </w:r>
      <w:r>
        <w:rPr>
          <w:rFonts w:ascii="Times New Roman" w:cs="Times New Roman" w:eastAsia="Times New Roman" w:hAnsi="Times New Roman"/>
          <w:sz w:val="12"/>
          <w:szCs w:val="12"/>
          <w:color w:val="auto"/>
        </w:rPr>
        <w:t xml:space="preserve">. In case any event shall occur affecting the Company as to which none of the provisions of the preceding </w:t>
      </w:r>
      <w:r>
        <w:rPr>
          <w:rFonts w:ascii="Times New Roman" w:cs="Times New Roman" w:eastAsia="Times New Roman" w:hAnsi="Times New Roman"/>
          <w:sz w:val="12"/>
          <w:szCs w:val="12"/>
          <w:u w:val="single" w:color="auto"/>
          <w:color w:val="auto"/>
        </w:rPr>
        <w:t>subsection</w:t>
      </w:r>
      <w:r>
        <w:rPr>
          <w:rFonts w:ascii="Times New Roman" w:cs="Times New Roman" w:eastAsia="Times New Roman" w:hAnsi="Times New Roman"/>
          <w:sz w:val="12"/>
          <w:szCs w:val="12"/>
          <w:color w:val="auto"/>
        </w:rPr>
        <w:t xml:space="preserve">s of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are strictly applicable, but which would require an adjustment to the terms of the Warrants in order to (i) avoid an adverse impact on the Warrants and (ii) effectuate the intent and purpose of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and, if they determine that an adjustment is necessary, the terms of such adjustment. The Company shall adjust the terms of the Warrants in a manner that is consistent with any adjustment recommended in such opinion. For the avoidance of doubt, all adjustments made pursuant to this </w:t>
      </w:r>
      <w:r>
        <w:rPr>
          <w:rFonts w:ascii="Times New Roman" w:cs="Times New Roman" w:eastAsia="Times New Roman" w:hAnsi="Times New Roman"/>
          <w:sz w:val="12"/>
          <w:szCs w:val="12"/>
          <w:u w:val="single" w:color="auto"/>
          <w:color w:val="auto"/>
        </w:rPr>
        <w:t>Section 4.8</w:t>
      </w:r>
      <w:r>
        <w:rPr>
          <w:rFonts w:ascii="Times New Roman" w:cs="Times New Roman" w:eastAsia="Times New Roman" w:hAnsi="Times New Roman"/>
          <w:sz w:val="12"/>
          <w:szCs w:val="12"/>
          <w:color w:val="auto"/>
        </w:rPr>
        <w:t xml:space="preserve"> shall be made equally to all outstanding Warrants.</w:t>
      </w:r>
    </w:p>
    <w:p>
      <w:pPr>
        <w:spacing w:after="0" w:line="125" w:lineRule="exact"/>
        <w:rPr>
          <w:sz w:val="20"/>
          <w:szCs w:val="20"/>
          <w:color w:val="auto"/>
        </w:rPr>
      </w:pPr>
    </w:p>
    <w:p>
      <w:pPr>
        <w:ind w:left="540" w:hanging="116"/>
        <w:spacing w:after="0"/>
        <w:tabs>
          <w:tab w:leader="none" w:pos="5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u w:val="single" w:color="auto"/>
          <w:color w:val="auto"/>
        </w:rPr>
        <w:t>Registration of Transfer</w:t>
      </w:r>
      <w:r>
        <w:rPr>
          <w:rFonts w:ascii="Times New Roman" w:cs="Times New Roman" w:eastAsia="Times New Roman" w:hAnsi="Times New Roman"/>
          <w:sz w:val="12"/>
          <w:szCs w:val="12"/>
          <w:color w:val="auto"/>
        </w:rPr>
        <w:t xml:space="preserve">. The Warrant Agent shall register the transfer, from time to time, of any outstanding Warrant upon the Warrant Register, upon surrender of such Warrant for transfer, in the case of a certificated Warrant, properly endorsed with signatures properly guaranteed and accompanied by appropriate instructions for transfer;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however, that prior to the effectiveness of the registration statement registering for resale the shares underlying the Warrants, the Registered Holder shall not transfer any Warrants without the consent of the Company.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1" w:name="page42"/>
    <w:bookmarkEnd w:id="41"/>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12"/>
          <w:szCs w:val="12"/>
          <w:u w:val="single" w:color="auto"/>
          <w:color w:val="auto"/>
        </w:rPr>
        <w:t>Procedure for Surrender of Warrants</w:t>
      </w:r>
      <w:r>
        <w:rPr>
          <w:rFonts w:ascii="Times New Roman" w:cs="Times New Roman" w:eastAsia="Times New Roman" w:hAnsi="Times New Roman"/>
          <w:sz w:val="12"/>
          <w:szCs w:val="12"/>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however, that except as otherwise provided herein or in any Book-Entry Warrant Certificate, each Book-Entry Warrant Certificate may be transferred only in whole and only to the Warrant Agent, to another nominee of the Warrant Agent, to a successor warrant agent, or to a nominee of a successor warrant agent;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however, that in the event that a Warrant surrendered for transfer bears a restrictive legend,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12"/>
          <w:szCs w:val="12"/>
          <w:u w:val="single" w:color="auto"/>
          <w:color w:val="auto"/>
        </w:rPr>
        <w:t>Fractional Warrants</w:t>
      </w:r>
      <w:r>
        <w:rPr>
          <w:rFonts w:ascii="Times New Roman" w:cs="Times New Roman" w:eastAsia="Times New Roman" w:hAnsi="Times New Roman"/>
          <w:sz w:val="12"/>
          <w:szCs w:val="12"/>
          <w:color w:val="auto"/>
        </w:rPr>
        <w:t>. The Warrant Agent shall not be required to effect any registration of transfer or exchange which shall result in the issuance of a warrant certificate or book-entry position for a fraction of a warrant.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5.4 </w:t>
      </w:r>
      <w:r>
        <w:rPr>
          <w:rFonts w:ascii="Times New Roman" w:cs="Times New Roman" w:eastAsia="Times New Roman" w:hAnsi="Times New Roman"/>
          <w:sz w:val="12"/>
          <w:szCs w:val="12"/>
          <w:u w:val="single" w:color="auto"/>
          <w:color w:val="auto"/>
        </w:rPr>
        <w:t>Service Charges</w:t>
      </w:r>
      <w:r>
        <w:rPr>
          <w:rFonts w:ascii="Times New Roman" w:cs="Times New Roman" w:eastAsia="Times New Roman" w:hAnsi="Times New Roman"/>
          <w:sz w:val="12"/>
          <w:szCs w:val="12"/>
          <w:color w:val="auto"/>
        </w:rPr>
        <w:t>. No service charge shall be made for any exchange or registration of transfer of Warrants.</w:t>
      </w:r>
    </w:p>
    <w:p>
      <w:pPr>
        <w:spacing w:after="0" w:line="150"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 xml:space="preserve">5.5 </w:t>
      </w:r>
      <w:r>
        <w:rPr>
          <w:rFonts w:ascii="Times New Roman" w:cs="Times New Roman" w:eastAsia="Times New Roman" w:hAnsi="Times New Roman"/>
          <w:sz w:val="12"/>
          <w:szCs w:val="12"/>
          <w:u w:val="single" w:color="auto"/>
          <w:color w:val="auto"/>
        </w:rPr>
        <w:t>Warrant Execution and Countersignature</w:t>
      </w:r>
      <w:r>
        <w:rPr>
          <w:rFonts w:ascii="Times New Roman" w:cs="Times New Roman" w:eastAsia="Times New Roman" w:hAnsi="Times New Roman"/>
          <w:sz w:val="12"/>
          <w:szCs w:val="12"/>
          <w:color w:val="auto"/>
        </w:rPr>
        <w:t xml:space="preserve">. The Warrant Agent is hereby authorized to countersign and to deliver, in accordance with the terms of this Agreement, the Warrants required to be issued pursuant to the provisions of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and the Company, whenever required by the Warrant Agent, shall supply the Warrant Agent with Warrants duly executed on behalf of the Company for such purpose.</w:t>
      </w:r>
    </w:p>
    <w:p>
      <w:pPr>
        <w:spacing w:after="0" w:line="111" w:lineRule="exact"/>
        <w:rPr>
          <w:sz w:val="20"/>
          <w:szCs w:val="20"/>
          <w:color w:val="auto"/>
        </w:rPr>
      </w:pPr>
    </w:p>
    <w:p>
      <w:pPr>
        <w:ind w:left="548" w:hanging="116"/>
        <w:spacing w:after="0"/>
        <w:tabs>
          <w:tab w:leader="none" w:pos="54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Option for Soft Call</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 xml:space="preserve">6.1 </w:t>
      </w:r>
      <w:r>
        <w:rPr>
          <w:rFonts w:ascii="Times New Roman" w:cs="Times New Roman" w:eastAsia="Times New Roman" w:hAnsi="Times New Roman"/>
          <w:sz w:val="12"/>
          <w:szCs w:val="12"/>
          <w:u w:val="single" w:color="auto"/>
          <w:color w:val="auto"/>
        </w:rPr>
        <w:t>Option for Soft Call</w:t>
      </w:r>
      <w:r>
        <w:rPr>
          <w:rFonts w:ascii="Times New Roman" w:cs="Times New Roman" w:eastAsia="Times New Roman" w:hAnsi="Times New Roman"/>
          <w:sz w:val="12"/>
          <w:szCs w:val="12"/>
          <w:color w:val="auto"/>
        </w:rPr>
        <w:t xml:space="preserve">. Subject to the Maximum Percentage exercise limitations set forth in Section 3.3.5, the Company may require the Registered Holders of the outstanding Warrants to exercise such Warrants in full, or in part (with any partial exercise to be applied to all outstanding Warrants pro rata), at the option of the Company, upon notice to the Registered Holders of the Warrants as described in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below; provided that, prior to and as of the Soft Call Date (as defined in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(a) the Reference Value (as defined herein) has exceeded 200% of the Share Purchase Price (subject to adjustment in compliance with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hereof) (x) for at least one Measurement Period (as defined below) and (y) for each of the last five (5) consecutive trading days during the Measurement Period; and (b) the Company has an effective registration statement, including any required prospectus or prospectus supplement, registering the resale by the Registered Holders of the Shares issuable upon exercise of the Warrants. As used in this Agreement, “</w:t>
      </w:r>
      <w:r>
        <w:rPr>
          <w:rFonts w:ascii="Times New Roman" w:cs="Times New Roman" w:eastAsia="Times New Roman" w:hAnsi="Times New Roman"/>
          <w:sz w:val="12"/>
          <w:szCs w:val="12"/>
          <w:u w:val="single" w:color="auto"/>
          <w:color w:val="auto"/>
        </w:rPr>
        <w:t>Reference Value</w:t>
      </w:r>
      <w:r>
        <w:rPr>
          <w:rFonts w:ascii="Times New Roman" w:cs="Times New Roman" w:eastAsia="Times New Roman" w:hAnsi="Times New Roman"/>
          <w:sz w:val="12"/>
          <w:szCs w:val="12"/>
          <w:color w:val="auto"/>
        </w:rPr>
        <w:t xml:space="preserve">” shall mean the daily VWAP (as defined in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herein) of the Shares during any twenty (20) trading days within a thirty (30) trading-day period ending on the first trading day prior to the date on which the notice to the Registered Holders of Warrants is given pursuant to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below (the “</w:t>
      </w:r>
      <w:r>
        <w:rPr>
          <w:rFonts w:ascii="Times New Roman" w:cs="Times New Roman" w:eastAsia="Times New Roman" w:hAnsi="Times New Roman"/>
          <w:sz w:val="12"/>
          <w:szCs w:val="12"/>
          <w:u w:val="single" w:color="auto"/>
          <w:color w:val="auto"/>
        </w:rPr>
        <w:t>Measurement Period</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 xml:space="preserve">6.2 </w:t>
      </w:r>
      <w:r>
        <w:rPr>
          <w:rFonts w:ascii="Times New Roman" w:cs="Times New Roman" w:eastAsia="Times New Roman" w:hAnsi="Times New Roman"/>
          <w:sz w:val="12"/>
          <w:szCs w:val="12"/>
          <w:u w:val="single" w:color="auto"/>
          <w:color w:val="auto"/>
        </w:rPr>
        <w:t>Date for and Notice of Soft Call</w:t>
      </w:r>
      <w:r>
        <w:rPr>
          <w:rFonts w:ascii="Times New Roman" w:cs="Times New Roman" w:eastAsia="Times New Roman" w:hAnsi="Times New Roman"/>
          <w:sz w:val="12"/>
          <w:szCs w:val="12"/>
          <w:color w:val="auto"/>
        </w:rPr>
        <w:t xml:space="preserve">. In the event that the Company elects to mandate the exercise of the Warrants pursuant to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the Company shall fix a date for the exercise of the Warrants which shall be no earlier than the sixtieth (60th) calendar day following the date of this Agreement (the “</w:t>
      </w:r>
      <w:r>
        <w:rPr>
          <w:rFonts w:ascii="Times New Roman" w:cs="Times New Roman" w:eastAsia="Times New Roman" w:hAnsi="Times New Roman"/>
          <w:sz w:val="12"/>
          <w:szCs w:val="12"/>
          <w:u w:val="single" w:color="auto"/>
          <w:color w:val="auto"/>
        </w:rPr>
        <w:t>Soft Call Date</w:t>
      </w:r>
      <w:r>
        <w:rPr>
          <w:rFonts w:ascii="Times New Roman" w:cs="Times New Roman" w:eastAsia="Times New Roman" w:hAnsi="Times New Roman"/>
          <w:sz w:val="12"/>
          <w:szCs w:val="12"/>
          <w:color w:val="auto"/>
        </w:rPr>
        <w:t xml:space="preserve">”). Notice of Soft Call shall be sent in accordance with </w:t>
      </w:r>
      <w:r>
        <w:rPr>
          <w:rFonts w:ascii="Times New Roman" w:cs="Times New Roman" w:eastAsia="Times New Roman" w:hAnsi="Times New Roman"/>
          <w:sz w:val="12"/>
          <w:szCs w:val="12"/>
          <w:u w:val="single" w:color="auto"/>
          <w:color w:val="auto"/>
        </w:rPr>
        <w:t>Section 9.2</w:t>
      </w:r>
      <w:r>
        <w:rPr>
          <w:rFonts w:ascii="Times New Roman" w:cs="Times New Roman" w:eastAsia="Times New Roman" w:hAnsi="Times New Roman"/>
          <w:sz w:val="12"/>
          <w:szCs w:val="12"/>
          <w:color w:val="auto"/>
        </w:rPr>
        <w:t xml:space="preserve"> by the Company not less than thirty (30) days prior to the Soft Call Date to the Registered Holders of the Warrants. Such notice shall include a form of Election to Purchase, and shall state (i) briefly, the events giving rise to such Soft Call (including the Reference Value, the Measurement Period and the manner in which the Reference Value was calculated), (ii) the Soft Call Date, (iii) the applicable Warrant Price, (iv) the procedures Registered Holders must follow to exercise their Warrants, and (v) the Grace Period (as defined below) and consequences of failure to pay the applicable Warrant Price. Any notice sent in the manner herein provided shall be conclusively presumed to have been duly given whether or not the Registered Holder received such notice. On and after the Soft Call Date, the record holder of the Warrants shall have no further rights except to receive, upon surrender of the Warrants and payment in full of the applicable Warrant Price in cash, the applicable Shares issuable in connection with Warrants exercised on the Soft Call Date.</w:t>
      </w:r>
    </w:p>
    <w:p>
      <w:pPr>
        <w:spacing w:after="0" w:line="12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6.3 </w:t>
      </w:r>
      <w:r>
        <w:rPr>
          <w:rFonts w:ascii="Times New Roman" w:cs="Times New Roman" w:eastAsia="Times New Roman" w:hAnsi="Times New Roman"/>
          <w:sz w:val="12"/>
          <w:szCs w:val="12"/>
          <w:u w:val="single" w:color="auto"/>
          <w:color w:val="auto"/>
        </w:rPr>
        <w:t>Non-Payment Redemption</w:t>
      </w:r>
      <w:r>
        <w:rPr>
          <w:rFonts w:ascii="Times New Roman" w:cs="Times New Roman" w:eastAsia="Times New Roman" w:hAnsi="Times New Roman"/>
          <w:sz w:val="12"/>
          <w:szCs w:val="12"/>
          <w:color w:val="auto"/>
        </w:rPr>
        <w:t xml:space="preserve">. In the event that the Company elects to mandate the exercise of the Warrants pursuant to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and the Registered Holder does not pay the applicable Warrant Price in cash within thirty</w:t>
      </w:r>
    </w:p>
    <w:p>
      <w:pPr>
        <w:spacing w:after="0" w:line="17" w:lineRule="exact"/>
        <w:rPr>
          <w:sz w:val="20"/>
          <w:szCs w:val="20"/>
          <w:color w:val="auto"/>
        </w:rPr>
      </w:pPr>
    </w:p>
    <w:p>
      <w:pPr>
        <w:jc w:val="both"/>
        <w:ind w:left="8" w:hanging="8"/>
        <w:spacing w:after="0" w:line="255" w:lineRule="auto"/>
        <w:tabs>
          <w:tab w:leader="none" w:pos="254"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days following the Soft Call Date (the “</w:t>
      </w:r>
      <w:r>
        <w:rPr>
          <w:rFonts w:ascii="Times New Roman" w:cs="Times New Roman" w:eastAsia="Times New Roman" w:hAnsi="Times New Roman"/>
          <w:sz w:val="12"/>
          <w:szCs w:val="12"/>
          <w:u w:val="single" w:color="auto"/>
          <w:color w:val="auto"/>
        </w:rPr>
        <w:t>Grace Period</w:t>
      </w:r>
      <w:r>
        <w:rPr>
          <w:rFonts w:ascii="Times New Roman" w:cs="Times New Roman" w:eastAsia="Times New Roman" w:hAnsi="Times New Roman"/>
          <w:sz w:val="12"/>
          <w:szCs w:val="12"/>
          <w:color w:val="auto"/>
        </w:rPr>
        <w:t>”), then the Company may effect, in its discretion, a redemption and subsequent cancellation of the applicable Warrants, in exchange for $0.001 per Warrant. Upon the occurrence of a redemption and cancellation as set forth above, the Company shall have no further obligation to issue Shares or make any payment to the Registered Holder with respect to such Warrants, and such Warrants shall be deemed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2" w:name="page43"/>
    <w:bookmarkEnd w:id="42"/>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 xml:space="preserve">For the avoidance of doubt, the Company may apply the remedies described in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on a holder-by-holder basis, and the failure of one or more Registered Holders to pay the Warrant Price shall not affect the rights or obligations of any other Registered Holder who has timely paid the Warrant Price in accordance with the terms of this Agreement.</w:t>
      </w:r>
    </w:p>
    <w:p>
      <w:pPr>
        <w:spacing w:after="0" w:line="111"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 xml:space="preserve">6.4 </w:t>
      </w:r>
      <w:r>
        <w:rPr>
          <w:rFonts w:ascii="Times New Roman" w:cs="Times New Roman" w:eastAsia="Times New Roman" w:hAnsi="Times New Roman"/>
          <w:sz w:val="12"/>
          <w:szCs w:val="12"/>
          <w:u w:val="single" w:color="auto"/>
          <w:color w:val="auto"/>
        </w:rPr>
        <w:t>Calculation of Daily VWAP</w:t>
      </w:r>
      <w:r>
        <w:rPr>
          <w:rFonts w:ascii="Times New Roman" w:cs="Times New Roman" w:eastAsia="Times New Roman" w:hAnsi="Times New Roman"/>
          <w:sz w:val="12"/>
          <w:szCs w:val="12"/>
          <w:color w:val="auto"/>
        </w:rPr>
        <w:t>. As used in this Agreement, “</w:t>
      </w:r>
      <w:r>
        <w:rPr>
          <w:rFonts w:ascii="Times New Roman" w:cs="Times New Roman" w:eastAsia="Times New Roman" w:hAnsi="Times New Roman"/>
          <w:sz w:val="12"/>
          <w:szCs w:val="12"/>
          <w:u w:val="single" w:color="auto"/>
          <w:color w:val="auto"/>
        </w:rPr>
        <w:t>VWAP</w:t>
      </w:r>
      <w:r>
        <w:rPr>
          <w:rFonts w:ascii="Times New Roman" w:cs="Times New Roman" w:eastAsia="Times New Roman" w:hAnsi="Times New Roman"/>
          <w:sz w:val="12"/>
          <w:szCs w:val="12"/>
          <w:color w:val="auto"/>
        </w:rPr>
        <w:t>” means, for any date, the price determined by the first of the following clauses that applies: (a) if the Common Stock is then listed or quoted on the Nasdaq Stock Market (the “</w:t>
      </w:r>
      <w:r>
        <w:rPr>
          <w:rFonts w:ascii="Times New Roman" w:cs="Times New Roman" w:eastAsia="Times New Roman" w:hAnsi="Times New Roman"/>
          <w:sz w:val="12"/>
          <w:szCs w:val="12"/>
          <w:u w:val="single" w:color="auto"/>
          <w:color w:val="auto"/>
        </w:rPr>
        <w:t>Trading Market</w:t>
      </w:r>
      <w:r>
        <w:rPr>
          <w:rFonts w:ascii="Times New Roman" w:cs="Times New Roman" w:eastAsia="Times New Roman" w:hAnsi="Times New Roman"/>
          <w:sz w:val="12"/>
          <w:szCs w:val="12"/>
          <w:color w:val="auto"/>
        </w:rPr>
        <w: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on the Trading Market and if prices for the Common Stock are then reported on OTCQB (as defined below) or OTCQX (as defined below), as applicable, the volume weighted average price of the Common Stock for such date (or the nearest preceding date) on OTCQB or OTCQX, as applicable, or</w:t>
      </w:r>
    </w:p>
    <w:p>
      <w:pPr>
        <w:jc w:val="both"/>
        <w:ind w:left="8" w:hanging="8"/>
        <w:spacing w:after="0" w:line="252" w:lineRule="auto"/>
        <w:tabs>
          <w:tab w:leader="none" w:pos="177"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Common Stock is not then listed or quoted for trading on the Trading Market or on OTCQB or OTCQX and if prices for the Common Stock are then reported on The Pink Open Market (or a similar organization or agency succeeding to its functions of reporting prices), the most recent Bid Price per share of the Common Stock so reported. As used in this Agreement, “</w:t>
      </w:r>
      <w:r>
        <w:rPr>
          <w:rFonts w:ascii="Times New Roman" w:cs="Times New Roman" w:eastAsia="Times New Roman" w:hAnsi="Times New Roman"/>
          <w:sz w:val="12"/>
          <w:szCs w:val="12"/>
          <w:u w:val="single" w:color="auto"/>
          <w:color w:val="auto"/>
        </w:rPr>
        <w:t>Bid Price</w:t>
      </w:r>
      <w:r>
        <w:rPr>
          <w:rFonts w:ascii="Times New Roman" w:cs="Times New Roman" w:eastAsia="Times New Roman" w:hAnsi="Times New Roman"/>
          <w:sz w:val="12"/>
          <w:szCs w:val="12"/>
          <w:color w:val="auto"/>
        </w:rPr>
        <w:t>” means, for any date, the price determined by the first of the following clauses that applies: (a) if the Common Stock is then listed or quoted on the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the Common Stock is not then listed or quoted on the Trading Market and if prices for the Common Stock are then reported on the OTCQB Venture Market (“</w:t>
      </w:r>
      <w:r>
        <w:rPr>
          <w:rFonts w:ascii="Times New Roman" w:cs="Times New Roman" w:eastAsia="Times New Roman" w:hAnsi="Times New Roman"/>
          <w:sz w:val="12"/>
          <w:szCs w:val="12"/>
          <w:u w:val="single" w:color="auto"/>
          <w:color w:val="auto"/>
        </w:rPr>
        <w:t>OTCQB</w:t>
      </w:r>
      <w:r>
        <w:rPr>
          <w:rFonts w:ascii="Times New Roman" w:cs="Times New Roman" w:eastAsia="Times New Roman" w:hAnsi="Times New Roman"/>
          <w:sz w:val="12"/>
          <w:szCs w:val="12"/>
          <w:color w:val="auto"/>
        </w:rPr>
        <w:t>”) or the OTCQX Best Market (“</w:t>
      </w:r>
      <w:r>
        <w:rPr>
          <w:rFonts w:ascii="Times New Roman" w:cs="Times New Roman" w:eastAsia="Times New Roman" w:hAnsi="Times New Roman"/>
          <w:sz w:val="12"/>
          <w:szCs w:val="12"/>
          <w:u w:val="single" w:color="auto"/>
          <w:color w:val="auto"/>
        </w:rPr>
        <w:t>OTCQX</w:t>
      </w:r>
      <w:r>
        <w:rPr>
          <w:rFonts w:ascii="Times New Roman" w:cs="Times New Roman" w:eastAsia="Times New Roman" w:hAnsi="Times New Roman"/>
          <w:sz w:val="12"/>
          <w:szCs w:val="12"/>
          <w:color w:val="auto"/>
        </w:rPr>
        <w:t>”), as applicable, the volume weighted average price of the Common Stock for such date (or the nearest preceding date) on OTCQB or OTCQX, as applicable, or (c) if the Common Stock is not then listed or quoted for trading on the Trading Market or on OTCQB or OTCQX and if prices for the Common Stock are then reported on The Pink Open Market (or a similar organization or agency succeeding to its functions of reporting prices), the most recent bid price per share of Common Stock so reported.</w:t>
      </w:r>
    </w:p>
    <w:p>
      <w:pPr>
        <w:spacing w:after="0" w:line="126" w:lineRule="exact"/>
        <w:rPr>
          <w:rFonts w:ascii="Times New Roman" w:cs="Times New Roman" w:eastAsia="Times New Roman" w:hAnsi="Times New Roman"/>
          <w:sz w:val="12"/>
          <w:szCs w:val="12"/>
          <w:color w:val="auto"/>
        </w:rPr>
      </w:pPr>
    </w:p>
    <w:p>
      <w:pPr>
        <w:ind w:left="548" w:hanging="116"/>
        <w:spacing w:after="0"/>
        <w:tabs>
          <w:tab w:leader="none" w:pos="548"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Provisions Relating to Rights of Holders of 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7.1 </w:t>
      </w:r>
      <w:r>
        <w:rPr>
          <w:rFonts w:ascii="Times New Roman" w:cs="Times New Roman" w:eastAsia="Times New Roman" w:hAnsi="Times New Roman"/>
          <w:sz w:val="12"/>
          <w:szCs w:val="12"/>
          <w:u w:val="single" w:color="auto"/>
          <w:color w:val="auto"/>
        </w:rPr>
        <w:t>No Rights as Shareholder</w:t>
      </w:r>
      <w:r>
        <w:rPr>
          <w:rFonts w:ascii="Times New Roman" w:cs="Times New Roman" w:eastAsia="Times New Roman" w:hAnsi="Times New Roman"/>
          <w:sz w:val="12"/>
          <w:szCs w:val="12"/>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11"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 xml:space="preserve">7.2 </w:t>
      </w:r>
      <w:r>
        <w:rPr>
          <w:rFonts w:ascii="Times New Roman" w:cs="Times New Roman" w:eastAsia="Times New Roman" w:hAnsi="Times New Roman"/>
          <w:sz w:val="12"/>
          <w:szCs w:val="12"/>
          <w:u w:val="single" w:color="auto"/>
          <w:color w:val="auto"/>
        </w:rPr>
        <w:t>Lost, Stolen, Mutilated, or Destroyed Warrants</w:t>
      </w:r>
      <w:r>
        <w:rPr>
          <w:rFonts w:ascii="Times New Roman" w:cs="Times New Roman" w:eastAsia="Times New Roman" w:hAnsi="Times New Roman"/>
          <w:sz w:val="12"/>
          <w:szCs w:val="12"/>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19"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 xml:space="preserve">7.3 </w:t>
      </w:r>
      <w:r>
        <w:rPr>
          <w:rFonts w:ascii="Times New Roman" w:cs="Times New Roman" w:eastAsia="Times New Roman" w:hAnsi="Times New Roman"/>
          <w:sz w:val="12"/>
          <w:szCs w:val="12"/>
          <w:u w:val="single" w:color="auto"/>
          <w:color w:val="auto"/>
        </w:rPr>
        <w:t>Reservation of Shares</w:t>
      </w:r>
      <w:r>
        <w:rPr>
          <w:rFonts w:ascii="Times New Roman" w:cs="Times New Roman" w:eastAsia="Times New Roman" w:hAnsi="Times New Roman"/>
          <w:sz w:val="12"/>
          <w:szCs w:val="12"/>
          <w:color w:val="auto"/>
        </w:rPr>
        <w:t>. The Company shall at all times reserve and keep available a number of its authorized but unissued Shares that shall be sufficient to permit the exercise in full of all outstanding Warrants issued pursuant to this Agreement.</w:t>
      </w:r>
    </w:p>
    <w:p>
      <w:pPr>
        <w:spacing w:after="0" w:line="111" w:lineRule="exact"/>
        <w:rPr>
          <w:sz w:val="20"/>
          <w:szCs w:val="20"/>
          <w:color w:val="auto"/>
        </w:rPr>
      </w:pPr>
    </w:p>
    <w:p>
      <w:pPr>
        <w:ind w:left="548" w:hanging="116"/>
        <w:spacing w:after="0"/>
        <w:tabs>
          <w:tab w:leader="none" w:pos="548"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Concerning the Warrant Agent and Other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 xml:space="preserve">8.1 </w:t>
      </w:r>
      <w:r>
        <w:rPr>
          <w:rFonts w:ascii="Times New Roman" w:cs="Times New Roman" w:eastAsia="Times New Roman" w:hAnsi="Times New Roman"/>
          <w:sz w:val="12"/>
          <w:szCs w:val="12"/>
          <w:u w:val="single" w:color="auto"/>
          <w:color w:val="auto"/>
        </w:rPr>
        <w:t>Payment of Taxes</w:t>
      </w:r>
      <w:r>
        <w:rPr>
          <w:rFonts w:ascii="Times New Roman" w:cs="Times New Roman" w:eastAsia="Times New Roman" w:hAnsi="Times New Roman"/>
          <w:sz w:val="12"/>
          <w:szCs w:val="12"/>
          <w:color w:val="auto"/>
        </w:rPr>
        <w:t>. The Company shall from time to time promptly pay all taxes and charges that may be imposed upon the Company or the Warrant Agent in respect of the issuance or delivery of Shares upon the exercise of the Warrants, but the Company shall not be obligated to pay any transfer taxes in respect of the Warrants 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3" w:name="page44"/>
    <w:bookmarkEnd w:id="43"/>
    <w:p>
      <w:pPr>
        <w:ind w:left="420"/>
        <w:spacing w:after="0"/>
        <w:rPr>
          <w:sz w:val="20"/>
          <w:szCs w:val="20"/>
          <w:color w:val="auto"/>
        </w:rPr>
      </w:pPr>
      <w:r>
        <w:rPr>
          <w:rFonts w:ascii="Times New Roman" w:cs="Times New Roman" w:eastAsia="Times New Roman" w:hAnsi="Times New Roman"/>
          <w:sz w:val="12"/>
          <w:szCs w:val="12"/>
          <w:color w:val="auto"/>
        </w:rPr>
        <w:t xml:space="preserve">8.2 </w:t>
      </w:r>
      <w:r>
        <w:rPr>
          <w:rFonts w:ascii="Times New Roman" w:cs="Times New Roman" w:eastAsia="Times New Roman" w:hAnsi="Times New Roman"/>
          <w:sz w:val="12"/>
          <w:szCs w:val="12"/>
          <w:u w:val="single" w:color="auto"/>
          <w:color w:val="auto"/>
        </w:rPr>
        <w:t>Resignation, Consolidation, or Merger of Warrant Agent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8.2.1 </w:t>
      </w:r>
      <w:r>
        <w:rPr>
          <w:rFonts w:ascii="Times New Roman" w:cs="Times New Roman" w:eastAsia="Times New Roman" w:hAnsi="Times New Roman"/>
          <w:sz w:val="12"/>
          <w:szCs w:val="12"/>
          <w:u w:val="single" w:color="auto"/>
          <w:color w:val="auto"/>
        </w:rPr>
        <w:t>Appointment of Successor Warrant Agent</w:t>
      </w:r>
      <w:r>
        <w:rPr>
          <w:rFonts w:ascii="Times New Roman" w:cs="Times New Roman" w:eastAsia="Times New Roman" w:hAnsi="Times New Roman"/>
          <w:sz w:val="12"/>
          <w:szCs w:val="12"/>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United States of America,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2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8.2.2 </w:t>
      </w:r>
      <w:r>
        <w:rPr>
          <w:rFonts w:ascii="Times New Roman" w:cs="Times New Roman" w:eastAsia="Times New Roman" w:hAnsi="Times New Roman"/>
          <w:sz w:val="12"/>
          <w:szCs w:val="12"/>
          <w:u w:val="single" w:color="auto"/>
          <w:color w:val="auto"/>
        </w:rPr>
        <w:t>Notice of Successor Warrant Agent</w:t>
      </w:r>
      <w:r>
        <w:rPr>
          <w:rFonts w:ascii="Times New Roman" w:cs="Times New Roman" w:eastAsia="Times New Roman" w:hAnsi="Times New Roman"/>
          <w:sz w:val="12"/>
          <w:szCs w:val="12"/>
          <w:color w:val="auto"/>
        </w:rPr>
        <w:t>. In the event a successor Warrant Agent shall be appointed, the Company shall give notice thereof to the predecessor Warrant Agent and the Transfer Agent for the Shares not later than the effective date of any such appointment.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8.2.3 </w:t>
      </w:r>
      <w:r>
        <w:rPr>
          <w:rFonts w:ascii="Times New Roman" w:cs="Times New Roman" w:eastAsia="Times New Roman" w:hAnsi="Times New Roman"/>
          <w:sz w:val="12"/>
          <w:szCs w:val="12"/>
          <w:u w:val="single" w:color="auto"/>
          <w:color w:val="auto"/>
        </w:rPr>
        <w:t>Merger or Consolidation of Warrant Agent</w:t>
      </w:r>
      <w:r>
        <w:rPr>
          <w:rFonts w:ascii="Times New Roman" w:cs="Times New Roman" w:eastAsia="Times New Roman" w:hAnsi="Times New Roman"/>
          <w:sz w:val="12"/>
          <w:szCs w:val="12"/>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8.3 </w:t>
      </w:r>
      <w:r>
        <w:rPr>
          <w:rFonts w:ascii="Times New Roman" w:cs="Times New Roman" w:eastAsia="Times New Roman" w:hAnsi="Times New Roman"/>
          <w:sz w:val="12"/>
          <w:szCs w:val="12"/>
          <w:u w:val="single" w:color="auto"/>
          <w:color w:val="auto"/>
        </w:rPr>
        <w:t>Fees and Expenses of Warrant Agent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8.3.1 </w:t>
      </w:r>
      <w:r>
        <w:rPr>
          <w:rFonts w:ascii="Times New Roman" w:cs="Times New Roman" w:eastAsia="Times New Roman" w:hAnsi="Times New Roman"/>
          <w:sz w:val="12"/>
          <w:szCs w:val="12"/>
          <w:u w:val="single" w:color="auto"/>
          <w:color w:val="auto"/>
        </w:rPr>
        <w:t>Remuneration</w:t>
      </w:r>
      <w:r>
        <w:rPr>
          <w:rFonts w:ascii="Times New Roman" w:cs="Times New Roman" w:eastAsia="Times New Roman" w:hAnsi="Times New Roman"/>
          <w:sz w:val="12"/>
          <w:szCs w:val="12"/>
          <w:color w:val="auto"/>
        </w:rPr>
        <w:t>.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8.3.2 </w:t>
      </w: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8.4 </w:t>
      </w:r>
      <w:r>
        <w:rPr>
          <w:rFonts w:ascii="Times New Roman" w:cs="Times New Roman" w:eastAsia="Times New Roman" w:hAnsi="Times New Roman"/>
          <w:sz w:val="12"/>
          <w:szCs w:val="12"/>
          <w:u w:val="single" w:color="auto"/>
          <w:color w:val="auto"/>
        </w:rPr>
        <w:t>Liability of Warrant Agent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8.4.1 </w:t>
      </w:r>
      <w:r>
        <w:rPr>
          <w:rFonts w:ascii="Times New Roman" w:cs="Times New Roman" w:eastAsia="Times New Roman" w:hAnsi="Times New Roman"/>
          <w:sz w:val="12"/>
          <w:szCs w:val="12"/>
          <w:u w:val="single" w:color="auto"/>
          <w:color w:val="auto"/>
        </w:rPr>
        <w:t>Reliance on Company Statement</w:t>
      </w:r>
      <w:r>
        <w:rPr>
          <w:rFonts w:ascii="Times New Roman" w:cs="Times New Roman" w:eastAsia="Times New Roman" w:hAnsi="Times New Roman"/>
          <w:sz w:val="12"/>
          <w:szCs w:val="12"/>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President, Executive Vice President, Vice President, Secretary or Chairman of the Board of the Company and delivered to the Warrant Agent. The Warrant Agent may rely upon such statement for any action taken or suffered in good faith by it pursuant to the provisions of this Agreement.</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8.4.2 </w:t>
      </w:r>
      <w:r>
        <w:rPr>
          <w:rFonts w:ascii="Times New Roman" w:cs="Times New Roman" w:eastAsia="Times New Roman" w:hAnsi="Times New Roman"/>
          <w:sz w:val="12"/>
          <w:szCs w:val="12"/>
          <w:u w:val="single" w:color="auto"/>
          <w:color w:val="auto"/>
        </w:rPr>
        <w:t>Indemnity</w:t>
      </w:r>
      <w:r>
        <w:rPr>
          <w:rFonts w:ascii="Times New Roman" w:cs="Times New Roman" w:eastAsia="Times New Roman" w:hAnsi="Times New Roman"/>
          <w:sz w:val="12"/>
          <w:szCs w:val="12"/>
          <w:color w:val="auto"/>
        </w:rPr>
        <w:t>. The Warrant Agent shall be liable hereunder only for its own gross negligence, willful misconduct, fraud or bad faith. The Company agrees to indemnify the Warrant Agent and save it harmless against any and all liabilities, including judgments, out of pocket costs and reasonable outside counsel fees, for anything done or omitted by the Warrant Agent in the execution of this Agreement, except as a result of the Warrant Agent’s gross negligence, willful misconduct, fraud or bad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265430</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4" w:name="page45"/>
    <w:bookmarkEnd w:id="44"/>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8.4.3 </w:t>
      </w:r>
      <w:r>
        <w:rPr>
          <w:rFonts w:ascii="Times New Roman" w:cs="Times New Roman" w:eastAsia="Times New Roman" w:hAnsi="Times New Roman"/>
          <w:sz w:val="12"/>
          <w:szCs w:val="12"/>
          <w:u w:val="single" w:color="auto"/>
          <w:color w:val="auto"/>
        </w:rPr>
        <w:t>Exclusions</w:t>
      </w:r>
      <w:r>
        <w:rPr>
          <w:rFonts w:ascii="Times New Roman" w:cs="Times New Roman" w:eastAsia="Times New Roman" w:hAnsi="Times New Roman"/>
          <w:sz w:val="12"/>
          <w:szCs w:val="12"/>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to be issued pursuant to this Agreement or any Warrant or as to whether any Shares shall, when issued, be valid and fully paid and non-assessable.</w:t>
      </w:r>
    </w:p>
    <w:p>
      <w:pPr>
        <w:spacing w:after="0" w:line="12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8.5 </w:t>
      </w:r>
      <w:r>
        <w:rPr>
          <w:rFonts w:ascii="Times New Roman" w:cs="Times New Roman" w:eastAsia="Times New Roman" w:hAnsi="Times New Roman"/>
          <w:sz w:val="12"/>
          <w:szCs w:val="12"/>
          <w:u w:val="single" w:color="auto"/>
          <w:color w:val="auto"/>
        </w:rPr>
        <w:t>Acceptance of Agency</w:t>
      </w:r>
      <w:r>
        <w:rPr>
          <w:rFonts w:ascii="Times New Roman" w:cs="Times New Roman" w:eastAsia="Times New Roman" w:hAnsi="Times New Roman"/>
          <w:sz w:val="12"/>
          <w:szCs w:val="12"/>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through the exercise of the Warrants.</w:t>
      </w:r>
    </w:p>
    <w:p>
      <w:pPr>
        <w:spacing w:after="0" w:line="111" w:lineRule="exact"/>
        <w:rPr>
          <w:sz w:val="20"/>
          <w:szCs w:val="20"/>
          <w:color w:val="auto"/>
        </w:rPr>
      </w:pPr>
    </w:p>
    <w:p>
      <w:pPr>
        <w:ind w:left="540" w:hanging="116"/>
        <w:spacing w:after="0"/>
        <w:tabs>
          <w:tab w:leader="none" w:pos="5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Miscellaneous Provisions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9.1 </w:t>
      </w:r>
      <w:r>
        <w:rPr>
          <w:rFonts w:ascii="Times New Roman" w:cs="Times New Roman" w:eastAsia="Times New Roman" w:hAnsi="Times New Roman"/>
          <w:sz w:val="12"/>
          <w:szCs w:val="12"/>
          <w:u w:val="single" w:color="auto"/>
          <w:color w:val="auto"/>
        </w:rPr>
        <w:t>Successors</w:t>
      </w:r>
      <w:r>
        <w:rPr>
          <w:rFonts w:ascii="Times New Roman" w:cs="Times New Roman" w:eastAsia="Times New Roman" w:hAnsi="Times New Roman"/>
          <w:sz w:val="12"/>
          <w:szCs w:val="12"/>
          <w:color w:val="auto"/>
        </w:rPr>
        <w:t>. All the covenants and provisions of this Agreement by or for the benefit of the Company or the Warrant Agent shall bind and inure to the benefit of their respective successors and assigns.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9.2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Helius Medical Technologies, Inc.</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642 Newtown Yardley Road, Suite 100</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Newtown, Pennsylvania 18940</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Attn: Dane Andreeff</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copies to:</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Honigman LLP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650 Trade Centre Way, Suite 200</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Kalamazoo, Michigan 49002</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Attn: Phillip D. Torrence</w:t>
      </w:r>
    </w:p>
    <w:p>
      <w:pPr>
        <w:spacing w:after="0" w:line="139"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5" w:name="page46"/>
    <w:bookmarkEnd w:id="45"/>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 xml:space="preserve">9.3 </w:t>
      </w:r>
      <w:r>
        <w:rPr>
          <w:rFonts w:ascii="Times New Roman" w:cs="Times New Roman" w:eastAsia="Times New Roman" w:hAnsi="Times New Roman"/>
          <w:sz w:val="12"/>
          <w:szCs w:val="12"/>
          <w:u w:val="single" w:color="auto"/>
          <w:color w:val="auto"/>
        </w:rPr>
        <w:t>Applicable Law and Exclusive Forum</w:t>
      </w:r>
      <w:r>
        <w:rPr>
          <w:rFonts w:ascii="Times New Roman" w:cs="Times New Roman" w:eastAsia="Times New Roman" w:hAnsi="Times New Roman"/>
          <w:sz w:val="12"/>
          <w:szCs w:val="12"/>
          <w:color w:val="auto"/>
        </w:rPr>
        <w:t xml:space="preserve">.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the Warrants shall be deemed to have notice of and to have consented to the forum provisions in this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If any action, the subject matter of which is within the scope the forum provisions above, is filed in a court other than a court located within the State of New York or the United States District Court for the Southern District of New York (a “</w:t>
      </w:r>
      <w:r>
        <w:rPr>
          <w:rFonts w:ascii="Times New Roman" w:cs="Times New Roman" w:eastAsia="Times New Roman" w:hAnsi="Times New Roman"/>
          <w:sz w:val="12"/>
          <w:szCs w:val="12"/>
          <w:b w:val="1"/>
          <w:bCs w:val="1"/>
          <w:color w:val="auto"/>
        </w:rPr>
        <w:t>foreign action</w:t>
      </w:r>
      <w:r>
        <w:rPr>
          <w:rFonts w:ascii="Times New Roman" w:cs="Times New Roman" w:eastAsia="Times New Roman" w:hAnsi="Times New Roman"/>
          <w:sz w:val="12"/>
          <w:szCs w:val="12"/>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Times New Roman" w:cs="Times New Roman" w:eastAsia="Times New Roman" w:hAnsi="Times New Roman"/>
          <w:sz w:val="12"/>
          <w:szCs w:val="12"/>
          <w:b w:val="1"/>
          <w:bCs w:val="1"/>
          <w:color w:val="auto"/>
        </w:rPr>
        <w:t>enforcement action</w:t>
      </w:r>
      <w:r>
        <w:rPr>
          <w:rFonts w:ascii="Times New Roman" w:cs="Times New Roman" w:eastAsia="Times New Roman" w:hAnsi="Times New Roman"/>
          <w:sz w:val="12"/>
          <w:szCs w:val="12"/>
          <w:color w:val="auto"/>
        </w:rPr>
        <w:t>”), and (y) having service of process made upon such warrant holder in any such enforcement action by service upon such warrant holder’s counsel in the foreign action as agent for such warrant holder.</w:t>
      </w:r>
    </w:p>
    <w:p>
      <w:pPr>
        <w:spacing w:after="0" w:line="12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 xml:space="preserve">9.4 </w:t>
      </w:r>
      <w:r>
        <w:rPr>
          <w:rFonts w:ascii="Times New Roman" w:cs="Times New Roman" w:eastAsia="Times New Roman" w:hAnsi="Times New Roman"/>
          <w:sz w:val="12"/>
          <w:szCs w:val="12"/>
          <w:u w:val="single" w:color="auto"/>
          <w:color w:val="auto"/>
        </w:rPr>
        <w:t>Persons Having Rights under this Agreement</w:t>
      </w:r>
      <w:r>
        <w:rPr>
          <w:rFonts w:ascii="Times New Roman" w:cs="Times New Roman" w:eastAsia="Times New Roman" w:hAnsi="Times New Roman"/>
          <w:sz w:val="12"/>
          <w:szCs w:val="12"/>
          <w:color w:val="auto"/>
        </w:rPr>
        <w:t>. Nothing in this Agreement shall be construed to confer upon, or give to, any person, corporation or other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19"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9.5 </w:t>
      </w:r>
      <w:r>
        <w:rPr>
          <w:rFonts w:ascii="Times New Roman" w:cs="Times New Roman" w:eastAsia="Times New Roman" w:hAnsi="Times New Roman"/>
          <w:sz w:val="12"/>
          <w:szCs w:val="12"/>
          <w:u w:val="single" w:color="auto"/>
          <w:color w:val="auto"/>
        </w:rPr>
        <w:t>Examination of the Warrant Agreement</w:t>
      </w:r>
      <w:r>
        <w:rPr>
          <w:rFonts w:ascii="Times New Roman" w:cs="Times New Roman" w:eastAsia="Times New Roman" w:hAnsi="Times New Roman"/>
          <w:sz w:val="12"/>
          <w:szCs w:val="12"/>
          <w:color w:val="auto"/>
        </w:rPr>
        <w:t>. A copy of this Agreement shall be available at all reasonable times at the office of the Warrant Agent in the United States of America, for inspection by the Registered Holder of any Warrant. The Warrant Agent may require any such holder to submit such holder’s Warrant for inspection by the Warrant Agent.</w:t>
      </w:r>
    </w:p>
    <w:p>
      <w:pPr>
        <w:spacing w:after="0" w:line="111"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 xml:space="preserve">9.6 </w:t>
      </w: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9.7 </w:t>
      </w:r>
      <w:r>
        <w:rPr>
          <w:rFonts w:ascii="Times New Roman" w:cs="Times New Roman" w:eastAsia="Times New Roman" w:hAnsi="Times New Roman"/>
          <w:sz w:val="12"/>
          <w:szCs w:val="12"/>
          <w:u w:val="single" w:color="auto"/>
          <w:color w:val="auto"/>
        </w:rPr>
        <w:t>Effect of Headings</w:t>
      </w:r>
      <w:r>
        <w:rPr>
          <w:rFonts w:ascii="Times New Roman" w:cs="Times New Roman" w:eastAsia="Times New Roman" w:hAnsi="Times New Roman"/>
          <w:sz w:val="12"/>
          <w:szCs w:val="12"/>
          <w:color w:val="auto"/>
        </w:rPr>
        <w:t>. The section headings herein are for convenience only and are not part of this Agreement and shall not affect the interpretation thereof.</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9.8 </w:t>
      </w:r>
      <w:r>
        <w:rPr>
          <w:rFonts w:ascii="Times New Roman" w:cs="Times New Roman" w:eastAsia="Times New Roman" w:hAnsi="Times New Roman"/>
          <w:sz w:val="12"/>
          <w:szCs w:val="12"/>
          <w:u w:val="single" w:color="auto"/>
          <w:color w:val="auto"/>
        </w:rPr>
        <w:t>Amendments</w:t>
      </w:r>
      <w:r>
        <w:rPr>
          <w:rFonts w:ascii="Times New Roman" w:cs="Times New Roman" w:eastAsia="Times New Roman" w:hAnsi="Times New Roman"/>
          <w:sz w:val="12"/>
          <w:szCs w:val="12"/>
          <w:color w:val="auto"/>
        </w:rPr>
        <w:t>. This Agreement may be amended by the parties hereto without the consent of any Registered Holder (i) for the purpose of (y) curing any ambiguity or to correct any defective provision contained herein or</w:t>
      </w:r>
    </w:p>
    <w:p>
      <w:pPr>
        <w:spacing w:after="0" w:line="17" w:lineRule="exact"/>
        <w:rPr>
          <w:sz w:val="20"/>
          <w:szCs w:val="20"/>
          <w:color w:val="auto"/>
        </w:rPr>
      </w:pPr>
    </w:p>
    <w:p>
      <w:pPr>
        <w:jc w:val="both"/>
        <w:ind w:left="8" w:hanging="8"/>
        <w:spacing w:after="0" w:line="253" w:lineRule="auto"/>
        <w:tabs>
          <w:tab w:leader="none" w:pos="179"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adding or changing any other provisions with respect to matters or questions arising under this Agreement as the parties may deem necessary or desirable; provided, that any such amendments pursuant to this clause (i) shall not adversely affect the rights of the Registered Holders, and (ii) to provide for the delivery of an Alternative Issuance pursuant to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All other modifications or amendments, including any modification or amendment to increase the Warrant Price or shorten the Exercise Period shall require the vote or written consent of the Registered Holders of at least 65% of the number of the then-outstanding Warrants; provided, that any such modification or amendment that disproportionately and adversely affects any Registered Holder shall require the prior written consent of such Registered Holder.</w:t>
      </w:r>
    </w:p>
    <w:p>
      <w:pPr>
        <w:spacing w:after="0" w:line="127" w:lineRule="exact"/>
        <w:rPr>
          <w:sz w:val="20"/>
          <w:szCs w:val="20"/>
          <w:color w:val="auto"/>
        </w:rPr>
      </w:pPr>
    </w:p>
    <w:p>
      <w:pPr>
        <w:jc w:val="both"/>
        <w:ind w:left="8" w:right="20" w:firstLine="432"/>
        <w:spacing w:after="0" w:line="265" w:lineRule="auto"/>
        <w:rPr>
          <w:sz w:val="20"/>
          <w:szCs w:val="20"/>
          <w:color w:val="auto"/>
        </w:rPr>
      </w:pPr>
      <w:r>
        <w:rPr>
          <w:rFonts w:ascii="Times New Roman" w:cs="Times New Roman" w:eastAsia="Times New Roman" w:hAnsi="Times New Roman"/>
          <w:sz w:val="12"/>
          <w:szCs w:val="12"/>
          <w:color w:val="auto"/>
        </w:rPr>
        <w:t xml:space="preserve">9.9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Follows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286385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color w:val="auto"/>
        </w:rPr>
        <w:t>IN WITNESS WHEREOF, the parties hereto have caused this Agreement to be duly executed as of the date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HELIUS MEDICAL TECHNOLOGIES,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13"/>
                <w:szCs w:val="13"/>
                <w:color w:val="auto"/>
              </w:rPr>
            </w:pP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Jeffrey S. Mathiesen</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Treasurer, and Secretary</w:t>
            </w:r>
          </w:p>
        </w:tc>
      </w:tr>
    </w:tbl>
    <w:p>
      <w:pPr>
        <w:spacing w:after="0" w:line="1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EQUINITI TRUST COMPANY, LLC</w:t>
      </w:r>
      <w:r>
        <w:rPr>
          <w:rFonts w:ascii="Times New Roman" w:cs="Times New Roman" w:eastAsia="Times New Roman" w:hAnsi="Times New Roman"/>
          <w:sz w:val="12"/>
          <w:szCs w:val="12"/>
          <w:color w:val="auto"/>
        </w:rPr>
        <w:t>, as Warrant Agent</w:t>
      </w:r>
    </w:p>
    <w:p>
      <w:pPr>
        <w:spacing w:after="0" w:line="1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-86995</wp:posOffset>
            </wp:positionV>
            <wp:extent cx="322897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jc w:val="center"/>
        <w:ind w:right="-259"/>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283845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WARRANTS LEGEND</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AGREEMENTS BY HELIUS MEDICAL TECHNOLOGIES,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AND THE OTHER SIGNATORIES THERETO, THE SECURITIES REPRESENTED BY THIS CERTIFICATE MAY NOT BE SOLD OR TRANSFERRED PRIOR TO THE DATE THAT SUCH SECURITIES ARE REGISTERED FOR PUBLIC RESALE EXCEPT TO A PERMITTED TRANSFEREE WHO AGREES IN WRITING WITH THE COMPANY TO BE SUBJECT TO SUCH TRANSFER PROVISIONS.</w:t>
      </w:r>
    </w:p>
    <w:p>
      <w:pPr>
        <w:spacing w:after="0" w:line="26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SECURITIES EVIDENCED BY THIS CERTIFICATE AND SHARES OF COMMON STOCK OF THE COMPANY ISSUED UPON EXERCISE OF SUCH SECURITIES SHALL BE ENTITLED TO REGISTRATION RIGHTS UNDER THE PURCHASE AGREEMENT EXECUTED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260350</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 of Warrant Certificate]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[FACE]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Number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Warrants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THIS WARRANT SHALL BE VOID IF NOT EXERCISED PRIOR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EXPIRATION OF THE EXERCISE PERIOD PROVIDED FOR IN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WARRANT AGREEMENT DESCRIBED BELOW</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Helius Medical Technologies,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Incorporated Under the Laws of Delaware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Warrant Certificate</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This Warrant Certificate certifies that [●], or registered their assigns, is the registered holder of warrants evidenced hereby (the “</w:t>
      </w:r>
      <w:r>
        <w:rPr>
          <w:rFonts w:ascii="Times New Roman" w:cs="Times New Roman" w:eastAsia="Times New Roman" w:hAnsi="Times New Roman"/>
          <w:sz w:val="12"/>
          <w:szCs w:val="12"/>
          <w:b w:val="1"/>
          <w:bCs w:val="1"/>
          <w:color w:val="auto"/>
        </w:rPr>
        <w:t>Warrants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b w:val="1"/>
          <w:bCs w:val="1"/>
          <w:color w:val="auto"/>
        </w:rPr>
        <w:t>Warrant</w:t>
      </w:r>
      <w:r>
        <w:rPr>
          <w:rFonts w:ascii="Times New Roman" w:cs="Times New Roman" w:eastAsia="Times New Roman" w:hAnsi="Times New Roman"/>
          <w:sz w:val="12"/>
          <w:szCs w:val="12"/>
          <w:color w:val="auto"/>
        </w:rPr>
        <w:t>”) to purchase shares of Class A common stock, $0.001 par value per share (the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of Helius Medical Technologies,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Each whole Warrant entitles the holder, upon exercise during the period set forth in the Warrant Agreement referred to below, to receive from the Company that number of fully paid and non-assessable Shares as set forth below, at the exercise price (the “</w:t>
      </w:r>
      <w:r>
        <w:rPr>
          <w:rFonts w:ascii="Times New Roman" w:cs="Times New Roman" w:eastAsia="Times New Roman" w:hAnsi="Times New Roman"/>
          <w:sz w:val="12"/>
          <w:szCs w:val="12"/>
          <w:b w:val="1"/>
          <w:bCs w:val="1"/>
          <w:color w:val="auto"/>
        </w:rPr>
        <w:t>Warrant Price</w:t>
      </w:r>
      <w:r>
        <w:rPr>
          <w:rFonts w:ascii="Times New Roman" w:cs="Times New Roman" w:eastAsia="Times New Roman" w:hAnsi="Times New Roman"/>
          <w:sz w:val="12"/>
          <w:szCs w:val="12"/>
          <w:color w:val="auto"/>
        </w:rPr>
        <w:t>”) as determined pursuant to the Warrant Agreement, payable in lawful money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Each whole Warrant is initially exercisable for one fully paid and non-assessable Share. No fractional shares will be issued upon exercise of any Warrant. If, upon the exercise of Warrants, a holder would be entitled to receive a fractional interest in a Share, the Company will, upon exercise, round down to the nearest whole number the number of Shares to be issued to the Warrant holder. The number of Shares issuable upon exercise of the Warrants is subject to adjustment upon the occurrence of certain events set forth in the Warrant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Warrant Price is subject to adjustment upon the occurrence of certain events set forth in the Warrant Agreement.</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 xml:space="preserve">Subject to the conditions set forth in the Warrant Agreement, the Warrants may be exercised only during the Exercise Period and to the extent not exercised by the end of such Exercise Period, such Warrants shall become void. The Warrants may be mandatorily exercised by the Company, subject to certain conditions, as set forth in the Warrant Agreement. In addition, and notwithstanding anything else in this Warrant Certificate or the Warrant Agreement, to the extent that the holder of a Warrant has delivered a notice contemplated by </w:t>
      </w:r>
      <w:r>
        <w:rPr>
          <w:rFonts w:ascii="Times New Roman" w:cs="Times New Roman" w:eastAsia="Times New Roman" w:hAnsi="Times New Roman"/>
          <w:sz w:val="12"/>
          <w:szCs w:val="12"/>
          <w:u w:val="single" w:color="auto"/>
          <w:color w:val="auto"/>
        </w:rPr>
        <w:t>subsection 3.3.4</w:t>
      </w:r>
      <w:r>
        <w:rPr>
          <w:rFonts w:ascii="Times New Roman" w:cs="Times New Roman" w:eastAsia="Times New Roman" w:hAnsi="Times New Roman"/>
          <w:sz w:val="12"/>
          <w:szCs w:val="12"/>
          <w:color w:val="auto"/>
        </w:rPr>
        <w:t xml:space="preserve"> of the Warrant Agreement, neither the Company nor the Warrant Agent shall issue to holder, and holder may not acquire, any right it might have to acquire, a number of shares of Common Stock upon exercise of any Warrant to the extent that, upon such exercise, the number of shares of Common Stock then beneficially owned by holder would exceed the Maximum Percentage of shares of Common Stock outstanding immediately after giving effect to such exercise as determined in accordance with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of the Warrant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Warrant Certificate shall not be valid unless countersigned by the Warrant Agent.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Warrant Certificate shall be governed by and construed in accordance with the internal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285115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9" w:name="page50"/>
    <w:bookmarkEnd w:id="49"/>
    <w:p>
      <w:pPr>
        <w:ind w:left="4520"/>
        <w:spacing w:after="0"/>
        <w:rPr>
          <w:sz w:val="20"/>
          <w:szCs w:val="20"/>
          <w:color w:val="auto"/>
        </w:rPr>
      </w:pPr>
      <w:r>
        <w:rPr>
          <w:rFonts w:ascii="Times New Roman" w:cs="Times New Roman" w:eastAsia="Times New Roman" w:hAnsi="Times New Roman"/>
          <w:sz w:val="12"/>
          <w:szCs w:val="12"/>
          <w:b w:val="1"/>
          <w:bCs w:val="1"/>
          <w:color w:val="auto"/>
        </w:rPr>
        <w:t>HELIUS MEDICAL TECHNOLOGIES, INC.</w:t>
      </w:r>
    </w:p>
    <w:p>
      <w:pPr>
        <w:spacing w:after="0" w:line="154"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10795</wp:posOffset>
            </wp:positionV>
            <wp:extent cx="322897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Title:</w:t>
      </w:r>
    </w:p>
    <w:p>
      <w:pPr>
        <w:spacing w:after="0" w:line="1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1"/>
          <w:szCs w:val="11"/>
          <w:b w:val="1"/>
          <w:bCs w:val="1"/>
          <w:color w:val="auto"/>
        </w:rPr>
        <w:t>EQUINITI TRUST COMPANY, LLC</w:t>
      </w:r>
      <w:r>
        <w:rPr>
          <w:rFonts w:ascii="Times New Roman" w:cs="Times New Roman" w:eastAsia="Times New Roman" w:hAnsi="Times New Roman"/>
          <w:sz w:val="11"/>
          <w:szCs w:val="11"/>
          <w:color w:val="auto"/>
        </w:rPr>
        <w:t>, as Warrant Agent</w:t>
      </w:r>
    </w:p>
    <w:p>
      <w:pPr>
        <w:spacing w:after="0" w:line="16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-86995</wp:posOffset>
            </wp:positionV>
            <wp:extent cx="322897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jc w:val="center"/>
        <w:ind w:right="-260"/>
        <w:spacing w:after="0"/>
        <w:rPr>
          <w:sz w:val="20"/>
          <w:szCs w:val="20"/>
          <w:color w:val="auto"/>
        </w:rPr>
      </w:pPr>
      <w:r>
        <w:rPr>
          <w:rFonts w:ascii="Times New Roman" w:cs="Times New Roman" w:eastAsia="Times New Roman" w:hAnsi="Times New Roman"/>
          <w:sz w:val="11"/>
          <w:szCs w:val="1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291465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2"/>
          <w:szCs w:val="12"/>
          <w:color w:val="auto"/>
        </w:rPr>
        <w:t>[Form of Warrant Certificate]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[Reverse]</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Warrants evidenced by this Warrant Certificate are part of a duly authorized issue of Warrants entitling the holder on exercise to receive Shares and are issued or to be issued pursuant to a Warrant Agreement dated as of September [●], 2025 (the “</w:t>
      </w:r>
      <w:r>
        <w:rPr>
          <w:rFonts w:ascii="Times New Roman" w:cs="Times New Roman" w:eastAsia="Times New Roman" w:hAnsi="Times New Roman"/>
          <w:sz w:val="12"/>
          <w:szCs w:val="12"/>
          <w:b w:val="1"/>
          <w:bCs w:val="1"/>
          <w:color w:val="auto"/>
        </w:rPr>
        <w:t>Warrant Agreement</w:t>
      </w:r>
      <w:r>
        <w:rPr>
          <w:rFonts w:ascii="Times New Roman" w:cs="Times New Roman" w:eastAsia="Times New Roman" w:hAnsi="Times New Roman"/>
          <w:sz w:val="12"/>
          <w:szCs w:val="12"/>
          <w:color w:val="auto"/>
        </w:rPr>
        <w:t>”), duly executed and delivered by the Company to Equiniti Trust Company, LLC, as warrant agent (the “</w:t>
      </w:r>
      <w:r>
        <w:rPr>
          <w:rFonts w:ascii="Times New Roman" w:cs="Times New Roman" w:eastAsia="Times New Roman" w:hAnsi="Times New Roman"/>
          <w:sz w:val="12"/>
          <w:szCs w:val="12"/>
          <w:b w:val="1"/>
          <w:bCs w:val="1"/>
          <w:color w:val="auto"/>
        </w:rPr>
        <w:t>Warrant Agent</w:t>
      </w:r>
      <w:r>
        <w:rPr>
          <w:rFonts w:ascii="Times New Roman" w:cs="Times New Roman" w:eastAsia="Times New Roman" w:hAnsi="Times New Roman"/>
          <w:sz w:val="12"/>
          <w:szCs w:val="12"/>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Times New Roman" w:cs="Times New Roman" w:eastAsia="Times New Roman" w:hAnsi="Times New Roman"/>
          <w:sz w:val="12"/>
          <w:szCs w:val="12"/>
          <w:b w:val="1"/>
          <w:bCs w:val="1"/>
          <w:color w:val="auto"/>
        </w:rPr>
        <w:t>holders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holder</w:t>
      </w:r>
      <w:r>
        <w:rPr>
          <w:rFonts w:ascii="Times New Roman" w:cs="Times New Roman" w:eastAsia="Times New Roman" w:hAnsi="Times New Roman"/>
          <w:sz w:val="12"/>
          <w:szCs w:val="12"/>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at the principal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Notwithstanding anything else in this Warrant Certificate or the Warrant Agreement, no Warrant may be exercised unless at the time of exercise (i) a registration statement covering the shares of Common Stock to be issued upon exercise is effective under the Securities Act of 1933, as amended, and (ii) a prospectus thereunder relating to the Shares is current.</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Warrant Agreement provides that upon the occurrence of certain events the number of shares of Common Stock issuable upon the exercise of the Warrants set forth on the face hereof may, subject to certain conditions, be adjusted. If, upon exercise of a Warrant, the holder thereof would be entitled to receive a fractional interest in a Share, the Company shall, upon exercise, round down to the nearest whole number of Shares to be issued to the holder of the Warrant.</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Warrant Certificates, when surrendered at the principal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 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2"/>
          <w:szCs w:val="12"/>
          <w:color w:val="auto"/>
        </w:rPr>
        <w:t>Election to Purchase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(To Be Executed Upon Exercise of Warrant)</w:t>
      </w:r>
    </w:p>
    <w:p>
      <w:pPr>
        <w:spacing w:after="0" w:line="13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The undersigned hereby irrevocably elects to exercise the right, represented by this Warrant Certificate, to receive Shares and herewith tenders payment for such Shares to the order of Helius Medical Technologies, Inc. (the “</w:t>
      </w:r>
      <w:r>
        <w:rPr>
          <w:rFonts w:ascii="Times New Roman" w:cs="Times New Roman" w:eastAsia="Times New Roman" w:hAnsi="Times New Roman"/>
          <w:sz w:val="11"/>
          <w:szCs w:val="11"/>
          <w:b w:val="1"/>
          <w:bCs w:val="1"/>
          <w:color w:val="auto"/>
        </w:rPr>
        <w:t>Company</w:t>
      </w:r>
      <w:r>
        <w:rPr>
          <w:rFonts w:ascii="Times New Roman" w:cs="Times New Roman" w:eastAsia="Times New Roman" w:hAnsi="Times New Roman"/>
          <w:sz w:val="11"/>
          <w:szCs w:val="11"/>
          <w:color w:val="auto"/>
        </w:rPr>
        <w:t>”) in the amount of $____ in accordance with the terms hereof. The undersigned requests that a certificate for such Shares be registered in the name of ________________, whose address is ________________, and that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be delivered to ___________________, whose address is ______________. If such number of Shares is less than all of the Shares purchasable hereunder, the undersigned requests that a new Warrant Certificate representing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remaining balance of such Shares be registered in the name of _____________, whose address is ______________and that such Warrant Certificate be delivered to _____________, whose address is _________________.</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[To be included in any Election to Purchase of a holder who has provided the notice set forth in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of the Warrant Agreement:</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By signing this Election to Purchase, the undersigned hereby certifies that upon after giving effect to such exercise, the undersigned (together with such person’s affiliates) or any “group” of which holder or its affiliates is a member, would not beneficially own in excess of the Maximum Percentage of the Shares outstanding immediately after giving effect to such exercise as determined in accordance with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of the Warrant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Follows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286385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2" w:name="page53"/>
    <w:bookmarkEnd w:id="52"/>
    <w:p>
      <w:pPr>
        <w:ind w:left="5660"/>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10795</wp:posOffset>
            </wp:positionV>
            <wp:extent cx="322897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1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(Signature)</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(Address)</w:t>
      </w:r>
    </w:p>
    <w:p>
      <w:pPr>
        <w:spacing w:after="0" w:line="1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-85725</wp:posOffset>
            </wp:positionV>
            <wp:extent cx="358902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3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260350</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4"/>
          <w:szCs w:val="14"/>
          <w:b w:val="1"/>
          <w:bCs w:val="1"/>
          <w:color w:val="auto"/>
        </w:rPr>
        <w:t>EXHIBIT 4.4</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WARRANT AGREEMENT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THIS WARRANT AGREEMENT (this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September [●], 2025, is by and between Helius Medical Technologies,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and Equiniti Trust Company, LLC, as warrant agent (in such capacity, the “</w:t>
      </w:r>
      <w:r>
        <w:rPr>
          <w:rFonts w:ascii="Times New Roman" w:cs="Times New Roman" w:eastAsia="Times New Roman" w:hAnsi="Times New Roman"/>
          <w:sz w:val="12"/>
          <w:szCs w:val="12"/>
          <w:b w:val="1"/>
          <w:bCs w:val="1"/>
          <w:color w:val="auto"/>
        </w:rPr>
        <w:t>Warrant Agent</w:t>
      </w:r>
      <w:r>
        <w:rPr>
          <w:rFonts w:ascii="Times New Roman" w:cs="Times New Roman" w:eastAsia="Times New Roman" w:hAnsi="Times New Roman"/>
          <w:sz w:val="12"/>
          <w:szCs w:val="12"/>
          <w:color w:val="auto"/>
        </w:rPr>
        <w:t>,” and also referred to herein as the “</w:t>
      </w:r>
      <w:r>
        <w:rPr>
          <w:rFonts w:ascii="Times New Roman" w:cs="Times New Roman" w:eastAsia="Times New Roman" w:hAnsi="Times New Roman"/>
          <w:sz w:val="12"/>
          <w:szCs w:val="12"/>
          <w:b w:val="1"/>
          <w:bCs w:val="1"/>
          <w:color w:val="auto"/>
        </w:rPr>
        <w:t>Transfer Agent</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WHEREAS, the Company desires to sell to each Subscriber identified in the Subscription Agreement, dated as of September 15, 2025, between the Company and each subscriber identified on the signature pages thereto (the “</w:t>
      </w:r>
      <w:r>
        <w:rPr>
          <w:rFonts w:ascii="Times New Roman" w:cs="Times New Roman" w:eastAsia="Times New Roman" w:hAnsi="Times New Roman"/>
          <w:sz w:val="12"/>
          <w:szCs w:val="12"/>
          <w:b w:val="1"/>
          <w:bCs w:val="1"/>
          <w:color w:val="auto"/>
        </w:rPr>
        <w:t>Purchase Agreement</w:t>
      </w:r>
      <w:r>
        <w:rPr>
          <w:rFonts w:ascii="Times New Roman" w:cs="Times New Roman" w:eastAsia="Times New Roman" w:hAnsi="Times New Roman"/>
          <w:sz w:val="12"/>
          <w:szCs w:val="12"/>
          <w:color w:val="auto"/>
        </w:rPr>
        <w:t>”) under the Purchase Agreement stapled warrants to purchase additional shares of Class A common stock of the Company, $0.001 par value per share, and any other class of securities into which such securities may hereafter be reclassified or changed (the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and, in connection therewith, has determined to issue and deliver up to [●] warrants to investors in a private offering (the “</w:t>
      </w:r>
      <w:r>
        <w:rPr>
          <w:rFonts w:ascii="Times New Roman" w:cs="Times New Roman" w:eastAsia="Times New Roman" w:hAnsi="Times New Roman"/>
          <w:sz w:val="12"/>
          <w:szCs w:val="12"/>
          <w:b w:val="1"/>
          <w:bCs w:val="1"/>
          <w:color w:val="auto"/>
        </w:rPr>
        <w:t>Warrants</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each Warrant entitles the holder thereof to purchase one share of Common Stock, with an exercise price of $10.134, subject to adjustment as described herein, with each Warrant bearing the legend set forth in Exhibit A hereto;</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including the registration rights included in the Purchase Agreement;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 and</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capitalized terms used in this Agreement but not defined herein shall have the meanings given to them in the Purchase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NOW, THEREFORE, in consideration of the mutual agreements herein contained, the parties hereto agree as follows:</w:t>
      </w:r>
    </w:p>
    <w:p>
      <w:pPr>
        <w:spacing w:after="0" w:line="150" w:lineRule="exact"/>
        <w:rPr>
          <w:sz w:val="20"/>
          <w:szCs w:val="20"/>
          <w:color w:val="auto"/>
        </w:rPr>
      </w:pPr>
    </w:p>
    <w:p>
      <w:pPr>
        <w:ind w:firstLine="424"/>
        <w:spacing w:after="0" w:line="279" w:lineRule="auto"/>
        <w:tabs>
          <w:tab w:leader="none" w:pos="552"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Appointment of Warrant Agent</w:t>
      </w:r>
      <w:r>
        <w:rPr>
          <w:rFonts w:ascii="Times New Roman" w:cs="Times New Roman" w:eastAsia="Times New Roman" w:hAnsi="Times New Roman"/>
          <w:sz w:val="12"/>
          <w:szCs w:val="12"/>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11" w:lineRule="exact"/>
        <w:rPr>
          <w:rFonts w:ascii="Times New Roman" w:cs="Times New Roman" w:eastAsia="Times New Roman" w:hAnsi="Times New Roman"/>
          <w:sz w:val="12"/>
          <w:szCs w:val="12"/>
          <w:color w:val="auto"/>
        </w:rPr>
      </w:pPr>
    </w:p>
    <w:p>
      <w:pPr>
        <w:ind w:left="540" w:hanging="116"/>
        <w:spacing w:after="0"/>
        <w:tabs>
          <w:tab w:leader="none" w:pos="5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u w:val="single" w:color="auto"/>
          <w:color w:val="auto"/>
        </w:rPr>
        <w:t>Form of Warrant</w:t>
      </w:r>
      <w:r>
        <w:rPr>
          <w:rFonts w:ascii="Times New Roman" w:cs="Times New Roman" w:eastAsia="Times New Roman" w:hAnsi="Times New Roman"/>
          <w:sz w:val="12"/>
          <w:szCs w:val="12"/>
          <w:color w:val="auto"/>
        </w:rPr>
        <w:t xml:space="preserve">. Each Warrant shall initially be issued in registered book-entry form only, and, if a physical certificate is issued, shall be in substantially the form of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hereto, the provisions of which are incorporated herein and shall be signed by, or bear the facsimile signature of, the Chairperson of the Company’s board of directors (the “</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President, Chief Executive Officer, Chief Financial Officer, Secretary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All of the Warrants shall initially be represented by one or more book-entry certificates (each, a “</w:t>
      </w:r>
      <w:r>
        <w:rPr>
          <w:rFonts w:ascii="Times New Roman" w:cs="Times New Roman" w:eastAsia="Times New Roman" w:hAnsi="Times New Roman"/>
          <w:sz w:val="12"/>
          <w:szCs w:val="12"/>
          <w:b w:val="1"/>
          <w:bCs w:val="1"/>
          <w:color w:val="auto"/>
        </w:rPr>
        <w:t>Book-Entry Warrant Certificate</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u w:val="single" w:color="auto"/>
          <w:color w:val="auto"/>
        </w:rPr>
        <w:t>Effect of Countersignature</w:t>
      </w:r>
      <w:r>
        <w:rPr>
          <w:rFonts w:ascii="Times New Roman" w:cs="Times New Roman" w:eastAsia="Times New Roman" w:hAnsi="Times New Roman"/>
          <w:sz w:val="12"/>
          <w:szCs w:val="12"/>
          <w:color w:val="auto"/>
        </w:rPr>
        <w:t>. If a physical certificate is issued, unless and until countersigned by the Warrant Agent pursuant to this Agreement, a Warrant certificate shall be invalid and of no effect and may not be exercised by the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54" w:name="page55"/>
    <w:bookmarkEnd w:id="54"/>
    <w:p>
      <w:pPr>
        <w:ind w:left="420"/>
        <w:spacing w:after="0"/>
        <w:rPr>
          <w:sz w:val="20"/>
          <w:szCs w:val="20"/>
          <w:color w:val="auto"/>
        </w:rPr>
      </w:pPr>
      <w:r>
        <w:rPr>
          <w:rFonts w:ascii="Times New Roman" w:cs="Times New Roman" w:eastAsia="Times New Roman" w:hAnsi="Times New Roman"/>
          <w:sz w:val="12"/>
          <w:szCs w:val="12"/>
          <w:color w:val="auto"/>
        </w:rPr>
        <w:t xml:space="preserve">2.3 </w:t>
      </w:r>
      <w:r>
        <w:rPr>
          <w:rFonts w:ascii="Times New Roman" w:cs="Times New Roman" w:eastAsia="Times New Roman" w:hAnsi="Times New Roman"/>
          <w:sz w:val="12"/>
          <w:szCs w:val="12"/>
          <w:u w:val="single" w:color="auto"/>
          <w:color w:val="auto"/>
        </w:rPr>
        <w:t>Registration</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 xml:space="preserve">2.3.1 </w:t>
      </w: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The Warrant Agent shall maintain books (the “</w:t>
      </w:r>
      <w:r>
        <w:rPr>
          <w:rFonts w:ascii="Times New Roman" w:cs="Times New Roman" w:eastAsia="Times New Roman" w:hAnsi="Times New Roman"/>
          <w:sz w:val="12"/>
          <w:szCs w:val="12"/>
          <w:b w:val="1"/>
          <w:bCs w:val="1"/>
          <w:color w:val="auto"/>
        </w:rPr>
        <w:t>Warrant Register</w:t>
      </w:r>
      <w:r>
        <w:rPr>
          <w:rFonts w:ascii="Times New Roman" w:cs="Times New Roman" w:eastAsia="Times New Roman" w:hAnsi="Times New Roman"/>
          <w:sz w:val="12"/>
          <w:szCs w:val="12"/>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All of the Warrants shall initially be represented by one or more Book-Entry Warrant Certificates. Ownership of beneficial interests in the Warrants shall be shown on, and the transfer of such ownership shall be effected through, records maintained by the Warrant Agent or its nominee for each Book-Entry Warrant Certificate.</w:t>
      </w:r>
    </w:p>
    <w:p>
      <w:pPr>
        <w:spacing w:after="0" w:line="12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2.3.2 </w:t>
      </w:r>
      <w:r>
        <w:rPr>
          <w:rFonts w:ascii="Times New Roman" w:cs="Times New Roman" w:eastAsia="Times New Roman" w:hAnsi="Times New Roman"/>
          <w:sz w:val="12"/>
          <w:szCs w:val="12"/>
          <w:u w:val="single" w:color="auto"/>
          <w:color w:val="auto"/>
        </w:rPr>
        <w:t>Registered Holder</w:t>
      </w:r>
      <w:r>
        <w:rPr>
          <w:rFonts w:ascii="Times New Roman" w:cs="Times New Roman" w:eastAsia="Times New Roman" w:hAnsi="Times New Roman"/>
          <w:sz w:val="12"/>
          <w:szCs w:val="12"/>
          <w:color w:val="auto"/>
        </w:rPr>
        <w:t>. Prior to due presentment for registration of transfer of any Warrant, the Company and the Warrant Agent may deem and treat the person in whose name such Warrant is registered in the Warrant Register (the “</w:t>
      </w:r>
      <w:r>
        <w:rPr>
          <w:rFonts w:ascii="Times New Roman" w:cs="Times New Roman" w:eastAsia="Times New Roman" w:hAnsi="Times New Roman"/>
          <w:sz w:val="12"/>
          <w:szCs w:val="12"/>
          <w:b w:val="1"/>
          <w:bCs w:val="1"/>
          <w:color w:val="auto"/>
        </w:rPr>
        <w:t>Registered Holder</w:t>
      </w:r>
      <w:r>
        <w:rPr>
          <w:rFonts w:ascii="Times New Roman" w:cs="Times New Roman" w:eastAsia="Times New Roman" w:hAnsi="Times New Roman"/>
          <w:sz w:val="12"/>
          <w:szCs w:val="12"/>
          <w:color w:val="auto"/>
        </w:rPr>
        <w:t>”) as the absolute owner of such Warrant and of each Warrant represented thereby, for the purpose of any exercise thereof, and for all other purposes, and neither the Company nor the Warrant Agent shall be affected by any notice to the contrary.</w:t>
      </w:r>
    </w:p>
    <w:p>
      <w:pPr>
        <w:spacing w:after="0" w:line="119" w:lineRule="exact"/>
        <w:rPr>
          <w:sz w:val="20"/>
          <w:szCs w:val="20"/>
          <w:color w:val="auto"/>
        </w:rPr>
      </w:pPr>
    </w:p>
    <w:p>
      <w:pPr>
        <w:ind w:left="540" w:hanging="116"/>
        <w:spacing w:after="0"/>
        <w:tabs>
          <w:tab w:leader="none" w:pos="5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Terms and Exercise of 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u w:val="single" w:color="auto"/>
          <w:color w:val="auto"/>
        </w:rPr>
        <w:t>Warrant Price</w:t>
      </w:r>
      <w:r>
        <w:rPr>
          <w:rFonts w:ascii="Times New Roman" w:cs="Times New Roman" w:eastAsia="Times New Roman" w:hAnsi="Times New Roman"/>
          <w:sz w:val="12"/>
          <w:szCs w:val="12"/>
          <w:color w:val="auto"/>
        </w:rPr>
        <w:t xml:space="preserve">. Each Warrant shall entitle the Registered Holder thereof, subject to the provisions of such Warrant and of this Agreement, including without limitation,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subsection 3.3.6</w:t>
      </w:r>
      <w:r>
        <w:rPr>
          <w:rFonts w:ascii="Times New Roman" w:cs="Times New Roman" w:eastAsia="Times New Roman" w:hAnsi="Times New Roman"/>
          <w:sz w:val="12"/>
          <w:szCs w:val="12"/>
          <w:color w:val="auto"/>
        </w:rPr>
        <w:t xml:space="preserve">, to purchase from the Company the number of Shares stated therein, at the price of $10.134 per share, subject to the adjustments provided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hereof and in the last sentence of this </w:t>
      </w:r>
      <w:r>
        <w:rPr>
          <w:rFonts w:ascii="Times New Roman" w:cs="Times New Roman" w:eastAsia="Times New Roman" w:hAnsi="Times New Roman"/>
          <w:sz w:val="12"/>
          <w:szCs w:val="12"/>
          <w:u w:val="single" w:color="auto"/>
          <w:color w:val="auto"/>
        </w:rPr>
        <w:t>Section 3.1</w:t>
      </w:r>
      <w:r>
        <w:rPr>
          <w:rFonts w:ascii="Times New Roman" w:cs="Times New Roman" w:eastAsia="Times New Roman" w:hAnsi="Times New Roman"/>
          <w:sz w:val="12"/>
          <w:szCs w:val="12"/>
          <w:color w:val="auto"/>
        </w:rPr>
        <w:t>. The term “</w:t>
      </w:r>
      <w:r>
        <w:rPr>
          <w:rFonts w:ascii="Times New Roman" w:cs="Times New Roman" w:eastAsia="Times New Roman" w:hAnsi="Times New Roman"/>
          <w:sz w:val="12"/>
          <w:szCs w:val="12"/>
          <w:b w:val="1"/>
          <w:bCs w:val="1"/>
          <w:color w:val="auto"/>
        </w:rPr>
        <w:t>Warrant Price</w:t>
      </w:r>
      <w:r>
        <w:rPr>
          <w:rFonts w:ascii="Times New Roman" w:cs="Times New Roman" w:eastAsia="Times New Roman" w:hAnsi="Times New Roman"/>
          <w:sz w:val="12"/>
          <w:szCs w:val="12"/>
          <w:color w:val="auto"/>
        </w:rPr>
        <w:t xml:space="preserve">” as used in this Agreement shall mean the price per share payable in cash described in the prior sentence at which the Shares may be purchased at the time a Warrant is exercised. The Company in its sole discretion may lower the Warrant Price at any time prior to the Expiration Date (as defined below) for a period of not less than fifteen (15) business days (unless otherwise required by the Commission, any national securities exchange on which the Warrants are listed or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Company shall provide at least three (3) days’ prior written notice of such reduction to Registered Holders of the Warrants and, provided further that any such reduction shall be identical among all of the Warrants. The Company may not reduce the Warrant Price below the greater of (i) 50% of the original Warrant Price, or (ii) the par value of the Common Stock, without the prior written consent of Holders of a majority of the outstanding Warrants.</w:t>
      </w:r>
    </w:p>
    <w:p>
      <w:pPr>
        <w:spacing w:after="0" w:line="12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Duration of Warrants</w:t>
      </w:r>
      <w:r>
        <w:rPr>
          <w:rFonts w:ascii="Times New Roman" w:cs="Times New Roman" w:eastAsia="Times New Roman" w:hAnsi="Times New Roman"/>
          <w:sz w:val="12"/>
          <w:szCs w:val="12"/>
          <w:color w:val="auto"/>
        </w:rPr>
        <w:t>. A Warrant may be exercised only during the period (the “</w:t>
      </w:r>
      <w:r>
        <w:rPr>
          <w:rFonts w:ascii="Times New Roman" w:cs="Times New Roman" w:eastAsia="Times New Roman" w:hAnsi="Times New Roman"/>
          <w:sz w:val="12"/>
          <w:szCs w:val="12"/>
          <w:b w:val="1"/>
          <w:bCs w:val="1"/>
          <w:color w:val="auto"/>
        </w:rPr>
        <w:t>Exercise Period</w:t>
      </w:r>
      <w:r>
        <w:rPr>
          <w:rFonts w:ascii="Times New Roman" w:cs="Times New Roman" w:eastAsia="Times New Roman" w:hAnsi="Times New Roman"/>
          <w:sz w:val="12"/>
          <w:szCs w:val="12"/>
          <w:color w:val="auto"/>
        </w:rPr>
        <w:t>”) beginning on the effective date of Shareholder Approval (as defined below) and ending on 5:00 p.m., New York City time, on the date that is thirty-six (36) months after the effective date of Shareholder Approval (the “</w:t>
      </w:r>
      <w:r>
        <w:rPr>
          <w:rFonts w:ascii="Times New Roman" w:cs="Times New Roman" w:eastAsia="Times New Roman" w:hAnsi="Times New Roman"/>
          <w:sz w:val="12"/>
          <w:szCs w:val="12"/>
          <w:b w:val="1"/>
          <w:bCs w:val="1"/>
          <w:color w:val="auto"/>
        </w:rPr>
        <w:t>Expiration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however, that the exercise of any Warrant shall be subject to the satisfaction of any applicable conditions, as set forth in </w:t>
      </w:r>
      <w:r>
        <w:rPr>
          <w:rFonts w:ascii="Times New Roman" w:cs="Times New Roman" w:eastAsia="Times New Roman" w:hAnsi="Times New Roman"/>
          <w:sz w:val="12"/>
          <w:szCs w:val="12"/>
          <w:u w:val="single" w:color="auto"/>
          <w:color w:val="auto"/>
        </w:rPr>
        <w:t>subsection 3.3.2</w:t>
      </w:r>
      <w:r>
        <w:rPr>
          <w:rFonts w:ascii="Times New Roman" w:cs="Times New Roman" w:eastAsia="Times New Roman" w:hAnsi="Times New Roman"/>
          <w:sz w:val="12"/>
          <w:szCs w:val="12"/>
          <w:color w:val="auto"/>
        </w:rPr>
        <w:t xml:space="preserve"> below, with respect to an effective registration statement. Each outstanding Warrant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provide at least twenty (20) days prior written notice of any such extension to Registered Holders of the Warrants and,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that any such extension shall be identical in duration among all the Warrants.</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u w:val="single" w:color="auto"/>
          <w:color w:val="auto"/>
        </w:rPr>
        <w:t>Exercise of 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3.3.1 </w:t>
      </w:r>
      <w:r>
        <w:rPr>
          <w:rFonts w:ascii="Times New Roman" w:cs="Times New Roman" w:eastAsia="Times New Roman" w:hAnsi="Times New Roman"/>
          <w:sz w:val="12"/>
          <w:szCs w:val="12"/>
          <w:u w:val="single" w:color="auto"/>
          <w:color w:val="auto"/>
        </w:rPr>
        <w:t>Payment</w:t>
      </w:r>
      <w:r>
        <w:rPr>
          <w:rFonts w:ascii="Times New Roman" w:cs="Times New Roman" w:eastAsia="Times New Roman" w:hAnsi="Times New Roman"/>
          <w:sz w:val="12"/>
          <w:szCs w:val="12"/>
          <w:color w:val="auto"/>
        </w:rPr>
        <w:t xml:space="preserve">. Subject to the provisions of the Warrant and this Agreement, including without limitation,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subsection 3.3.6</w:t>
      </w:r>
      <w:r>
        <w:rPr>
          <w:rFonts w:ascii="Times New Roman" w:cs="Times New Roman" w:eastAsia="Times New Roman" w:hAnsi="Times New Roman"/>
          <w:sz w:val="12"/>
          <w:szCs w:val="12"/>
          <w:color w:val="auto"/>
        </w:rPr>
        <w:t>, a Warrant may be exercised by the Registered Holder thereof by delivering to the Warrant Agent (i) the Warrants to be exercised (the “</w:t>
      </w:r>
      <w:r>
        <w:rPr>
          <w:rFonts w:ascii="Times New Roman" w:cs="Times New Roman" w:eastAsia="Times New Roman" w:hAnsi="Times New Roman"/>
          <w:sz w:val="12"/>
          <w:szCs w:val="12"/>
          <w:b w:val="1"/>
          <w:bCs w:val="1"/>
          <w:color w:val="auto"/>
        </w:rPr>
        <w:t>Book-Entry Warrants</w:t>
      </w:r>
      <w:r>
        <w:rPr>
          <w:rFonts w:ascii="Times New Roman" w:cs="Times New Roman" w:eastAsia="Times New Roman" w:hAnsi="Times New Roman"/>
          <w:sz w:val="12"/>
          <w:szCs w:val="12"/>
          <w:color w:val="auto"/>
        </w:rPr>
        <w:t>”) on the records of the Warrant Agent to an account of the Warrant Agent designated for such purposes and (ii) an election to purchase (“</w:t>
      </w:r>
      <w:r>
        <w:rPr>
          <w:rFonts w:ascii="Times New Roman" w:cs="Times New Roman" w:eastAsia="Times New Roman" w:hAnsi="Times New Roman"/>
          <w:sz w:val="12"/>
          <w:szCs w:val="12"/>
          <w:b w:val="1"/>
          <w:bCs w:val="1"/>
          <w:color w:val="auto"/>
        </w:rPr>
        <w:t>Election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Purchase</w:t>
      </w:r>
      <w:r>
        <w:rPr>
          <w:rFonts w:ascii="Times New Roman" w:cs="Times New Roman" w:eastAsia="Times New Roman" w:hAnsi="Times New Roman"/>
          <w:sz w:val="12"/>
          <w:szCs w:val="12"/>
          <w:color w:val="auto"/>
        </w:rPr>
        <w:t>”) Shares pursuant to the exercise of a Warrant, properly delivered by the Holder, in lawful money of the United States, in good certified check or wire payable to the Warrant Agent or by wire transfer of immediately available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5" w:name="page56"/>
    <w:bookmarkEnd w:id="55"/>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 xml:space="preserve">3.3.2 </w:t>
      </w:r>
      <w:r>
        <w:rPr>
          <w:rFonts w:ascii="Times New Roman" w:cs="Times New Roman" w:eastAsia="Times New Roman" w:hAnsi="Times New Roman"/>
          <w:sz w:val="12"/>
          <w:szCs w:val="12"/>
          <w:u w:val="single" w:color="auto"/>
          <w:color w:val="auto"/>
        </w:rPr>
        <w:t>Issuance of Shares on Exercise</w:t>
      </w:r>
      <w:r>
        <w:rPr>
          <w:rFonts w:ascii="Times New Roman" w:cs="Times New Roman" w:eastAsia="Times New Roman" w:hAnsi="Times New Roman"/>
          <w:sz w:val="12"/>
          <w:szCs w:val="12"/>
          <w:color w:val="auto"/>
        </w:rPr>
        <w:t xml:space="preserve">. As soon as practicable after the exercise of any Warrant and the clearance of the funds in payment of the Warrant Price but in any event no later than two (days) from such exercise, the Company shall issue to the Registered Holder of such Warrant a book-entry position or certificate, as applicable, for the number of Shares to which he, she or it is entitled, registered in such name or names as may be directed by him, her or it, and if such Warrant shall not have been exercised in full, a new book-entry position or countersigned Warrant, as applicable, for the number of Shares as to which such Warrant shall not have been exercised. If fewer than all the Warrants evidenced by a Book-Entry Warrant Certificate are exercised, a notation shall be made to the records maintained by the Warrant Agent, its nominee for each Book-Entry Warrant Certificate, as appropriate, evidencing the balance of the Warrants remaining after such exercise. Notwithstanding the foregoing, the Company shall not be obligated to deliver any Shares pursuant to the exercise of a Warrant and shall have no obligation to settle such Warrant exercise until receipt of Shareholder Approval in accordance with </w:t>
      </w:r>
      <w:r>
        <w:rPr>
          <w:rFonts w:ascii="Times New Roman" w:cs="Times New Roman" w:eastAsia="Times New Roman" w:hAnsi="Times New Roman"/>
          <w:sz w:val="12"/>
          <w:szCs w:val="12"/>
          <w:u w:val="single" w:color="auto"/>
          <w:color w:val="auto"/>
        </w:rPr>
        <w:t>subsection 3.3.6</w:t>
      </w:r>
      <w:r>
        <w:rPr>
          <w:rFonts w:ascii="Times New Roman" w:cs="Times New Roman" w:eastAsia="Times New Roman" w:hAnsi="Times New Roman"/>
          <w:sz w:val="12"/>
          <w:szCs w:val="12"/>
          <w:color w:val="auto"/>
        </w:rPr>
        <w:t xml:space="preserve"> and unless a registration statement under the Securities Act with respect to the resale by the Registered Holders of both the Warrants and the Shares issuable upon exercise the Warrants is then effective and a prospectus relating thereto is current, subject to the Company’s satisfying its obligations under this </w:t>
      </w:r>
      <w:r>
        <w:rPr>
          <w:rFonts w:ascii="Times New Roman" w:cs="Times New Roman" w:eastAsia="Times New Roman" w:hAnsi="Times New Roman"/>
          <w:sz w:val="12"/>
          <w:szCs w:val="12"/>
          <w:u w:val="single" w:color="auto"/>
          <w:color w:val="auto"/>
        </w:rPr>
        <w:t>Section 3.3.2</w:t>
      </w:r>
      <w:r>
        <w:rPr>
          <w:rFonts w:ascii="Times New Roman" w:cs="Times New Roman" w:eastAsia="Times New Roman" w:hAnsi="Times New Roman"/>
          <w:sz w:val="12"/>
          <w:szCs w:val="12"/>
          <w:color w:val="auto"/>
        </w:rPr>
        <w:t xml:space="preserve">. No Warrant shall be exercisable and the Company shall not be obligated to issue Shares upon exercise of a Warrant unless the Shares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Warrant, the holder of such Warrant shall not be entitled to exercise such Warrant. In no event will the Company be required to net cash settle such Warrant exercise. Notwithstanding the foregoing, if at any time the Shares issued upon exercise of a Warrant constitute “restricted securities” (as defined in Rule 144 under the Securities Act), then the Company shall be permitted to add a legend in the form of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hereto to such Shares. In the event a registration statement is not effective or a prospectus relating thereto is not current, the Company shall, upon exercise of this Warrant for cash, deliver the underlying Shares as ‘restricted securities’ under the Securities Act, subject to an appropriate restrictive legend, and such Shares shall be deemed validly issued, fully paid and non-assessable. The Company shall cooperate in all respects, and shall cause its transfer agent to cooperate, in connection with any request by a Holder to remove restrictive legends or transfer restrictions from any Shares issued upon exercise of the Warrants, to the same extent and subject to the same procedures, standards and timing as are set forth in the Purchase Agreement. For the avoidance of doubt, the Holder shall be entitled to the same rights with respect to legend removal and transfer of Shares issuable upon exercise of the Warrants as it would have had under the Purchase Agreement with respect to the Acquired Securities.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3.3.3 </w:t>
      </w:r>
      <w:r>
        <w:rPr>
          <w:rFonts w:ascii="Times New Roman" w:cs="Times New Roman" w:eastAsia="Times New Roman" w:hAnsi="Times New Roman"/>
          <w:sz w:val="12"/>
          <w:szCs w:val="12"/>
          <w:u w:val="single" w:color="auto"/>
          <w:color w:val="auto"/>
        </w:rPr>
        <w:t>Valid Issuance</w:t>
      </w:r>
      <w:r>
        <w:rPr>
          <w:rFonts w:ascii="Times New Roman" w:cs="Times New Roman" w:eastAsia="Times New Roman" w:hAnsi="Times New Roman"/>
          <w:sz w:val="12"/>
          <w:szCs w:val="12"/>
          <w:color w:val="auto"/>
        </w:rPr>
        <w:t>. All Shares issued upon the proper exercise of a Warrant in conformity with this Agreement shall be validly issued, fully paid and non-assessable.</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3.3.4 </w:t>
      </w:r>
      <w:r>
        <w:rPr>
          <w:rFonts w:ascii="Times New Roman" w:cs="Times New Roman" w:eastAsia="Times New Roman" w:hAnsi="Times New Roman"/>
          <w:sz w:val="12"/>
          <w:szCs w:val="12"/>
          <w:u w:val="single" w:color="auto"/>
          <w:color w:val="auto"/>
        </w:rPr>
        <w:t>Date of Issuance</w:t>
      </w:r>
      <w:r>
        <w:rPr>
          <w:rFonts w:ascii="Times New Roman" w:cs="Times New Roman" w:eastAsia="Times New Roman" w:hAnsi="Times New Roman"/>
          <w:sz w:val="12"/>
          <w:szCs w:val="12"/>
          <w:color w:val="auto"/>
        </w:rPr>
        <w:t>. Each person in whose name any book-entry position or certificate, as applicable, for Shares is issued shall for all purposes be deemed to have become the holder of record of such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share transfer books of the Company or book-entry system of the Warrant Agent are closed, such person shall be deemed to have become the holder of such Shares at the close of business on the next succeeding date on which the share transfer books or book-entry system are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6" w:name="page57"/>
    <w:bookmarkEnd w:id="56"/>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 xml:space="preserve">3.3.5 </w:t>
      </w:r>
      <w:r>
        <w:rPr>
          <w:rFonts w:ascii="Times New Roman" w:cs="Times New Roman" w:eastAsia="Times New Roman" w:hAnsi="Times New Roman"/>
          <w:sz w:val="12"/>
          <w:szCs w:val="12"/>
          <w:u w:val="single" w:color="auto"/>
          <w:color w:val="auto"/>
        </w:rPr>
        <w:t>Maximum Percentage</w:t>
      </w:r>
      <w:r>
        <w:rPr>
          <w:rFonts w:ascii="Times New Roman" w:cs="Times New Roman" w:eastAsia="Times New Roman" w:hAnsi="Times New Roman"/>
          <w:sz w:val="12"/>
          <w:szCs w:val="12"/>
          <w:color w:val="auto"/>
        </w:rPr>
        <w:t xml:space="preserve">. A holder of a Warrant may notify the Company in writing in the event it elects to be subject to the provisions contained in this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however, no holder of a Warrant shall be subject to this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or any “group” of which the holder or its affiliate is a member, would beneficially own in excess of 4.99% or 9.99% (or such other amount as a holder may specify) (the “</w:t>
      </w:r>
      <w:r>
        <w:rPr>
          <w:rFonts w:ascii="Times New Roman" w:cs="Times New Roman" w:eastAsia="Times New Roman" w:hAnsi="Times New Roman"/>
          <w:sz w:val="12"/>
          <w:szCs w:val="12"/>
          <w:b w:val="1"/>
          <w:bCs w:val="1"/>
          <w:color w:val="auto"/>
        </w:rPr>
        <w:t>Maximum Percentage</w:t>
      </w:r>
      <w:r>
        <w:rPr>
          <w:rFonts w:ascii="Times New Roman" w:cs="Times New Roman" w:eastAsia="Times New Roman" w:hAnsi="Times New Roman"/>
          <w:sz w:val="12"/>
          <w:szCs w:val="12"/>
          <w:color w:val="auto"/>
        </w:rPr>
        <w:t>”) of the Shares outstanding immediately after giving effect to such exercise. For purposes of the foregoing sentence, the aggregate number of Shares beneficially owned by such person and its affiliates, or any group of which such person and its affiliates is a member, shall include the number of Shares issuable upon exercise of the Warrant with respect to which the determination of such sentence is being made, but shall exclude Shares that would be issuable upon (x) exercise of the remaining, unexercised portion of the Warrant beneficially owned by such person and its affiliates, or any group of which any such person or its affiliates is a member, and (y) exercise or conversion of the unexercised or unconverted portion of any other securities of the Company beneficially owned by such person and its affiliates, or any group of which such person or its affiliates is a member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xml:space="preserve">”), and the applicable regulations of the Commission. For purposes hereof, “group” has the meaning set forth in Section 13(d) of the Exchange Act and applicable regulations of the Commission, and the percentage held by the holder shall be determined in a manner consistent with the provisions of Section 13(d) of the Exchange Act. To the extent that a holder makes the election described in this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the Warrant Agent shall not effect the exercise of the holder’s Warrant, and such holder shall not have the right to exercise such Warrant unless it provides to the Warrant Agent in its Election to Purchase, a certification that, upon after giving effect to such exercise, such person (together with such person’s affiliates) or any “group” of which such holder or its affiliates is a member, would not beneficially own in excess of the Maximum Percentage of the Shares outstanding immediately after giving effect to such exercise as determined in accordance with this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For purposes of the Warrant, in determining the number of outstanding Shares, the holder may rely on the number of outstanding Shares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Shares outstanding. For any reason at any time, upon the written request of the holder of the Warrant, the Company shall, within two (2) business days, confirm orally and in writing to such holder the number of Shares then outstanding. In the event that the exercise of the Warrant results in the person (together with such person’s affiliates) or any “group” of which such Subscriber or its affiliates is a member being deemed to beneficially own, in the aggregate, more than the Maximum Percentage, the number of shares so issued by which such person (together with such person’s affiliates) or any “group” of which such Subscriber or its affiliates is a member exceeds the Maximum Percentage (the “Excess Shares”) hall be deemed null and void and shall be cancelled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and the Subscriber shall not have the power to vote or transfer the Excess Shares. In any case, the number of outstanding Shares shall be determined after giving effect to the conversion or exercise of equity securities of the Company by the holder and its affiliates since the date as of which such number of outstanding Shares was reported. By written notice to the Company, the holder of a Warrant may from time to time increase or decrease the Maximum Percentage applicable to such holder to any other percentage specified in such notice;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any such increase shall not be effective until the sixty-first (61st) day after such notice is delivered to the Company.</w:t>
      </w:r>
    </w:p>
    <w:p>
      <w:pPr>
        <w:spacing w:after="0" w:line="13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3.3.6 </w:t>
      </w:r>
      <w:r>
        <w:rPr>
          <w:rFonts w:ascii="Times New Roman" w:cs="Times New Roman" w:eastAsia="Times New Roman" w:hAnsi="Times New Roman"/>
          <w:sz w:val="12"/>
          <w:szCs w:val="12"/>
          <w:u w:val="single" w:color="auto"/>
          <w:color w:val="auto"/>
        </w:rPr>
        <w:t>Trading Market Limitation</w:t>
      </w:r>
      <w:r>
        <w:rPr>
          <w:rFonts w:ascii="Times New Roman" w:cs="Times New Roman" w:eastAsia="Times New Roman" w:hAnsi="Times New Roman"/>
          <w:sz w:val="12"/>
          <w:szCs w:val="12"/>
          <w:color w:val="auto"/>
        </w:rPr>
        <w:t>. Notwithstanding any other provision herein, a Warrant may not be exercised, and the Company may not issue any shares of Common Stock upon submission of an Election to Purchase, until receipt of Shareholder Approval. Until receipt of Shareholder Approval, no holder of a Warrant shall be issued shares of Common Stock upon an attempted exercise of such Warrant. As used herein, “Shareholder Approval” means such approval as may be required by the applicable rules and regulations of the Nasdaq Stock Market (or any successor entity) from the shareholders of the Company with respect to the transactions contemplated by the Purchase Agreement, specifically the issuance of Shares upon the exercise of the Warrants in connection with the receipt of an in-kind payment by the Company, such as SOL, the native cryptocurrency of Solana, a blockchain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7" w:name="page58"/>
    <w:bookmarkEnd w:id="57"/>
    <w:p>
      <w:pPr>
        <w:ind w:left="548" w:hanging="116"/>
        <w:spacing w:after="0"/>
        <w:tabs>
          <w:tab w:leader="none" w:pos="54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Adjustments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12"/>
          <w:szCs w:val="12"/>
          <w:u w:val="single" w:color="auto"/>
          <w:color w:val="auto"/>
        </w:rPr>
        <w:t>Share Capitalizations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432"/>
        <w:spacing w:after="0" w:line="278" w:lineRule="auto"/>
        <w:rPr>
          <w:sz w:val="20"/>
          <w:szCs w:val="20"/>
          <w:color w:val="auto"/>
        </w:rPr>
      </w:pPr>
      <w:r>
        <w:rPr>
          <w:rFonts w:ascii="Times New Roman" w:cs="Times New Roman" w:eastAsia="Times New Roman" w:hAnsi="Times New Roman"/>
          <w:sz w:val="11"/>
          <w:szCs w:val="11"/>
          <w:color w:val="auto"/>
        </w:rPr>
        <w:t xml:space="preserve">4.1.1 </w:t>
      </w:r>
      <w:r>
        <w:rPr>
          <w:rFonts w:ascii="Times New Roman" w:cs="Times New Roman" w:eastAsia="Times New Roman" w:hAnsi="Times New Roman"/>
          <w:sz w:val="11"/>
          <w:szCs w:val="11"/>
          <w:u w:val="single" w:color="auto"/>
          <w:color w:val="auto"/>
        </w:rPr>
        <w:t>Sub-division</w:t>
      </w:r>
      <w:r>
        <w:rPr>
          <w:rFonts w:ascii="Times New Roman" w:cs="Times New Roman" w:eastAsia="Times New Roman" w:hAnsi="Times New Roman"/>
          <w:sz w:val="11"/>
          <w:szCs w:val="11"/>
          <w:color w:val="auto"/>
        </w:rPr>
        <w:t xml:space="preserve">. If after the date hereof, and subject to the provisions of </w:t>
      </w:r>
      <w:r>
        <w:rPr>
          <w:rFonts w:ascii="Times New Roman" w:cs="Times New Roman" w:eastAsia="Times New Roman" w:hAnsi="Times New Roman"/>
          <w:sz w:val="11"/>
          <w:szCs w:val="11"/>
          <w:u w:val="single" w:color="auto"/>
          <w:color w:val="auto"/>
        </w:rPr>
        <w:t>Section 4.6</w:t>
      </w:r>
      <w:r>
        <w:rPr>
          <w:rFonts w:ascii="Times New Roman" w:cs="Times New Roman" w:eastAsia="Times New Roman" w:hAnsi="Times New Roman"/>
          <w:sz w:val="11"/>
          <w:szCs w:val="11"/>
          <w:color w:val="auto"/>
        </w:rPr>
        <w:t xml:space="preserve"> below, the number of outstanding Shares is increased by a share capitalization or share dividend payable in Shares, or by a sub-division of Shares or other similar event, then, on the effective date of such share capitalization, sub-division or similar event, the number of Shares issuable on exercise of each Warrant shall be increased in proportion to such increase in the outstanding Shares. A rights offering made to all or substantially all holders of the Shares entitling holders to purchase Shares at a price less than the Historical Fair Market Value (as defined below) shall be deemed a share capitalization of a number of Shares equal to the product of (i) the number of Shares actually sold in such rights offering (or issuable under any other equity securities sold in such rights offering that are convertible into or exercisable for Shares) and</w:t>
      </w:r>
    </w:p>
    <w:p>
      <w:pPr>
        <w:spacing w:after="0" w:line="1" w:lineRule="exact"/>
        <w:rPr>
          <w:sz w:val="20"/>
          <w:szCs w:val="20"/>
          <w:color w:val="auto"/>
        </w:rPr>
      </w:pPr>
    </w:p>
    <w:p>
      <w:pPr>
        <w:jc w:val="both"/>
        <w:ind w:left="8" w:hanging="8"/>
        <w:spacing w:after="0" w:line="253" w:lineRule="auto"/>
        <w:tabs>
          <w:tab w:leader="none" w:pos="193"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one (1) minus the quotient of (x) the price per Share paid in such rights offering divided by (y) the Historical Fair Market Value. For purposes of this </w:t>
      </w:r>
      <w:r>
        <w:rPr>
          <w:rFonts w:ascii="Times New Roman" w:cs="Times New Roman" w:eastAsia="Times New Roman" w:hAnsi="Times New Roman"/>
          <w:sz w:val="12"/>
          <w:szCs w:val="12"/>
          <w:u w:val="single" w:color="auto"/>
          <w:color w:val="auto"/>
        </w:rPr>
        <w:t>subsection 4.1.1</w:t>
      </w:r>
      <w:r>
        <w:rPr>
          <w:rFonts w:ascii="Times New Roman" w:cs="Times New Roman" w:eastAsia="Times New Roman" w:hAnsi="Times New Roman"/>
          <w:sz w:val="12"/>
          <w:szCs w:val="12"/>
          <w:color w:val="auto"/>
        </w:rPr>
        <w:t>, (i) if the rights offering is for securities convertible into or exercisable for Shares, in determining the price payable for Shares, there shall be taken into account any consideration received for such rights, as well as any additional amount payable upon exercise or conversion and (ii) “</w:t>
      </w:r>
      <w:r>
        <w:rPr>
          <w:rFonts w:ascii="Times New Roman" w:cs="Times New Roman" w:eastAsia="Times New Roman" w:hAnsi="Times New Roman"/>
          <w:sz w:val="12"/>
          <w:szCs w:val="12"/>
          <w:b w:val="1"/>
          <w:bCs w:val="1"/>
          <w:color w:val="auto"/>
        </w:rPr>
        <w:t>Historical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Fair Market Value</w:t>
      </w:r>
      <w:r>
        <w:rPr>
          <w:rFonts w:ascii="Times New Roman" w:cs="Times New Roman" w:eastAsia="Times New Roman" w:hAnsi="Times New Roman"/>
          <w:sz w:val="12"/>
          <w:szCs w:val="12"/>
          <w:color w:val="auto"/>
        </w:rPr>
        <w:t>” means the volume weighted average price of the Shares as reported during the ten (10) trading day period ending on the trading day prior to the first date on which the Shares trade on the applicable exchange or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applicable market, regular way, without the right to receive such rights. No Shares shall be issued at less than their par value.</w:t>
      </w:r>
    </w:p>
    <w:p>
      <w:pPr>
        <w:spacing w:after="0" w:line="127"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 xml:space="preserve">4.1.2 </w:t>
      </w:r>
      <w:r>
        <w:rPr>
          <w:rFonts w:ascii="Times New Roman" w:cs="Times New Roman" w:eastAsia="Times New Roman" w:hAnsi="Times New Roman"/>
          <w:sz w:val="12"/>
          <w:szCs w:val="12"/>
          <w:u w:val="single" w:color="auto"/>
          <w:color w:val="auto"/>
        </w:rPr>
        <w:t>Dividends</w:t>
      </w:r>
      <w:r>
        <w:rPr>
          <w:rFonts w:ascii="Times New Roman" w:cs="Times New Roman" w:eastAsia="Times New Roman" w:hAnsi="Times New Roman"/>
          <w:sz w:val="12"/>
          <w:szCs w:val="12"/>
          <w:color w:val="auto"/>
        </w:rPr>
        <w:t>. If the Company, at any time while the Warrants are outstanding and unexpired, shall pay a dividend or make a distribution in cash, securities or other assets to all or substantially all of the holders of Shares on account of such Shares (each such event, a “</w:t>
      </w:r>
      <w:r>
        <w:rPr>
          <w:rFonts w:ascii="Times New Roman" w:cs="Times New Roman" w:eastAsia="Times New Roman" w:hAnsi="Times New Roman"/>
          <w:sz w:val="12"/>
          <w:szCs w:val="12"/>
          <w:b w:val="1"/>
          <w:bCs w:val="1"/>
          <w:color w:val="auto"/>
        </w:rPr>
        <w:t>Dividend</w:t>
      </w:r>
      <w:r>
        <w:rPr>
          <w:rFonts w:ascii="Times New Roman" w:cs="Times New Roman" w:eastAsia="Times New Roman" w:hAnsi="Times New Roman"/>
          <w:sz w:val="12"/>
          <w:szCs w:val="12"/>
          <w:color w:val="auto"/>
        </w:rPr>
        <w:t xml:space="preserve">”), other than as described in </w:t>
      </w:r>
      <w:r>
        <w:rPr>
          <w:rFonts w:ascii="Times New Roman" w:cs="Times New Roman" w:eastAsia="Times New Roman" w:hAnsi="Times New Roman"/>
          <w:sz w:val="12"/>
          <w:szCs w:val="12"/>
          <w:u w:val="single" w:color="auto"/>
          <w:color w:val="auto"/>
        </w:rPr>
        <w:t>subsection 4.1.1</w:t>
      </w:r>
      <w:r>
        <w:rPr>
          <w:rFonts w:ascii="Times New Roman" w:cs="Times New Roman" w:eastAsia="Times New Roman" w:hAnsi="Times New Roman"/>
          <w:sz w:val="12"/>
          <w:szCs w:val="12"/>
          <w:color w:val="auto"/>
        </w:rPr>
        <w:t xml:space="preserve"> above, then the Warrant Price shall be decreased, effective immediately after the effective date of such Dividend, by the amount of cash and/or the fair market value (as determined by the Board, in good faith) of any securities or other assets paid on each Share in respect of such Dividend.</w:t>
      </w:r>
    </w:p>
    <w:p>
      <w:pPr>
        <w:spacing w:after="0" w:line="11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 xml:space="preserve">4.2 </w:t>
      </w:r>
      <w:r>
        <w:rPr>
          <w:rFonts w:ascii="Times New Roman" w:cs="Times New Roman" w:eastAsia="Times New Roman" w:hAnsi="Times New Roman"/>
          <w:sz w:val="12"/>
          <w:szCs w:val="12"/>
          <w:u w:val="single" w:color="auto"/>
          <w:color w:val="auto"/>
        </w:rPr>
        <w:t>Aggregation of Shares</w:t>
      </w:r>
      <w:r>
        <w:rPr>
          <w:rFonts w:ascii="Times New Roman" w:cs="Times New Roman" w:eastAsia="Times New Roman" w:hAnsi="Times New Roman"/>
          <w:sz w:val="12"/>
          <w:szCs w:val="12"/>
          <w:color w:val="auto"/>
        </w:rPr>
        <w:t xml:space="preserve">. If after the date hereof, and subject to the provisions of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 xml:space="preserve"> hereof, the number of outstanding Shares is decreased by a consolidation, combination, reverse share sub-division or reclassification of Shares or other similar event, then, on the effective date of such consolidation, combination, reverse share sub-division, reclassification or similar event, the number of Shares issuable on exercise of each Warrant shall be decreased in proportion to such decrease in outstanding Shares.</w:t>
      </w:r>
    </w:p>
    <w:p>
      <w:pPr>
        <w:spacing w:after="0" w:line="11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u w:val="single" w:color="auto"/>
          <w:color w:val="auto"/>
        </w:rPr>
        <w:t>Adjustments in Warrant Price</w:t>
      </w:r>
      <w:r>
        <w:rPr>
          <w:rFonts w:ascii="Times New Roman" w:cs="Times New Roman" w:eastAsia="Times New Roman" w:hAnsi="Times New Roman"/>
          <w:sz w:val="12"/>
          <w:szCs w:val="12"/>
          <w:color w:val="auto"/>
        </w:rPr>
        <w:t xml:space="preserve">. Whenever the number of Shares purchasable upon the exercise of the Warrants is adjusted, as provided in </w:t>
      </w:r>
      <w:r>
        <w:rPr>
          <w:rFonts w:ascii="Times New Roman" w:cs="Times New Roman" w:eastAsia="Times New Roman" w:hAnsi="Times New Roman"/>
          <w:sz w:val="12"/>
          <w:szCs w:val="12"/>
          <w:u w:val="single" w:color="auto"/>
          <w:color w:val="auto"/>
        </w:rPr>
        <w:t>subsection 4.1.1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above, the Warrant Price shall be adjusted (to the nearest cent) by multiplying such Warrant Price immediately prior to such adjustment by a fraction (x) the numerator of which shall be the number of Shares purchasable upon the exercise of the Warrants immediately prior to such adjustment, and (y) the denominator of which shall be the number of Shares so purchasable immediately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8" w:name="page59"/>
    <w:bookmarkEnd w:id="58"/>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 xml:space="preserve">4.4 </w:t>
      </w:r>
      <w:r>
        <w:rPr>
          <w:rFonts w:ascii="Times New Roman" w:cs="Times New Roman" w:eastAsia="Times New Roman" w:hAnsi="Times New Roman"/>
          <w:sz w:val="12"/>
          <w:szCs w:val="12"/>
          <w:u w:val="single" w:color="auto"/>
          <w:color w:val="auto"/>
        </w:rPr>
        <w:t>Replacement of Securities upon Reorganization, etc</w:t>
      </w:r>
      <w:r>
        <w:rPr>
          <w:rFonts w:ascii="Times New Roman" w:cs="Times New Roman" w:eastAsia="Times New Roman" w:hAnsi="Times New Roman"/>
          <w:sz w:val="12"/>
          <w:szCs w:val="12"/>
          <w:color w:val="auto"/>
        </w:rPr>
        <w:t xml:space="preserve">. In case of any reclassification or reorganization of the outstanding Shares (other than a change covered by </w:t>
      </w:r>
      <w:r>
        <w:rPr>
          <w:rFonts w:ascii="Times New Roman" w:cs="Times New Roman" w:eastAsia="Times New Roman" w:hAnsi="Times New Roman"/>
          <w:sz w:val="12"/>
          <w:szCs w:val="12"/>
          <w:u w:val="single" w:color="auto"/>
          <w:color w:val="auto"/>
        </w:rPr>
        <w:t>subsections 4.1.1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4.1.2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hereof or that solely affects the par value of such Shares), or in the case of any merger or consolidation of the Company with or into another entity or conversion of the Company as another entity (other than a consolidation or merger in which the Company is the continuing corporation and is not a subsidiary of another entity whose shareholders did not own all or substantially all of the Shares of the Company in substantially the same proportions immediately before such transaction and that does not result in any reclassification or reorganization of the outstanding Shares), or in the case of any sale or conveyance to another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Shares of the Company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Times New Roman" w:cs="Times New Roman" w:eastAsia="Times New Roman" w:hAnsi="Times New Roman"/>
          <w:sz w:val="12"/>
          <w:szCs w:val="12"/>
          <w:b w:val="1"/>
          <w:bCs w:val="1"/>
          <w:color w:val="auto"/>
        </w:rPr>
        <w:t>Alternative Issuance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 if the holders of the Shares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Shares in such consolidation or merger that affirmatively make such election, and (ii) if a tender, exchange or redemption offer shall have been made to and accepted by the holders of the Shares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voting power of the Company’s outstanding equity securities (including with respect to the election of directors), the holder of a Warrant shall be entitled to receive as the Alternative Issuance, the weighted average of the amount of cash, securities or other property to which such holder would actually have been entitled as a shareholder if such Warrant holder had exercised the Warrant prior to the expiration of such tender or exchange offer, accepted such offer and participated in such tender or exchange offer on a pro rata basis with all other holders of Shares, subject to adjustments (from and after the consummation of such tender or exchange offer) as nearly equivalent as possible to the adjustments provided for in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provided further that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(but in no event less than zero) of (i) the Warrant Price in effect prior to such reduction minus (ii) (A) the Per Share Consideration (as defined below) minus (B) the Black-Scholes Warrant Value (as defined below). For the avoidance of doubt, this reduction shall apply regardless of whether such event is effected with or without the approval of the Company’s board of directors and irrespective of whether the consideration is paid in cash, equity, or any combination thereof. The “</w:t>
      </w:r>
      <w:r>
        <w:rPr>
          <w:rFonts w:ascii="Times New Roman" w:cs="Times New Roman" w:eastAsia="Times New Roman" w:hAnsi="Times New Roman"/>
          <w:sz w:val="12"/>
          <w:szCs w:val="12"/>
          <w:b w:val="1"/>
          <w:bCs w:val="1"/>
          <w:color w:val="auto"/>
        </w:rPr>
        <w:t>Black-Scholes Warrant Value</w:t>
      </w:r>
      <w:r>
        <w:rPr>
          <w:rFonts w:ascii="Times New Roman" w:cs="Times New Roman" w:eastAsia="Times New Roman" w:hAnsi="Times New Roman"/>
          <w:sz w:val="12"/>
          <w:szCs w:val="12"/>
          <w:color w:val="auto"/>
        </w:rPr>
        <w:t>” means the value of a Warrant immediately prior to the consummation of the applicable event, calculated using the Black-Scholes Warrant Model for a Capped American Call on Bloomberg Financial Markets (“</w:t>
      </w:r>
      <w:r>
        <w:rPr>
          <w:rFonts w:ascii="Times New Roman" w:cs="Times New Roman" w:eastAsia="Times New Roman" w:hAnsi="Times New Roman"/>
          <w:sz w:val="12"/>
          <w:szCs w:val="12"/>
          <w:b w:val="1"/>
          <w:bCs w:val="1"/>
          <w:color w:val="auto"/>
        </w:rPr>
        <w:t>Bloomberg</w:t>
      </w:r>
      <w:r>
        <w:rPr>
          <w:rFonts w:ascii="Times New Roman" w:cs="Times New Roman" w:eastAsia="Times New Roman" w:hAnsi="Times New Roman"/>
          <w:sz w:val="12"/>
          <w:szCs w:val="12"/>
          <w:color w:val="auto"/>
        </w:rPr>
        <w:t>”), utilizing the following variables: (i) volatility shall be the greater of (A) the 100-trading day volatility of the Common Stock as reported by Bloomberg under the HVT function (or any successor function) for the period ending on and including the date of public announcement of the applicable event, and (B) an annualized volatility rate of one hundred percent (100%), calculated on a per annum basis; (ii) the price per share of Common Stock shall be the greater of (x) the per share consideration offered in the applicable event and (y) the highest closing price of the Common Stock as reported on the principal trading market for the Common Stock during the period commencing on the date of public announcement of the applicable event and ending on the date that is thirty (30) days following the closing of such event.; (iii) the assumed risk-free interest rate shall correspond to the U.S. Treasury rate for a period equal to the remaining term of the Warrant; and (iv) the cost to borrow shall be zero. “</w:t>
      </w:r>
      <w:r>
        <w:rPr>
          <w:rFonts w:ascii="Times New Roman" w:cs="Times New Roman" w:eastAsia="Times New Roman" w:hAnsi="Times New Roman"/>
          <w:sz w:val="12"/>
          <w:szCs w:val="12"/>
          <w:b w:val="1"/>
          <w:bCs w:val="1"/>
          <w:color w:val="auto"/>
        </w:rPr>
        <w:t>Per Share Consideration</w:t>
      </w:r>
      <w:r>
        <w:rPr>
          <w:rFonts w:ascii="Times New Roman" w:cs="Times New Roman" w:eastAsia="Times New Roman" w:hAnsi="Times New Roman"/>
          <w:sz w:val="12"/>
          <w:szCs w:val="12"/>
          <w:color w:val="auto"/>
        </w:rPr>
        <w:t xml:space="preserve">” means (i) if the consideration paid to holders of the Shares consists exclusively of cash, the amount of such cash per Share, and (ii) in all other cases, the volume weighted average price of the Shares as reported during the ten (10) trading day period ending on the trading day prior to the effective date of the applicable event. If any reclassification or reorganization also results in a change in Shares covered by </w:t>
      </w:r>
      <w:r>
        <w:rPr>
          <w:rFonts w:ascii="Times New Roman" w:cs="Times New Roman" w:eastAsia="Times New Roman" w:hAnsi="Times New Roman"/>
          <w:sz w:val="12"/>
          <w:szCs w:val="12"/>
          <w:u w:val="single" w:color="auto"/>
          <w:color w:val="auto"/>
        </w:rPr>
        <w:t>subsection 4.1.1</w:t>
      </w:r>
      <w:r>
        <w:rPr>
          <w:rFonts w:ascii="Times New Roman" w:cs="Times New Roman" w:eastAsia="Times New Roman" w:hAnsi="Times New Roman"/>
          <w:sz w:val="12"/>
          <w:szCs w:val="12"/>
          <w:color w:val="auto"/>
        </w:rPr>
        <w:t xml:space="preserve">, then such adjustment shall be made pursuant to </w:t>
      </w:r>
      <w:r>
        <w:rPr>
          <w:rFonts w:ascii="Times New Roman" w:cs="Times New Roman" w:eastAsia="Times New Roman" w:hAnsi="Times New Roman"/>
          <w:sz w:val="12"/>
          <w:szCs w:val="12"/>
          <w:u w:val="single" w:color="auto"/>
          <w:color w:val="auto"/>
        </w:rPr>
        <w:t>subsection 4.1.1</w:t>
      </w:r>
      <w:r>
        <w:rPr>
          <w:rFonts w:ascii="Times New Roman" w:cs="Times New Roman" w:eastAsia="Times New Roman" w:hAnsi="Times New Roman"/>
          <w:sz w:val="12"/>
          <w:szCs w:val="12"/>
          <w:color w:val="auto"/>
        </w:rPr>
        <w:t xml:space="preserve"> or Sections </w:t>
      </w:r>
      <w:r>
        <w:rPr>
          <w:rFonts w:ascii="Times New Roman" w:cs="Times New Roman" w:eastAsia="Times New Roman" w:hAnsi="Times New Roman"/>
          <w:sz w:val="12"/>
          <w:szCs w:val="12"/>
          <w:u w:val="single" w:color="auto"/>
          <w:color w:val="auto"/>
        </w:rPr>
        <w:t>4.2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4.3</w:t>
      </w:r>
      <w:r>
        <w:rPr>
          <w:rFonts w:ascii="Times New Roman" w:cs="Times New Roman" w:eastAsia="Times New Roman" w:hAnsi="Times New Roman"/>
          <w:sz w:val="12"/>
          <w:szCs w:val="12"/>
          <w:color w:val="auto"/>
        </w:rPr>
        <w:t xml:space="preserve"> and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The provisions of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13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4.5 </w:t>
      </w:r>
      <w:r>
        <w:rPr>
          <w:rFonts w:ascii="Times New Roman" w:cs="Times New Roman" w:eastAsia="Times New Roman" w:hAnsi="Times New Roman"/>
          <w:sz w:val="12"/>
          <w:szCs w:val="12"/>
          <w:u w:val="single" w:color="auto"/>
          <w:color w:val="auto"/>
        </w:rPr>
        <w:t>Notices of Changes in Warrant</w:t>
      </w:r>
      <w:r>
        <w:rPr>
          <w:rFonts w:ascii="Times New Roman" w:cs="Times New Roman" w:eastAsia="Times New Roman" w:hAnsi="Times New Roman"/>
          <w:sz w:val="12"/>
          <w:szCs w:val="12"/>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Times New Roman" w:cs="Times New Roman" w:eastAsia="Times New Roman" w:hAnsi="Times New Roman"/>
          <w:sz w:val="12"/>
          <w:szCs w:val="12"/>
          <w:u w:val="single" w:color="auto"/>
          <w:color w:val="auto"/>
        </w:rPr>
        <w:t>Sections 4.1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4.3</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4.4</w:t>
      </w:r>
      <w:r>
        <w:rPr>
          <w:rFonts w:ascii="Times New Roman" w:cs="Times New Roman" w:eastAsia="Times New Roman" w:hAnsi="Times New Roman"/>
          <w:sz w:val="12"/>
          <w:szCs w:val="12"/>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4.6 </w:t>
      </w:r>
      <w:r>
        <w:rPr>
          <w:rFonts w:ascii="Times New Roman" w:cs="Times New Roman" w:eastAsia="Times New Roman" w:hAnsi="Times New Roman"/>
          <w:sz w:val="12"/>
          <w:szCs w:val="12"/>
          <w:u w:val="single" w:color="auto"/>
          <w:color w:val="auto"/>
        </w:rPr>
        <w:t>No Fractional Shares</w:t>
      </w:r>
      <w:r>
        <w:rPr>
          <w:rFonts w:ascii="Times New Roman" w:cs="Times New Roman" w:eastAsia="Times New Roman" w:hAnsi="Times New Roman"/>
          <w:sz w:val="12"/>
          <w:szCs w:val="12"/>
          <w:color w:val="auto"/>
        </w:rPr>
        <w:t xml:space="preserve">. Notwithstanding any provision contained in this Agreement to the contrary, the Company shall not issue fractional Shares upon the exercise of Warrants. If, by reason of any adjustment made pursuant to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the holder of any Warrant would be entitled, upon the exercise of such Warrant, to receive a fractional interest in a share, the Company shall, upon such exercise, round down to the nearest whole number the number of Shares to be issued to such holder.</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4.7 </w:t>
      </w:r>
      <w:r>
        <w:rPr>
          <w:rFonts w:ascii="Times New Roman" w:cs="Times New Roman" w:eastAsia="Times New Roman" w:hAnsi="Times New Roman"/>
          <w:sz w:val="12"/>
          <w:szCs w:val="12"/>
          <w:u w:val="single" w:color="auto"/>
          <w:color w:val="auto"/>
        </w:rPr>
        <w:t>Form of Warrant</w:t>
      </w:r>
      <w:r>
        <w:rPr>
          <w:rFonts w:ascii="Times New Roman" w:cs="Times New Roman" w:eastAsia="Times New Roman" w:hAnsi="Times New Roman"/>
          <w:sz w:val="12"/>
          <w:szCs w:val="12"/>
          <w:color w:val="auto"/>
        </w:rPr>
        <w:t xml:space="preserve">. The form of Warrant need not be changed because of any adjustment pursuant to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and Warrants issued after such adjustment may state the same Warrant Price and the same number of Shares as is stated in the Warrants initially issued pursuant to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4.8 </w:t>
      </w:r>
      <w:r>
        <w:rPr>
          <w:rFonts w:ascii="Times New Roman" w:cs="Times New Roman" w:eastAsia="Times New Roman" w:hAnsi="Times New Roman"/>
          <w:sz w:val="12"/>
          <w:szCs w:val="12"/>
          <w:u w:val="single" w:color="auto"/>
          <w:color w:val="auto"/>
        </w:rPr>
        <w:t>Other Events</w:t>
      </w:r>
      <w:r>
        <w:rPr>
          <w:rFonts w:ascii="Times New Roman" w:cs="Times New Roman" w:eastAsia="Times New Roman" w:hAnsi="Times New Roman"/>
          <w:sz w:val="12"/>
          <w:szCs w:val="12"/>
          <w:color w:val="auto"/>
        </w:rPr>
        <w:t xml:space="preserve">. In case any event shall occur affecting the Company as to which none of the provisions of the preceding </w:t>
      </w:r>
      <w:r>
        <w:rPr>
          <w:rFonts w:ascii="Times New Roman" w:cs="Times New Roman" w:eastAsia="Times New Roman" w:hAnsi="Times New Roman"/>
          <w:sz w:val="12"/>
          <w:szCs w:val="12"/>
          <w:u w:val="single" w:color="auto"/>
          <w:color w:val="auto"/>
        </w:rPr>
        <w:t>subsection</w:t>
      </w:r>
      <w:r>
        <w:rPr>
          <w:rFonts w:ascii="Times New Roman" w:cs="Times New Roman" w:eastAsia="Times New Roman" w:hAnsi="Times New Roman"/>
          <w:sz w:val="12"/>
          <w:szCs w:val="12"/>
          <w:color w:val="auto"/>
        </w:rPr>
        <w:t xml:space="preserve">s of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are strictly applicable, but which would require an adjustment to the terms of the Warrants in order to (i) avoid an adverse impact on the Warrants and (ii) effectuate the intent and purpose of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and, if they determine that an adjustment is necessary, the terms of such adjustment. The Company shall adjust the terms of the Warrants in a manner that is consistent with any adjustment recommended in such opinion. For the avoidance of doubt, all adjustments made pursuant to this </w:t>
      </w:r>
      <w:r>
        <w:rPr>
          <w:rFonts w:ascii="Times New Roman" w:cs="Times New Roman" w:eastAsia="Times New Roman" w:hAnsi="Times New Roman"/>
          <w:sz w:val="12"/>
          <w:szCs w:val="12"/>
          <w:u w:val="single" w:color="auto"/>
          <w:color w:val="auto"/>
        </w:rPr>
        <w:t>Section 4.8</w:t>
      </w:r>
      <w:r>
        <w:rPr>
          <w:rFonts w:ascii="Times New Roman" w:cs="Times New Roman" w:eastAsia="Times New Roman" w:hAnsi="Times New Roman"/>
          <w:sz w:val="12"/>
          <w:szCs w:val="12"/>
          <w:color w:val="auto"/>
        </w:rPr>
        <w:t xml:space="preserve"> shall be made equally to all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9" w:name="page60"/>
    <w:bookmarkEnd w:id="59"/>
    <w:p>
      <w:pPr>
        <w:ind w:left="540" w:hanging="116"/>
        <w:spacing w:after="0"/>
        <w:tabs>
          <w:tab w:leader="none" w:pos="5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and Exchange of 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u w:val="single" w:color="auto"/>
          <w:color w:val="auto"/>
        </w:rPr>
        <w:t>Registration of Transfer</w:t>
      </w:r>
      <w:r>
        <w:rPr>
          <w:rFonts w:ascii="Times New Roman" w:cs="Times New Roman" w:eastAsia="Times New Roman" w:hAnsi="Times New Roman"/>
          <w:sz w:val="12"/>
          <w:szCs w:val="12"/>
          <w:color w:val="auto"/>
        </w:rPr>
        <w:t xml:space="preserve">. The Warrant Agent shall register the transfer, from time to time, of any outstanding Warrant upon the Warrant Register, upon surrender of such Warrant for transfer, in the case of a certificated Warrant, properly endorsed with signatures properly guaranteed and accompanied by appropriate instructions for transfer;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however, that prior to the effectiveness of the registration statement registering for resale the shares underlying the Warrants, the Registered Holder shall not transfer any Warrants without the consent of the Company.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12"/>
          <w:szCs w:val="12"/>
          <w:u w:val="single" w:color="auto"/>
          <w:color w:val="auto"/>
        </w:rPr>
        <w:t>Procedure for Surrender of Warrants</w:t>
      </w:r>
      <w:r>
        <w:rPr>
          <w:rFonts w:ascii="Times New Roman" w:cs="Times New Roman" w:eastAsia="Times New Roman" w:hAnsi="Times New Roman"/>
          <w:sz w:val="12"/>
          <w:szCs w:val="12"/>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however, that except as otherwise provided herein or in any Book-Entry Warrant Certificate, each Book-Entry Warrant Certificate may be transferred only in whole and only to the Warrant Agent, to another nominee of the Warrant Agent, to a successor warrant agent, or to a nominee of a successor warrant agent;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however, that in the event that a Warrant surrendered for transfer bears a restrictive legend,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12"/>
          <w:szCs w:val="12"/>
          <w:u w:val="single" w:color="auto"/>
          <w:color w:val="auto"/>
        </w:rPr>
        <w:t>Fractional Warrants</w:t>
      </w:r>
      <w:r>
        <w:rPr>
          <w:rFonts w:ascii="Times New Roman" w:cs="Times New Roman" w:eastAsia="Times New Roman" w:hAnsi="Times New Roman"/>
          <w:sz w:val="12"/>
          <w:szCs w:val="12"/>
          <w:color w:val="auto"/>
        </w:rPr>
        <w:t>. The Warrant Agent shall not be required to effect any registration of transfer or exchange which shall result in the issuance of a warrant certificate or book-entry position for a fraction of a warrant.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5.4 </w:t>
      </w:r>
      <w:r>
        <w:rPr>
          <w:rFonts w:ascii="Times New Roman" w:cs="Times New Roman" w:eastAsia="Times New Roman" w:hAnsi="Times New Roman"/>
          <w:sz w:val="12"/>
          <w:szCs w:val="12"/>
          <w:u w:val="single" w:color="auto"/>
          <w:color w:val="auto"/>
        </w:rPr>
        <w:t>Service Charges</w:t>
      </w:r>
      <w:r>
        <w:rPr>
          <w:rFonts w:ascii="Times New Roman" w:cs="Times New Roman" w:eastAsia="Times New Roman" w:hAnsi="Times New Roman"/>
          <w:sz w:val="12"/>
          <w:szCs w:val="12"/>
          <w:color w:val="auto"/>
        </w:rPr>
        <w:t>. No service charge shall be made for any exchange or registration of transfer of Warrants.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5.5 </w:t>
      </w:r>
      <w:r>
        <w:rPr>
          <w:rFonts w:ascii="Times New Roman" w:cs="Times New Roman" w:eastAsia="Times New Roman" w:hAnsi="Times New Roman"/>
          <w:sz w:val="12"/>
          <w:szCs w:val="12"/>
          <w:u w:val="single" w:color="auto"/>
          <w:color w:val="auto"/>
        </w:rPr>
        <w:t>Warrant Execution and Countersignature</w:t>
      </w:r>
      <w:r>
        <w:rPr>
          <w:rFonts w:ascii="Times New Roman" w:cs="Times New Roman" w:eastAsia="Times New Roman" w:hAnsi="Times New Roman"/>
          <w:sz w:val="12"/>
          <w:szCs w:val="12"/>
          <w:color w:val="auto"/>
        </w:rPr>
        <w:t xml:space="preserve">. The Warrant Agent is hereby authorized to countersign and to deliver, in accordance with the terms of this Agreement, the Warrants required to be issued pursuant to the provisions of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and the Company, whenever required by the Warrant Agent, shall supply the Warrant Agent with Warrants duly executed on behalf of the Company for such purpose.</w:t>
      </w:r>
    </w:p>
    <w:p>
      <w:pPr>
        <w:spacing w:after="0" w:line="111" w:lineRule="exact"/>
        <w:rPr>
          <w:sz w:val="20"/>
          <w:szCs w:val="20"/>
          <w:color w:val="auto"/>
        </w:rPr>
      </w:pPr>
    </w:p>
    <w:p>
      <w:pPr>
        <w:ind w:left="540" w:hanging="116"/>
        <w:spacing w:after="0"/>
        <w:tabs>
          <w:tab w:leader="none" w:pos="54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Option for Soft Call</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6.1 </w:t>
      </w:r>
      <w:r>
        <w:rPr>
          <w:rFonts w:ascii="Times New Roman" w:cs="Times New Roman" w:eastAsia="Times New Roman" w:hAnsi="Times New Roman"/>
          <w:sz w:val="12"/>
          <w:szCs w:val="12"/>
          <w:u w:val="single" w:color="auto"/>
          <w:color w:val="auto"/>
        </w:rPr>
        <w:t>Option for Soft Call</w:t>
      </w:r>
      <w:r>
        <w:rPr>
          <w:rFonts w:ascii="Times New Roman" w:cs="Times New Roman" w:eastAsia="Times New Roman" w:hAnsi="Times New Roman"/>
          <w:sz w:val="12"/>
          <w:szCs w:val="12"/>
          <w:color w:val="auto"/>
        </w:rPr>
        <w:t xml:space="preserve">. Subject to the Maximum Percentage exercise limitations set forth in Section 3.3.5, the Company may require the Registered Holders of the outstanding Warrants to exercise such Warrants in full, or in part (with any partial exercise to be applied to all outstanding Warrants pro rata), at the option of the Company, upon notice to the Registered Holders of the Warrants as described in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below; provided that, prior to and as of the Soft Call Date (as defined in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(a) the Reference Value (as defined herein) has exceeded 200% of the Share Purchase Price (subject to adjustment in compliance with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hereof) (x) for at least one Measurement Period (as defined below) and (y) for each of the last five (5) consecutive trading days during the Measurement Period; and (b) the Company has an effective registration statement, including any required prospectus or prospectus supplement, registering the resale by the Registered Holders of the Shares issuable upon exercise of the Warrants. As used in this Agreement, “</w:t>
      </w:r>
      <w:r>
        <w:rPr>
          <w:rFonts w:ascii="Times New Roman" w:cs="Times New Roman" w:eastAsia="Times New Roman" w:hAnsi="Times New Roman"/>
          <w:sz w:val="12"/>
          <w:szCs w:val="12"/>
          <w:u w:val="single" w:color="auto"/>
          <w:color w:val="auto"/>
        </w:rPr>
        <w:t>Reference Value</w:t>
      </w:r>
      <w:r>
        <w:rPr>
          <w:rFonts w:ascii="Times New Roman" w:cs="Times New Roman" w:eastAsia="Times New Roman" w:hAnsi="Times New Roman"/>
          <w:sz w:val="12"/>
          <w:szCs w:val="12"/>
          <w:color w:val="auto"/>
        </w:rPr>
        <w:t xml:space="preserve">” shall mean the daily VWAP (as defined in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herein) of the Shares during any twenty (20) trading days within a thirty (30) trading-day period ending on the first trading day prior to the date on which the notice to the Registered Holders of Warrants is given pursuant to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below (the “</w:t>
      </w:r>
      <w:r>
        <w:rPr>
          <w:rFonts w:ascii="Times New Roman" w:cs="Times New Roman" w:eastAsia="Times New Roman" w:hAnsi="Times New Roman"/>
          <w:sz w:val="12"/>
          <w:szCs w:val="12"/>
          <w:u w:val="single" w:color="auto"/>
          <w:color w:val="auto"/>
        </w:rPr>
        <w:t>Measurement Period</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6.2 </w:t>
      </w:r>
      <w:r>
        <w:rPr>
          <w:rFonts w:ascii="Times New Roman" w:cs="Times New Roman" w:eastAsia="Times New Roman" w:hAnsi="Times New Roman"/>
          <w:sz w:val="12"/>
          <w:szCs w:val="12"/>
          <w:u w:val="single" w:color="auto"/>
          <w:color w:val="auto"/>
        </w:rPr>
        <w:t>Date for and Notice of Soft Call</w:t>
      </w:r>
      <w:r>
        <w:rPr>
          <w:rFonts w:ascii="Times New Roman" w:cs="Times New Roman" w:eastAsia="Times New Roman" w:hAnsi="Times New Roman"/>
          <w:sz w:val="12"/>
          <w:szCs w:val="12"/>
          <w:color w:val="auto"/>
        </w:rPr>
        <w:t xml:space="preserve">. In the event that the Company elects to mandate the exercise of the Warrants pursuant to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the Company shall fix a date for the exercise of the Warrants which shall be no earlier than the sixtieth (60th) calendar day following the date of this Agreement (the “</w:t>
      </w:r>
      <w:r>
        <w:rPr>
          <w:rFonts w:ascii="Times New Roman" w:cs="Times New Roman" w:eastAsia="Times New Roman" w:hAnsi="Times New Roman"/>
          <w:sz w:val="12"/>
          <w:szCs w:val="12"/>
          <w:u w:val="single" w:color="auto"/>
          <w:color w:val="auto"/>
        </w:rPr>
        <w:t>Soft Call Date</w:t>
      </w:r>
      <w:r>
        <w:rPr>
          <w:rFonts w:ascii="Times New Roman" w:cs="Times New Roman" w:eastAsia="Times New Roman" w:hAnsi="Times New Roman"/>
          <w:sz w:val="12"/>
          <w:szCs w:val="12"/>
          <w:color w:val="auto"/>
        </w:rPr>
        <w:t xml:space="preserve">”). Notice of Soft Call shall be sent in accordance with </w:t>
      </w:r>
      <w:r>
        <w:rPr>
          <w:rFonts w:ascii="Times New Roman" w:cs="Times New Roman" w:eastAsia="Times New Roman" w:hAnsi="Times New Roman"/>
          <w:sz w:val="12"/>
          <w:szCs w:val="12"/>
          <w:u w:val="single" w:color="auto"/>
          <w:color w:val="auto"/>
        </w:rPr>
        <w:t>Section 9.2</w:t>
      </w:r>
      <w:r>
        <w:rPr>
          <w:rFonts w:ascii="Times New Roman" w:cs="Times New Roman" w:eastAsia="Times New Roman" w:hAnsi="Times New Roman"/>
          <w:sz w:val="12"/>
          <w:szCs w:val="12"/>
          <w:color w:val="auto"/>
        </w:rPr>
        <w:t xml:space="preserve"> by the Company not less than thirty (30) days prior to the Soft Call Date to the Registered Holders of the Warrants. Such notice shall include a form of Election to Purchase, and shall state (i) briefly, the events giving rise to such Soft Call (including the Reference Value, the Measurement Period and the manner in which the Reference Value was calculated), (ii) the Soft Call Date, (iii) the applicable Warrant Price, (iv) the procedures Registered Holders must follow to exercise their Warrants, and (v) the Grace Period (as defined below) and consequences of failure to pay the applicable Warrant Price. Any notice sent in the manner herein provided shall be conclusively presumed to have been duly given whether or not the Registered Holder received such notice. On and after the Soft Call Date, the record holder of the Warrants shall have no further rights except to receive, upon surrender of the Warrants and payment in full of the applicable Warrant Price in cash, the applicable Shares issuable in connection with Warrants exercised on the Soft Call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0" w:name="page61"/>
    <w:bookmarkEnd w:id="60"/>
    <w:p>
      <w:pPr>
        <w:ind w:left="428"/>
        <w:spacing w:after="0"/>
        <w:rPr>
          <w:sz w:val="20"/>
          <w:szCs w:val="20"/>
          <w:color w:val="auto"/>
        </w:rPr>
      </w:pPr>
      <w:r>
        <w:rPr>
          <w:rFonts w:ascii="Times New Roman" w:cs="Times New Roman" w:eastAsia="Times New Roman" w:hAnsi="Times New Roman"/>
          <w:sz w:val="12"/>
          <w:szCs w:val="12"/>
          <w:color w:val="auto"/>
        </w:rPr>
        <w:t xml:space="preserve">6.3 </w:t>
      </w:r>
      <w:r>
        <w:rPr>
          <w:rFonts w:ascii="Times New Roman" w:cs="Times New Roman" w:eastAsia="Times New Roman" w:hAnsi="Times New Roman"/>
          <w:sz w:val="12"/>
          <w:szCs w:val="12"/>
          <w:u w:val="single" w:color="auto"/>
          <w:color w:val="auto"/>
        </w:rPr>
        <w:t>Non-Payment Redemption</w:t>
      </w:r>
      <w:r>
        <w:rPr>
          <w:rFonts w:ascii="Times New Roman" w:cs="Times New Roman" w:eastAsia="Times New Roman" w:hAnsi="Times New Roman"/>
          <w:sz w:val="12"/>
          <w:szCs w:val="12"/>
          <w:color w:val="auto"/>
        </w:rPr>
        <w:t xml:space="preserve">. In the event that the Company elects to mandate the exercise of the Warrants pursuant to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and the Registered Holder does not pay the applicable Warrant Price in cash within thirty</w:t>
      </w:r>
    </w:p>
    <w:p>
      <w:pPr>
        <w:spacing w:after="0" w:line="17" w:lineRule="exact"/>
        <w:rPr>
          <w:sz w:val="20"/>
          <w:szCs w:val="20"/>
          <w:color w:val="auto"/>
        </w:rPr>
      </w:pPr>
    </w:p>
    <w:p>
      <w:pPr>
        <w:jc w:val="both"/>
        <w:ind w:left="8" w:hanging="8"/>
        <w:spacing w:after="0" w:line="255" w:lineRule="auto"/>
        <w:tabs>
          <w:tab w:leader="none" w:pos="254"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days following the Soft Call Date (the “</w:t>
      </w:r>
      <w:r>
        <w:rPr>
          <w:rFonts w:ascii="Times New Roman" w:cs="Times New Roman" w:eastAsia="Times New Roman" w:hAnsi="Times New Roman"/>
          <w:sz w:val="12"/>
          <w:szCs w:val="12"/>
          <w:u w:val="single" w:color="auto"/>
          <w:color w:val="auto"/>
        </w:rPr>
        <w:t>Grace Period</w:t>
      </w:r>
      <w:r>
        <w:rPr>
          <w:rFonts w:ascii="Times New Roman" w:cs="Times New Roman" w:eastAsia="Times New Roman" w:hAnsi="Times New Roman"/>
          <w:sz w:val="12"/>
          <w:szCs w:val="12"/>
          <w:color w:val="auto"/>
        </w:rPr>
        <w:t>”), then the Company may effect, in its discretion, a redemption and subsequent cancellation of the applicable Warrants, in exchange for $0.001 per Warrant. Upon the occurrence of a redemption and cancellation as set forth above, the Company shall have no further obligation to issue Shares or make any payment to the Registered Holder with respect to such Warrants, and such Warrants shall be deemed null and void.</w:t>
      </w:r>
    </w:p>
    <w:p>
      <w:pPr>
        <w:spacing w:after="0" w:line="125"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 xml:space="preserve">For the avoidance of doubt, the Company may apply the remedies described in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on a holder-by-holder basis, and the failure of one or more Registered Holders to pay the Warrant Price shall not affect the rights or obligations of any other Registered Holder who has timely paid the Warrant Price in accordance with the terms of this Agreement.</w:t>
      </w:r>
    </w:p>
    <w:p>
      <w:pPr>
        <w:spacing w:after="0" w:line="111"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 xml:space="preserve">6.4 </w:t>
      </w:r>
      <w:r>
        <w:rPr>
          <w:rFonts w:ascii="Times New Roman" w:cs="Times New Roman" w:eastAsia="Times New Roman" w:hAnsi="Times New Roman"/>
          <w:sz w:val="12"/>
          <w:szCs w:val="12"/>
          <w:u w:val="single" w:color="auto"/>
          <w:color w:val="auto"/>
        </w:rPr>
        <w:t>Calculation of Daily VWAP</w:t>
      </w:r>
      <w:r>
        <w:rPr>
          <w:rFonts w:ascii="Times New Roman" w:cs="Times New Roman" w:eastAsia="Times New Roman" w:hAnsi="Times New Roman"/>
          <w:sz w:val="12"/>
          <w:szCs w:val="12"/>
          <w:color w:val="auto"/>
        </w:rPr>
        <w:t>. As used in this Agreement, “</w:t>
      </w:r>
      <w:r>
        <w:rPr>
          <w:rFonts w:ascii="Times New Roman" w:cs="Times New Roman" w:eastAsia="Times New Roman" w:hAnsi="Times New Roman"/>
          <w:sz w:val="12"/>
          <w:szCs w:val="12"/>
          <w:u w:val="single" w:color="auto"/>
          <w:color w:val="auto"/>
        </w:rPr>
        <w:t>VWAP</w:t>
      </w:r>
      <w:r>
        <w:rPr>
          <w:rFonts w:ascii="Times New Roman" w:cs="Times New Roman" w:eastAsia="Times New Roman" w:hAnsi="Times New Roman"/>
          <w:sz w:val="12"/>
          <w:szCs w:val="12"/>
          <w:color w:val="auto"/>
        </w:rPr>
        <w:t>” means, for any date, the price determined by the first of the following clauses that applies: (a) if the Common Stock is then listed or quoted on the Nasdaq Stock Market (the “</w:t>
      </w:r>
      <w:r>
        <w:rPr>
          <w:rFonts w:ascii="Times New Roman" w:cs="Times New Roman" w:eastAsia="Times New Roman" w:hAnsi="Times New Roman"/>
          <w:sz w:val="12"/>
          <w:szCs w:val="12"/>
          <w:u w:val="single" w:color="auto"/>
          <w:color w:val="auto"/>
        </w:rPr>
        <w:t>Trading Market</w:t>
      </w:r>
      <w:r>
        <w:rPr>
          <w:rFonts w:ascii="Times New Roman" w:cs="Times New Roman" w:eastAsia="Times New Roman" w:hAnsi="Times New Roman"/>
          <w:sz w:val="12"/>
          <w:szCs w:val="12"/>
          <w:color w:val="auto"/>
        </w:rPr>
        <w: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on the Trading Market and if prices for the Common Stock are then reported on OTCQB (as defined below) or OTCQX (as defined below), as applicable, the volume weighted average price of the Common Stock for such date (or the nearest preceding date) on OTCQB or OTCQX, as applicable, or</w:t>
      </w:r>
    </w:p>
    <w:p>
      <w:pPr>
        <w:jc w:val="both"/>
        <w:ind w:left="8" w:hanging="8"/>
        <w:spacing w:after="0" w:line="252" w:lineRule="auto"/>
        <w:tabs>
          <w:tab w:leader="none" w:pos="177"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Common Stock is not then listed or quoted for trading on the Trading Market or on OTCQB or OTCQX and if prices for the Common Stock are then reported on The Pink Open Market (or a similar organization or agency succeeding to its functions of reporting prices), the most recent Bid Price per share of the Common Stock so reported. As used in this Agreement, “</w:t>
      </w:r>
      <w:r>
        <w:rPr>
          <w:rFonts w:ascii="Times New Roman" w:cs="Times New Roman" w:eastAsia="Times New Roman" w:hAnsi="Times New Roman"/>
          <w:sz w:val="12"/>
          <w:szCs w:val="12"/>
          <w:u w:val="single" w:color="auto"/>
          <w:color w:val="auto"/>
        </w:rPr>
        <w:t>Bid Price</w:t>
      </w:r>
      <w:r>
        <w:rPr>
          <w:rFonts w:ascii="Times New Roman" w:cs="Times New Roman" w:eastAsia="Times New Roman" w:hAnsi="Times New Roman"/>
          <w:sz w:val="12"/>
          <w:szCs w:val="12"/>
          <w:color w:val="auto"/>
        </w:rPr>
        <w:t>” means, for any date, the price determined by the first of the following clauses that applies: (a) if the Common Stock is then listed or quoted on the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the Common Stock is not then listed or quoted on the Trading Market and if prices for the Common Stock are then reported on the OTCQB Venture Market (“</w:t>
      </w:r>
      <w:r>
        <w:rPr>
          <w:rFonts w:ascii="Times New Roman" w:cs="Times New Roman" w:eastAsia="Times New Roman" w:hAnsi="Times New Roman"/>
          <w:sz w:val="12"/>
          <w:szCs w:val="12"/>
          <w:u w:val="single" w:color="auto"/>
          <w:color w:val="auto"/>
        </w:rPr>
        <w:t>OTCQB</w:t>
      </w:r>
      <w:r>
        <w:rPr>
          <w:rFonts w:ascii="Times New Roman" w:cs="Times New Roman" w:eastAsia="Times New Roman" w:hAnsi="Times New Roman"/>
          <w:sz w:val="12"/>
          <w:szCs w:val="12"/>
          <w:color w:val="auto"/>
        </w:rPr>
        <w:t>”) or the OTCQX Best Market (“</w:t>
      </w:r>
      <w:r>
        <w:rPr>
          <w:rFonts w:ascii="Times New Roman" w:cs="Times New Roman" w:eastAsia="Times New Roman" w:hAnsi="Times New Roman"/>
          <w:sz w:val="12"/>
          <w:szCs w:val="12"/>
          <w:u w:val="single" w:color="auto"/>
          <w:color w:val="auto"/>
        </w:rPr>
        <w:t>OTCQX</w:t>
      </w:r>
      <w:r>
        <w:rPr>
          <w:rFonts w:ascii="Times New Roman" w:cs="Times New Roman" w:eastAsia="Times New Roman" w:hAnsi="Times New Roman"/>
          <w:sz w:val="12"/>
          <w:szCs w:val="12"/>
          <w:color w:val="auto"/>
        </w:rPr>
        <w:t>”), as applicable, the volume weighted average price of the Common Stock for such date (or the nearest preceding date) on OTCQB or OTCQX, as applicable, or (c) if the Common Stock is not then listed or quoted for trading on the Trading Market or on OTCQB or OTCQX and if prices for the Common Stock are then reported on The Pink Open Market (or a similar organization or agency succeeding to its functions of reporting prices), the most recent bid price per share of Common Stock so reported.</w:t>
      </w:r>
    </w:p>
    <w:p>
      <w:pPr>
        <w:spacing w:after="0" w:line="126" w:lineRule="exact"/>
        <w:rPr>
          <w:rFonts w:ascii="Times New Roman" w:cs="Times New Roman" w:eastAsia="Times New Roman" w:hAnsi="Times New Roman"/>
          <w:sz w:val="12"/>
          <w:szCs w:val="12"/>
          <w:color w:val="auto"/>
        </w:rPr>
      </w:pPr>
    </w:p>
    <w:p>
      <w:pPr>
        <w:ind w:left="548" w:hanging="116"/>
        <w:spacing w:after="0"/>
        <w:tabs>
          <w:tab w:leader="none" w:pos="548"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Provisions Relating to Rights of Holders of Warrants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7.1 </w:t>
      </w:r>
      <w:r>
        <w:rPr>
          <w:rFonts w:ascii="Times New Roman" w:cs="Times New Roman" w:eastAsia="Times New Roman" w:hAnsi="Times New Roman"/>
          <w:sz w:val="12"/>
          <w:szCs w:val="12"/>
          <w:u w:val="single" w:color="auto"/>
          <w:color w:val="auto"/>
        </w:rPr>
        <w:t>No Rights as Shareholder</w:t>
      </w:r>
      <w:r>
        <w:rPr>
          <w:rFonts w:ascii="Times New Roman" w:cs="Times New Roman" w:eastAsia="Times New Roman" w:hAnsi="Times New Roman"/>
          <w:sz w:val="12"/>
          <w:szCs w:val="12"/>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11"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 xml:space="preserve">7.2 </w:t>
      </w:r>
      <w:r>
        <w:rPr>
          <w:rFonts w:ascii="Times New Roman" w:cs="Times New Roman" w:eastAsia="Times New Roman" w:hAnsi="Times New Roman"/>
          <w:sz w:val="12"/>
          <w:szCs w:val="12"/>
          <w:u w:val="single" w:color="auto"/>
          <w:color w:val="auto"/>
        </w:rPr>
        <w:t>Lost, Stolen, Mutilated, or Destroyed Warrants</w:t>
      </w:r>
      <w:r>
        <w:rPr>
          <w:rFonts w:ascii="Times New Roman" w:cs="Times New Roman" w:eastAsia="Times New Roman" w:hAnsi="Times New Roman"/>
          <w:sz w:val="12"/>
          <w:szCs w:val="12"/>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1" w:name="page62"/>
    <w:bookmarkEnd w:id="61"/>
    <w:p>
      <w:pPr>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7.3 </w:t>
      </w:r>
      <w:r>
        <w:rPr>
          <w:rFonts w:ascii="Times New Roman" w:cs="Times New Roman" w:eastAsia="Times New Roman" w:hAnsi="Times New Roman"/>
          <w:sz w:val="12"/>
          <w:szCs w:val="12"/>
          <w:u w:val="single" w:color="auto"/>
          <w:color w:val="auto"/>
        </w:rPr>
        <w:t>Reservation of Shares</w:t>
      </w:r>
      <w:r>
        <w:rPr>
          <w:rFonts w:ascii="Times New Roman" w:cs="Times New Roman" w:eastAsia="Times New Roman" w:hAnsi="Times New Roman"/>
          <w:sz w:val="12"/>
          <w:szCs w:val="12"/>
          <w:color w:val="auto"/>
        </w:rPr>
        <w:t>. The Company shall at all times reserve and keep available a number of its authorized but unissued Shares that shall be sufficient to permit the exercise in full of all outstanding Warrants issued pursuant to this Agreement.</w:t>
      </w:r>
    </w:p>
    <w:p>
      <w:pPr>
        <w:spacing w:after="0" w:line="111" w:lineRule="exact"/>
        <w:rPr>
          <w:sz w:val="20"/>
          <w:szCs w:val="20"/>
          <w:color w:val="auto"/>
        </w:rPr>
      </w:pPr>
    </w:p>
    <w:p>
      <w:pPr>
        <w:ind w:left="540" w:hanging="116"/>
        <w:spacing w:after="0"/>
        <w:tabs>
          <w:tab w:leader="none" w:pos="54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Concerning the Warrant Agent and Other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8.1 </w:t>
      </w:r>
      <w:r>
        <w:rPr>
          <w:rFonts w:ascii="Times New Roman" w:cs="Times New Roman" w:eastAsia="Times New Roman" w:hAnsi="Times New Roman"/>
          <w:sz w:val="12"/>
          <w:szCs w:val="12"/>
          <w:u w:val="single" w:color="auto"/>
          <w:color w:val="auto"/>
        </w:rPr>
        <w:t>Payment of Taxes</w:t>
      </w:r>
      <w:r>
        <w:rPr>
          <w:rFonts w:ascii="Times New Roman" w:cs="Times New Roman" w:eastAsia="Times New Roman" w:hAnsi="Times New Roman"/>
          <w:sz w:val="12"/>
          <w:szCs w:val="12"/>
          <w:color w:val="auto"/>
        </w:rPr>
        <w:t>. The Company shall from time to time promptly pay all taxes and charges that may be imposed upon the Company or the Warrant Agent in respect of the issuance or delivery of Shares upon the exercise of the Warrants, but the Company shall not be obligated to pay any transfer taxes in respect of the Warrants or such Shares.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8.2 </w:t>
      </w:r>
      <w:r>
        <w:rPr>
          <w:rFonts w:ascii="Times New Roman" w:cs="Times New Roman" w:eastAsia="Times New Roman" w:hAnsi="Times New Roman"/>
          <w:sz w:val="12"/>
          <w:szCs w:val="12"/>
          <w:u w:val="single" w:color="auto"/>
          <w:color w:val="auto"/>
        </w:rPr>
        <w:t>Resignation, Consolidation, or Merger of Warrant Agent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8.2.1 </w:t>
      </w:r>
      <w:r>
        <w:rPr>
          <w:rFonts w:ascii="Times New Roman" w:cs="Times New Roman" w:eastAsia="Times New Roman" w:hAnsi="Times New Roman"/>
          <w:sz w:val="12"/>
          <w:szCs w:val="12"/>
          <w:u w:val="single" w:color="auto"/>
          <w:color w:val="auto"/>
        </w:rPr>
        <w:t>Appointment of Successor Warrant Agent</w:t>
      </w:r>
      <w:r>
        <w:rPr>
          <w:rFonts w:ascii="Times New Roman" w:cs="Times New Roman" w:eastAsia="Times New Roman" w:hAnsi="Times New Roman"/>
          <w:sz w:val="12"/>
          <w:szCs w:val="12"/>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United States of America,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2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8.2.2 </w:t>
      </w:r>
      <w:r>
        <w:rPr>
          <w:rFonts w:ascii="Times New Roman" w:cs="Times New Roman" w:eastAsia="Times New Roman" w:hAnsi="Times New Roman"/>
          <w:sz w:val="12"/>
          <w:szCs w:val="12"/>
          <w:u w:val="single" w:color="auto"/>
          <w:color w:val="auto"/>
        </w:rPr>
        <w:t>Notice of Successor Warrant Agent</w:t>
      </w:r>
      <w:r>
        <w:rPr>
          <w:rFonts w:ascii="Times New Roman" w:cs="Times New Roman" w:eastAsia="Times New Roman" w:hAnsi="Times New Roman"/>
          <w:sz w:val="12"/>
          <w:szCs w:val="12"/>
          <w:color w:val="auto"/>
        </w:rPr>
        <w:t>. In the event a successor Warrant Agent shall be appointed, the Company shall give notice thereof to the predecessor Warrant Agent and the Transfer Agent for the Shares not later than the effective date of any such appointment.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8.2.3 </w:t>
      </w:r>
      <w:r>
        <w:rPr>
          <w:rFonts w:ascii="Times New Roman" w:cs="Times New Roman" w:eastAsia="Times New Roman" w:hAnsi="Times New Roman"/>
          <w:sz w:val="12"/>
          <w:szCs w:val="12"/>
          <w:u w:val="single" w:color="auto"/>
          <w:color w:val="auto"/>
        </w:rPr>
        <w:t>Merger or Consolidation of Warrant Agent</w:t>
      </w:r>
      <w:r>
        <w:rPr>
          <w:rFonts w:ascii="Times New Roman" w:cs="Times New Roman" w:eastAsia="Times New Roman" w:hAnsi="Times New Roman"/>
          <w:sz w:val="12"/>
          <w:szCs w:val="12"/>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8.3 </w:t>
      </w:r>
      <w:r>
        <w:rPr>
          <w:rFonts w:ascii="Times New Roman" w:cs="Times New Roman" w:eastAsia="Times New Roman" w:hAnsi="Times New Roman"/>
          <w:sz w:val="12"/>
          <w:szCs w:val="12"/>
          <w:u w:val="single" w:color="auto"/>
          <w:color w:val="auto"/>
        </w:rPr>
        <w:t>Fees and Expenses of Warrant Agent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8.3.1 </w:t>
      </w:r>
      <w:r>
        <w:rPr>
          <w:rFonts w:ascii="Times New Roman" w:cs="Times New Roman" w:eastAsia="Times New Roman" w:hAnsi="Times New Roman"/>
          <w:sz w:val="12"/>
          <w:szCs w:val="12"/>
          <w:u w:val="single" w:color="auto"/>
          <w:color w:val="auto"/>
        </w:rPr>
        <w:t>Remuneration</w:t>
      </w:r>
      <w:r>
        <w:rPr>
          <w:rFonts w:ascii="Times New Roman" w:cs="Times New Roman" w:eastAsia="Times New Roman" w:hAnsi="Times New Roman"/>
          <w:sz w:val="12"/>
          <w:szCs w:val="12"/>
          <w:color w:val="auto"/>
        </w:rPr>
        <w:t>.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8.3.2 </w:t>
      </w: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2" w:name="page63"/>
    <w:bookmarkEnd w:id="62"/>
    <w:p>
      <w:pPr>
        <w:ind w:left="420"/>
        <w:spacing w:after="0"/>
        <w:rPr>
          <w:sz w:val="20"/>
          <w:szCs w:val="20"/>
          <w:color w:val="auto"/>
        </w:rPr>
      </w:pPr>
      <w:r>
        <w:rPr>
          <w:rFonts w:ascii="Times New Roman" w:cs="Times New Roman" w:eastAsia="Times New Roman" w:hAnsi="Times New Roman"/>
          <w:sz w:val="12"/>
          <w:szCs w:val="12"/>
          <w:color w:val="auto"/>
        </w:rPr>
        <w:t xml:space="preserve">8.4 </w:t>
      </w:r>
      <w:r>
        <w:rPr>
          <w:rFonts w:ascii="Times New Roman" w:cs="Times New Roman" w:eastAsia="Times New Roman" w:hAnsi="Times New Roman"/>
          <w:sz w:val="12"/>
          <w:szCs w:val="12"/>
          <w:u w:val="single" w:color="auto"/>
          <w:color w:val="auto"/>
        </w:rPr>
        <w:t>Liability of Warrant Agent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8.4.1 </w:t>
      </w:r>
      <w:r>
        <w:rPr>
          <w:rFonts w:ascii="Times New Roman" w:cs="Times New Roman" w:eastAsia="Times New Roman" w:hAnsi="Times New Roman"/>
          <w:sz w:val="12"/>
          <w:szCs w:val="12"/>
          <w:u w:val="single" w:color="auto"/>
          <w:color w:val="auto"/>
        </w:rPr>
        <w:t>Reliance on Company Statement</w:t>
      </w:r>
      <w:r>
        <w:rPr>
          <w:rFonts w:ascii="Times New Roman" w:cs="Times New Roman" w:eastAsia="Times New Roman" w:hAnsi="Times New Roman"/>
          <w:sz w:val="12"/>
          <w:szCs w:val="12"/>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President, Executive Vice President, Vice President, Secretary or Chairman of the Board of the Company and delivered to the Warrant Agent. The Warrant Agent may rely upon such statement for any action taken or suffered in good faith by it pursuant to the provisions of this Agreement.</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8.4.2 </w:t>
      </w:r>
      <w:r>
        <w:rPr>
          <w:rFonts w:ascii="Times New Roman" w:cs="Times New Roman" w:eastAsia="Times New Roman" w:hAnsi="Times New Roman"/>
          <w:sz w:val="12"/>
          <w:szCs w:val="12"/>
          <w:u w:val="single" w:color="auto"/>
          <w:color w:val="auto"/>
        </w:rPr>
        <w:t>Indemnity</w:t>
      </w:r>
      <w:r>
        <w:rPr>
          <w:rFonts w:ascii="Times New Roman" w:cs="Times New Roman" w:eastAsia="Times New Roman" w:hAnsi="Times New Roman"/>
          <w:sz w:val="12"/>
          <w:szCs w:val="12"/>
          <w:color w:val="auto"/>
        </w:rPr>
        <w:t>. The Warrant Agent shall be liable hereunder only for its own gross negligence, willful misconduct, fraud or bad faith. The Company agrees to indemnify the Warrant Agent and save it harmless against any and all liabilities, including judgments, out of pocket costs and reasonable outside counsel fees, for anything done or omitted by the Warrant Agent in the execution of this Agreement, except as a result of the Warrant Agent’s gross negligence, willful misconduct, fraud or bad faith.</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8.4.3 </w:t>
      </w:r>
      <w:r>
        <w:rPr>
          <w:rFonts w:ascii="Times New Roman" w:cs="Times New Roman" w:eastAsia="Times New Roman" w:hAnsi="Times New Roman"/>
          <w:sz w:val="12"/>
          <w:szCs w:val="12"/>
          <w:u w:val="single" w:color="auto"/>
          <w:color w:val="auto"/>
        </w:rPr>
        <w:t>Exclusions</w:t>
      </w:r>
      <w:r>
        <w:rPr>
          <w:rFonts w:ascii="Times New Roman" w:cs="Times New Roman" w:eastAsia="Times New Roman" w:hAnsi="Times New Roman"/>
          <w:sz w:val="12"/>
          <w:szCs w:val="12"/>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to be issued pursuant to this Agreement or any Warrant or as to whether any Shares shall, when issued, be valid and fully paid and non-assessable.</w:t>
      </w:r>
    </w:p>
    <w:p>
      <w:pPr>
        <w:spacing w:after="0" w:line="12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8.5 </w:t>
      </w:r>
      <w:r>
        <w:rPr>
          <w:rFonts w:ascii="Times New Roman" w:cs="Times New Roman" w:eastAsia="Times New Roman" w:hAnsi="Times New Roman"/>
          <w:sz w:val="12"/>
          <w:szCs w:val="12"/>
          <w:u w:val="single" w:color="auto"/>
          <w:color w:val="auto"/>
        </w:rPr>
        <w:t>Acceptance of Agency</w:t>
      </w:r>
      <w:r>
        <w:rPr>
          <w:rFonts w:ascii="Times New Roman" w:cs="Times New Roman" w:eastAsia="Times New Roman" w:hAnsi="Times New Roman"/>
          <w:sz w:val="12"/>
          <w:szCs w:val="12"/>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through the exercise of the Warrants.</w:t>
      </w:r>
    </w:p>
    <w:p>
      <w:pPr>
        <w:spacing w:after="0" w:line="111" w:lineRule="exact"/>
        <w:rPr>
          <w:sz w:val="20"/>
          <w:szCs w:val="20"/>
          <w:color w:val="auto"/>
        </w:rPr>
      </w:pPr>
    </w:p>
    <w:p>
      <w:pPr>
        <w:ind w:left="540" w:hanging="116"/>
        <w:spacing w:after="0"/>
        <w:tabs>
          <w:tab w:leader="none" w:pos="5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Miscellaneous Provisions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9.1 </w:t>
      </w:r>
      <w:r>
        <w:rPr>
          <w:rFonts w:ascii="Times New Roman" w:cs="Times New Roman" w:eastAsia="Times New Roman" w:hAnsi="Times New Roman"/>
          <w:sz w:val="12"/>
          <w:szCs w:val="12"/>
          <w:u w:val="single" w:color="auto"/>
          <w:color w:val="auto"/>
        </w:rPr>
        <w:t>Successors</w:t>
      </w:r>
      <w:r>
        <w:rPr>
          <w:rFonts w:ascii="Times New Roman" w:cs="Times New Roman" w:eastAsia="Times New Roman" w:hAnsi="Times New Roman"/>
          <w:sz w:val="12"/>
          <w:szCs w:val="12"/>
          <w:color w:val="auto"/>
        </w:rPr>
        <w:t>. All the covenants and provisions of this Agreement by or for the benefit of the Company or the Warrant Agent shall bind and inure to the benefit of their respective successors and assigns.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9.2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Helius Medical Technologies, Inc.</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642 Newtown Yardley Road, Suite 100</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Newtown, Pennsylvania 18940</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Attn: Dane Andreeff</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copies to:</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Honigman LLP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650 Trade Centre Way, Suite 200</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Kalamazoo, Michigan 49002</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Attn: Phillip D. Torrence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3" w:name="page64"/>
    <w:bookmarkEnd w:id="63"/>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p>
    <w:p>
      <w:pPr>
        <w:spacing w:after="0" w:line="139"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 xml:space="preserve">9.3 </w:t>
      </w:r>
      <w:r>
        <w:rPr>
          <w:rFonts w:ascii="Times New Roman" w:cs="Times New Roman" w:eastAsia="Times New Roman" w:hAnsi="Times New Roman"/>
          <w:sz w:val="12"/>
          <w:szCs w:val="12"/>
          <w:u w:val="single" w:color="auto"/>
          <w:color w:val="auto"/>
        </w:rPr>
        <w:t>Applicable Law and Exclusive Forum</w:t>
      </w:r>
      <w:r>
        <w:rPr>
          <w:rFonts w:ascii="Times New Roman" w:cs="Times New Roman" w:eastAsia="Times New Roman" w:hAnsi="Times New Roman"/>
          <w:sz w:val="12"/>
          <w:szCs w:val="12"/>
          <w:color w:val="auto"/>
        </w:rPr>
        <w:t xml:space="preserve">.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the Warrants shall be deemed to have notice of and to have consented to the forum provisions in this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If any action, the subject matter of which is within the scope the forum provisions above, is filed in a court other than a court located within the State of New York or the United States District Court for the Southern District of New York (a “</w:t>
      </w:r>
      <w:r>
        <w:rPr>
          <w:rFonts w:ascii="Times New Roman" w:cs="Times New Roman" w:eastAsia="Times New Roman" w:hAnsi="Times New Roman"/>
          <w:sz w:val="12"/>
          <w:szCs w:val="12"/>
          <w:b w:val="1"/>
          <w:bCs w:val="1"/>
          <w:color w:val="auto"/>
        </w:rPr>
        <w:t>foreign action</w:t>
      </w:r>
      <w:r>
        <w:rPr>
          <w:rFonts w:ascii="Times New Roman" w:cs="Times New Roman" w:eastAsia="Times New Roman" w:hAnsi="Times New Roman"/>
          <w:sz w:val="12"/>
          <w:szCs w:val="12"/>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Times New Roman" w:cs="Times New Roman" w:eastAsia="Times New Roman" w:hAnsi="Times New Roman"/>
          <w:sz w:val="12"/>
          <w:szCs w:val="12"/>
          <w:b w:val="1"/>
          <w:bCs w:val="1"/>
          <w:color w:val="auto"/>
        </w:rPr>
        <w:t>enforcement action</w:t>
      </w:r>
      <w:r>
        <w:rPr>
          <w:rFonts w:ascii="Times New Roman" w:cs="Times New Roman" w:eastAsia="Times New Roman" w:hAnsi="Times New Roman"/>
          <w:sz w:val="12"/>
          <w:szCs w:val="12"/>
          <w:color w:val="auto"/>
        </w:rPr>
        <w:t>”), and (y) having service of process made upon such warrant holder in any such enforcement action by service upon such warrant holder’s counsel in the foreign action as agent for such warrant holder.</w:t>
      </w:r>
    </w:p>
    <w:p>
      <w:pPr>
        <w:spacing w:after="0" w:line="12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 xml:space="preserve">9.4 </w:t>
      </w:r>
      <w:r>
        <w:rPr>
          <w:rFonts w:ascii="Times New Roman" w:cs="Times New Roman" w:eastAsia="Times New Roman" w:hAnsi="Times New Roman"/>
          <w:sz w:val="12"/>
          <w:szCs w:val="12"/>
          <w:u w:val="single" w:color="auto"/>
          <w:color w:val="auto"/>
        </w:rPr>
        <w:t>Persons Having Rights under this Agreement</w:t>
      </w:r>
      <w:r>
        <w:rPr>
          <w:rFonts w:ascii="Times New Roman" w:cs="Times New Roman" w:eastAsia="Times New Roman" w:hAnsi="Times New Roman"/>
          <w:sz w:val="12"/>
          <w:szCs w:val="12"/>
          <w:color w:val="auto"/>
        </w:rPr>
        <w:t>. Nothing in this Agreement shall be construed to confer upon, or give to, any person, corporation or other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19"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9.5 </w:t>
      </w:r>
      <w:r>
        <w:rPr>
          <w:rFonts w:ascii="Times New Roman" w:cs="Times New Roman" w:eastAsia="Times New Roman" w:hAnsi="Times New Roman"/>
          <w:sz w:val="12"/>
          <w:szCs w:val="12"/>
          <w:u w:val="single" w:color="auto"/>
          <w:color w:val="auto"/>
        </w:rPr>
        <w:t>Examination of the Warrant Agreement</w:t>
      </w:r>
      <w:r>
        <w:rPr>
          <w:rFonts w:ascii="Times New Roman" w:cs="Times New Roman" w:eastAsia="Times New Roman" w:hAnsi="Times New Roman"/>
          <w:sz w:val="12"/>
          <w:szCs w:val="12"/>
          <w:color w:val="auto"/>
        </w:rPr>
        <w:t>. A copy of this Agreement shall be available at all reasonable times at the office of the Warrant Agent in the United States of America, for inspection by the Registered Holder of any Warrant. The Warrant Agent may require any such holder to submit such holder’s Warrant for inspection by the Warrant Agent.</w:t>
      </w:r>
    </w:p>
    <w:p>
      <w:pPr>
        <w:spacing w:after="0" w:line="111"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 xml:space="preserve">9.6 </w:t>
      </w: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9.7 </w:t>
      </w:r>
      <w:r>
        <w:rPr>
          <w:rFonts w:ascii="Times New Roman" w:cs="Times New Roman" w:eastAsia="Times New Roman" w:hAnsi="Times New Roman"/>
          <w:sz w:val="12"/>
          <w:szCs w:val="12"/>
          <w:u w:val="single" w:color="auto"/>
          <w:color w:val="auto"/>
        </w:rPr>
        <w:t>Effect of Headings</w:t>
      </w:r>
      <w:r>
        <w:rPr>
          <w:rFonts w:ascii="Times New Roman" w:cs="Times New Roman" w:eastAsia="Times New Roman" w:hAnsi="Times New Roman"/>
          <w:sz w:val="12"/>
          <w:szCs w:val="12"/>
          <w:color w:val="auto"/>
        </w:rPr>
        <w:t>. The section headings herein are for convenience only and are not part of this Agreement and shall not affect the interpretation thereof.</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9.8 </w:t>
      </w:r>
      <w:r>
        <w:rPr>
          <w:rFonts w:ascii="Times New Roman" w:cs="Times New Roman" w:eastAsia="Times New Roman" w:hAnsi="Times New Roman"/>
          <w:sz w:val="12"/>
          <w:szCs w:val="12"/>
          <w:u w:val="single" w:color="auto"/>
          <w:color w:val="auto"/>
        </w:rPr>
        <w:t>Amendments</w:t>
      </w:r>
      <w:r>
        <w:rPr>
          <w:rFonts w:ascii="Times New Roman" w:cs="Times New Roman" w:eastAsia="Times New Roman" w:hAnsi="Times New Roman"/>
          <w:sz w:val="12"/>
          <w:szCs w:val="12"/>
          <w:color w:val="auto"/>
        </w:rPr>
        <w:t>. This Agreement may be amended by the parties hereto without the consent of any Registered Holder (i) for the purpose of (y) curing any ambiguity or to correct any defective provision contained herein or</w:t>
      </w:r>
    </w:p>
    <w:p>
      <w:pPr>
        <w:spacing w:after="0" w:line="17" w:lineRule="exact"/>
        <w:rPr>
          <w:sz w:val="20"/>
          <w:szCs w:val="20"/>
          <w:color w:val="auto"/>
        </w:rPr>
      </w:pPr>
    </w:p>
    <w:p>
      <w:pPr>
        <w:jc w:val="both"/>
        <w:ind w:left="8" w:right="20" w:hanging="8"/>
        <w:spacing w:after="0" w:line="253" w:lineRule="auto"/>
        <w:tabs>
          <w:tab w:leader="none" w:pos="185"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adding or changing any other provisions with respect to matters or questions arising under this Agreement as the parties may deem necessary or desirable and that the parties deem shall not adversely affect the rights of the Registered Holders, and (ii) to provide for the delivery of an Alternative Issuance pursuant to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All other modifications or amendments, including any modification or amendment to increase the Warrant Price or shorten the Exercise Period shall require the vote or written consent of the Registered Holders of at least 65% of the number of the then-outstanding Warrants. Provided, however, that no amendment that disproportionately and adversely affects the rights of any Holder shall be effective without the consent of such Holder. Notwithstanding the foregoing, the Company may lower the Warrant Price or extend the duration of the Exercise Period pursuant to </w:t>
      </w:r>
      <w:r>
        <w:rPr>
          <w:rFonts w:ascii="Times New Roman" w:cs="Times New Roman" w:eastAsia="Times New Roman" w:hAnsi="Times New Roman"/>
          <w:sz w:val="12"/>
          <w:szCs w:val="12"/>
          <w:u w:val="single" w:color="auto"/>
          <w:color w:val="auto"/>
        </w:rPr>
        <w:t>Sections 3.1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3.2</w:t>
      </w:r>
      <w:r>
        <w:rPr>
          <w:rFonts w:ascii="Times New Roman" w:cs="Times New Roman" w:eastAsia="Times New Roman" w:hAnsi="Times New Roman"/>
          <w:sz w:val="12"/>
          <w:szCs w:val="12"/>
          <w:color w:val="auto"/>
        </w:rPr>
        <w:t>, respectively, without the consent of the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178435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4" w:name="page65"/>
    <w:bookmarkEnd w:id="64"/>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9.9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Follows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color w:val="auto"/>
        </w:rPr>
        <w:t>IN WITNESS WHEREOF, the parties hereto have caused this Agreement to be duly executed as of the date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HELIUS MEDICAL TECHNOLOGIES,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13"/>
                <w:szCs w:val="13"/>
                <w:color w:val="auto"/>
              </w:rPr>
            </w:pP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Jeffrey S. Mathiesen</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Treasurer, and Secretary</w:t>
            </w:r>
          </w:p>
        </w:tc>
      </w:tr>
    </w:tbl>
    <w:p>
      <w:pPr>
        <w:spacing w:after="0" w:line="1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EQUINITI TRUST COMPANY, LLC</w:t>
      </w:r>
      <w:r>
        <w:rPr>
          <w:rFonts w:ascii="Times New Roman" w:cs="Times New Roman" w:eastAsia="Times New Roman" w:hAnsi="Times New Roman"/>
          <w:sz w:val="12"/>
          <w:szCs w:val="12"/>
          <w:color w:val="auto"/>
        </w:rPr>
        <w:t>, as Warrant Agent</w:t>
      </w:r>
    </w:p>
    <w:p>
      <w:pPr>
        <w:spacing w:after="0" w:line="1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-86995</wp:posOffset>
            </wp:positionV>
            <wp:extent cx="322897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jc w:val="center"/>
        <w:ind w:right="-259"/>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192405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WARRANTS LEGEND</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AGREEMENTS BY HELIUS MEDICAL TECHNOLOGIES,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AND THE OTHER SIGNATORIES THERETO, THE SECURITIES REPRESENTED BY THIS CERTIFICATE MAY NOT BE SOLD OR TRANSFERRED PRIOR TO THE DATE THAT SUCH SECURITIES ARE REGISTERED FOR PUBLIC RESALE EXCEPT TO A PERMITTED TRANSFEREE WHO AGREES IN WRITING WITH THE COMPANY TO BE SUBJECT TO SUCH TRANSFER PROVISIONS.</w:t>
      </w:r>
    </w:p>
    <w:p>
      <w:pPr>
        <w:spacing w:after="0" w:line="26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SECURITIES EVIDENCED BY THIS CERTIFICATE AND SHARES OF COMMON STOCK OF THE COMPANY ISSUED UPON EXERCISE OF SUCH SECURITIES SHALL BE ENTITLED TO REGISTRATION RIGHTS UNDER THE PURCHASE AGREEMENT EXECUTED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 of Warrant Certificate]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[FACE]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Number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Warrants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THIS WARRANT SHALL BE VOID IF NOT EXERCISED PRIOR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EXPIRATION OF THE EXERCISE PERIOD PROVIDED FOR IN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WARRANT AGREEMENT DESCRIBED BELOW</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Helius Medical Technologies,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Incorporated Under the Laws of Delaware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Warrant Certificate</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This Warrant Certificate certifies that [●], or registered their assigns, is the registered holder of warrants evidenced hereby (the “</w:t>
      </w:r>
      <w:r>
        <w:rPr>
          <w:rFonts w:ascii="Times New Roman" w:cs="Times New Roman" w:eastAsia="Times New Roman" w:hAnsi="Times New Roman"/>
          <w:sz w:val="12"/>
          <w:szCs w:val="12"/>
          <w:b w:val="1"/>
          <w:bCs w:val="1"/>
          <w:color w:val="auto"/>
        </w:rPr>
        <w:t>Warrants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b w:val="1"/>
          <w:bCs w:val="1"/>
          <w:color w:val="auto"/>
        </w:rPr>
        <w:t>Warrant</w:t>
      </w:r>
      <w:r>
        <w:rPr>
          <w:rFonts w:ascii="Times New Roman" w:cs="Times New Roman" w:eastAsia="Times New Roman" w:hAnsi="Times New Roman"/>
          <w:sz w:val="12"/>
          <w:szCs w:val="12"/>
          <w:color w:val="auto"/>
        </w:rPr>
        <w:t>”) to purchase shares of common stock, $[●] par value per share (the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of Helius Medical Technologies,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Each whole Warrant entitles the holder, upon exercise during the period set forth in the Warrant Agreement referred to below, to receive from the Company that number of fully paid and non-assessable Shares as set forth below, at the exercise price (the “</w:t>
      </w:r>
      <w:r>
        <w:rPr>
          <w:rFonts w:ascii="Times New Roman" w:cs="Times New Roman" w:eastAsia="Times New Roman" w:hAnsi="Times New Roman"/>
          <w:sz w:val="12"/>
          <w:szCs w:val="12"/>
          <w:b w:val="1"/>
          <w:bCs w:val="1"/>
          <w:color w:val="auto"/>
        </w:rPr>
        <w:t>Warrant Price</w:t>
      </w:r>
      <w:r>
        <w:rPr>
          <w:rFonts w:ascii="Times New Roman" w:cs="Times New Roman" w:eastAsia="Times New Roman" w:hAnsi="Times New Roman"/>
          <w:sz w:val="12"/>
          <w:szCs w:val="12"/>
          <w:color w:val="auto"/>
        </w:rPr>
        <w:t>”) as determined pursuant to the Warrant Agreement, payable in lawful money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Each whole Warrant is initially exercisable for one fully paid and non-assessable Share. No fractional shares will be issued upon exercise of any Warrant. If, upon the exercise of Warrants, a holder would be entitled to receive a fractional interest in a Share, the Company will, upon exercise, round down to the nearest whole number the number of Shares to be issued to the Warrant holder. The number of Shares issuable upon exercise of the Warrants is subject to adjustment upon the occurrence of certain events set forth in the Warrant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Warrant Price is subject to adjustment upon the occurrence of certain events set forth in the Warrant Agreement.</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 xml:space="preserve">Subject to the conditions set forth in the Warrant Agreement, the Warrants may be exercised only during the Exercise Period and to the extent not exercised by the end of such Exercise Period, such Warrants shall become void. The Warrants may be mandatorily exercised by the Company, subject to certain conditions, as set forth in the Warrant Agreement. In addition, and notwithstanding anything else in this Warrant Certificate or the Warrant Agreement, to the extent that the holder of a Warrant has delivered a notice contemplated by </w:t>
      </w:r>
      <w:r>
        <w:rPr>
          <w:rFonts w:ascii="Times New Roman" w:cs="Times New Roman" w:eastAsia="Times New Roman" w:hAnsi="Times New Roman"/>
          <w:sz w:val="12"/>
          <w:szCs w:val="12"/>
          <w:u w:val="single" w:color="auto"/>
          <w:color w:val="auto"/>
        </w:rPr>
        <w:t>subsection 3.3.4</w:t>
      </w:r>
      <w:r>
        <w:rPr>
          <w:rFonts w:ascii="Times New Roman" w:cs="Times New Roman" w:eastAsia="Times New Roman" w:hAnsi="Times New Roman"/>
          <w:sz w:val="12"/>
          <w:szCs w:val="12"/>
          <w:color w:val="auto"/>
        </w:rPr>
        <w:t xml:space="preserve"> of the Warrant Agreement, neither the Company nor the Warrant Agent shall issue to holder, and holder may not acquire, any right it might have to acquire, a number of shares of Common Stock upon exercise of any Warrant to the extent that, upon such exercise, the number of shares of Common Stock then beneficially owned by holder would exceed the Maximum Percentage of shares of Common Stock outstanding immediately after giving effect to such exercise as determined in accordance with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of the Warrant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Warrant Certificate shall not be valid unless countersigned by the Warrant Agent.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Warrant Certificate shall be governed by and construed in accordance with the internal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8" w:name="page69"/>
    <w:bookmarkEnd w:id="68"/>
    <w:p>
      <w:pPr>
        <w:ind w:left="4520"/>
        <w:spacing w:after="0"/>
        <w:rPr>
          <w:sz w:val="20"/>
          <w:szCs w:val="20"/>
          <w:color w:val="auto"/>
        </w:rPr>
      </w:pPr>
      <w:r>
        <w:rPr>
          <w:rFonts w:ascii="Times New Roman" w:cs="Times New Roman" w:eastAsia="Times New Roman" w:hAnsi="Times New Roman"/>
          <w:sz w:val="12"/>
          <w:szCs w:val="12"/>
          <w:b w:val="1"/>
          <w:bCs w:val="1"/>
          <w:color w:val="auto"/>
        </w:rPr>
        <w:t>HELIUS MEDICAL TECHNOLOGIES, INC.</w:t>
      </w:r>
    </w:p>
    <w:p>
      <w:pPr>
        <w:spacing w:after="0" w:line="1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10795</wp:posOffset>
            </wp:positionV>
            <wp:extent cx="322897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Title:</w:t>
      </w:r>
    </w:p>
    <w:p>
      <w:pPr>
        <w:spacing w:after="0" w:line="1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1"/>
          <w:szCs w:val="11"/>
          <w:b w:val="1"/>
          <w:bCs w:val="1"/>
          <w:color w:val="auto"/>
        </w:rPr>
        <w:t>EQUINITI TRUST COMPANY, LLC</w:t>
      </w:r>
      <w:r>
        <w:rPr>
          <w:rFonts w:ascii="Times New Roman" w:cs="Times New Roman" w:eastAsia="Times New Roman" w:hAnsi="Times New Roman"/>
          <w:sz w:val="11"/>
          <w:szCs w:val="11"/>
          <w:color w:val="auto"/>
        </w:rPr>
        <w:t>, as Warrant Agent</w:t>
      </w:r>
    </w:p>
    <w:p>
      <w:pPr>
        <w:spacing w:after="0" w:line="16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10795</wp:posOffset>
            </wp:positionV>
            <wp:extent cx="322897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1"/>
          <w:szCs w:val="1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200025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2"/>
          <w:szCs w:val="12"/>
          <w:color w:val="auto"/>
        </w:rPr>
        <w:t>[Form of Warrant Certificate]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[Reverse]</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Warrants evidenced by this Warrant Certificate are part of a duly authorized issue of Warrants entitling the holder on exercise to receive Shares and are issued or to be issued pursuant to a Warrant Agreement dated as of September [●], 2025 (the “</w:t>
      </w:r>
      <w:r>
        <w:rPr>
          <w:rFonts w:ascii="Times New Roman" w:cs="Times New Roman" w:eastAsia="Times New Roman" w:hAnsi="Times New Roman"/>
          <w:sz w:val="12"/>
          <w:szCs w:val="12"/>
          <w:b w:val="1"/>
          <w:bCs w:val="1"/>
          <w:color w:val="auto"/>
        </w:rPr>
        <w:t>Warrant Agreement</w:t>
      </w:r>
      <w:r>
        <w:rPr>
          <w:rFonts w:ascii="Times New Roman" w:cs="Times New Roman" w:eastAsia="Times New Roman" w:hAnsi="Times New Roman"/>
          <w:sz w:val="12"/>
          <w:szCs w:val="12"/>
          <w:color w:val="auto"/>
        </w:rPr>
        <w:t>”), duly executed and delivered by the Company to [●], as warrant agent (the “</w:t>
      </w:r>
      <w:r>
        <w:rPr>
          <w:rFonts w:ascii="Times New Roman" w:cs="Times New Roman" w:eastAsia="Times New Roman" w:hAnsi="Times New Roman"/>
          <w:sz w:val="12"/>
          <w:szCs w:val="12"/>
          <w:b w:val="1"/>
          <w:bCs w:val="1"/>
          <w:color w:val="auto"/>
        </w:rPr>
        <w:t>Warrant Agent</w:t>
      </w:r>
      <w:r>
        <w:rPr>
          <w:rFonts w:ascii="Times New Roman" w:cs="Times New Roman" w:eastAsia="Times New Roman" w:hAnsi="Times New Roman"/>
          <w:sz w:val="12"/>
          <w:szCs w:val="12"/>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Times New Roman" w:cs="Times New Roman" w:eastAsia="Times New Roman" w:hAnsi="Times New Roman"/>
          <w:sz w:val="12"/>
          <w:szCs w:val="12"/>
          <w:b w:val="1"/>
          <w:bCs w:val="1"/>
          <w:color w:val="auto"/>
        </w:rPr>
        <w:t>holders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holder</w:t>
      </w:r>
      <w:r>
        <w:rPr>
          <w:rFonts w:ascii="Times New Roman" w:cs="Times New Roman" w:eastAsia="Times New Roman" w:hAnsi="Times New Roman"/>
          <w:sz w:val="12"/>
          <w:szCs w:val="12"/>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at the principal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Notwithstanding anything else in this Warrant Certificate or the Warrant Agreement, no Warrant may be exercised unless at the time of exercise (i) a registration statement covering the shares of Common Stock to be issued upon exercise is effective under the Securities Act of 1933, as amended, and (ii) a prospectus thereunder relating to the Shares is current.</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Warrant Agreement provides that upon the occurrence of certain events the number of shares of Common Stock issuable upon the exercise of the Warrants set forth on the face hereof may, subject to certain conditions, be adjusted. If, upon exercise of a Warrant, the holder thereof would be entitled to receive a fractional interest in a Share, the Company shall, upon exercise, round down to the nearest whole number of Shares to be issued to the holder of the Warrant.</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Warrant Certificates, when surrendered at the principal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 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2"/>
          <w:szCs w:val="12"/>
          <w:color w:val="auto"/>
        </w:rPr>
        <w:t>Election to Purchase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(To Be Executed Upon Exercise of Warrant)</w:t>
      </w:r>
    </w:p>
    <w:p>
      <w:pPr>
        <w:spacing w:after="0" w:line="13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The undersigned hereby irrevocably elects to exercise the right, represented by this Warrant Certificate, to receive Shares and herewith tenders payment for such Shares to the order of Helius Medical Technologies, Inc. (the “</w:t>
      </w:r>
      <w:r>
        <w:rPr>
          <w:rFonts w:ascii="Times New Roman" w:cs="Times New Roman" w:eastAsia="Times New Roman" w:hAnsi="Times New Roman"/>
          <w:sz w:val="11"/>
          <w:szCs w:val="11"/>
          <w:b w:val="1"/>
          <w:bCs w:val="1"/>
          <w:color w:val="auto"/>
        </w:rPr>
        <w:t>Company</w:t>
      </w:r>
      <w:r>
        <w:rPr>
          <w:rFonts w:ascii="Times New Roman" w:cs="Times New Roman" w:eastAsia="Times New Roman" w:hAnsi="Times New Roman"/>
          <w:sz w:val="11"/>
          <w:szCs w:val="11"/>
          <w:color w:val="auto"/>
        </w:rPr>
        <w:t>”) in the amount of $____ in accordance with the terms hereof. The undersigned requests that a certificate for such Shares be registered in the name of ________________, whose address is ________________, and that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be delivered to ___________________, whose address is ______________. If such number of Shares is less than all of the Shares purchasable hereunder, the undersigned requests that a new Warrant Certificate representing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remaining balance of such Shares be registered in the name of _____________, whose address is ______________and that such Warrant Certificate be delivered to _____________, whose address is _________________.</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[To be included in any Election to Purchase of a holder who has provided the notice set forth in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of the Warrant Agreement:</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By signing this Election to Purchase, the undersigned hereby certifies that upon after giving effect to such exercise, the undersigned (together with such person’s affiliates) or any “group” of which holder or its affiliates is a member, would not beneficially own in excess of the Maximum Percentage of the Shares outstanding immediately after giving effect to such exercise as determined in accordance with </w:t>
      </w:r>
      <w:r>
        <w:rPr>
          <w:rFonts w:ascii="Times New Roman" w:cs="Times New Roman" w:eastAsia="Times New Roman" w:hAnsi="Times New Roman"/>
          <w:sz w:val="12"/>
          <w:szCs w:val="12"/>
          <w:u w:val="single" w:color="auto"/>
          <w:color w:val="auto"/>
        </w:rPr>
        <w:t>subsection 3.3.5</w:t>
      </w:r>
      <w:r>
        <w:rPr>
          <w:rFonts w:ascii="Times New Roman" w:cs="Times New Roman" w:eastAsia="Times New Roman" w:hAnsi="Times New Roman"/>
          <w:sz w:val="12"/>
          <w:szCs w:val="12"/>
          <w:color w:val="auto"/>
        </w:rPr>
        <w:t xml:space="preserve"> of the Warrant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Follows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1" w:name="page72"/>
    <w:bookmarkEnd w:id="71"/>
    <w:p>
      <w:pPr>
        <w:ind w:left="5660"/>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10795</wp:posOffset>
            </wp:positionV>
            <wp:extent cx="329755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97555" cy="5715"/>
                    </a:xfrm>
                    <a:prstGeom prst="rect">
                      <a:avLst/>
                    </a:prstGeom>
                    <a:noFill/>
                  </pic:spPr>
                </pic:pic>
              </a:graphicData>
            </a:graphic>
          </wp:anchor>
        </w:drawing>
      </w:r>
    </w:p>
    <w:p>
      <w:pPr>
        <w:spacing w:after="0" w:line="1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(Signature)</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(Address)</w:t>
      </w:r>
    </w:p>
    <w:p>
      <w:pPr>
        <w:spacing w:after="0" w:line="1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-85725</wp:posOffset>
            </wp:positionV>
            <wp:extent cx="358902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3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72" w:name="page73"/>
    <w:bookmarkEnd w:id="72"/>
    <w:p>
      <w:pPr>
        <w:ind w:left="10740"/>
        <w:spacing w:after="0"/>
        <w:rPr>
          <w:sz w:val="20"/>
          <w:szCs w:val="20"/>
          <w:color w:val="auto"/>
        </w:rPr>
      </w:pPr>
      <w:r>
        <w:rPr>
          <w:rFonts w:ascii="Times New Roman" w:cs="Times New Roman" w:eastAsia="Times New Roman" w:hAnsi="Times New Roman"/>
          <w:sz w:val="11"/>
          <w:szCs w:val="11"/>
          <w:b w:val="1"/>
          <w:bCs w:val="1"/>
          <w:color w:val="auto"/>
        </w:rPr>
        <w:t>Exhibit 4.5</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 DEALER OR OTHER LOAN WITH A FINANCIAL INSTITUTION THAT IS AN “ACCREDITED INVESTOR” AS DEFINED IN RULE 501(a) UNDER THE SECURITIES ACT OR OTHER LOAN SECURED BY SUCH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STRATEGIC ADVISORY WARRANT</w:t>
      </w:r>
    </w:p>
    <w:p>
      <w:pPr>
        <w:spacing w:after="0" w:line="150" w:lineRule="exact"/>
        <w:rPr>
          <w:sz w:val="20"/>
          <w:szCs w:val="20"/>
          <w:color w:val="auto"/>
        </w:rPr>
      </w:pPr>
    </w:p>
    <w:p>
      <w:pPr>
        <w:spacing w:after="0"/>
        <w:tabs>
          <w:tab w:leader="none" w:pos="9480" w:val="left"/>
          <w:tab w:leader="none" w:pos="10980" w:val="left"/>
        </w:tabs>
        <w:rPr>
          <w:sz w:val="20"/>
          <w:szCs w:val="20"/>
          <w:color w:val="auto"/>
        </w:rPr>
      </w:pPr>
      <w:r>
        <w:rPr>
          <w:rFonts w:ascii="Times New Roman" w:cs="Times New Roman" w:eastAsia="Times New Roman" w:hAnsi="Times New Roman"/>
          <w:sz w:val="12"/>
          <w:szCs w:val="12"/>
          <w:b w:val="1"/>
          <w:bCs w:val="1"/>
          <w:color w:val="auto"/>
        </w:rPr>
        <w:t>Warrant Shares:</w:t>
      </w:r>
      <w:r>
        <w:rPr>
          <w:sz w:val="20"/>
          <w:szCs w:val="20"/>
          <w:color w:val="auto"/>
        </w:rPr>
        <w:tab/>
      </w:r>
      <w:r>
        <w:rPr>
          <w:rFonts w:ascii="Times New Roman" w:cs="Times New Roman" w:eastAsia="Times New Roman" w:hAnsi="Times New Roman"/>
          <w:sz w:val="12"/>
          <w:szCs w:val="12"/>
          <w:b w:val="1"/>
          <w:bCs w:val="1"/>
          <w:color w:val="auto"/>
        </w:rPr>
        <w:t>Issue Date:</w:t>
      </w:r>
      <w:r>
        <w:rPr>
          <w:sz w:val="20"/>
          <w:szCs w:val="20"/>
          <w:color w:val="auto"/>
        </w:rPr>
        <w:tab/>
      </w:r>
      <w:r>
        <w:rPr>
          <w:rFonts w:ascii="Times New Roman" w:cs="Times New Roman" w:eastAsia="Times New Roman" w:hAnsi="Times New Roman"/>
          <w:sz w:val="11"/>
          <w:szCs w:val="11"/>
          <w:color w:val="auto"/>
        </w:rPr>
        <w:t>, 2025</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THIS COMMON STOCK PURCHASE WARRANT (the “</w:t>
      </w:r>
      <w:r>
        <w:rPr>
          <w:rFonts w:ascii="Times New Roman" w:cs="Times New Roman" w:eastAsia="Times New Roman" w:hAnsi="Times New Roman"/>
          <w:sz w:val="12"/>
          <w:szCs w:val="12"/>
          <w:u w:val="single" w:color="auto"/>
          <w:color w:val="auto"/>
        </w:rPr>
        <w:t>Warrant</w:t>
      </w:r>
      <w:r>
        <w:rPr>
          <w:rFonts w:ascii="Times New Roman" w:cs="Times New Roman" w:eastAsia="Times New Roman" w:hAnsi="Times New Roman"/>
          <w:sz w:val="12"/>
          <w:szCs w:val="12"/>
          <w:color w:val="auto"/>
        </w:rPr>
        <w:t>”) certifies that, for value received,      or its assigns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is entitled, upon the terms and subject to the limitations on exercise and the conditions hereinafter set forth, at any time on or after the effective date hereof of Shareholder Approval (the “</w:t>
      </w:r>
      <w:r>
        <w:rPr>
          <w:rFonts w:ascii="Times New Roman" w:cs="Times New Roman" w:eastAsia="Times New Roman" w:hAnsi="Times New Roman"/>
          <w:sz w:val="12"/>
          <w:szCs w:val="12"/>
          <w:u w:val="single" w:color="auto"/>
          <w:color w:val="auto"/>
        </w:rPr>
        <w:t>Initial Exercise Date</w:t>
      </w:r>
      <w:r>
        <w:rPr>
          <w:rFonts w:ascii="Times New Roman" w:cs="Times New Roman" w:eastAsia="Times New Roman" w:hAnsi="Times New Roman"/>
          <w:sz w:val="12"/>
          <w:szCs w:val="12"/>
          <w:color w:val="auto"/>
        </w:rPr>
        <w:t>”) and on or prior to 5:00 p.m. (New York City time) on the five (5) year anniversary of the Initial Exercise Date (the “</w:t>
      </w:r>
      <w:r>
        <w:rPr>
          <w:rFonts w:ascii="Times New Roman" w:cs="Times New Roman" w:eastAsia="Times New Roman" w:hAnsi="Times New Roman"/>
          <w:sz w:val="12"/>
          <w:szCs w:val="12"/>
          <w:u w:val="single" w:color="auto"/>
          <w:color w:val="auto"/>
        </w:rPr>
        <w:t>Termination Date</w:t>
      </w:r>
      <w:r>
        <w:rPr>
          <w:rFonts w:ascii="Times New Roman" w:cs="Times New Roman" w:eastAsia="Times New Roman" w:hAnsi="Times New Roman"/>
          <w:sz w:val="12"/>
          <w:szCs w:val="12"/>
          <w:color w:val="auto"/>
        </w:rPr>
        <w:t>”) but not thereafter, to subscribe for and purchase from Helius Medical Technologies,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up to [●] shares of common stock, par value $0.001 per share (the ”</w:t>
      </w:r>
      <w:r>
        <w:rPr>
          <w:rFonts w:ascii="Times New Roman" w:cs="Times New Roman" w:eastAsia="Times New Roman" w:hAnsi="Times New Roman"/>
          <w:sz w:val="12"/>
          <w:szCs w:val="12"/>
          <w:u w:val="single" w:color="auto"/>
          <w:color w:val="auto"/>
        </w:rPr>
        <w:t>Common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Stock</w:t>
      </w:r>
      <w:r>
        <w:rPr>
          <w:rFonts w:ascii="Times New Roman" w:cs="Times New Roman" w:eastAsia="Times New Roman" w:hAnsi="Times New Roman"/>
          <w:sz w:val="12"/>
          <w:szCs w:val="12"/>
          <w:color w:val="auto"/>
        </w:rPr>
        <w:t>,” and such shares of Common Stock underlying this Warrant, subject to adjustment hereunder, the “</w:t>
      </w:r>
      <w:r>
        <w:rPr>
          <w:rFonts w:ascii="Times New Roman" w:cs="Times New Roman" w:eastAsia="Times New Roman" w:hAnsi="Times New Roman"/>
          <w:sz w:val="12"/>
          <w:szCs w:val="12"/>
          <w:u w:val="single" w:color="auto"/>
          <w:color w:val="auto"/>
        </w:rPr>
        <w:t>Warrant Shares</w:t>
      </w:r>
      <w:r>
        <w:rPr>
          <w:rFonts w:ascii="Times New Roman" w:cs="Times New Roman" w:eastAsia="Times New Roman" w:hAnsi="Times New Roman"/>
          <w:sz w:val="12"/>
          <w:szCs w:val="12"/>
          <w:color w:val="auto"/>
        </w:rPr>
        <w:t>”) of the Company. The purchase price of one share of Common Stock under this Warrant shall be equal to the Exercise Price, as defined in Section 2(b).</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  Definitions</w:t>
      </w:r>
      <w:r>
        <w:rPr>
          <w:rFonts w:ascii="Times New Roman" w:cs="Times New Roman" w:eastAsia="Times New Roman" w:hAnsi="Times New Roman"/>
          <w:sz w:val="12"/>
          <w:szCs w:val="12"/>
          <w:color w:val="auto"/>
        </w:rPr>
        <w:t>. Capitalized terms used and not otherwise defined herein shall have the meanings set forth in that certain Subscription Agreement (the "</w:t>
      </w:r>
      <w:r>
        <w:rPr>
          <w:rFonts w:ascii="Times New Roman" w:cs="Times New Roman" w:eastAsia="Times New Roman" w:hAnsi="Times New Roman"/>
          <w:sz w:val="12"/>
          <w:szCs w:val="12"/>
          <w:u w:val="single" w:color="auto"/>
          <w:color w:val="auto"/>
        </w:rPr>
        <w:t>Purchase Agreement</w:t>
      </w:r>
      <w:r>
        <w:rPr>
          <w:rFonts w:ascii="Times New Roman" w:cs="Times New Roman" w:eastAsia="Times New Roman" w:hAnsi="Times New Roman"/>
          <w:sz w:val="12"/>
          <w:szCs w:val="12"/>
          <w:color w:val="auto"/>
        </w:rPr>
        <w:t>"), dated September 15, 2025,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73" w:name="page74"/>
    <w:bookmarkEnd w:id="73"/>
    <w:p>
      <w:pPr>
        <w:ind w:left="420"/>
        <w:spacing w:after="0"/>
        <w:rPr>
          <w:sz w:val="20"/>
          <w:szCs w:val="20"/>
          <w:color w:val="auto"/>
        </w:rPr>
      </w:pP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  Exercise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Exercise of Warrant</w:t>
      </w:r>
      <w:r>
        <w:rPr>
          <w:rFonts w:ascii="Times New Roman" w:cs="Times New Roman" w:eastAsia="Times New Roman" w:hAnsi="Times New Roman"/>
          <w:sz w:val="12"/>
          <w:szCs w:val="12"/>
          <w:color w:val="auto"/>
        </w:rPr>
        <w:t xml:space="preserve">. Subject to the terms and conditions hereof, exercise of the purchase rights represented by this Warrant may be made, in whole or in part, at any time or times on or after the Initial Exercise Date and on or before the Termination Date by delivery to the Company of a duly executed facsimile copy or PDF or DocuSign copy submitted by e-mail (or e-mail attachment) of the Notice of Exercise in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Notice of Exercise</w:t>
      </w:r>
      <w:r>
        <w:rPr>
          <w:rFonts w:ascii="Times New Roman" w:cs="Times New Roman" w:eastAsia="Times New Roman" w:hAnsi="Times New Roman"/>
          <w:sz w:val="12"/>
          <w:szCs w:val="12"/>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applicable and specified in the attached Notice of Exercise. The Company shall have no obligation to inquire with respect to or otherwise confirm the authenticity of the signature(s) contained on any Notice of Exercise nor the authority of the person executing such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and only for the purpose of avoiding violation of the Beneficial Ownership Limitation. </w:t>
      </w:r>
      <w:r>
        <w:rPr>
          <w:rFonts w:ascii="Times New Roman" w:cs="Times New Roman" w:eastAsia="Times New Roman" w:hAnsi="Times New Roman"/>
          <w:sz w:val="12"/>
          <w:szCs w:val="12"/>
          <w:b w:val="1"/>
          <w:bCs w:val="1"/>
          <w:color w:val="auto"/>
        </w:rPr>
        <w:t>The Holder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2"/>
          <w:szCs w:val="12"/>
          <w:color w:val="auto"/>
        </w:rPr>
        <w:t>For the avoidance of doubt, there is no circumstance that would require the Company to net cash settle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Warrants.</w:t>
      </w:r>
    </w:p>
    <w:p>
      <w:pPr>
        <w:spacing w:after="0" w:line="276"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Exercise Price</w:t>
      </w:r>
      <w:r>
        <w:rPr>
          <w:rFonts w:ascii="Times New Roman" w:cs="Times New Roman" w:eastAsia="Times New Roman" w:hAnsi="Times New Roman"/>
          <w:sz w:val="12"/>
          <w:szCs w:val="12"/>
          <w:color w:val="auto"/>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Warrant Share shall be $0.001, subject to adjustment hereunder (the “</w:t>
      </w: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Cashless Exercise</w:t>
      </w:r>
      <w:r>
        <w:rPr>
          <w:rFonts w:ascii="Times New Roman" w:cs="Times New Roman" w:eastAsia="Times New Roman" w:hAnsi="Times New Roman"/>
          <w:sz w:val="12"/>
          <w:szCs w:val="12"/>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11" w:lineRule="exact"/>
        <w:rPr>
          <w:sz w:val="20"/>
          <w:szCs w:val="20"/>
          <w:color w:val="auto"/>
        </w:rPr>
      </w:pPr>
    </w:p>
    <w:p>
      <w:pPr>
        <w:jc w:val="right"/>
        <w:ind w:left="860" w:hanging="436"/>
        <w:spacing w:after="0" w:line="256" w:lineRule="auto"/>
        <w:tabs>
          <w:tab w:leader="none" w:pos="625"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w:t>
      </w:r>
    </w:p>
    <w:p>
      <w:pPr>
        <w:spacing w:after="0" w:line="1" w:lineRule="exact"/>
        <w:rPr>
          <w:rFonts w:ascii="Times New Roman" w:cs="Times New Roman" w:eastAsia="Times New Roman" w:hAnsi="Times New Roman"/>
          <w:sz w:val="12"/>
          <w:szCs w:val="12"/>
          <w:color w:val="auto"/>
        </w:rPr>
      </w:pPr>
    </w:p>
    <w:p>
      <w:pPr>
        <w:jc w:val="both"/>
        <w:ind w:left="860"/>
        <w:spacing w:after="0" w:line="25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 the Bid Price of the Common Stock on the principal Trading Market as reported by Bloomberg L.P. (“</w:t>
      </w:r>
      <w:r>
        <w:rPr>
          <w:rFonts w:ascii="Times New Roman" w:cs="Times New Roman" w:eastAsia="Times New Roman" w:hAnsi="Times New Roman"/>
          <w:sz w:val="12"/>
          <w:szCs w:val="12"/>
          <w:u w:val="single" w:color="auto"/>
          <w:color w:val="auto"/>
        </w:rPr>
        <w:t>Bloomberg</w:t>
      </w:r>
      <w:r>
        <w:rPr>
          <w:rFonts w:ascii="Times New Roman" w:cs="Times New Roman" w:eastAsia="Times New Roman" w:hAnsi="Times New Roman"/>
          <w:sz w:val="12"/>
          <w:szCs w:val="12"/>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4" w:name="page75"/>
    <w:bookmarkEnd w:id="74"/>
    <w:p>
      <w:pPr>
        <w:ind w:left="420"/>
        <w:spacing w:after="0"/>
        <w:rPr>
          <w:sz w:val="20"/>
          <w:szCs w:val="20"/>
          <w:color w:val="auto"/>
        </w:rPr>
      </w:pPr>
      <w:r>
        <w:rPr>
          <w:rFonts w:ascii="Times New Roman" w:cs="Times New Roman" w:eastAsia="Times New Roman" w:hAnsi="Times New Roman"/>
          <w:sz w:val="12"/>
          <w:szCs w:val="12"/>
          <w:color w:val="auto"/>
        </w:rPr>
        <w:t>(B) =       the Exercise Price of this Warrant, as adjusted hereunder, in effect on the date of exercise; and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(X) =       the number of Warrant Shares that would be issuable upon exercise of this Warrant in accordance with the terms of this Warrant if such exercise were by means of a cash exercise rather than a cashless exercise.</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If Warrant Shares are issued in such a cashless exercise, the parties acknowledge and agree that in accordance with Section 3(a)(9) of the Securities Act, the Warrant Shares shall take on the characteristics of the Warrants being exercised and any holding period of the Warrant Shares being issued may be tacked on to the holding period of this Warrant. For the avoidance of doubt, in the absence of an effective registration statement registering the issuance of the Warrant Shares, the Company shall issue, and the Holder agrees to receive, unregistered Warrant Shares upon a cashless exercise of this Warrant pursuant to this Section 2(c). The Company agrees not to take any position contrary to this Section 2(c).</w:t>
      </w:r>
    </w:p>
    <w:p>
      <w:pPr>
        <w:spacing w:after="0" w:line="12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Bid Price</w:t>
      </w:r>
      <w:r>
        <w:rPr>
          <w:rFonts w:ascii="Times New Roman" w:cs="Times New Roman" w:eastAsia="Times New Roman" w:hAnsi="Times New Roman"/>
          <w:sz w:val="12"/>
          <w:szCs w:val="12"/>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the Common Stock is not then listed or quoted on a Trading Market and if prices for the Common Stock are then reported on the OTCQB Venture Market (“</w:t>
      </w:r>
      <w:r>
        <w:rPr>
          <w:rFonts w:ascii="Times New Roman" w:cs="Times New Roman" w:eastAsia="Times New Roman" w:hAnsi="Times New Roman"/>
          <w:sz w:val="12"/>
          <w:szCs w:val="12"/>
          <w:u w:val="single" w:color="auto"/>
          <w:color w:val="auto"/>
        </w:rPr>
        <w:t>OTCQB</w:t>
      </w:r>
      <w:r>
        <w:rPr>
          <w:rFonts w:ascii="Times New Roman" w:cs="Times New Roman" w:eastAsia="Times New Roman" w:hAnsi="Times New Roman"/>
          <w:sz w:val="12"/>
          <w:szCs w:val="12"/>
          <w:color w:val="auto"/>
        </w:rPr>
        <w:t>”) or the OTCQX Best Market (“</w:t>
      </w:r>
      <w:r>
        <w:rPr>
          <w:rFonts w:ascii="Times New Roman" w:cs="Times New Roman" w:eastAsia="Times New Roman" w:hAnsi="Times New Roman"/>
          <w:sz w:val="12"/>
          <w:szCs w:val="12"/>
          <w:u w:val="single" w:color="auto"/>
          <w:color w:val="auto"/>
        </w:rPr>
        <w:t>OTCQX</w:t>
      </w:r>
      <w:r>
        <w:rPr>
          <w:rFonts w:ascii="Times New Roman" w:cs="Times New Roman" w:eastAsia="Times New Roman" w:hAnsi="Times New Roman"/>
          <w:sz w:val="12"/>
          <w:szCs w:val="12"/>
          <w:color w:val="auto"/>
        </w:rPr>
        <w:t>”), as applicable, the volume weighted average price of the Common Stock for such date (or the nearest preceding date) on OTCQB or OTCQX, as applicable, (c) if the Common Stock is not then listed or quoted for trading on a Trading Market or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one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26"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Day</w:t>
      </w:r>
      <w:r>
        <w:rPr>
          <w:rFonts w:ascii="Times New Roman" w:cs="Times New Roman" w:eastAsia="Times New Roman" w:hAnsi="Times New Roman"/>
          <w:sz w:val="12"/>
          <w:szCs w:val="12"/>
          <w:color w:val="auto"/>
        </w:rPr>
        <w:t>” means any day on which the Trading Market is open for trading, including any day on which the Trading Market is open for trading for a period of time less than the customary time. If the Common Stock is not then listed or quoted on a Trading Market, Trading Day means a Business Day.</w:t>
      </w: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5" w:name="page76"/>
    <w:bookmarkEnd w:id="75"/>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VWAP</w:t>
      </w:r>
      <w:r>
        <w:rPr>
          <w:rFonts w:ascii="Times New Roman" w:cs="Times New Roman" w:eastAsia="Times New Roman" w:hAnsi="Times New Roman"/>
          <w:sz w:val="12"/>
          <w:szCs w:val="1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on a Trading Market and if prices for the Common Stock are then reported on OTCQB or OTCQX, as applicable, the volume weighted average price of the Common Stock for such date (or the nearest preceding date) on OTCQB or OTCQX, as applicable, (c) if the Common Stock is not then listed or quoted for trading on a Trading Market or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1" w:lineRule="exact"/>
        <w:rPr>
          <w:sz w:val="20"/>
          <w:szCs w:val="20"/>
          <w:color w:val="auto"/>
        </w:rPr>
      </w:pPr>
    </w:p>
    <w:p>
      <w:pPr>
        <w:ind w:left="8" w:right="20" w:hanging="8"/>
        <w:spacing w:after="0" w:line="260" w:lineRule="auto"/>
        <w:tabs>
          <w:tab w:leader="none" w:pos="186"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all other cases, the fair market value of one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Notwithstanding anything herein to the contrary, on the Termination Date, this Warrant shall be automatically exercised via cashless exercise pursuant to this Section 2(c), subject to the limitations in Section 2(e) hereof.</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Mechanics of Exercise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1296"/>
        <w:spacing w:after="0" w:line="252"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Delivery of Warrant Shares Upon Exercise</w:t>
      </w:r>
      <w:r>
        <w:rPr>
          <w:rFonts w:ascii="Times New Roman" w:cs="Times New Roman" w:eastAsia="Times New Roman" w:hAnsi="Times New Roman"/>
          <w:sz w:val="12"/>
          <w:szCs w:val="12"/>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delivery of the aggregate Exercise Price to the Company and (ii) the number of Trading Days comprising the Standard Settlement Period, after the delivery to the Company of the Notice of Exercise (such date, the “</w:t>
      </w:r>
      <w:r>
        <w:rPr>
          <w:rFonts w:ascii="Times New Roman" w:cs="Times New Roman" w:eastAsia="Times New Roman" w:hAnsi="Times New Roman"/>
          <w:sz w:val="12"/>
          <w:szCs w:val="12"/>
          <w:u w:val="single" w:color="auto"/>
          <w:color w:val="auto"/>
        </w:rPr>
        <w:t>Warrant Share Delivery Date</w:t>
      </w:r>
      <w:r>
        <w:rPr>
          <w:rFonts w:ascii="Times New Roman" w:cs="Times New Roman" w:eastAsia="Times New Roman" w:hAnsi="Times New Roman"/>
          <w:sz w:val="12"/>
          <w:szCs w:val="12"/>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provided that payment of the aggregate Exercise Price (other than in the instance of a cashless exercise) is received by the Company by such date, the Company shall pay to the Holder, in cash, as liquidated damages and not as a penalty, for each $2,500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2"/>
          <w:szCs w:val="12"/>
          <w:u w:val="single" w:color="auto"/>
          <w:color w:val="auto"/>
        </w:rPr>
        <w:t>Standard Settlement Period</w:t>
      </w:r>
      <w:r>
        <w:rPr>
          <w:rFonts w:ascii="Times New Roman" w:cs="Times New Roman" w:eastAsia="Times New Roman" w:hAnsi="Times New Roman"/>
          <w:sz w:val="12"/>
          <w:szCs w:val="12"/>
          <w:color w:val="auto"/>
        </w:rPr>
        <w:t>” means the standard settlement period, expressed in a number of Trading Days, on the Company's primary Trading Market with respect to the Common Stock as in effect on the date of delivery of the Notice of Exercise.</w:t>
      </w:r>
    </w:p>
    <w:p>
      <w:pPr>
        <w:spacing w:after="0" w:line="276"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76" w:name="page77"/>
    <w:bookmarkEnd w:id="76"/>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ii.           </w:t>
      </w:r>
      <w:r>
        <w:rPr>
          <w:rFonts w:ascii="Times New Roman" w:cs="Times New Roman" w:eastAsia="Times New Roman" w:hAnsi="Times New Roman"/>
          <w:sz w:val="12"/>
          <w:szCs w:val="12"/>
          <w:u w:val="single" w:color="auto"/>
          <w:color w:val="auto"/>
        </w:rPr>
        <w:t>Delivery of New Warrants Upon Exercise</w:t>
      </w:r>
      <w:r>
        <w:rPr>
          <w:rFonts w:ascii="Times New Roman" w:cs="Times New Roman" w:eastAsia="Times New Roman" w:hAnsi="Times New Roman"/>
          <w:sz w:val="12"/>
          <w:szCs w:val="12"/>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19"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iii.        </w:t>
      </w:r>
      <w:r>
        <w:rPr>
          <w:rFonts w:ascii="Times New Roman" w:cs="Times New Roman" w:eastAsia="Times New Roman" w:hAnsi="Times New Roman"/>
          <w:sz w:val="12"/>
          <w:szCs w:val="12"/>
          <w:u w:val="single" w:color="auto"/>
          <w:color w:val="auto"/>
        </w:rPr>
        <w:t>  Rescission Rights</w:t>
      </w:r>
      <w:r>
        <w:rPr>
          <w:rFonts w:ascii="Times New Roman" w:cs="Times New Roman" w:eastAsia="Times New Roman" w:hAnsi="Times New Roman"/>
          <w:sz w:val="12"/>
          <w:szCs w:val="12"/>
          <w:color w:val="auto"/>
        </w:rPr>
        <w:t>. If the Company fails to cause the Transfer Agent to transmit to the Holder the Warrant Shares pursuant to Section 2(d)(i) by the Warrant Share Delivery Date, then the Holder will have the right to rescind such exercise by delivering written notice to the Company.</w:t>
      </w:r>
    </w:p>
    <w:p>
      <w:pPr>
        <w:spacing w:after="0" w:line="11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2"/>
          <w:szCs w:val="12"/>
          <w:color w:val="auto"/>
        </w:rPr>
        <w:t>iv.        </w:t>
      </w:r>
      <w:r>
        <w:rPr>
          <w:rFonts w:ascii="Times New Roman" w:cs="Times New Roman" w:eastAsia="Times New Roman" w:hAnsi="Times New Roman"/>
          <w:sz w:val="12"/>
          <w:szCs w:val="12"/>
          <w:u w:val="single" w:color="auto"/>
          <w:color w:val="auto"/>
        </w:rPr>
        <w:t>  Compensation for Buy-In on Failure to Timely Deliver Warrant Shares Upon Exercise</w:t>
      </w:r>
      <w:r>
        <w:rPr>
          <w:rFonts w:ascii="Times New Roman" w:cs="Times New Roman" w:eastAsia="Times New Roman" w:hAnsi="Times New Roman"/>
          <w:sz w:val="12"/>
          <w:szCs w:val="12"/>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2"/>
          <w:szCs w:val="12"/>
          <w:u w:val="single" w:color="auto"/>
          <w:color w:val="auto"/>
        </w:rPr>
        <w:t>Buy-In</w:t>
      </w:r>
      <w:r>
        <w:rPr>
          <w:rFonts w:ascii="Times New Roman" w:cs="Times New Roman" w:eastAsia="Times New Roman" w:hAnsi="Times New Roman"/>
          <w:sz w:val="12"/>
          <w:szCs w:val="12"/>
          <w:color w:val="auto"/>
        </w:rPr>
        <w:t>”), then the Company shall (A) pay in cash to the Holder the amount, if any, by which (x) the Holder's total purchase price (including brokerage commissions, if any) for the Warrant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Warrants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7" w:name="page78"/>
    <w:bookmarkEnd w:id="77"/>
    <w:p>
      <w:pPr>
        <w:jc w:val="both"/>
        <w:ind w:right="20" w:firstLine="1296"/>
        <w:spacing w:after="0" w:line="265" w:lineRule="auto"/>
        <w:rPr>
          <w:sz w:val="20"/>
          <w:szCs w:val="20"/>
          <w:color w:val="auto"/>
        </w:rPr>
      </w:pPr>
      <w:r>
        <w:rPr>
          <w:rFonts w:ascii="Times New Roman" w:cs="Times New Roman" w:eastAsia="Times New Roman" w:hAnsi="Times New Roman"/>
          <w:sz w:val="12"/>
          <w:szCs w:val="12"/>
          <w:color w:val="auto"/>
        </w:rPr>
        <w:t xml:space="preserve">v.           </w:t>
      </w:r>
      <w:r>
        <w:rPr>
          <w:rFonts w:ascii="Times New Roman" w:cs="Times New Roman" w:eastAsia="Times New Roman" w:hAnsi="Times New Roman"/>
          <w:sz w:val="12"/>
          <w:szCs w:val="12"/>
          <w:u w:val="single" w:color="auto"/>
          <w:color w:val="auto"/>
        </w:rPr>
        <w:t>No Fractional Shares or Scrip</w:t>
      </w:r>
      <w:r>
        <w:rPr>
          <w:rFonts w:ascii="Times New Roman" w:cs="Times New Roman" w:eastAsia="Times New Roman" w:hAnsi="Times New Roman"/>
          <w:sz w:val="12"/>
          <w:szCs w:val="12"/>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of Common Stock.</w:t>
      </w:r>
    </w:p>
    <w:p>
      <w:pPr>
        <w:spacing w:after="0" w:line="11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vi.        </w:t>
      </w:r>
      <w:r>
        <w:rPr>
          <w:rFonts w:ascii="Times New Roman" w:cs="Times New Roman" w:eastAsia="Times New Roman" w:hAnsi="Times New Roman"/>
          <w:sz w:val="12"/>
          <w:szCs w:val="12"/>
          <w:u w:val="single" w:color="auto"/>
          <w:color w:val="auto"/>
        </w:rPr>
        <w:t>  Charges Taxes and Expenses</w:t>
      </w:r>
      <w:r>
        <w:rPr>
          <w:rFonts w:ascii="Times New Roman" w:cs="Times New Roman" w:eastAsia="Times New Roman" w:hAnsi="Times New Roman"/>
          <w:sz w:val="12"/>
          <w:szCs w:val="12"/>
          <w:color w:val="auto"/>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vii.         </w:t>
      </w:r>
      <w:r>
        <w:rPr>
          <w:rFonts w:ascii="Times New Roman" w:cs="Times New Roman" w:eastAsia="Times New Roman" w:hAnsi="Times New Roman"/>
          <w:sz w:val="12"/>
          <w:szCs w:val="12"/>
          <w:u w:val="single" w:color="auto"/>
          <w:color w:val="auto"/>
        </w:rPr>
        <w:t>Closing of Books</w:t>
      </w:r>
      <w:r>
        <w:rPr>
          <w:rFonts w:ascii="Times New Roman" w:cs="Times New Roman" w:eastAsia="Times New Roman" w:hAnsi="Times New Roman"/>
          <w:sz w:val="12"/>
          <w:szCs w:val="12"/>
          <w:color w:val="auto"/>
        </w:rPr>
        <w:t>. The Company will not close its shareholder books or records in any manner which prevents the timely exercise of this Warrant, pursuant to the terms hereof.</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8" w:name="page79"/>
    <w:bookmarkEnd w:id="78"/>
    <w:p>
      <w:pPr>
        <w:jc w:val="both"/>
        <w:ind w:firstLine="864"/>
        <w:spacing w:after="0" w:line="251" w:lineRule="auto"/>
        <w:rPr>
          <w:sz w:val="20"/>
          <w:szCs w:val="20"/>
          <w:color w:val="auto"/>
        </w:rPr>
      </w:pPr>
      <w:r>
        <w:rPr>
          <w:rFonts w:ascii="Times New Roman" w:cs="Times New Roman" w:eastAsia="Times New Roman" w:hAnsi="Times New Roman"/>
          <w:sz w:val="12"/>
          <w:szCs w:val="12"/>
          <w:color w:val="auto"/>
        </w:rPr>
        <w:t xml:space="preserve">e)             </w:t>
      </w:r>
      <w:r>
        <w:rPr>
          <w:rFonts w:ascii="Times New Roman" w:cs="Times New Roman" w:eastAsia="Times New Roman" w:hAnsi="Times New Roman"/>
          <w:sz w:val="12"/>
          <w:szCs w:val="12"/>
          <w:u w:val="single" w:color="auto"/>
          <w:color w:val="auto"/>
        </w:rPr>
        <w:t>Holder’s Exercise Limitations</w:t>
      </w:r>
      <w:r>
        <w:rPr>
          <w:rFonts w:ascii="Times New Roman" w:cs="Times New Roman" w:eastAsia="Times New Roman" w:hAnsi="Times New Roman"/>
          <w:sz w:val="12"/>
          <w:szCs w:val="12"/>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and any other Persons acting as a group together with the Holder or any of the Holder's Affiliates and (iii) any other Person whose beneficial ownership of the shares of Common Stock would be or could be aggregated with the Holders’ for purposes of Section 13(d) (such Persons, “</w:t>
      </w:r>
      <w:r>
        <w:rPr>
          <w:rFonts w:ascii="Times New Roman" w:cs="Times New Roman" w:eastAsia="Times New Roman" w:hAnsi="Times New Roman"/>
          <w:sz w:val="12"/>
          <w:szCs w:val="12"/>
          <w:u w:val="single" w:color="auto"/>
          <w:color w:val="auto"/>
        </w:rPr>
        <w:t>Attribution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 would beneficially own in excess of the Beneficial Ownership Limitation (as defined below). For purposes of the foregoing sentence, the number of Warrant Shares beneficially owned by the Holder and its Affiliates and Attribution Parties shall include the number of shares of Common Stock issuable upon exercise of this Warrant with respect to which such determination is being made, but shall exclude the number of Warrant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the Warrant that are not in compliance with the Beneficial Ownership Limitation, except to the extent the Holder relies on a number of outstanding shares of Common Stock that was provided by the Company.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the Warrant that are not in compliance with the Beneficial Ownership Limitation, except to the extent the Holder relies on the number of outstanding shares of Common Stock that was provided by the Company.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request of a Holder, the Company shall within two (2)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2"/>
          <w:szCs w:val="12"/>
          <w:u w:val="single" w:color="auto"/>
          <w:color w:val="auto"/>
        </w:rPr>
        <w:t>Beneficial Ownership Limitation</w:t>
      </w:r>
      <w:r>
        <w:rPr>
          <w:rFonts w:ascii="Times New Roman" w:cs="Times New Roman" w:eastAsia="Times New Roman" w:hAnsi="Times New Roman"/>
          <w:sz w:val="12"/>
          <w:szCs w:val="12"/>
          <w:color w:val="auto"/>
        </w:rPr>
        <w:t>” shall be 9.99% (or, upon election by a Holder prior to the issuance of any Warrants, 4.99%) of the number of shares of Common Stock outstanding immediately after giving effect to the issuance of shares of Common Stock issuable upon exercise of this Warrant. The Holder, upon written notice to the Company, may increase or decrease the Beneficial Ownership Limitation provisions of this Section 2(e), provided that the Beneficial Ownership Limitation in no event exceeds 19.99% of the number of Warrant Shares outstanding immediately after giving effect to the issuance of shares of Common Stock upon exercise of this Warrant held by the Holder and the provisions of this Section 2(e) shall continue to apply, provided further that an Affiliate of the Company may suspend the Beneficial Ownership Limitation in its entirety if, and for so long as, such Beneficial Ownership Limitation is not required to be in effect to ensure compliance with applicable Nasdaq listing, requirements with respect to stockholder approval.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the Warrant is unexercisable as a result of the Holder's Beneficial Ownership Limitation, no alternate consideration is owing to the Holder.</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9" w:name="page80"/>
    <w:bookmarkEnd w:id="79"/>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f)              </w:t>
      </w:r>
      <w:r>
        <w:rPr>
          <w:rFonts w:ascii="Times New Roman" w:cs="Times New Roman" w:eastAsia="Times New Roman" w:hAnsi="Times New Roman"/>
          <w:sz w:val="12"/>
          <w:szCs w:val="12"/>
          <w:u w:val="single" w:color="auto"/>
          <w:color w:val="auto"/>
        </w:rPr>
        <w:t>Trading Market Limitation</w:t>
      </w:r>
      <w:r>
        <w:rPr>
          <w:rFonts w:ascii="Times New Roman" w:cs="Times New Roman" w:eastAsia="Times New Roman" w:hAnsi="Times New Roman"/>
          <w:sz w:val="12"/>
          <w:szCs w:val="12"/>
          <w:color w:val="auto"/>
        </w:rPr>
        <w:t>. Notwithstanding any other provision herein, this Warrant may not be exercised, and the Company may not issue any shares of Common Stock upon submission of a Notice of Exercise, until receipt of Shareholder Approval. Until receipt of Shareholder Approval, no Holder of this Warrant shall be issued shares of Common Stock upon an attempted exercise of this Warrant.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  Certain Adjustments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Stock Dividends and Splits</w:t>
      </w:r>
      <w:r>
        <w:rPr>
          <w:rFonts w:ascii="Times New Roman" w:cs="Times New Roman" w:eastAsia="Times New Roman" w:hAnsi="Times New Roman"/>
          <w:sz w:val="12"/>
          <w:szCs w:val="12"/>
          <w:color w:val="auto"/>
        </w:rPr>
        <w:t>.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shares of Common Stock issued by the Company upon exercise of this Warrant or pursuant to any other Transaction Documents), (ii) subdivides outstanding shares of Common Stock into a larger number of shares, (iii) combines (including by way of reverse stock split) outstanding shares of Common Stock into a smaller number of shares, or (iv) issues by reclassification of the Common Stock any shares of share capital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128"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Subsequent Rights Offerings</w:t>
      </w:r>
      <w:r>
        <w:rPr>
          <w:rFonts w:ascii="Times New Roman" w:cs="Times New Roman" w:eastAsia="Times New Roman" w:hAnsi="Times New Roman"/>
          <w:sz w:val="12"/>
          <w:szCs w:val="12"/>
          <w:color w:val="auto"/>
        </w:rPr>
        <w:t>. In addition to any adjustments pursuant to Section 3(a) above, if at any time that this Warrant is outstanding the Company grants, issues or sells any Common Stock Equivalents or rights to purchase shares, warrants, securities or other property pro rata to all of the record holders of any class of Common Stock (the “</w:t>
      </w:r>
      <w:r>
        <w:rPr>
          <w:rFonts w:ascii="Times New Roman" w:cs="Times New Roman" w:eastAsia="Times New Roman" w:hAnsi="Times New Roman"/>
          <w:sz w:val="12"/>
          <w:szCs w:val="12"/>
          <w:u w:val="single" w:color="auto"/>
          <w:color w:val="auto"/>
        </w:rPr>
        <w:t>Purchase Rights</w:t>
      </w:r>
      <w:r>
        <w:rPr>
          <w:rFonts w:ascii="Times New Roman" w:cs="Times New Roman" w:eastAsia="Times New Roman" w:hAnsi="Times New Roman"/>
          <w:sz w:val="12"/>
          <w:szCs w:val="12"/>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0" w:name="page81"/>
    <w:bookmarkEnd w:id="80"/>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Pro Rata Distributions</w:t>
      </w:r>
      <w:r>
        <w:rPr>
          <w:rFonts w:ascii="Times New Roman" w:cs="Times New Roman" w:eastAsia="Times New Roman" w:hAnsi="Times New Roman"/>
          <w:sz w:val="12"/>
          <w:szCs w:val="12"/>
          <w:color w:val="auto"/>
        </w:rPr>
        <w:t>. During such time as this Warrant is outstanding, if the Company shall declare or make any dividend or other distribution of its assets (or rights to acquire its assets) to all of the holders of Common Stock,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2"/>
          <w:szCs w:val="12"/>
          <w:u w:val="single" w:color="auto"/>
          <w:color w:val="auto"/>
        </w:rPr>
        <w:t>Distribution</w:t>
      </w:r>
      <w:r>
        <w:rPr>
          <w:rFonts w:ascii="Times New Roman" w:cs="Times New Roman" w:eastAsia="Times New Roman" w:hAnsi="Times New Roman"/>
          <w:sz w:val="12"/>
          <w:szCs w:val="12"/>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Stock are to be determined for the participation in such Distribution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1" w:name="page82"/>
    <w:bookmarkEnd w:id="81"/>
    <w:p>
      <w:pPr>
        <w:jc w:val="both"/>
        <w:ind w:firstLine="864"/>
        <w:spacing w:after="0" w:line="251" w:lineRule="auto"/>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Fundamental Transaction</w:t>
      </w:r>
      <w:r>
        <w:rPr>
          <w:rFonts w:ascii="Times New Roman" w:cs="Times New Roman" w:eastAsia="Times New Roman" w:hAnsi="Times New Roman"/>
          <w:sz w:val="12"/>
          <w:szCs w:val="12"/>
          <w:color w:val="auto"/>
        </w:rPr>
        <w:t>. If, at any time while this Warrant is outstanding, (i) the Company, directly or indirectly, in one or more related transactions effects any merger or consolidation of the Company with or into another Person in which the Company is not the surviving entity (other than a reincorporation in a different state), (ii) the Company or any Subsidiary, directly or indirectly, effects any sale, lease, license, assignment, transfer, conveyance or other disposition of all or substantially all of the assets of the Company and its Subsidiaries, taken as a whole,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shares of the aggregate voting power of all classes of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the aggregate voting power of all classes of equity of the Company (each a “</w:t>
      </w:r>
      <w:r>
        <w:rPr>
          <w:rFonts w:ascii="Times New Roman" w:cs="Times New Roman" w:eastAsia="Times New Roman" w:hAnsi="Times New Roman"/>
          <w:sz w:val="12"/>
          <w:szCs w:val="12"/>
          <w:u w:val="single" w:color="auto"/>
          <w:color w:val="auto"/>
        </w:rPr>
        <w:t>Fundamental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Transaction</w:t>
      </w:r>
      <w:r>
        <w:rPr>
          <w:rFonts w:ascii="Times New Roman" w:cs="Times New Roman" w:eastAsia="Times New Roman" w:hAnsi="Times New Roman"/>
          <w:sz w:val="12"/>
          <w:szCs w:val="12"/>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2"/>
          <w:szCs w:val="12"/>
          <w:u w:val="single" w:color="auto"/>
          <w:color w:val="auto"/>
        </w:rPr>
        <w:t>Alternate Consideration</w:t>
      </w:r>
      <w:r>
        <w:rPr>
          <w:rFonts w:ascii="Times New Roman" w:cs="Times New Roman" w:eastAsia="Times New Roman" w:hAnsi="Times New Roman"/>
          <w:sz w:val="12"/>
          <w:szCs w:val="12"/>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2"/>
          <w:szCs w:val="12"/>
          <w:u w:val="single" w:color="auto"/>
          <w:color w:val="auto"/>
        </w:rPr>
        <w:t>Successor Entity</w:t>
      </w:r>
      <w:r>
        <w:rPr>
          <w:rFonts w:ascii="Times New Roman" w:cs="Times New Roman" w:eastAsia="Times New Roman" w:hAnsi="Times New Roman"/>
          <w:sz w:val="12"/>
          <w:szCs w:val="12"/>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136" w:lineRule="exact"/>
        <w:rPr>
          <w:sz w:val="20"/>
          <w:szCs w:val="20"/>
          <w:color w:val="auto"/>
        </w:rPr>
      </w:pPr>
    </w:p>
    <w:p>
      <w:pPr>
        <w:ind w:firstLine="856"/>
        <w:spacing w:after="0" w:line="279" w:lineRule="auto"/>
        <w:tabs>
          <w:tab w:leader="none" w:pos="987"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  Calculations</w:t>
      </w:r>
      <w:r>
        <w:rPr>
          <w:rFonts w:ascii="Times New Roman" w:cs="Times New Roman" w:eastAsia="Times New Roman" w:hAnsi="Times New Roman"/>
          <w:sz w:val="12"/>
          <w:szCs w:val="12"/>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f)             </w:t>
      </w:r>
      <w:r>
        <w:rPr>
          <w:rFonts w:ascii="Times New Roman" w:cs="Times New Roman" w:eastAsia="Times New Roman" w:hAnsi="Times New Roman"/>
          <w:sz w:val="12"/>
          <w:szCs w:val="12"/>
          <w:u w:val="single" w:color="auto"/>
          <w:color w:val="auto"/>
        </w:rPr>
        <w:t>Notice to Holder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20" w:firstLine="1296"/>
        <w:spacing w:after="0" w:line="279"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Adjustment to Exercise Price</w:t>
      </w:r>
      <w:r>
        <w:rPr>
          <w:rFonts w:ascii="Times New Roman" w:cs="Times New Roman" w:eastAsia="Times New Roman" w:hAnsi="Times New Roman"/>
          <w:sz w:val="12"/>
          <w:szCs w:val="12"/>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2" w:name="page83"/>
    <w:bookmarkEnd w:id="82"/>
    <w:p>
      <w:pPr>
        <w:jc w:val="both"/>
        <w:ind w:firstLine="1296"/>
        <w:spacing w:after="0" w:line="253" w:lineRule="auto"/>
        <w:rPr>
          <w:sz w:val="20"/>
          <w:szCs w:val="20"/>
          <w:color w:val="auto"/>
        </w:rPr>
      </w:pPr>
      <w:r>
        <w:rPr>
          <w:rFonts w:ascii="Times New Roman" w:cs="Times New Roman" w:eastAsia="Times New Roman" w:hAnsi="Times New Roman"/>
          <w:sz w:val="12"/>
          <w:szCs w:val="12"/>
          <w:color w:val="auto"/>
        </w:rPr>
        <w:t xml:space="preserve">ii.           </w:t>
      </w:r>
      <w:r>
        <w:rPr>
          <w:rFonts w:ascii="Times New Roman" w:cs="Times New Roman" w:eastAsia="Times New Roman" w:hAnsi="Times New Roman"/>
          <w:sz w:val="12"/>
          <w:szCs w:val="12"/>
          <w:u w:val="single" w:color="auto"/>
          <w:color w:val="auto"/>
        </w:rPr>
        <w:t>Notice to Allow Exercise by Holder</w:t>
      </w:r>
      <w:r>
        <w:rPr>
          <w:rFonts w:ascii="Times New Roman" w:cs="Times New Roman" w:eastAsia="Times New Roman" w:hAnsi="Times New Roman"/>
          <w:sz w:val="12"/>
          <w:szCs w:val="12"/>
          <w:color w:val="auto"/>
        </w:rPr>
        <w:t>. If (A) the Company shall declare a dividend (or any other distribution in whatever form) on the Common Stock other than a share split, (B) the Company shall declare a special nonrecurring cash dividend on or a redemption of the Common Stock, (C) the Company shall authorize the granting to all holders of the Common Stock rights or warrants to subscribe for or purchase any shares of share capital of any class or of any rights, (D) the approval of any shareholders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shares of Common Stock are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4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report of foreign private issuer on Form 8-K. The Holder shall remain entitled to exercise this Warrant during the period commencing on the date of such notice to the effective date of the event triggering such notice except as may otherwise be expressly set forth herein.</w:t>
      </w:r>
    </w:p>
    <w:p>
      <w:pPr>
        <w:spacing w:after="0" w:line="126"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f)             </w:t>
      </w:r>
      <w:r>
        <w:rPr>
          <w:rFonts w:ascii="Times New Roman" w:cs="Times New Roman" w:eastAsia="Times New Roman" w:hAnsi="Times New Roman"/>
          <w:sz w:val="12"/>
          <w:szCs w:val="12"/>
          <w:u w:val="single" w:color="auto"/>
          <w:color w:val="auto"/>
        </w:rPr>
        <w:t>Voluntary Adjustment by Company</w:t>
      </w:r>
      <w:r>
        <w:rPr>
          <w:rFonts w:ascii="Times New Roman" w:cs="Times New Roman" w:eastAsia="Times New Roman" w:hAnsi="Times New Roman"/>
          <w:sz w:val="12"/>
          <w:szCs w:val="12"/>
          <w:color w:val="auto"/>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  Transfer of Warrant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1"/>
          <w:szCs w:val="11"/>
          <w:color w:val="auto"/>
        </w:rPr>
        <w:t>a)          </w:t>
      </w:r>
      <w:r>
        <w:rPr>
          <w:rFonts w:ascii="Times New Roman" w:cs="Times New Roman" w:eastAsia="Times New Roman" w:hAnsi="Times New Roman"/>
          <w:sz w:val="11"/>
          <w:szCs w:val="11"/>
          <w:u w:val="single" w:color="auto"/>
          <w:color w:val="auto"/>
        </w:rPr>
        <w:t>  Transferability</w:t>
      </w:r>
      <w:r>
        <w:rPr>
          <w:rFonts w:ascii="Times New Roman" w:cs="Times New Roman" w:eastAsia="Times New Roman" w:hAnsi="Times New Roman"/>
          <w:sz w:val="11"/>
          <w:szCs w:val="11"/>
          <w:color w:val="auto"/>
        </w:rPr>
        <w:t>. Subject to compliance with any applicable securities laws, the conditions set forth in Section 4(d) hereof, and the provisions of Section 4.1A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3" w:name="page84"/>
    <w:bookmarkEnd w:id="83"/>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New Warrants</w:t>
      </w:r>
      <w:r>
        <w:rPr>
          <w:rFonts w:ascii="Times New Roman" w:cs="Times New Roman" w:eastAsia="Times New Roman" w:hAnsi="Times New Roman"/>
          <w:sz w:val="12"/>
          <w:szCs w:val="12"/>
          <w:color w:val="auto"/>
        </w:rPr>
        <w:t>. Subject to compliance with applicable securities laws, thishis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Warrant Register</w:t>
      </w:r>
      <w:r>
        <w:rPr>
          <w:rFonts w:ascii="Times New Roman" w:cs="Times New Roman" w:eastAsia="Times New Roman" w:hAnsi="Times New Roman"/>
          <w:sz w:val="12"/>
          <w:szCs w:val="12"/>
          <w:color w:val="auto"/>
        </w:rPr>
        <w:t>. The Company shall register this Warrant, upon records to be maintained by the Company for that purpose (the “</w:t>
      </w: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  Miscellaneous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No Rights as Shareholder Until Exercise; No Settlement in Cash</w:t>
      </w:r>
      <w:r>
        <w:rPr>
          <w:rFonts w:ascii="Times New Roman" w:cs="Times New Roman" w:eastAsia="Times New Roman" w:hAnsi="Times New Roman"/>
          <w:sz w:val="12"/>
          <w:szCs w:val="12"/>
          <w:color w:val="auto"/>
        </w:rPr>
        <w:t>. This Warrant does not entitle the Holder to any voting rights, dividends or other rights as a shareholder of the Company prior to the exercise hereof as set forth in Section 2(d)(i), except as expressly set forth in Section 3. Without limiting the rights of a Holder to receive Warrant Shares on a "cashless exercise" as permitted in Section 2(c), and to receive the cash payments contemplated pursuant to Section 2(d)(i) and Section 2(d)(iv), in no event will the Company be required to net cash settle an exercise of this Warrant.</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Loss, Theft, Destruction or Mutilation of Warrant</w:t>
      </w:r>
      <w:r>
        <w:rPr>
          <w:rFonts w:ascii="Times New Roman" w:cs="Times New Roman" w:eastAsia="Times New Roman" w:hAnsi="Times New Roman"/>
          <w:sz w:val="12"/>
          <w:szCs w:val="12"/>
          <w:color w:val="auto"/>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4" w:name="page85"/>
    <w:bookmarkEnd w:id="84"/>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Saturdays Sundays Holidays etc</w:t>
      </w:r>
      <w:r>
        <w:rPr>
          <w:rFonts w:ascii="Times New Roman" w:cs="Times New Roman" w:eastAsia="Times New Roman" w:hAnsi="Times New Roman"/>
          <w:sz w:val="12"/>
          <w:szCs w:val="12"/>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11" w:lineRule="exact"/>
        <w:rPr>
          <w:sz w:val="20"/>
          <w:szCs w:val="20"/>
          <w:color w:val="auto"/>
        </w:rPr>
      </w:pPr>
    </w:p>
    <w:p>
      <w:pPr>
        <w:jc w:val="both"/>
        <w:ind w:firstLine="864"/>
        <w:spacing w:after="0" w:line="284" w:lineRule="auto"/>
        <w:rPr>
          <w:sz w:val="20"/>
          <w:szCs w:val="20"/>
          <w:color w:val="auto"/>
        </w:rPr>
      </w:pPr>
      <w:r>
        <w:rPr>
          <w:rFonts w:ascii="Times New Roman" w:cs="Times New Roman" w:eastAsia="Times New Roman" w:hAnsi="Times New Roman"/>
          <w:sz w:val="11"/>
          <w:szCs w:val="11"/>
          <w:color w:val="auto"/>
        </w:rPr>
        <w:t>d)          </w:t>
      </w:r>
      <w:r>
        <w:rPr>
          <w:rFonts w:ascii="Times New Roman" w:cs="Times New Roman" w:eastAsia="Times New Roman" w:hAnsi="Times New Roman"/>
          <w:sz w:val="11"/>
          <w:szCs w:val="11"/>
          <w:u w:val="single" w:color="auto"/>
          <w:color w:val="auto"/>
        </w:rPr>
        <w:t>  Authorized Shares</w:t>
      </w:r>
      <w:r>
        <w:rPr>
          <w:rFonts w:ascii="Times New Roman" w:cs="Times New Roman" w:eastAsia="Times New Roman" w:hAnsi="Times New Roman"/>
          <w:sz w:val="11"/>
          <w:szCs w:val="11"/>
          <w:color w:val="auto"/>
        </w:rPr>
        <w:t>. The Company covenants that, at all times during the period the Warrant is outstanding, it will reserve from its authorized and unissued shares of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1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2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5" w:name="page86"/>
    <w:bookmarkEnd w:id="85"/>
    <w:p>
      <w:pPr>
        <w:ind w:left="860"/>
        <w:spacing w:after="0"/>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Jurisdiction</w:t>
      </w:r>
      <w:r>
        <w:rPr>
          <w:rFonts w:ascii="Times New Roman" w:cs="Times New Roman" w:eastAsia="Times New Roman" w:hAnsi="Times New Roman"/>
          <w:sz w:val="12"/>
          <w:szCs w:val="12"/>
          <w:color w:val="auto"/>
        </w:rPr>
        <w:t>. All questions concerning the construction, validity, enforcement and interpretation of this Warrant shall be determined in accordance with the provisions of the Purchase Agreement.</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f)             </w:t>
      </w:r>
      <w:r>
        <w:rPr>
          <w:rFonts w:ascii="Times New Roman" w:cs="Times New Roman" w:eastAsia="Times New Roman" w:hAnsi="Times New Roman"/>
          <w:sz w:val="12"/>
          <w:szCs w:val="12"/>
          <w:u w:val="single" w:color="auto"/>
          <w:color w:val="auto"/>
        </w:rPr>
        <w:t>Restrictions</w:t>
      </w:r>
      <w:r>
        <w:rPr>
          <w:rFonts w:ascii="Times New Roman" w:cs="Times New Roman" w:eastAsia="Times New Roman" w:hAnsi="Times New Roman"/>
          <w:sz w:val="12"/>
          <w:szCs w:val="12"/>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Nonwaiver and Expenses</w:t>
      </w:r>
      <w:r>
        <w:rPr>
          <w:rFonts w:ascii="Times New Roman" w:cs="Times New Roman" w:eastAsia="Times New Roman" w:hAnsi="Times New Roman"/>
          <w:sz w:val="12"/>
          <w:szCs w:val="12"/>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 h) Notices. Any notice, request or other document required or permitted to be given or delivered to the Holder by the Company shall be delivered in accordance with the notice provisions of the Purchase Agreement.</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  Limitation of Liability</w:t>
      </w:r>
      <w:r>
        <w:rPr>
          <w:rFonts w:ascii="Times New Roman" w:cs="Times New Roman" w:eastAsia="Times New Roman" w:hAnsi="Times New Roman"/>
          <w:sz w:val="12"/>
          <w:szCs w:val="1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shareholder of the Company, whether such liability is asserted by the Company or by creditors of the Company.</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i)             </w:t>
      </w:r>
      <w:r>
        <w:rPr>
          <w:rFonts w:ascii="Times New Roman" w:cs="Times New Roman" w:eastAsia="Times New Roman" w:hAnsi="Times New Roman"/>
          <w:sz w:val="12"/>
          <w:szCs w:val="12"/>
          <w:u w:val="single" w:color="auto"/>
          <w:color w:val="auto"/>
        </w:rPr>
        <w:t>Remedies</w:t>
      </w:r>
      <w:r>
        <w:rPr>
          <w:rFonts w:ascii="Times New Roman" w:cs="Times New Roman" w:eastAsia="Times New Roman" w:hAnsi="Times New Roman"/>
          <w:sz w:val="12"/>
          <w:szCs w:val="1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and in such case, by the acceptance hereof, represents and warrants that the Holder will acquire such Warrant Shares issuable upon such exercise for its own account and not with a view to or for distributing or reselling Warrant Shares or any part thereof in violation of the Securities Act or any applicable state securities law.</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j)             </w:t>
      </w: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k)          </w:t>
      </w:r>
      <w:r>
        <w:rPr>
          <w:rFonts w:ascii="Times New Roman" w:cs="Times New Roman" w:eastAsia="Times New Roman" w:hAnsi="Times New Roman"/>
          <w:sz w:val="12"/>
          <w:szCs w:val="12"/>
          <w:u w:val="single" w:color="auto"/>
          <w:color w:val="auto"/>
        </w:rPr>
        <w:t>  Amendment</w:t>
      </w:r>
      <w:r>
        <w:rPr>
          <w:rFonts w:ascii="Times New Roman" w:cs="Times New Roman" w:eastAsia="Times New Roman" w:hAnsi="Times New Roman"/>
          <w:sz w:val="12"/>
          <w:szCs w:val="12"/>
          <w:color w:val="auto"/>
        </w:rPr>
        <w:t>. This Warrant may be modified or amended or the provisions hereof waived with the written consent of the Company, on the one hand, and the Holder of this Warrant, on the other hand</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6" w:name="page87"/>
    <w:bookmarkEnd w:id="86"/>
    <w:p>
      <w:pPr>
        <w:ind w:firstLine="864"/>
        <w:spacing w:after="0" w:line="279" w:lineRule="auto"/>
        <w:rPr>
          <w:sz w:val="20"/>
          <w:szCs w:val="20"/>
          <w:color w:val="auto"/>
        </w:rPr>
      </w:pPr>
      <w:r>
        <w:rPr>
          <w:rFonts w:ascii="Times New Roman" w:cs="Times New Roman" w:eastAsia="Times New Roman" w:hAnsi="Times New Roman"/>
          <w:sz w:val="12"/>
          <w:szCs w:val="12"/>
          <w:color w:val="auto"/>
        </w:rPr>
        <w:t>1)          </w:t>
      </w:r>
      <w:r>
        <w:rPr>
          <w:rFonts w:ascii="Times New Roman" w:cs="Times New Roman" w:eastAsia="Times New Roman" w:hAnsi="Times New Roman"/>
          <w:sz w:val="12"/>
          <w:szCs w:val="12"/>
          <w:u w:val="single" w:color="auto"/>
          <w:color w:val="auto"/>
        </w:rPr>
        <w:t>  Severability</w:t>
      </w:r>
      <w:r>
        <w:rPr>
          <w:rFonts w:ascii="Times New Roman" w:cs="Times New Roman" w:eastAsia="Times New Roman" w:hAnsi="Times New Roman"/>
          <w:sz w:val="12"/>
          <w:szCs w:val="1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m)          </w:t>
      </w:r>
      <w:r>
        <w:rPr>
          <w:rFonts w:ascii="Times New Roman" w:cs="Times New Roman" w:eastAsia="Times New Roman" w:hAnsi="Times New Roman"/>
          <w:sz w:val="12"/>
          <w:szCs w:val="12"/>
          <w:u w:val="single" w:color="auto"/>
          <w:color w:val="auto"/>
        </w:rPr>
        <w:t>  Headings</w:t>
      </w:r>
      <w:r>
        <w:rPr>
          <w:rFonts w:ascii="Times New Roman" w:cs="Times New Roman" w:eastAsia="Times New Roman" w:hAnsi="Times New Roman"/>
          <w:sz w:val="12"/>
          <w:szCs w:val="12"/>
          <w:color w:val="auto"/>
        </w:rPr>
        <w:t>. The headings used in this Warrant are for the convenience of reference only and shall not, for any purpose, be deemed a part of this Warrant.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color w:val="auto"/>
        </w:rPr>
        <w:t>IN WITNESS WHEREOF, the Company has caused this Warrant to be executed by its officer thereunto duly authorized as of the date first above indicated.</w:t>
      </w:r>
    </w:p>
    <w:p>
      <w:pPr>
        <w:spacing w:after="0" w:line="1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Helius Medical Technologies, Inc.</w:t>
      </w:r>
    </w:p>
    <w:p>
      <w:pPr>
        <w:spacing w:after="0" w:line="154"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13"/>
                <w:szCs w:val="13"/>
                <w:color w:val="auto"/>
              </w:rPr>
            </w:pP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Jeffrey S. Mathiesen</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 Treasurer and Secretary</w:t>
            </w:r>
          </w:p>
        </w:tc>
      </w:tr>
    </w:tbl>
    <w:p>
      <w:pPr>
        <w:spacing w:after="0" w:line="13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2"/>
          <w:szCs w:val="12"/>
          <w:color w:val="auto"/>
        </w:rPr>
        <w:t>[SIGNATURE PAGE TO STRATEGIC ADVISOR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193675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NOTICE OF EXERCISE</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w:t>
      </w:r>
      <w:r>
        <w:rPr>
          <w:rFonts w:ascii="Times New Roman" w:cs="Times New Roman" w:eastAsia="Times New Roman" w:hAnsi="Times New Roman"/>
          <w:sz w:val="12"/>
          <w:szCs w:val="12"/>
          <w:b w:val="1"/>
          <w:bCs w:val="1"/>
          <w:color w:val="auto"/>
        </w:rPr>
        <w:t>Helius Medical Technologies, Inc.</w:t>
      </w:r>
    </w:p>
    <w:p>
      <w:pPr>
        <w:spacing w:after="0" w:line="154" w:lineRule="exact"/>
        <w:rPr>
          <w:sz w:val="20"/>
          <w:szCs w:val="20"/>
          <w:color w:val="auto"/>
        </w:rPr>
      </w:pPr>
    </w:p>
    <w:p>
      <w:pPr>
        <w:ind w:left="8" w:firstLine="424"/>
        <w:spacing w:after="0" w:line="279" w:lineRule="auto"/>
        <w:tabs>
          <w:tab w:leader="none" w:pos="611"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hereby elects to purchase</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12"/>
          <w:szCs w:val="12"/>
          <w:color w:val="auto"/>
        </w:rPr>
        <w:t>  Warrant Shares of the Company pursuant to the terms of the attached Warrant (only if exercised in full), and tenders herewith payment of the exercise price in full, together with all applicable transfer taxes, if any.</w:t>
      </w:r>
    </w:p>
    <w:p>
      <w:pPr>
        <w:spacing w:after="0" w:line="111" w:lineRule="exact"/>
        <w:rPr>
          <w:rFonts w:ascii="Times New Roman" w:cs="Times New Roman" w:eastAsia="Times New Roman" w:hAnsi="Times New Roman"/>
          <w:sz w:val="12"/>
          <w:szCs w:val="12"/>
          <w:color w:val="auto"/>
        </w:rPr>
      </w:pPr>
    </w:p>
    <w:p>
      <w:pPr>
        <w:ind w:left="608" w:hanging="176"/>
        <w:spacing w:after="0"/>
        <w:tabs>
          <w:tab w:leader="none" w:pos="608"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shall take the form of (check applicable box):</w:t>
      </w:r>
    </w:p>
    <w:p>
      <w:pPr>
        <w:spacing w:after="0" w:line="150" w:lineRule="exact"/>
        <w:rPr>
          <w:rFonts w:ascii="Times New Roman" w:cs="Times New Roman" w:eastAsia="Times New Roman" w:hAnsi="Times New Roman"/>
          <w:sz w:val="12"/>
          <w:szCs w:val="12"/>
          <w:color w:val="auto"/>
        </w:rPr>
      </w:pPr>
    </w:p>
    <w:p>
      <w:pPr>
        <w:ind w:left="148" w:hanging="148"/>
        <w:spacing w:after="0"/>
        <w:tabs>
          <w:tab w:leader="none" w:pos="148" w:val="left"/>
        </w:tabs>
        <w:numPr>
          <w:ilvl w:val="0"/>
          <w:numId w:val="6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in lawful money of the United States; or</w:t>
      </w:r>
    </w:p>
    <w:p>
      <w:pPr>
        <w:spacing w:after="0" w:line="150" w:lineRule="exact"/>
        <w:rPr>
          <w:rFonts w:ascii="MS PGothic" w:cs="MS PGothic" w:eastAsia="MS PGothic" w:hAnsi="MS PGothic"/>
          <w:sz w:val="12"/>
          <w:szCs w:val="12"/>
          <w:color w:val="auto"/>
        </w:rPr>
      </w:pPr>
    </w:p>
    <w:p>
      <w:pPr>
        <w:ind w:left="8" w:right="20" w:hanging="8"/>
        <w:spacing w:after="0" w:line="279" w:lineRule="auto"/>
        <w:tabs>
          <w:tab w:leader="none" w:pos="147" w:val="left"/>
        </w:tabs>
        <w:numPr>
          <w:ilvl w:val="0"/>
          <w:numId w:val="6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11" w:lineRule="exact"/>
        <w:rPr>
          <w:rFonts w:ascii="MS PGothic" w:cs="MS PGothic" w:eastAsia="MS PGothic" w:hAnsi="MS PGothic"/>
          <w:sz w:val="12"/>
          <w:szCs w:val="12"/>
          <w:color w:val="auto"/>
        </w:rPr>
      </w:pPr>
    </w:p>
    <w:p>
      <w:pPr>
        <w:ind w:left="608" w:hanging="176"/>
        <w:spacing w:after="0"/>
        <w:tabs>
          <w:tab w:leader="none" w:pos="608" w:val="left"/>
        </w:tabs>
        <w:numPr>
          <w:ilvl w:val="1"/>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88" w:hanging="156"/>
        <w:spacing w:after="0"/>
        <w:tabs>
          <w:tab w:leader="none" w:pos="588"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Accredit Investor. The undersigned is an “accredited investor” as defined in Rule 501(a) of Regulation D promulgated under the Securities Act of 1933, as amended.</w:t>
      </w:r>
    </w:p>
    <w:p>
      <w:pPr>
        <w:spacing w:after="0" w:line="150" w:lineRule="exact"/>
        <w:rPr>
          <w:rFonts w:ascii="Times New Roman" w:cs="Times New Roman" w:eastAsia="Times New Roman" w:hAnsi="Times New Roman"/>
          <w:sz w:val="12"/>
          <w:szCs w:val="12"/>
          <w:color w:val="auto"/>
        </w:rPr>
      </w:pPr>
    </w:p>
    <w:p>
      <w:pPr>
        <w:ind w:left="8" w:right="9860"/>
        <w:spacing w:after="0" w:line="55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[SIGNATURE OF HOLDER] Name of Investing Entity:</w:t>
      </w:r>
    </w:p>
    <w:p>
      <w:pPr>
        <w:spacing w:after="0" w:line="1" w:lineRule="exact"/>
        <w:rPr>
          <w:rFonts w:ascii="Times New Roman" w:cs="Times New Roman" w:eastAsia="Times New Roman" w:hAnsi="Times New Roman"/>
          <w:sz w:val="12"/>
          <w:szCs w:val="12"/>
          <w:color w:val="auto"/>
        </w:rPr>
      </w:pPr>
    </w:p>
    <w:p>
      <w:pPr>
        <w:ind w:left="8" w:right="8680"/>
        <w:spacing w:after="0" w:line="51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Signature of Authorized Signatory of Investing Entity: Name of Authorized Signatory:</w:t>
      </w:r>
    </w:p>
    <w:p>
      <w:pPr>
        <w:ind w:left="8" w:right="9860"/>
        <w:spacing w:after="0" w:line="5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Title of Authorized Signatory: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-864870</wp:posOffset>
            </wp:positionV>
            <wp:extent cx="588073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80735" cy="571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-676275</wp:posOffset>
            </wp:positionV>
            <wp:extent cx="452056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20565" cy="571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-487680</wp:posOffset>
            </wp:positionV>
            <wp:extent cx="56692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69280" cy="571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-299085</wp:posOffset>
            </wp:positionV>
            <wp:extent cx="56692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69280" cy="571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-110490</wp:posOffset>
            </wp:positionV>
            <wp:extent cx="681799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1799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77470</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ASSIGNMENT FORM</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i w:val="1"/>
          <w:iCs w:val="1"/>
          <w:color w:val="auto"/>
        </w:rPr>
        <w:t>(To assign the foregoing Warrant, execute this form and supply required information. Do not use this form to exercise the Warrant to purchase shares.)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FOR VALUE RECEIVED, the foregoing Warrant (or portion thereof, as set forth below) and all rights evidenced thereby are hereby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102235</wp:posOffset>
            </wp:positionV>
            <wp:extent cx="7178040" cy="1423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142303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Warrant Shares Assigned: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Assignee Name: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Assignee Address: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Phone Number: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Address: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Holder's Signature: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273685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60" w:top="647" w:right="2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SUBSCRIPTION AGREEMENT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This SUBSCRIPTION AGREEMENT (this “</w:t>
      </w:r>
      <w:r>
        <w:rPr>
          <w:rFonts w:ascii="Times New Roman" w:cs="Times New Roman" w:eastAsia="Times New Roman" w:hAnsi="Times New Roman"/>
          <w:sz w:val="12"/>
          <w:szCs w:val="12"/>
          <w:u w:val="single" w:color="auto"/>
          <w:color w:val="auto"/>
        </w:rPr>
        <w:t>Subscription Agreement</w:t>
      </w:r>
      <w:r>
        <w:rPr>
          <w:rFonts w:ascii="Times New Roman" w:cs="Times New Roman" w:eastAsia="Times New Roman" w:hAnsi="Times New Roman"/>
          <w:sz w:val="12"/>
          <w:szCs w:val="12"/>
          <w:color w:val="auto"/>
        </w:rPr>
        <w:t>”) is entered into on September 15, 2025, by and among Helius Medical Technologies, Inc., a Delaware corporation (the “</w:t>
      </w:r>
      <w:r>
        <w:rPr>
          <w:rFonts w:ascii="Times New Roman" w:cs="Times New Roman" w:eastAsia="Times New Roman" w:hAnsi="Times New Roman"/>
          <w:sz w:val="12"/>
          <w:szCs w:val="12"/>
          <w:u w:val="single" w:color="auto"/>
          <w:color w:val="auto"/>
        </w:rPr>
        <w:t>Issuer</w:t>
      </w:r>
      <w:r>
        <w:rPr>
          <w:rFonts w:ascii="Times New Roman" w:cs="Times New Roman" w:eastAsia="Times New Roman" w:hAnsi="Times New Roman"/>
          <w:sz w:val="12"/>
          <w:szCs w:val="12"/>
          <w:color w:val="auto"/>
        </w:rPr>
        <w:t>”), and the undersigned investors (collectively, the “</w:t>
      </w:r>
      <w:r>
        <w:rPr>
          <w:rFonts w:ascii="Times New Roman" w:cs="Times New Roman" w:eastAsia="Times New Roman" w:hAnsi="Times New Roman"/>
          <w:sz w:val="12"/>
          <w:szCs w:val="12"/>
          <w:u w:val="single" w:color="auto"/>
          <w:color w:val="auto"/>
        </w:rPr>
        <w:t>Subscribers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u w:val="single" w:color="auto"/>
          <w:color w:val="auto"/>
        </w:rPr>
        <w:t>Subscriber</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This Subscription Agreement may be executed by an investment manager on behalf of one or more managed funds or accounts set forth on a schedule hereto, each of which severally and not jointly shall be a Subscriber hereunder.</w:t>
      </w:r>
    </w:p>
    <w:p>
      <w:pPr>
        <w:spacing w:after="0" w:line="11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WHEREAS, in connection with the Transaction (as defined below), on the terms and subject to the conditions set forth in this Subscription Agreement, Subscriber desires to subscribe for and purchase in cash and/or USDC or USDT from the Issuer (i) the number of shares of the Issuer’s Class A common stock, par value $0.001 per share, and any other class of securities into which such securities may hereafter be reclassified or changed (the “</w:t>
      </w:r>
      <w:r>
        <w:rPr>
          <w:rFonts w:ascii="Times New Roman" w:cs="Times New Roman" w:eastAsia="Times New Roman" w:hAnsi="Times New Roman"/>
          <w:sz w:val="12"/>
          <w:szCs w:val="12"/>
          <w:u w:val="single" w:color="auto"/>
          <w:color w:val="auto"/>
        </w:rPr>
        <w:t>Common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Stock</w:t>
      </w:r>
      <w:r>
        <w:rPr>
          <w:rFonts w:ascii="Times New Roman" w:cs="Times New Roman" w:eastAsia="Times New Roman" w:hAnsi="Times New Roman"/>
          <w:sz w:val="12"/>
          <w:szCs w:val="12"/>
          <w:color w:val="auto"/>
        </w:rPr>
        <w:t>”), set forth on the Subscriber’s signature page hereto (the “</w:t>
      </w:r>
      <w:r>
        <w:rPr>
          <w:rFonts w:ascii="Times New Roman" w:cs="Times New Roman" w:eastAsia="Times New Roman" w:hAnsi="Times New Roman"/>
          <w:sz w:val="12"/>
          <w:szCs w:val="12"/>
          <w:u w:val="single" w:color="auto"/>
          <w:color w:val="auto"/>
        </w:rPr>
        <w:t>Acquired Shares</w:t>
      </w:r>
      <w:r>
        <w:rPr>
          <w:rFonts w:ascii="Times New Roman" w:cs="Times New Roman" w:eastAsia="Times New Roman" w:hAnsi="Times New Roman"/>
          <w:sz w:val="12"/>
          <w:szCs w:val="12"/>
          <w:color w:val="auto"/>
        </w:rPr>
        <w:t>”) for a purchase price of $6.881 per share (the “</w:t>
      </w:r>
      <w:r>
        <w:rPr>
          <w:rFonts w:ascii="Times New Roman" w:cs="Times New Roman" w:eastAsia="Times New Roman" w:hAnsi="Times New Roman"/>
          <w:sz w:val="12"/>
          <w:szCs w:val="12"/>
          <w:u w:val="single" w:color="auto"/>
          <w:color w:val="auto"/>
        </w:rPr>
        <w:t>Share Purchase Price</w:t>
      </w:r>
      <w:r>
        <w:rPr>
          <w:rFonts w:ascii="Times New Roman" w:cs="Times New Roman" w:eastAsia="Times New Roman" w:hAnsi="Times New Roman"/>
          <w:sz w:val="12"/>
          <w:szCs w:val="12"/>
          <w:color w:val="auto"/>
        </w:rPr>
        <w:t>”), and/or (ii) the number of pre-funded warrants to purchase Common Stock (the “</w:t>
      </w:r>
      <w:r>
        <w:rPr>
          <w:rFonts w:ascii="Times New Roman" w:cs="Times New Roman" w:eastAsia="Times New Roman" w:hAnsi="Times New Roman"/>
          <w:sz w:val="12"/>
          <w:szCs w:val="12"/>
          <w:u w:val="single" w:color="auto"/>
          <w:color w:val="auto"/>
        </w:rPr>
        <w:t>Pre-Funded Warrant Shares</w:t>
      </w:r>
      <w:r>
        <w:rPr>
          <w:rFonts w:ascii="Times New Roman" w:cs="Times New Roman" w:eastAsia="Times New Roman" w:hAnsi="Times New Roman"/>
          <w:sz w:val="12"/>
          <w:szCs w:val="12"/>
          <w:color w:val="auto"/>
        </w:rPr>
        <w:t xml:space="preserve">”) substantially in the form attached hereto as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Pre-Funded Warrants</w:t>
      </w:r>
      <w:r>
        <w:rPr>
          <w:rFonts w:ascii="Times New Roman" w:cs="Times New Roman" w:eastAsia="Times New Roman" w:hAnsi="Times New Roman"/>
          <w:sz w:val="12"/>
          <w:szCs w:val="12"/>
          <w:color w:val="auto"/>
        </w:rPr>
        <w:t>”) set forth on the signature page hereto, if any, at a purchase price equal to the Share Purchase Price less $0.001 per Pre-Funded Warrant, with a remaining exercise price equal to $0.001 per Warrant Share (the “</w:t>
      </w:r>
      <w:r>
        <w:rPr>
          <w:rFonts w:ascii="Times New Roman" w:cs="Times New Roman" w:eastAsia="Times New Roman" w:hAnsi="Times New Roman"/>
          <w:sz w:val="12"/>
          <w:szCs w:val="12"/>
          <w:u w:val="single" w:color="auto"/>
          <w:color w:val="auto"/>
        </w:rPr>
        <w:t>Warrant Purchase Price</w:t>
      </w:r>
      <w:r>
        <w:rPr>
          <w:rFonts w:ascii="Times New Roman" w:cs="Times New Roman" w:eastAsia="Times New Roman" w:hAnsi="Times New Roman"/>
          <w:sz w:val="12"/>
          <w:szCs w:val="12"/>
          <w:color w:val="auto"/>
        </w:rPr>
        <w:t>”) and (iii) the number of warrants to purchase Common Stock (the “</w:t>
      </w:r>
      <w:r>
        <w:rPr>
          <w:rFonts w:ascii="Times New Roman" w:cs="Times New Roman" w:eastAsia="Times New Roman" w:hAnsi="Times New Roman"/>
          <w:sz w:val="12"/>
          <w:szCs w:val="12"/>
          <w:u w:val="single" w:color="auto"/>
          <w:color w:val="auto"/>
        </w:rPr>
        <w:t>Stapled Warrant Shares</w:t>
      </w:r>
      <w:r>
        <w:rPr>
          <w:rFonts w:ascii="Times New Roman" w:cs="Times New Roman" w:eastAsia="Times New Roman" w:hAnsi="Times New Roman"/>
          <w:sz w:val="12"/>
          <w:szCs w:val="12"/>
          <w:color w:val="auto"/>
        </w:rPr>
        <w:t>,” and collectively with the Pre-Funded Warrant Shares, the “</w:t>
      </w:r>
      <w:r>
        <w:rPr>
          <w:rFonts w:ascii="Times New Roman" w:cs="Times New Roman" w:eastAsia="Times New Roman" w:hAnsi="Times New Roman"/>
          <w:sz w:val="12"/>
          <w:szCs w:val="12"/>
          <w:u w:val="single" w:color="auto"/>
          <w:color w:val="auto"/>
        </w:rPr>
        <w:t>Warrant Shares</w:t>
      </w:r>
      <w:r>
        <w:rPr>
          <w:rFonts w:ascii="Times New Roman" w:cs="Times New Roman" w:eastAsia="Times New Roman" w:hAnsi="Times New Roman"/>
          <w:sz w:val="12"/>
          <w:szCs w:val="12"/>
          <w:color w:val="auto"/>
        </w:rPr>
        <w:t>”), with a cash exercise price equal to $10.134 (the “</w:t>
      </w:r>
      <w:r>
        <w:rPr>
          <w:rFonts w:ascii="Times New Roman" w:cs="Times New Roman" w:eastAsia="Times New Roman" w:hAnsi="Times New Roman"/>
          <w:sz w:val="12"/>
          <w:szCs w:val="12"/>
          <w:u w:val="single" w:color="auto"/>
          <w:color w:val="auto"/>
        </w:rPr>
        <w:t>Stapled Warrant Exercise Price</w:t>
      </w:r>
      <w:r>
        <w:rPr>
          <w:rFonts w:ascii="Times New Roman" w:cs="Times New Roman" w:eastAsia="Times New Roman" w:hAnsi="Times New Roman"/>
          <w:sz w:val="12"/>
          <w:szCs w:val="12"/>
          <w:color w:val="auto"/>
        </w:rPr>
        <w:t xml:space="preserve">”), substantially in the form attached hereto as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Stapled Warrants,</w:t>
      </w:r>
      <w:r>
        <w:rPr>
          <w:rFonts w:ascii="Times New Roman" w:cs="Times New Roman" w:eastAsia="Times New Roman" w:hAnsi="Times New Roman"/>
          <w:sz w:val="12"/>
          <w:szCs w:val="12"/>
          <w:color w:val="auto"/>
        </w:rPr>
        <w:t>” as defined and described more fully in this Agreement, and together with the Acquired Shares and the Pre-Funded Warrants, the “</w:t>
      </w:r>
      <w:r>
        <w:rPr>
          <w:rFonts w:ascii="Times New Roman" w:cs="Times New Roman" w:eastAsia="Times New Roman" w:hAnsi="Times New Roman"/>
          <w:sz w:val="12"/>
          <w:szCs w:val="12"/>
          <w:u w:val="single" w:color="auto"/>
          <w:color w:val="auto"/>
        </w:rPr>
        <w:t>Acquired Securities</w:t>
      </w:r>
      <w:r>
        <w:rPr>
          <w:rFonts w:ascii="Times New Roman" w:cs="Times New Roman" w:eastAsia="Times New Roman" w:hAnsi="Times New Roman"/>
          <w:sz w:val="12"/>
          <w:szCs w:val="12"/>
          <w:color w:val="auto"/>
        </w:rPr>
        <w:t>”) set forth on the signature page hereto (the aggregate purchase price set forth on the Subscriber’s signature page hereto for the Acquired Securities, the “</w:t>
      </w:r>
      <w:r>
        <w:rPr>
          <w:rFonts w:ascii="Times New Roman" w:cs="Times New Roman" w:eastAsia="Times New Roman" w:hAnsi="Times New Roman"/>
          <w:sz w:val="12"/>
          <w:szCs w:val="12"/>
          <w:u w:val="single" w:color="auto"/>
          <w:color w:val="auto"/>
        </w:rPr>
        <w:t>Purchase Price</w:t>
      </w:r>
      <w:r>
        <w:rPr>
          <w:rFonts w:ascii="Times New Roman" w:cs="Times New Roman" w:eastAsia="Times New Roman" w:hAnsi="Times New Roman"/>
          <w:sz w:val="12"/>
          <w:szCs w:val="12"/>
          <w:color w:val="auto"/>
        </w:rPr>
        <w:t>”).</w:t>
      </w:r>
    </w:p>
    <w:p>
      <w:pPr>
        <w:spacing w:after="0" w:line="12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WHEREAS, subject to the terms and conditions set forth in this Agreement and pursuant to Section 4(a)(2) of the Securities Act of 1933, as amended, and the rules and regulations promulgated thereunder (the “</w:t>
      </w:r>
      <w:r>
        <w:rPr>
          <w:rFonts w:ascii="Times New Roman" w:cs="Times New Roman" w:eastAsia="Times New Roman" w:hAnsi="Times New Roman"/>
          <w:sz w:val="12"/>
          <w:szCs w:val="12"/>
          <w:u w:val="single" w:color="auto"/>
          <w:color w:val="auto"/>
        </w:rPr>
        <w:t>Securities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Act</w:t>
      </w:r>
      <w:r>
        <w:rPr>
          <w:rFonts w:ascii="Times New Roman" w:cs="Times New Roman" w:eastAsia="Times New Roman" w:hAnsi="Times New Roman"/>
          <w:sz w:val="12"/>
          <w:szCs w:val="12"/>
          <w:color w:val="auto"/>
        </w:rPr>
        <w:t>”), and Rule 506(b) of Regulation D promulgated thereunder, the Issuer desires to issue and sell to each Subscriber, and each Subscriber, severally and not jointly, desires to purchase from the Issuer, Shares and/or Pre-Funded Warrants, together with Stapled Warrants, as more fully described in this Agreement (the “</w:t>
      </w:r>
      <w:r>
        <w:rPr>
          <w:rFonts w:ascii="Times New Roman" w:cs="Times New Roman" w:eastAsia="Times New Roman" w:hAnsi="Times New Roman"/>
          <w:sz w:val="12"/>
          <w:szCs w:val="12"/>
          <w:u w:val="single" w:color="auto"/>
          <w:color w:val="auto"/>
        </w:rPr>
        <w:t>Offering</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the Issuer intends to use the net proceeds of the sale of Acquired Securities to purchase SOL, for working capital and for general corporate purposes;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contemporaneously with the sale of the Acquired Securities hereunder, the Issuer will issue strategic advisor warrants to purchase shares of Common Stock (the “</w:t>
      </w:r>
      <w:r>
        <w:rPr>
          <w:rFonts w:ascii="Times New Roman" w:cs="Times New Roman" w:eastAsia="Times New Roman" w:hAnsi="Times New Roman"/>
          <w:sz w:val="12"/>
          <w:szCs w:val="12"/>
          <w:u w:val="single" w:color="auto"/>
          <w:color w:val="auto"/>
        </w:rPr>
        <w:t>Strategic Advisor Warrants</w:t>
      </w:r>
      <w:r>
        <w:rPr>
          <w:rFonts w:ascii="Times New Roman" w:cs="Times New Roman" w:eastAsia="Times New Roman" w:hAnsi="Times New Roman"/>
          <w:sz w:val="12"/>
          <w:szCs w:val="12"/>
          <w:color w:val="auto"/>
        </w:rPr>
        <w:t>”) to certain strategic advisors (the “</w:t>
      </w:r>
      <w:r>
        <w:rPr>
          <w:rFonts w:ascii="Times New Roman" w:cs="Times New Roman" w:eastAsia="Times New Roman" w:hAnsi="Times New Roman"/>
          <w:sz w:val="12"/>
          <w:szCs w:val="12"/>
          <w:u w:val="single" w:color="auto"/>
          <w:color w:val="auto"/>
        </w:rPr>
        <w:t>Strategic Advisors</w:t>
      </w:r>
      <w:r>
        <w:rPr>
          <w:rFonts w:ascii="Times New Roman" w:cs="Times New Roman" w:eastAsia="Times New Roman" w:hAnsi="Times New Roman"/>
          <w:sz w:val="12"/>
          <w:szCs w:val="12"/>
          <w:color w:val="auto"/>
        </w:rPr>
        <w:t>”) pursuant to a strategic advisor agreement, by and between the Issuer and the Strategic Advisors to be executed on or prior to the closing of the Offering;</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WHEREAS, in connection with the Transaction, Clear Street LLC, in its capacity as placement agent (the “</w:t>
      </w:r>
      <w:r>
        <w:rPr>
          <w:rFonts w:ascii="Times New Roman" w:cs="Times New Roman" w:eastAsia="Times New Roman" w:hAnsi="Times New Roman"/>
          <w:sz w:val="12"/>
          <w:szCs w:val="12"/>
          <w:u w:val="single" w:color="auto"/>
          <w:color w:val="auto"/>
        </w:rPr>
        <w:t>Placement Agent</w:t>
      </w:r>
      <w:r>
        <w:rPr>
          <w:rFonts w:ascii="Times New Roman" w:cs="Times New Roman" w:eastAsia="Times New Roman" w:hAnsi="Times New Roman"/>
          <w:sz w:val="12"/>
          <w:szCs w:val="12"/>
          <w:color w:val="auto"/>
        </w:rPr>
        <w:t>”) for the offer and sale of the Acquired Securities (the “</w:t>
      </w:r>
      <w:r>
        <w:rPr>
          <w:rFonts w:ascii="Times New Roman" w:cs="Times New Roman" w:eastAsia="Times New Roman" w:hAnsi="Times New Roman"/>
          <w:sz w:val="12"/>
          <w:szCs w:val="12"/>
          <w:u w:val="single" w:color="auto"/>
          <w:color w:val="auto"/>
        </w:rPr>
        <w:t>Transaction</w:t>
      </w:r>
      <w:r>
        <w:rPr>
          <w:rFonts w:ascii="Times New Roman" w:cs="Times New Roman" w:eastAsia="Times New Roman" w:hAnsi="Times New Roman"/>
          <w:sz w:val="12"/>
          <w:szCs w:val="12"/>
          <w:color w:val="auto"/>
        </w:rPr>
        <w:t>”) may identify and solicit certain other “qualified institutional buyers” (as defined in Rule 144A under the Securities Act) or “accredited investors” (as such term is defined in Rule 501 under the Securities Act, and each such “qualified institutional buyer” or “accredited investor,” an “</w:t>
      </w:r>
      <w:r>
        <w:rPr>
          <w:rFonts w:ascii="Times New Roman" w:cs="Times New Roman" w:eastAsia="Times New Roman" w:hAnsi="Times New Roman"/>
          <w:sz w:val="12"/>
          <w:szCs w:val="12"/>
          <w:u w:val="single" w:color="auto"/>
          <w:color w:val="auto"/>
        </w:rPr>
        <w:t>Other Subscriber</w:t>
      </w:r>
      <w:r>
        <w:rPr>
          <w:rFonts w:ascii="Times New Roman" w:cs="Times New Roman" w:eastAsia="Times New Roman" w:hAnsi="Times New Roman"/>
          <w:sz w:val="12"/>
          <w:szCs w:val="12"/>
          <w:color w:val="auto"/>
        </w:rPr>
        <w:t>”), each of which shall have entered into subscription agreements with the Issuer contemporaneously herewith (the “</w:t>
      </w:r>
      <w:r>
        <w:rPr>
          <w:rFonts w:ascii="Times New Roman" w:cs="Times New Roman" w:eastAsia="Times New Roman" w:hAnsi="Times New Roman"/>
          <w:sz w:val="12"/>
          <w:szCs w:val="12"/>
          <w:u w:val="single" w:color="auto"/>
          <w:color w:val="auto"/>
        </w:rPr>
        <w:t>Other Subscription Agreements</w:t>
      </w:r>
      <w:r>
        <w:rPr>
          <w:rFonts w:ascii="Times New Roman" w:cs="Times New Roman" w:eastAsia="Times New Roman" w:hAnsi="Times New Roman"/>
          <w:sz w:val="12"/>
          <w:szCs w:val="12"/>
          <w:color w:val="auto"/>
        </w:rPr>
        <w:t>”), pursuant to which such Other Subscribers have agreed to subscribe for and purchase, and the Issuer has agreed to issue and sell to such Other Subscribers, on the Closing Date, the Acquired Securities (the “</w:t>
      </w:r>
      <w:r>
        <w:rPr>
          <w:rFonts w:ascii="Times New Roman" w:cs="Times New Roman" w:eastAsia="Times New Roman" w:hAnsi="Times New Roman"/>
          <w:sz w:val="12"/>
          <w:szCs w:val="12"/>
          <w:u w:val="single" w:color="auto"/>
          <w:color w:val="auto"/>
        </w:rPr>
        <w:t>Other Subscriptions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1.          </w:t>
      </w:r>
      <w:r>
        <w:rPr>
          <w:rFonts w:ascii="Times New Roman" w:cs="Times New Roman" w:eastAsia="Times New Roman" w:hAnsi="Times New Roman"/>
          <w:sz w:val="12"/>
          <w:szCs w:val="12"/>
          <w:u w:val="single" w:color="auto"/>
          <w:color w:val="auto"/>
        </w:rPr>
        <w:t>  Subscription</w:t>
      </w:r>
      <w:r>
        <w:rPr>
          <w:rFonts w:ascii="Times New Roman" w:cs="Times New Roman" w:eastAsia="Times New Roman" w:hAnsi="Times New Roman"/>
          <w:sz w:val="12"/>
          <w:szCs w:val="12"/>
          <w:color w:val="auto"/>
        </w:rPr>
        <w:t>. Subject to the terms and conditions hereof, Subscriber hereby agrees to subscribe for and purchase, and the Issuer hereby agrees to sell to Subscriber, upon the payment of the Purchase Price, the Acquired Securities (such subscription and issuance, the “</w:t>
      </w:r>
      <w:r>
        <w:rPr>
          <w:rFonts w:ascii="Times New Roman" w:cs="Times New Roman" w:eastAsia="Times New Roman" w:hAnsi="Times New Roman"/>
          <w:sz w:val="12"/>
          <w:szCs w:val="12"/>
          <w:u w:val="single" w:color="auto"/>
          <w:color w:val="auto"/>
        </w:rPr>
        <w:t>Subscription</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91" w:name="page92"/>
    <w:bookmarkEnd w:id="91"/>
    <w:p>
      <w:pPr>
        <w:ind w:left="420"/>
        <w:spacing w:after="0"/>
        <w:rPr>
          <w:sz w:val="20"/>
          <w:szCs w:val="20"/>
          <w:color w:val="auto"/>
        </w:rPr>
      </w:pPr>
      <w:r>
        <w:rPr>
          <w:rFonts w:ascii="Times New Roman" w:cs="Times New Roman" w:eastAsia="Times New Roman" w:hAnsi="Times New Roman"/>
          <w:sz w:val="12"/>
          <w:szCs w:val="12"/>
          <w:color w:val="auto"/>
        </w:rPr>
        <w:t>2.          </w:t>
      </w:r>
      <w:r>
        <w:rPr>
          <w:rFonts w:ascii="Times New Roman" w:cs="Times New Roman" w:eastAsia="Times New Roman" w:hAnsi="Times New Roman"/>
          <w:sz w:val="12"/>
          <w:szCs w:val="12"/>
          <w:u w:val="single" w:color="auto"/>
          <w:color w:val="auto"/>
        </w:rPr>
        <w:t>  Closing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a.            Subject to the satisfaction or waiver of the conditions set forth in </w:t>
      </w:r>
      <w:r>
        <w:rPr>
          <w:rFonts w:ascii="Times New Roman" w:cs="Times New Roman" w:eastAsia="Times New Roman" w:hAnsi="Times New Roman"/>
          <w:sz w:val="12"/>
          <w:szCs w:val="12"/>
          <w:u w:val="single" w:color="auto"/>
          <w:color w:val="auto"/>
        </w:rPr>
        <w:t>Sections 2.d</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2.e</w:t>
      </w:r>
      <w:r>
        <w:rPr>
          <w:rFonts w:ascii="Times New Roman" w:cs="Times New Roman" w:eastAsia="Times New Roman" w:hAnsi="Times New Roman"/>
          <w:sz w:val="12"/>
          <w:szCs w:val="12"/>
          <w:color w:val="auto"/>
        </w:rPr>
        <w:t xml:space="preserve"> (other than those conditions that by their nature are to be satisfied at Closing, but without affecting the requirement that such conditions be satisfied or waived at Closing), the closing of the Subscription contemplated hereby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shall occur substantially concurrent with the closing of the Other Subscriptions (such date, the “</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b.            On or prior to 4:00 p.m. New York City time on the date disclosed in the Closing Notice (as defined herein) that is two business days prior to the anticipated date of Closing (the “</w:t>
      </w:r>
      <w:r>
        <w:rPr>
          <w:rFonts w:ascii="Times New Roman" w:cs="Times New Roman" w:eastAsia="Times New Roman" w:hAnsi="Times New Roman"/>
          <w:sz w:val="12"/>
          <w:szCs w:val="12"/>
          <w:u w:val="single" w:color="auto"/>
          <w:color w:val="auto"/>
        </w:rPr>
        <w:t>Escrow Payment Deadline</w:t>
      </w:r>
      <w:r>
        <w:rPr>
          <w:rFonts w:ascii="Times New Roman" w:cs="Times New Roman" w:eastAsia="Times New Roman" w:hAnsi="Times New Roman"/>
          <w:sz w:val="12"/>
          <w:szCs w:val="12"/>
          <w:color w:val="auto"/>
        </w:rPr>
        <w:t>”), each Subscriber will pay its total Purchase Price by wire transfer of immediately available funds in accordance with wire instructions provided by the Issuer to the Subscribers. At the Closing, the Issuer shall deliver or cause to be delivered to the Subscriber a number of Acquired Securities, registered in the name of the Subscriber (or its nominee in accordance with such Subscriber’s delivery instructions), equal to the number of Acquired Securities indicated on the Subscriber’s signature page to this Subscription Agreement. The Issuer will deliver or cause to be delivered to Subscriber as promptly as practicable after the Closing, evidence from the Issuer’s transfer agent of the issuance to Subscriber of Subscriber’s Acquired Securities on and as of the Closing Date.</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c.            Subject to the satisfaction or waiver of the conditions set forth in </w:t>
      </w:r>
      <w:r>
        <w:rPr>
          <w:rFonts w:ascii="Times New Roman" w:cs="Times New Roman" w:eastAsia="Times New Roman" w:hAnsi="Times New Roman"/>
          <w:sz w:val="12"/>
          <w:szCs w:val="12"/>
          <w:u w:val="single" w:color="auto"/>
          <w:color w:val="auto"/>
        </w:rPr>
        <w:t>Sections 2.c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2.d</w:t>
      </w:r>
      <w:r>
        <w:rPr>
          <w:rFonts w:ascii="Times New Roman" w:cs="Times New Roman" w:eastAsia="Times New Roman" w:hAnsi="Times New Roman"/>
          <w:sz w:val="12"/>
          <w:szCs w:val="12"/>
          <w:color w:val="auto"/>
        </w:rPr>
        <w:t xml:space="preserve"> (other than those conditions that by their nature are to be satisfied at Closing, but without affecting the requirement that such conditions be satisfied or waived at Closing):</w:t>
      </w:r>
    </w:p>
    <w:p>
      <w:pPr>
        <w:spacing w:after="0" w:line="111" w:lineRule="exact"/>
        <w:rPr>
          <w:sz w:val="20"/>
          <w:szCs w:val="20"/>
          <w:color w:val="auto"/>
        </w:rPr>
      </w:pPr>
    </w:p>
    <w:p>
      <w:pPr>
        <w:jc w:val="both"/>
        <w:ind w:firstLine="1288"/>
        <w:spacing w:after="0" w:line="265" w:lineRule="auto"/>
        <w:tabs>
          <w:tab w:leader="none" w:pos="1442"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shall deliver to the Issuer on the Escrow Payment Deadline, any other information that is reasonably requested in the notice provided by Issuer (the “</w:t>
      </w:r>
      <w:r>
        <w:rPr>
          <w:rFonts w:ascii="Times New Roman" w:cs="Times New Roman" w:eastAsia="Times New Roman" w:hAnsi="Times New Roman"/>
          <w:sz w:val="12"/>
          <w:szCs w:val="12"/>
          <w:u w:val="single" w:color="auto"/>
          <w:color w:val="auto"/>
        </w:rPr>
        <w:t>Closing Notice</w:t>
      </w:r>
      <w:r>
        <w:rPr>
          <w:rFonts w:ascii="Times New Roman" w:cs="Times New Roman" w:eastAsia="Times New Roman" w:hAnsi="Times New Roman"/>
          <w:sz w:val="12"/>
          <w:szCs w:val="12"/>
          <w:color w:val="auto"/>
        </w:rPr>
        <w:t>”) that is required in order to enable the Issuer to issue and sell the Acquired Securities, including, without limitation, the legal name of the person (or nominee) in whose name such Acquired Securities are to be delivered and a duly executed Internal Revenue Service Form W-9 or W-8, as applicable; and</w:t>
      </w:r>
    </w:p>
    <w:p>
      <w:pPr>
        <w:spacing w:after="0" w:line="118" w:lineRule="exact"/>
        <w:rPr>
          <w:rFonts w:ascii="Times New Roman" w:cs="Times New Roman" w:eastAsia="Times New Roman" w:hAnsi="Times New Roman"/>
          <w:sz w:val="12"/>
          <w:szCs w:val="12"/>
          <w:color w:val="auto"/>
        </w:rPr>
      </w:pPr>
    </w:p>
    <w:p>
      <w:pPr>
        <w:jc w:val="both"/>
        <w:ind w:firstLine="1288"/>
        <w:spacing w:after="0" w:line="265" w:lineRule="auto"/>
        <w:tabs>
          <w:tab w:leader="none" w:pos="1481"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Closing Date, the Issuer shall deliver or cause to be delivered to Subscriber the Acquired Securities against and upon payment by Subscriber in book-entry form, free and clear of any Liens (as defined below) or other restrictions whatsoever (other than those arising under state or federal securities laws), in the name of Subscriber (or its nominee in accordance with its delivery instructions) or to a custodian designated by Subscriber, as applicable. Each book entry for the Acquired Securities shall contain a legend in substantially the following form:</w:t>
      </w:r>
    </w:p>
    <w:p>
      <w:pPr>
        <w:spacing w:after="0" w:line="119" w:lineRule="exact"/>
        <w:rPr>
          <w:sz w:val="20"/>
          <w:szCs w:val="20"/>
          <w:color w:val="auto"/>
        </w:rPr>
      </w:pPr>
    </w:p>
    <w:p>
      <w:pPr>
        <w:jc w:val="both"/>
        <w:ind w:left="420"/>
        <w:spacing w:after="0" w:line="256" w:lineRule="auto"/>
        <w:rPr>
          <w:sz w:val="20"/>
          <w:szCs w:val="20"/>
          <w:color w:val="auto"/>
        </w:rPr>
      </w:pPr>
      <w:r>
        <w:rPr>
          <w:rFonts w:ascii="Times New Roman" w:cs="Times New Roman" w:eastAsia="Times New Roman" w:hAnsi="Times New Roman"/>
          <w:sz w:val="12"/>
          <w:szCs w:val="12"/>
          <w:color w:val="auto"/>
        </w:rPr>
        <w:t>[NEITHER] THIS SECURITY [NOR THE SECURITIES INTO WHICH THIS SECURITY IS EXERCISABLE]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2" w:name="page93"/>
    <w:bookmarkEnd w:id="92"/>
    <w:p>
      <w:pPr>
        <w:ind w:right="20" w:firstLine="864"/>
        <w:spacing w:after="0" w:line="279" w:lineRule="auto"/>
        <w:rPr>
          <w:sz w:val="20"/>
          <w:szCs w:val="20"/>
          <w:color w:val="auto"/>
        </w:rPr>
      </w:pPr>
      <w:r>
        <w:rPr>
          <w:rFonts w:ascii="Times New Roman" w:cs="Times New Roman" w:eastAsia="Times New Roman" w:hAnsi="Times New Roman"/>
          <w:sz w:val="12"/>
          <w:szCs w:val="12"/>
          <w:color w:val="auto"/>
        </w:rPr>
        <w:t>d.            The Issuer’s obligation to effect the Closing shall be subject to the satisfaction on the Closing Date, or, to the extent permitted by applicable law, the waiver by the Issuer on the Closing Date, of each of the following conditions:</w:t>
      </w:r>
    </w:p>
    <w:p>
      <w:pPr>
        <w:spacing w:after="0" w:line="111" w:lineRule="exact"/>
        <w:rPr>
          <w:sz w:val="20"/>
          <w:szCs w:val="20"/>
          <w:color w:val="auto"/>
        </w:rPr>
      </w:pPr>
    </w:p>
    <w:p>
      <w:pPr>
        <w:ind w:left="1440" w:hanging="152"/>
        <w:spacing w:after="0"/>
        <w:tabs>
          <w:tab w:leader="none" w:pos="144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Placement Agent and the Issuer shall each have received a completed copy of the “Eligibility Representations of Subscriber” questionnaire in substantially the form attached as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no</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later than the Closing Date;</w:t>
      </w:r>
    </w:p>
    <w:p>
      <w:pPr>
        <w:spacing w:after="0" w:line="139" w:lineRule="exact"/>
        <w:rPr>
          <w:rFonts w:ascii="Times New Roman" w:cs="Times New Roman" w:eastAsia="Times New Roman" w:hAnsi="Times New Roman"/>
          <w:sz w:val="12"/>
          <w:szCs w:val="12"/>
          <w:color w:val="auto"/>
        </w:rPr>
      </w:pPr>
    </w:p>
    <w:p>
      <w:pPr>
        <w:ind w:left="1460" w:hanging="172"/>
        <w:spacing w:after="0"/>
        <w:tabs>
          <w:tab w:leader="none" w:pos="146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All Subscribers party to this Agreement shall have delivered to the Issuer an executed lock-up agreement in the form attached hereto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right="20" w:firstLine="1288"/>
        <w:spacing w:after="0" w:line="279" w:lineRule="auto"/>
        <w:tabs>
          <w:tab w:leader="none" w:pos="150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representations and warranties of Subscriber contained in this Subscription Agreement shall be true and correct in all material respects (other than representations and warranties that are qualified as to materiality or Subscriber Material Adverse Effect (as defined herein), which representations and warranties shall be true and correct in all respects) at and as of the Closing Date;</w:t>
      </w:r>
    </w:p>
    <w:p>
      <w:pPr>
        <w:spacing w:after="0" w:line="111" w:lineRule="exact"/>
        <w:rPr>
          <w:rFonts w:ascii="Times New Roman" w:cs="Times New Roman" w:eastAsia="Times New Roman" w:hAnsi="Times New Roman"/>
          <w:sz w:val="12"/>
          <w:szCs w:val="12"/>
          <w:color w:val="auto"/>
        </w:rPr>
      </w:pPr>
    </w:p>
    <w:p>
      <w:pPr>
        <w:jc w:val="both"/>
        <w:ind w:firstLine="1288"/>
        <w:spacing w:after="0" w:line="265" w:lineRule="auto"/>
        <w:tabs>
          <w:tab w:leader="none" w:pos="1514"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shall have performed, satisfied and complied in all material respects with all covenants, agreements and conditions required by this Subscription Agreement to be performed, satisfied or complied with by it at or prior to the Closing, except where the failure of such performance, satisfaction or compliance would not or would not be reasonably expected to prevent, materially delay or materially impair the ability of Subscriber to consummate the Closing; and</w:t>
      </w:r>
    </w:p>
    <w:p>
      <w:pPr>
        <w:spacing w:after="0" w:line="118" w:lineRule="exact"/>
        <w:rPr>
          <w:rFonts w:ascii="Times New Roman" w:cs="Times New Roman" w:eastAsia="Times New Roman" w:hAnsi="Times New Roman"/>
          <w:sz w:val="12"/>
          <w:szCs w:val="12"/>
          <w:color w:val="auto"/>
        </w:rPr>
      </w:pPr>
    </w:p>
    <w:p>
      <w:pPr>
        <w:jc w:val="both"/>
        <w:ind w:firstLine="1288"/>
        <w:spacing w:after="0" w:line="265" w:lineRule="auto"/>
        <w:tabs>
          <w:tab w:leader="none" w:pos="1466"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applicable governmental authority shall have enacted, issued, promulgated, enforced or entered any judgment, order, law, rule or regulation (whether temporary, preliminary or permanent) that is then in effect and has the effect of making consummation of the Subscription illegal or otherwise preventing or prohibiting consummation of the Subscription, and no governmental authority shall have instituted or threatened in writing a proceeding seeking to impose any such prevention or prohibition.</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            Subscriber’s obligation to effect the Closing shall be subject to the satisfaction on the Closing Date, or, to the extent permitted by applicable law, the written waiver by Subscriber, of each of the following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conditions:</w:t>
      </w:r>
    </w:p>
    <w:p>
      <w:pPr>
        <w:spacing w:after="0" w:line="139" w:lineRule="exact"/>
        <w:rPr>
          <w:sz w:val="20"/>
          <w:szCs w:val="20"/>
          <w:color w:val="auto"/>
        </w:rPr>
      </w:pPr>
    </w:p>
    <w:p>
      <w:pPr>
        <w:jc w:val="both"/>
        <w:ind w:right="20" w:firstLine="1288"/>
        <w:spacing w:after="0" w:line="265" w:lineRule="auto"/>
        <w:tabs>
          <w:tab w:leader="none" w:pos="1442"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suspension of the listing on The Nasdaq Capital Market or another national securities exchange (collectively, the “</w:t>
      </w:r>
      <w:r>
        <w:rPr>
          <w:rFonts w:ascii="Times New Roman" w:cs="Times New Roman" w:eastAsia="Times New Roman" w:hAnsi="Times New Roman"/>
          <w:sz w:val="12"/>
          <w:szCs w:val="12"/>
          <w:u w:val="single" w:color="auto"/>
          <w:color w:val="auto"/>
        </w:rPr>
        <w:t>Exchange</w:t>
      </w:r>
      <w:r>
        <w:rPr>
          <w:rFonts w:ascii="Times New Roman" w:cs="Times New Roman" w:eastAsia="Times New Roman" w:hAnsi="Times New Roman"/>
          <w:sz w:val="12"/>
          <w:szCs w:val="12"/>
          <w:color w:val="auto"/>
        </w:rPr>
        <w:t>”), of the Common Stock shall have occurred, and the Issuer shall have filed with The Nasdaq Stock Market LLC (“</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a Notification Form: Listing of Additional Shares for the listing of the Acquired Shares. In the event that Nasdaq raises any objection to such notice or to the transactions contemplated hereby, the Issuer shall be afforded a reasonable period of time to cure such objection to the satisfaction of Nasdaq;</w:t>
      </w:r>
    </w:p>
    <w:p>
      <w:pPr>
        <w:spacing w:after="0" w:line="118" w:lineRule="exact"/>
        <w:rPr>
          <w:rFonts w:ascii="Times New Roman" w:cs="Times New Roman" w:eastAsia="Times New Roman" w:hAnsi="Times New Roman"/>
          <w:sz w:val="12"/>
          <w:szCs w:val="12"/>
          <w:color w:val="auto"/>
        </w:rPr>
      </w:pPr>
    </w:p>
    <w:p>
      <w:pPr>
        <w:jc w:val="both"/>
        <w:ind w:firstLine="1288"/>
        <w:spacing w:after="0" w:line="265" w:lineRule="auto"/>
        <w:tabs>
          <w:tab w:leader="none" w:pos="1477"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representations and warranties of the Issuer contained in this Subscription Agreement shall be true and correct in all material respects (other than representations and warranties that are qualified as to materiality or Material Adverse Effect (as defined herein), which representations and warranties shall be true and correct in all respects) at and as of the Closing Date (except for representations and warranties made as of a specific date, which shall be true and correct in all material respects or in all respects, as applicable as of such date);</w:t>
      </w:r>
    </w:p>
    <w:p>
      <w:pPr>
        <w:spacing w:after="0" w:line="118" w:lineRule="exact"/>
        <w:rPr>
          <w:rFonts w:ascii="Times New Roman" w:cs="Times New Roman" w:eastAsia="Times New Roman" w:hAnsi="Times New Roman"/>
          <w:sz w:val="12"/>
          <w:szCs w:val="12"/>
          <w:color w:val="auto"/>
        </w:rPr>
      </w:pPr>
    </w:p>
    <w:p>
      <w:pPr>
        <w:ind w:right="20" w:firstLine="1288"/>
        <w:spacing w:after="0" w:line="279" w:lineRule="auto"/>
        <w:tabs>
          <w:tab w:leader="none" w:pos="1513"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 shall have performed, satisfied and complied (unless waived) in all material respects with all covenants, agreements and conditions required by this Subscription Agreement to be performed, satisfied or complied with by it at or prior to the Closing;</w:t>
      </w:r>
    </w:p>
    <w:p>
      <w:pPr>
        <w:spacing w:after="0" w:line="111" w:lineRule="exact"/>
        <w:rPr>
          <w:rFonts w:ascii="Times New Roman" w:cs="Times New Roman" w:eastAsia="Times New Roman" w:hAnsi="Times New Roman"/>
          <w:sz w:val="12"/>
          <w:szCs w:val="12"/>
          <w:color w:val="auto"/>
        </w:rPr>
      </w:pPr>
    </w:p>
    <w:p>
      <w:pPr>
        <w:jc w:val="both"/>
        <w:ind w:right="20" w:firstLine="1288"/>
        <w:spacing w:after="0" w:line="265" w:lineRule="auto"/>
        <w:tabs>
          <w:tab w:leader="none" w:pos="1503"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applicable governmental authority shall have enacted, issued, promulgated, enforced or entered any judgment, order, law, rule or regulation (whether temporary, preliminary or permanent) that is then in effect and has the effect of making consummation of the Subscription illegal or otherwise preventing or prohibiting consummation of the Subscription and no governmental authority shall have instituted or threatened in writing a proceeding seeking to impose any such prevention or prohibition;</w:t>
      </w:r>
    </w:p>
    <w:p>
      <w:pPr>
        <w:spacing w:after="0" w:line="118" w:lineRule="exact"/>
        <w:rPr>
          <w:rFonts w:ascii="Times New Roman" w:cs="Times New Roman" w:eastAsia="Times New Roman" w:hAnsi="Times New Roman"/>
          <w:sz w:val="12"/>
          <w:szCs w:val="12"/>
          <w:color w:val="auto"/>
        </w:rPr>
      </w:pPr>
    </w:p>
    <w:p>
      <w:pPr>
        <w:ind w:left="1460" w:hanging="172"/>
        <w:spacing w:after="0"/>
        <w:tabs>
          <w:tab w:leader="none" w:pos="146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 shall have provided each Subscriber with the escrow agent’s wire instructions, on the escrow agent’s letterhead and executed by an authorized representative of the escrow agent;</w:t>
      </w:r>
    </w:p>
    <w:p>
      <w:pPr>
        <w:spacing w:after="0" w:line="150" w:lineRule="exact"/>
        <w:rPr>
          <w:rFonts w:ascii="Times New Roman" w:cs="Times New Roman" w:eastAsia="Times New Roman" w:hAnsi="Times New Roman"/>
          <w:sz w:val="12"/>
          <w:szCs w:val="12"/>
          <w:color w:val="auto"/>
        </w:rPr>
      </w:pPr>
    </w:p>
    <w:p>
      <w:pPr>
        <w:ind w:left="1500" w:hanging="212"/>
        <w:spacing w:after="0"/>
        <w:tabs>
          <w:tab w:leader="none" w:pos="15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required, the Issuer shall have delivered a Pre-Funded Warrant registered in the name of such Subscriber to purchase up to a number of Warrant Shares included on the signature page hereto;</w:t>
      </w:r>
    </w:p>
    <w:p>
      <w:pPr>
        <w:spacing w:after="0" w:line="150" w:lineRule="exact"/>
        <w:rPr>
          <w:rFonts w:ascii="Times New Roman" w:cs="Times New Roman" w:eastAsia="Times New Roman" w:hAnsi="Times New Roman"/>
          <w:sz w:val="12"/>
          <w:szCs w:val="12"/>
          <w:color w:val="auto"/>
        </w:rPr>
      </w:pPr>
    </w:p>
    <w:p>
      <w:pPr>
        <w:jc w:val="both"/>
        <w:ind w:firstLine="1288"/>
        <w:spacing w:after="0" w:line="265" w:lineRule="auto"/>
        <w:tabs>
          <w:tab w:leader="none" w:pos="1537"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Issuer shall have delivered a Stapled Warrant registered in the name of such Subscriber to purchase up to a number of Warrant Shares included on the signature page hereto, which Stapled Warrants shall be exercisable immediately and shall expire upon the earliest of (x) 36 months after the Closing Date, (y) when exercised in full, or (z) if earlier redeemed or terminated in accordance with its terms, in the form of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attached hereto; and</w:t>
      </w:r>
    </w:p>
    <w:p>
      <w:pPr>
        <w:spacing w:after="0" w:line="262" w:lineRule="exact"/>
        <w:rPr>
          <w:rFonts w:ascii="Times New Roman" w:cs="Times New Roman" w:eastAsia="Times New Roman" w:hAnsi="Times New Roman"/>
          <w:sz w:val="12"/>
          <w:szCs w:val="12"/>
          <w:color w:val="auto"/>
        </w:rPr>
      </w:pPr>
    </w:p>
    <w:p>
      <w:pPr>
        <w:ind w:left="5620" w:hanging="71"/>
        <w:spacing w:after="0"/>
        <w:tabs>
          <w:tab w:leader="none" w:pos="5620"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3" w:name="page94"/>
    <w:bookmarkEnd w:id="93"/>
    <w:p>
      <w:pPr>
        <w:ind w:left="1288"/>
        <w:spacing w:after="0"/>
        <w:rPr>
          <w:sz w:val="20"/>
          <w:szCs w:val="20"/>
          <w:color w:val="auto"/>
        </w:rPr>
      </w:pPr>
      <w:r>
        <w:rPr>
          <w:rFonts w:ascii="Times New Roman" w:cs="Times New Roman" w:eastAsia="Times New Roman" w:hAnsi="Times New Roman"/>
          <w:sz w:val="12"/>
          <w:szCs w:val="12"/>
          <w:color w:val="auto"/>
        </w:rPr>
        <w:t>(viii) no event or series of events that, individually or in the aggregate, has had or would reasonably be expected to have a Material Adverse Effect (as defined herein) shall have occurred and be continuing on</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Closing Date; and</w:t>
      </w:r>
    </w:p>
    <w:p>
      <w:pPr>
        <w:spacing w:after="0" w:line="139"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 xml:space="preserve">f.            Notwithstanding anything to the contrary contained herein, Subscriber may notify the Issuer in writing in the event it elects to be subject to the provisions contained in this </w:t>
      </w:r>
      <w:r>
        <w:rPr>
          <w:rFonts w:ascii="Times New Roman" w:cs="Times New Roman" w:eastAsia="Times New Roman" w:hAnsi="Times New Roman"/>
          <w:sz w:val="12"/>
          <w:szCs w:val="12"/>
          <w:u w:val="single" w:color="auto"/>
          <w:color w:val="auto"/>
        </w:rPr>
        <w:t>Section 2(f)</w:t>
      </w:r>
      <w:r>
        <w:rPr>
          <w:rFonts w:ascii="Times New Roman" w:cs="Times New Roman" w:eastAsia="Times New Roman" w:hAnsi="Times New Roman"/>
          <w:sz w:val="12"/>
          <w:szCs w:val="12"/>
          <w:color w:val="auto"/>
        </w:rPr>
        <w:t xml:space="preserve">; however, no Subscriber shall be subject to this </w:t>
      </w:r>
      <w:r>
        <w:rPr>
          <w:rFonts w:ascii="Times New Roman" w:cs="Times New Roman" w:eastAsia="Times New Roman" w:hAnsi="Times New Roman"/>
          <w:sz w:val="12"/>
          <w:szCs w:val="12"/>
          <w:u w:val="single" w:color="auto"/>
          <w:color w:val="auto"/>
        </w:rPr>
        <w:t>Section 2(f)</w:t>
      </w:r>
      <w:r>
        <w:rPr>
          <w:rFonts w:ascii="Times New Roman" w:cs="Times New Roman" w:eastAsia="Times New Roman" w:hAnsi="Times New Roman"/>
          <w:sz w:val="12"/>
          <w:szCs w:val="12"/>
          <w:color w:val="auto"/>
        </w:rPr>
        <w:t xml:space="preserve"> unless he, she or it makes such election. If the election is made by the Subscriber, in no event shall the Subscriber be permitted to acquire Acquired Securities to the extent that, immediately after giving effect to such acquisition, the Subscriber (together with its affiliates and any other persons or entities whose beneficial ownership of Common Stock would be aggregated with the Subscriber’s for purposes of Section 13(d) of the Securities Exchange Act of 1934, as amended, and the applicable regulations of the Securities and Exchange Commission), would beneficially own in excess of [4.99/9.99%] of the then outstanding shares of Common Stock of the Issuer (the “Beneficial Ownership Limitation”). For purposes of this provision, beneficial ownership shall be calculated in accordance with Section 13(d) of the Exchange Act and the rules and regulations promulgated thereunder. The Beneficial Ownership Limitation may be increased or decreased by the Subscriber upon written notice to the Issuer, provided that any increase shall not be effective until the 61st day after such notice is delivered to the Issuer and in no event shall the Beneficial Ownership Limitation exceed 19.99%.</w:t>
      </w:r>
    </w:p>
    <w:p>
      <w:pPr>
        <w:spacing w:after="0" w:line="126"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g.            Prior to or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          </w:t>
      </w:r>
      <w:r>
        <w:rPr>
          <w:rFonts w:ascii="Times New Roman" w:cs="Times New Roman" w:eastAsia="Times New Roman" w:hAnsi="Times New Roman"/>
          <w:sz w:val="12"/>
          <w:szCs w:val="12"/>
          <w:u w:val="single" w:color="auto"/>
          <w:color w:val="auto"/>
        </w:rPr>
        <w:t>  Issuer Representations and Warranties</w:t>
      </w:r>
      <w:r>
        <w:rPr>
          <w:rFonts w:ascii="Times New Roman" w:cs="Times New Roman" w:eastAsia="Times New Roman" w:hAnsi="Times New Roman"/>
          <w:sz w:val="12"/>
          <w:szCs w:val="12"/>
          <w:color w:val="auto"/>
        </w:rPr>
        <w:t>. The Issuer represents and warrants, as of the date hereof and the Closing Date, that:</w:t>
      </w:r>
    </w:p>
    <w:p>
      <w:pPr>
        <w:spacing w:after="0" w:line="150" w:lineRule="exact"/>
        <w:rPr>
          <w:sz w:val="20"/>
          <w:szCs w:val="20"/>
          <w:color w:val="auto"/>
        </w:rPr>
      </w:pPr>
    </w:p>
    <w:p>
      <w:pPr>
        <w:jc w:val="both"/>
        <w:ind w:left="8" w:firstLine="864"/>
        <w:spacing w:after="0" w:line="277" w:lineRule="auto"/>
        <w:rPr>
          <w:sz w:val="20"/>
          <w:szCs w:val="20"/>
          <w:color w:val="auto"/>
        </w:rPr>
      </w:pPr>
      <w:r>
        <w:rPr>
          <w:rFonts w:ascii="Times New Roman" w:cs="Times New Roman" w:eastAsia="Times New Roman" w:hAnsi="Times New Roman"/>
          <w:sz w:val="11"/>
          <w:szCs w:val="11"/>
          <w:color w:val="auto"/>
        </w:rPr>
        <w:t>a.            The Issuer has been duly incorporated and is validly existing as a corporation in good standing under the laws of the State of Delaware, with corporate power and authority to own, lease and operate its respective properties and conduct its business as presently conducted and to enter into, deliver and perform its obligations under this Subscription Agreement. The Issuer, as set forth in the SEC Documents, is not in violation or default of any of the provisions of its respective certificate or articles of incorporation, memorandum and articles of association, bylaws, or other organizational or charter documents, as applicable (the “</w:t>
      </w:r>
      <w:r>
        <w:rPr>
          <w:rFonts w:ascii="Times New Roman" w:cs="Times New Roman" w:eastAsia="Times New Roman" w:hAnsi="Times New Roman"/>
          <w:sz w:val="11"/>
          <w:szCs w:val="11"/>
          <w:u w:val="single" w:color="auto"/>
          <w:color w:val="auto"/>
        </w:rPr>
        <w:t>Charter Documents</w:t>
      </w:r>
      <w:r>
        <w:rPr>
          <w:rFonts w:ascii="Times New Roman" w:cs="Times New Roman" w:eastAsia="Times New Roman" w:hAnsi="Times New Roman"/>
          <w:sz w:val="11"/>
          <w:szCs w:val="11"/>
          <w:color w:val="auto"/>
        </w:rPr>
        <w:t>”). The Issuer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(as defined below),</w:t>
      </w:r>
    </w:p>
    <w:p>
      <w:pPr>
        <w:spacing w:after="0" w:line="1" w:lineRule="exact"/>
        <w:rPr>
          <w:sz w:val="20"/>
          <w:szCs w:val="20"/>
          <w:color w:val="auto"/>
        </w:rPr>
      </w:pPr>
    </w:p>
    <w:p>
      <w:pPr>
        <w:jc w:val="both"/>
        <w:ind w:left="8" w:hanging="8"/>
        <w:spacing w:after="0" w:line="253" w:lineRule="auto"/>
        <w:tabs>
          <w:tab w:leader="none" w:pos="186"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material adverse effect on the results of operations, assets, business, prospects or condition (financial or otherwise) of the Issuer, or (iii) a material adverse effect on the Issuer’s ability to perform in any material respect on a timely basis its obligations under any Transaction Document (any of (i), (ii) or (iii), a “</w:t>
      </w: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and no Proceeding has been instituted in any such jurisdiction revoking, limiting or curtailing or seeking to revoke, limit or curtail such power and authority or qualification. “</w:t>
      </w:r>
      <w:r>
        <w:rPr>
          <w:rFonts w:ascii="Times New Roman" w:cs="Times New Roman" w:eastAsia="Times New Roman" w:hAnsi="Times New Roman"/>
          <w:sz w:val="12"/>
          <w:szCs w:val="12"/>
          <w:u w:val="single" w:color="auto"/>
          <w:color w:val="auto"/>
        </w:rPr>
        <w:t>Proceeding</w:t>
      </w:r>
      <w:r>
        <w:rPr>
          <w:rFonts w:ascii="Times New Roman" w:cs="Times New Roman" w:eastAsia="Times New Roman" w:hAnsi="Times New Roman"/>
          <w:sz w:val="12"/>
          <w:szCs w:val="12"/>
          <w:color w:val="auto"/>
        </w:rPr>
        <w:t>” means an action, claim, suit, investigation or proceeding (including, without limitation, an informal investigation or partial proceeding, such as a deposition), whether commenced or threatened.</w:t>
      </w:r>
    </w:p>
    <w:p>
      <w:pPr>
        <w:spacing w:after="0" w:line="127"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b.            As of the Closing Date, the Acquired Shares will have been duly authorized and, when sold and delivered to Subscriber against full payment for the Acquired Shares in accordance with the terms of this Subscription Agreement, the Acquired Shares will be validly issued, fully paid and non-assessable and will not have been issued in violation of or subject to any preemptive or similar rights created under the Issuer’s Charter Documents (as in effect at such time of issuance) or under the laws of the State of Delaware.</w:t>
      </w:r>
    </w:p>
    <w:p>
      <w:pPr>
        <w:spacing w:after="0" w:line="119"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c.            The Pre-Funded Warrants are duly authorized and, when issued in accordance with this Agreement, will be duly and validly issued and constitute the legal, valid and binding obligations of the Issuer, enforceable against the Issuer in accordance with their terms free and clear of all Liens (as defined below) imposed by the Issuer. The Pre-Funded Warrant Shares have been duly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Documents (as defined below) or restrictions on transfer under applicable state and federal securities laws), and the holder of the Pre-Funded Warrant Shares shall be entitled to all rights accorded to a holder of Common Stock. “</w:t>
      </w:r>
      <w:r>
        <w:rPr>
          <w:rFonts w:ascii="Times New Roman" w:cs="Times New Roman" w:eastAsia="Times New Roman" w:hAnsi="Times New Roman"/>
          <w:sz w:val="12"/>
          <w:szCs w:val="12"/>
          <w:u w:val="single" w:color="auto"/>
          <w:color w:val="auto"/>
        </w:rPr>
        <w:t>Liens</w:t>
      </w:r>
      <w:r>
        <w:rPr>
          <w:rFonts w:ascii="Times New Roman" w:cs="Times New Roman" w:eastAsia="Times New Roman" w:hAnsi="Times New Roman"/>
          <w:sz w:val="12"/>
          <w:szCs w:val="12"/>
          <w:color w:val="auto"/>
        </w:rPr>
        <w:t>” means a lien, charge, pledge, security interest, encumbrance, right of first refusal, preemptive right or other restriction.</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4" w:name="page95"/>
    <w:bookmarkEnd w:id="94"/>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d.            The Stapled Warrants are duly authorized and, when issued in accordance with this Agreement, will be duly and validly issued and constitute the legal, valid and binding obligations of the Issuer, enforceable against the Issuer in accordance with their terms free and clear of all Liens imposed by the Issuer. The Stapled Warrant Shares, when issued in accordance with the terms of the Stapled Warrants, will be duly authorized, validly issued, fully paid and nonassessable, free and clear of all Liens imposed by the Issuer other than restrictions on transfer provided for in the Transaction Documents or restrictions on transfer under applicable state and federal securities laws, and the holder of the Stapled Warrant Shares shall be entitled to all rights accorded to a holder of Common Stock. The Strategic Advisor Warrant Shares, when issued in accordance with the terms of the Strategic Advisor Warrants, will be duly authorized, validly issued, fully paid and nonassessable, free and clear of all Liens imposed by the Issuer other than restrictions on transfer provided for in the Transaction Documents.</w:t>
      </w:r>
    </w:p>
    <w:p>
      <w:pPr>
        <w:spacing w:after="0" w:line="125"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e.            The Issuer has reserved from its duly authorized capital stock the maximum number of shares of Common Stock issuable pursuant to this Agreement, the Pre-Funded Warrants, the Stapled Warrants and the Strategic Advisor Warrants.</w:t>
      </w:r>
    </w:p>
    <w:p>
      <w:pPr>
        <w:spacing w:after="0" w:line="111"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f.            This Subscription Agreement, the Other Subscription Agreements, the Pre-Funded Warrants, the Stapled Warrants, and the escrow agreement with the escrow agent for the Transaction (collectively, the “</w:t>
      </w:r>
      <w:r>
        <w:rPr>
          <w:rFonts w:ascii="Times New Roman" w:cs="Times New Roman" w:eastAsia="Times New Roman" w:hAnsi="Times New Roman"/>
          <w:sz w:val="12"/>
          <w:szCs w:val="12"/>
          <w:u w:val="single" w:color="auto"/>
          <w:color w:val="auto"/>
        </w:rPr>
        <w:t>Transaction Documents</w:t>
      </w:r>
      <w:r>
        <w:rPr>
          <w:rFonts w:ascii="Times New Roman" w:cs="Times New Roman" w:eastAsia="Times New Roman" w:hAnsi="Times New Roman"/>
          <w:sz w:val="12"/>
          <w:szCs w:val="12"/>
          <w:color w:val="auto"/>
        </w:rPr>
        <w:t>”) have been duly authorized, executed and delivered by the Issuer and the Transaction Documents constitute the valid and legally binding obligation of the Issuer, enforceable against the Issuer in accordance with their respective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22"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 xml:space="preserve">g.            Assuming the accuracy of Subscriber’s representations and warranties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the execution and delivery of this Agreement the other Transaction Documents to which the Issuer is a party, and the performance by the Issuer of its obligations under the Transaction Documents, including the issuance and sale of the Acquired Securities, do not and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is a party or by which the Issuer is bound or to which any of the property or assets of the Issuer is subject, which would reasonably be expected to have, individually or in the aggregate, a Material Adverse Effect or materially affect the validity of the Acquired Securities or the legal authority of the Issuer to comply in all material respects with the terms of this Subscription Agreement or any other Transaction Document; (ii) the Charter Documents; or (iii) any statute or any judgment, order, rule or regulation of any court or governmental agency or body, domestic or foreign, having jurisdiction over the Issuer or any of its respective properties that would reasonably be expected to have, individually or in the aggregate, a Material Adverse Effect or materially affect the validity of the Acquired Securities or the legal authority of the Issuer to comply in all material respects with the terms of this Subscription Agreement or any other Transaction Document.</w:t>
      </w:r>
    </w:p>
    <w:p>
      <w:pPr>
        <w:spacing w:after="0" w:line="128"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h.            There are no securities or instruments issued by or to which the Issuer is a party containing anti-dilution, price reset or similar provisions that will be triggered by the issuance of (i) the Acquired Securities, or</w:t>
      </w:r>
    </w:p>
    <w:p>
      <w:pPr>
        <w:spacing w:after="0" w:line="17" w:lineRule="exact"/>
        <w:rPr>
          <w:sz w:val="20"/>
          <w:szCs w:val="20"/>
          <w:color w:val="auto"/>
        </w:rPr>
      </w:pPr>
    </w:p>
    <w:p>
      <w:pPr>
        <w:ind w:left="8" w:right="20" w:hanging="8"/>
        <w:spacing w:after="0" w:line="260" w:lineRule="auto"/>
        <w:tabs>
          <w:tab w:leader="none" w:pos="189"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Common Stock to be issued pursuant to any Other Subscription Agreement, Pre-Funded Warrants and Stapled Warrants, in each case, that have not been or will not be validly and irrevocably waived on or prior to the Closing Date.</w:t>
      </w:r>
    </w:p>
    <w:p>
      <w:pPr>
        <w:spacing w:after="0" w:line="122"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 xml:space="preserve">i.            Assuming the accuracy of each Subscriber’s representations and warranties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the Issuer is not required to obtain any consent, waiver, authorization or order of, give any notice to, or make any filing or registration with, any court or other federal, state, local or other governmental authority, self-regulatory organization (including the Exchange) or other person in connection with the execution, delivery and performance by the Issuer of this Subscription Agreement (including, without limitation, the issuance of the Acquired Securities and Warrant Shares), other than (i) the filing with the Securities and Exchange Commission (the “</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xml:space="preserve">”) of the Registration Statement (as defined below), (ii) the filings required in accordance with </w:t>
      </w:r>
      <w:r>
        <w:rPr>
          <w:rFonts w:ascii="Times New Roman" w:cs="Times New Roman" w:eastAsia="Times New Roman" w:hAnsi="Times New Roman"/>
          <w:sz w:val="12"/>
          <w:szCs w:val="12"/>
          <w:u w:val="single" w:color="auto"/>
          <w:color w:val="auto"/>
        </w:rPr>
        <w:t>Section 8.m</w:t>
      </w:r>
      <w:r>
        <w:rPr>
          <w:rFonts w:ascii="Times New Roman" w:cs="Times New Roman" w:eastAsia="Times New Roman" w:hAnsi="Times New Roman"/>
          <w:sz w:val="12"/>
          <w:szCs w:val="12"/>
          <w:color w:val="auto"/>
        </w:rPr>
        <w:t>, (iii) notifications required by each Exchange, and (iv) the failure of which to obtain would not reasonably be expected to have, individually or in the aggregate, a Material Adverse Effect or have a material adverse effect on the Issuer’s ability to consummate the transactions contemplated hereby or thereby, including the sale and issuance of the Acquired Securities.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5" w:name="page96"/>
    <w:bookmarkEnd w:id="95"/>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j.            As of the date hereof, the authorized capital stock of the Issuer consists of (i) 10,000,000 shares of preferred stock, par value $0.001 per share (“</w:t>
      </w:r>
      <w:r>
        <w:rPr>
          <w:rFonts w:ascii="Times New Roman" w:cs="Times New Roman" w:eastAsia="Times New Roman" w:hAnsi="Times New Roman"/>
          <w:sz w:val="12"/>
          <w:szCs w:val="12"/>
          <w:u w:val="single" w:color="auto"/>
          <w:color w:val="auto"/>
        </w:rPr>
        <w:t>Preferred Stock</w:t>
      </w:r>
      <w:r>
        <w:rPr>
          <w:rFonts w:ascii="Times New Roman" w:cs="Times New Roman" w:eastAsia="Times New Roman" w:hAnsi="Times New Roman"/>
          <w:sz w:val="12"/>
          <w:szCs w:val="12"/>
          <w:color w:val="auto"/>
        </w:rPr>
        <w:t>”), and (ii) 150,000,000 shares of Common Stock. As of the date hereof, there are no shares of Preferred Stock issued and outstanding, there are 1,077,257 shares of Common Stock issued and outstanding, and there are 9,683 total warrants outstanding, with a weighted average exercise price of $666.43 and a 5-year exercise term. The Issuer has not issued any shares of Common Stock since its most recently filed or furnished report under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other than (i) any Acquired Shares issued pursuant to this Subscription Agreement, (ii) pursuant to the exercise of employee share options under the Issuer’s outstanding share option awards, (iii) the issuance of Common Stock or other equity securities to employees pursuant to the Issuer’s equity incentive plan, and (iv) pursuant to the conversion and/or exercise of Common Stock Equivalents outstanding as of the date of the most recent Quarterly Report on Form 10-Q filed with the Commission. No Person has any right of first refusal, preemptive right, right of participation, or any similar right to participate in the transactions contemplated by the Transaction Documents. Except as a result of the purchase and sale of the Acquired Securities and described in the SEC Documents,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Stock, or contracts, commitments, understandings or arrangements by which the Issuer is or may become bound to issue additional Common Stock or Common Stock Equivalents. The issuance and sale of the Acquired Securities will not obligate the Issuer to issue Common Stock or other securities to any Person (other than the Subscribers). There are no outstanding securities or instruments of the Issuer with any provision that adjusts the exercise, conversion, exchange or reset price of such security or instrument upon an issuance of securities by the Issuer. There are no outstanding securities or instruments of the Issuer that contain any redemption or similar provisions, and there are no contracts, commitments, understandings or arrangements by which the Issuer is or may become bound to redeem a security of the Issuer. The Issuer does not have any outstanding share appreciation rights or “phantom stock” awards or agreements or any similar award or agreement. All of the outstanding shares of the Issuer are duly authorized, validly issued as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of Directors or others is required for the issuance and sale of the Acquired Securities. There are no shareholders agreements, voting agreements or other similar agreements with respect to the Issuer’s shares of Common Stock to which the Issuer is a party or, to the knowledge of the Issuer, between or among any of the Issuer’s shareholders. “</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Equivalents</w:t>
      </w:r>
      <w:r>
        <w:rPr>
          <w:rFonts w:ascii="Times New Roman" w:cs="Times New Roman" w:eastAsia="Times New Roman" w:hAnsi="Times New Roman"/>
          <w:sz w:val="12"/>
          <w:szCs w:val="12"/>
          <w:color w:val="auto"/>
        </w:rPr>
        <w:t>” means any securities of the Issuer which would entitle the holder thereof to acquire at any time Common Stock, including, without limitation, any debt, preference share, right, option, warrant or other instrument that is at any time convertible into or exercisable or exchangeable for, or otherwise entitles the holder thereof to receive, Common Stock.</w:t>
      </w:r>
    </w:p>
    <w:p>
      <w:pPr>
        <w:spacing w:after="0" w:line="129"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k.            The financial statements of the Issuer included in the SEC Documents (as defined below) comply in all material respects with applicable accounting requirements and the rules and regulations of the Commission with respect thereto as in effect at the time of filing or as such financial statements have been amended or corrected in a subsequent filing. Such financial statements have been prepared in accordance with U.S. generally accepted accounting principles applied on a consistent basis during the periods involved (“</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Issuer as of and for the dates thereof and the results of operations and cash flows for the periods then ended, subject, in the case of unaudited statements, to normal, immaterial, year-end audit adjustments. Since the date of the latest audited financial statements included within the SEC Documents or as otherwise disclosed in the SEC Documents, (i) there has been no event, occurrence or development that has had or that would reasonably be expected to result in a Material Adverse Effect, (ii) the Issuer has not incurred any liabilities (contingent or otherwise) other than (A) trade payables and accrued expenses incurred in the ordinary course of business consistent with past practice and (B) liabilities not required to be reflected in the Issuer’s financial statements pursuant to GAAP or disclosed in filings made with the Commission, (iii) the Issuer has not altered its method of accounting, (iv) the Issuer has not declared or made any dividend or distribution of cash or other property to its shareholders or purchased, redeemed or made any agreements to purchase or redeem any shares and (v) the Issuer has not issued any equity securities to any officer, director or affiliate, except pursuant to existing Issuer equity incentive plans. The Issuer does not have pending before the Commission any request for confidential treatment of information. Except for the issuance of the Acquired Securities contemplated by this Subscription Agreement, the other transactions contemplated by the Transaction Documents, no event, liability, fact, circumstance, occurrence or development has occurred or exists or is reasonably expected to occur or exist with respect to the Issuer or its business, prospects, properties, operations, assets or financial condition that would be required to be disclosed by the Issuer under applicable securities laws at the time this representation is made or deemed made that has not been publicly disclosed at least one (1) trading day prior to the date that this representation is made.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6" w:name="page97"/>
    <w:bookmarkEnd w:id="96"/>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l.            The Issuer has not received any written communication from a governmental entity that alleges that the Issuer is not in compliance with or is in default or violation of any applicable law, except where such non-compliance, default or violation would not, individually or in the aggregate, reasonably be expected to have a Material Adverse Effect.</w:t>
      </w:r>
    </w:p>
    <w:p>
      <w:pPr>
        <w:spacing w:after="0" w:line="11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m.            The issued and outstanding shares of Common Stock are, and as of the Closing will be, registered pursuant to Section 12(b) of the Exchange Act, and are listed for trading on each Exchange. The Issuer has taken no action that is designed to terminate the registration of the Common Stock under the Exchange Act or the listing of the Common Stock on the Exchange. Except as included in the SEC Documents, the Issuer has not received notice from any Exchange on which the Common Stock are or have been listed or quoted to the effect that the Issuer is not in compliance with the listing or maintenance requirements of such Exchange. There is no suit, action, proceeding or investigation pending or, to the knowledge of the Issuer, threatened against the Issuer by the Exchange or the Commission with respect to any intention by such entity to deregister the Common Stock or prohibit or terminate the listing of the Common Stock on the Exchange. The Issuer is, in compliance with all such listing and maintenance requirements and is not aware of any facts or circumstances that would reasonably be expected to result in noncompliance with such requirements in the foreseeable future. The Common Stock are currently eligible for electronic transfer through the Depository Trust Company or another established clearing corporation and the Issuer is current in payment of the fees to the Depository Trust Company (or such other established clearing corporation) in connection with such electronic transfer.</w:t>
      </w:r>
    </w:p>
    <w:p>
      <w:pPr>
        <w:spacing w:after="0" w:line="126"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 xml:space="preserve">n.            Assuming the accuracy of Subscriber’s representations and warranties set forth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no registration under the Securities Act is required for the issuance and sale of the Acquired Securities by the Issuer to Subscriber or the Other Subscribers in the manner contemplated by this Subscription Agreement or the Other Subscription Agreements, as the case may be. The issuance, sale, and delivery of the Acquired Securities hereunder does not contravene the rules and regulations of the Exchange.</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o.            Neither the Issuer nor any person acting on its behalf has engaged or will engage in any form of general solicitation or general advertising (within the meaning of Regulation D of the Securities Act) in connection with any offer or sale of the Acquired Securities.</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p.            The Issuer is not, and immediately after receipt of payment for the Acquired Securities and the use of proceeds as contemplated hereby will not be, an “investment company” within the meaning of the Investment Company Act of 1940, as amended (the “</w:t>
      </w:r>
      <w:r>
        <w:rPr>
          <w:rFonts w:ascii="Times New Roman" w:cs="Times New Roman" w:eastAsia="Times New Roman" w:hAnsi="Times New Roman"/>
          <w:sz w:val="12"/>
          <w:szCs w:val="12"/>
          <w:u w:val="single" w:color="auto"/>
          <w:color w:val="auto"/>
        </w:rPr>
        <w:t>ICA</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q.            The Issuer has not entered into any subscription agreement, side letter or other agreement with any Other Subscriber or any other investor (other than certain agreements with affiliates of Pantera Capital and Summer Capital, and except with respect to payment method and timing) in connection with such Other Subscriber’s or investor’s direct or indirect investment in the Issuer, other than (i) the Other Subscription Agreements, (ii) the Pre-Funded Warrants, (iii) the Stapled Warrants and (iv) agreements or forms thereof that have been publicly filed as exhibits to the SEC Documents via the Commission’s EDGAR system, including filings made by the Issuer.</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r.            The Issuer is not, and has not been at any time during the past 12 months, a ‘shell company’ as such term is defined in Rule 405 under the Securities Act of 1933 or Rule 12b-2 under the Exchange Act.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7" w:name="page98"/>
    <w:bookmarkEnd w:id="97"/>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s.            The Issuer is eligible to register the resale of the Registrable Securities on a registration statement on Form S-3 under the Securities Act. Without limiting the generality of the foregoing, the Issuer specifically represents and warrants that: (i) the Issuer has been subject to the reporting requirements of Section 13 or 15(d) of the Exchange Act, for a period of at least twelve (12) calendar months immediately preceding the date hereof and the Closing Date; (ii) the Issuer has filed all material required to be filed pursuant to Section 13, 14, or 15(d) of the Exchange Act for such period; and (iii) the Issuer has filed in a timely manner all reports required to be filed by it with the Commission during the preceding twelve (12) calendar months (or for such shorter period that the Issuer was required to file such reports), including its most recent Annual Report on Form 10-K and all required Quarterly Reports on Form 10-Q and Current Reports on Form 8-K.</w:t>
      </w:r>
    </w:p>
    <w:p>
      <w:pPr>
        <w:spacing w:after="0" w:line="125"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t.            The Issuer acknowledges and agrees that each of the Subscribers is acting solely in the capacity of an arm’s length purchaser with respect to this Subscription Agreement and the transactions contemplated hereby. The Issuer further acknowledges that no Subscriber is acting as a financial advisor or fiduciary of the Issuer (or in any similar capacity) with respect to this Subscription Agreement and the transactions contemplated hereby and thereby and any advice given by any Subscriber or any of their respective representatives or agents in connection with this Subscription Agreement and the transactions contemplated hereby and thereby is merely incidental to the Subscriber’s purchase of the Acquired Securities. The Issuer further represents to each Subscriber that the Issuer’s decision to enter into this Subscription Agreement and the Other Subscription Agreements has been based solely on the independent evaluation of the transactions contemplated hereby by the Issuer and its respective representatives.</w:t>
      </w:r>
    </w:p>
    <w:p>
      <w:pPr>
        <w:spacing w:after="0" w:line="125"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u.            Anything in this Subscription Agreement or elsewhere herein to the contrary notwithstanding, it is understood and acknowledged by the Issuer that: (i) none of the Subscribers has been asked by the Issuer to agree, nor has any Subscriber agreed, to desist from purchasing or selling, long and/or short, securities of the Issuer, or “derivative” securities based on securities issued by the Issuer or to hold the Acquired Securities for any specified term; (ii) past or future open market or other transactions by any Subscriber, specifically including, without limitation, “short sales” (as defined in Rule 200 of Regulation SHO under the Exchange Act) or “derivative” transactions, before or after the closing of this or future private placement transactions, may negatively impact the market price of the Issuer’s publicly-traded securities; (iii) any Subscriber, and counter-parties in “derivative” transactions to which any such Subscriber is a party, directly or indirectly, presently may have a “short” position in the Common Stock; and (iv) each Subscriber shall not be deemed to have any affiliation with or control over any arm’s length counter-party in any “derivative” transaction. The Issuer further understands and acknowledges that (y) one or more Subscribers may engage in hedging activities at various times during the period that the Acquired Securities are outstanding, and</w:t>
      </w:r>
    </w:p>
    <w:p>
      <w:pPr>
        <w:spacing w:after="0" w:line="2" w:lineRule="exact"/>
        <w:rPr>
          <w:sz w:val="20"/>
          <w:szCs w:val="20"/>
          <w:color w:val="auto"/>
        </w:rPr>
      </w:pPr>
    </w:p>
    <w:p>
      <w:pPr>
        <w:ind w:left="8" w:hanging="8"/>
        <w:spacing w:after="0" w:line="260" w:lineRule="auto"/>
        <w:tabs>
          <w:tab w:leader="none" w:pos="171"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hedging activities (if any) could reduce the value of the existing shareholders’ equity interests in the Issuer at and after the time that the hedging activities are being conducted. The Issuer acknowledges that such aforementioned hedging activities do not constitute a breach of this Subscription Agreement or any of the Transaction Documents.</w:t>
      </w:r>
    </w:p>
    <w:p>
      <w:pPr>
        <w:spacing w:after="0" w:line="122"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v.            The Issuer has made available to Subscriber (including via the Commission’s EDGAR system) a copy of each form, report, statement, schedule, prospectus, proxy, registration statement and other document, if any, filed by the Issuer with the Commission for the two years preceding the date hereof (the foregoing materials filed or furnished by the Issuer under the Securities Act and the Exchange Act, including the exhibits thereto and documents incorporated by reference therein, being collectively referred to herein as the “</w:t>
      </w:r>
      <w:r>
        <w:rPr>
          <w:rFonts w:ascii="Times New Roman" w:cs="Times New Roman" w:eastAsia="Times New Roman" w:hAnsi="Times New Roman"/>
          <w:sz w:val="12"/>
          <w:szCs w:val="12"/>
          <w:u w:val="single" w:color="auto"/>
          <w:color w:val="auto"/>
        </w:rPr>
        <w:t>SEC Documents</w:t>
      </w:r>
      <w:r>
        <w:rPr>
          <w:rFonts w:ascii="Times New Roman" w:cs="Times New Roman" w:eastAsia="Times New Roman" w:hAnsi="Times New Roman"/>
          <w:sz w:val="12"/>
          <w:szCs w:val="12"/>
          <w:color w:val="auto"/>
        </w:rPr>
        <w:t>”), which SEC Documents, as of their respective filing dates, complied in all material respects with the requirements of the Securities Act and Exchange Act applicable to the SEC Documents and the rules and regulations of the Commission promulgated thereunder applicable to the SEC Documents on a timely basis or has received a valid extension of such time of filing and has filed any such SEC Documents prior to the expiration of any such extension. None of the SEC Documents filed under the Exchange Act (except to the extent that information contained in any SEC Document has been superseded by a later timely filed SEC Document) contained, when filed, any untrue statement of a material fact or omitted to state a material fact required to be stated therein or necessary to make the statements therein not misleading, in the case of any SEC Document that is a registration statement, or included, when filed, any untrue statement of a material fact or omitted to state a material fact necessary in order to make the statements therein, in the light of the circumstances under which they were made, not misleading, in the case of all other SEC Documents.</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8" w:name="page99"/>
    <w:bookmarkEnd w:id="98"/>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w.            Except as disclosed in the SEC Documents or for such matters as would not reasonably be expected to have, individually or in the aggregate, a Material Adverse Effect, there is no action, suit, inquiry, notice of violation, proceeding or investigation pending or, to the knowledge of the Issuer, threatened against or affecting the Issuer or any of its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2"/>
          <w:szCs w:val="12"/>
          <w:u w:val="single" w:color="auto"/>
          <w:color w:val="auto"/>
        </w:rPr>
        <w:t>Action</w:t>
      </w:r>
      <w:r>
        <w:rPr>
          <w:rFonts w:ascii="Times New Roman" w:cs="Times New Roman" w:eastAsia="Times New Roman" w:hAnsi="Times New Roman"/>
          <w:sz w:val="12"/>
          <w:szCs w:val="12"/>
          <w:color w:val="auto"/>
        </w:rPr>
        <w:t>”). Except as disclosed in the SEC Documents, none of the Actions, if any, (i) adversely affects or challenges the legality, validity or enforceability of any of the Transaction Documents or the Acquired Securities or (ii) would, if resolved adversely to the Issuer, have or reasonably be expected to result in a Material Adverse Effect. Neither the Issuer nor any director or officer thereof is or has been the subject of any Action involving a claim of violation of or liability under federal or state securities laws or a claim of breach of fiduciary duty. There has not been, and to the knowledge of the Issuer, there is not pending or contemplated, any investigation by the Commission involving the Issuer or any current or former director or officer of the Issuer. The Commission has not issued any stop order or other order suspending the effectiveness of any registration statement filed by the Issuer under the Exchange Act or the Securities Act.</w:t>
      </w:r>
    </w:p>
    <w:p>
      <w:pPr>
        <w:spacing w:after="0" w:line="126"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x.            Except for any placement fees payable to the Placement Agent, the Issuer has not paid, and is not obligated to pay, any brokerage, finder’s or other commission or similar fees in connection with the transactions contemplated by the Transaction Documents. The Subscribers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y.            None of the Issuer, any predecessor or affiliated issuer of the Issuer, any director, executive officer or other officer of the Issuer or, to the Issuer’s knowledge, any beneficial owner of twenty percent (20%) or more of the Issuer’s outstanding voting equity securities, calculated on the basis of voting power, or any promoter connected with the Issuer in any capacity, is subject to any of the “bad actor” disqualifications within the meaning of Rule 506(d) under the Securities Act, except for a disqualification event covered by Rule 506(d)(2) or (d)(3).</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z.            The Issuer acknowledges that there have been no representations, warranties, covenants and agreements made to Issuer by or on behalf of the Subscriber, any of its respective affiliates or any of its or their control persons, officers, directors, employees, partners, agents or representatives, expressly or by implication, regarding the transactions contemplated by this Subscription Agreement other than those representations, warranties, covenants and agreements included in this Subscription Agreement (inclusive of the exhibits and schedules attached hereto).</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aa.           The gross proceeds from the Acquired Securities contemplated by the Transaction will be utilized for purposes of acquiring SOL (including costs associated with such acquisition), transaction costs, working capital and general corporate purposes.</w:t>
      </w:r>
    </w:p>
    <w:p>
      <w:pPr>
        <w:spacing w:after="0" w:line="11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bb.          No labor dispute exists or, to the knowledge of the Issuer, is threatened with respect to any of the employees of the Issuer, which would reasonably be expected to result in a Material Adverse Effect. None of the Issuer’s employees is a member of a union that relates to such employee’s relationship with the Issuer, the Issuer is not a party to a collective bargaining agreement, and the Issuer believes that its relationship with its employees is good. To the knowledge of the Issuer, no executive officer of the Issuer,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Issuer to any liability with respect to any of the foregoing matters. The Issuer is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cc.           The Issuer possesses all certificates, authorizations and permits issued by the appropriate federal, state, local or foreign regulatory authorities necessary to conduct its business as described in the SEC Documents, except where the failure to possess such permits would not reasonably be expected to result in a Material Adverse Effect (“</w:t>
      </w:r>
      <w:r>
        <w:rPr>
          <w:rFonts w:ascii="Times New Roman" w:cs="Times New Roman" w:eastAsia="Times New Roman" w:hAnsi="Times New Roman"/>
          <w:sz w:val="12"/>
          <w:szCs w:val="12"/>
          <w:u w:val="single" w:color="auto"/>
          <w:color w:val="auto"/>
        </w:rPr>
        <w:t>Material Permits</w:t>
      </w:r>
      <w:r>
        <w:rPr>
          <w:rFonts w:ascii="Times New Roman" w:cs="Times New Roman" w:eastAsia="Times New Roman" w:hAnsi="Times New Roman"/>
          <w:sz w:val="12"/>
          <w:szCs w:val="12"/>
          <w:color w:val="auto"/>
        </w:rPr>
        <w:t>”), and the Issuer has not received any notice of proceedings relating to the revocation or modification of any Material Permit.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9" w:name="page100"/>
    <w:bookmarkEnd w:id="99"/>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dd.          The Issuer has good and marketable title to its owned properties and owned assets that is material to the business of the Issuer, free and clear of all (i) Liens, except for Liens as do not materially affect the value of such property, taken as a whole, and do not interfere in any material respect with the use made or proposed to be made of such properties by the Issuer and (ii) Liens for the payment of federal, state or other taxes, for which appropriate reserves have been made therefor in accordance with GAAP and, the payment of which is neither delinquent nor subject to penalties. Any real property and facilities held under lease by the Issuer is held by the Issuer under valid, subsisting and enforceable leases with which the Issuer is in compliance, except where such non-compliance would not have or reasonably be expected to have a Material Adverse Effect.</w:t>
      </w:r>
    </w:p>
    <w:p>
      <w:pPr>
        <w:spacing w:after="0" w:line="122" w:lineRule="exact"/>
        <w:rPr>
          <w:sz w:val="20"/>
          <w:szCs w:val="20"/>
          <w:color w:val="auto"/>
        </w:rPr>
      </w:pPr>
    </w:p>
    <w:p>
      <w:pPr>
        <w:jc w:val="both"/>
        <w:ind w:left="8" w:firstLine="864"/>
        <w:spacing w:after="0" w:line="280" w:lineRule="auto"/>
        <w:rPr>
          <w:sz w:val="20"/>
          <w:szCs w:val="20"/>
          <w:color w:val="auto"/>
        </w:rPr>
      </w:pPr>
      <w:r>
        <w:rPr>
          <w:rFonts w:ascii="Times New Roman" w:cs="Times New Roman" w:eastAsia="Times New Roman" w:hAnsi="Times New Roman"/>
          <w:sz w:val="11"/>
          <w:szCs w:val="11"/>
          <w:color w:val="auto"/>
        </w:rPr>
        <w:t>ee.           The Issuer has, or has rights to use, all patents, patent applications, trademarks, trademark applications, service marks, trade names, trade secrets, inventions, copyrights, licenses and other intellectual property rights and similar rights necessary or required for use in connection with its respective businesses as described in the SEC Documents and which the failure to so have would have a Material Adverse Effect (collectively, the “</w:t>
      </w:r>
      <w:r>
        <w:rPr>
          <w:rFonts w:ascii="Times New Roman" w:cs="Times New Roman" w:eastAsia="Times New Roman" w:hAnsi="Times New Roman"/>
          <w:sz w:val="11"/>
          <w:szCs w:val="11"/>
          <w:u w:val="single" w:color="auto"/>
          <w:color w:val="auto"/>
        </w:rPr>
        <w:t>Intellectual</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Property Rights</w:t>
      </w:r>
      <w:r>
        <w:rPr>
          <w:rFonts w:ascii="Times New Roman" w:cs="Times New Roman" w:eastAsia="Times New Roman" w:hAnsi="Times New Roman"/>
          <w:sz w:val="11"/>
          <w:szCs w:val="11"/>
          <w:color w:val="auto"/>
        </w:rPr>
        <w:t>”). The Issuer has not received a notice (written or otherwise) that any of, the Intellectual Property Rights has expired, terminated or been abandoned, or is expected to expire or terminate or be abandoned, within two</w:t>
      </w:r>
    </w:p>
    <w:p>
      <w:pPr>
        <w:jc w:val="both"/>
        <w:ind w:left="8" w:hanging="8"/>
        <w:spacing w:after="0" w:line="253" w:lineRule="auto"/>
        <w:tabs>
          <w:tab w:leader="none" w:pos="179"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years from the date of this Agreement, except where such expiration, termination or abandonment would not have or reasonably be expected to have a Material Adverse Effect. The Issuer has not received, since the date of the latest audited financial statements included within the SEC Documents or as otherwise disclosed in the SEC Documents, a written notice of a claim or otherwise has any knowledge that the Intellectual Property Rights violate or infringe upon the rights of any Person, except as would not have or reasonably be expected to not have a Material Adverse Effect. To the knowledge of the Issuer, all such Intellectual Property Rights are enforceable and there is no existing infringement by another Person of any of the Intellectual Property Rights. The Issuer has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26"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ff.            The Issuer is insured by insurers of recognized financial responsibility against such losses and risks and in such amounts as are prudent and customary for companies of similar size as the Issuer in the businesses in which the Issuer is engaged, including, but not limited to, directors and officers insurance coverage. The Issuer has no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19"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gg.          Except as disclosed in the SEC Documents, none of the officers or directors of the Issuer, and, to the knowledge of the Issuer, none of the employees of the Issuer is presently a party to any transaction with the Issuer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Issuer,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Issuer and (iii) other employee benefits, including equity incentives granted under any equity incentive plan of the Issuer.</w:t>
      </w:r>
    </w:p>
    <w:p>
      <w:pPr>
        <w:spacing w:after="0" w:line="125"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hh.          Except as set forth in the SEC Documents, the Issuer is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Documents, the Issuer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Issuer has established disclosure controls and procedures (as defined in Exchange Act Rules 13a-15(e) and 15d-15(e)) for the Issuer and designed such disclosure controls and procedures to ensure that information required to be disclosed by the Issuer in the reports it files or submits under the Exchange Act is recorded, processed, summarized and reported, within the time periods specified in the Commission’s rules and forms.</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00" w:name="page101"/>
    <w:bookmarkEnd w:id="100"/>
    <w:p>
      <w:pPr>
        <w:ind w:left="860"/>
        <w:spacing w:after="0"/>
        <w:rPr>
          <w:sz w:val="20"/>
          <w:szCs w:val="20"/>
          <w:color w:val="auto"/>
        </w:rPr>
      </w:pPr>
      <w:r>
        <w:rPr>
          <w:rFonts w:ascii="Times New Roman" w:cs="Times New Roman" w:eastAsia="Times New Roman" w:hAnsi="Times New Roman"/>
          <w:sz w:val="12"/>
          <w:szCs w:val="12"/>
          <w:color w:val="auto"/>
        </w:rPr>
        <w:t>ii.            Except as set forth in SEC Documents and in connection with this Transaction, no Person has any right to cause the Issuer to effect the registration under the Securities Act of any securities of the Issuer.</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jj.             The Issuer and the Board of Directors have taken all necessary action, if any, in order to render inapplicable any control share acquisition, business combination, poison pill (including any distribution under a rights agreement) or other similar anti-takeover provision under the Charter Documents or the laws of its jurisdiction of incorporation that is or could become applicable to the Subscribers as a result of the Subscribers and the Issuer fulfilling their obligations or exercising their rights under the Transaction Documents, including without limitation as a result of the Issuer’s issuance and sale of the Acquired Securities and the Subscribers’ ownership of the Acquired Securities.</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kk.           Assuming the accuracy of the Subscribers’ representations and warranties set forth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neither the Issuer nor any of its affiliates, nor any Person acting on its or their behalf has, directly or indirectly, made any offers or sales of any security or solicited any offers to buy any security, under circumstances that would cause this offering of the Acquired Securities to be integrated with prior offerings by the Issuer for purposes of (i) the Securities Act which would require the registration of any such securities under the Securities Act, or (ii) any applicable shareholder approval provisions of any Exchange on which any of the securities of the Issuer are listed or designated.</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ll.             Except for matters that would not, individually or in the aggregate, have or reasonably be expected to result in a Material Adverse Effect, the Issuer (i) has made or filed all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provisions reasonably adequate for the payment of all material taxes for periods subsequent to the periods to which such returns, reports or declarations apply. To the knowledge of the Issuer, there are no unpaid taxes in any material amount claimed to be due by the taxing authority of any jurisdiction.</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mm.         None of the Issuer or, to the knowledge of the Issuer, any agent or other person acting on behalf of the Issuer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Issuer (or made by any person acting on its behalf of which the Issuer is aware) which is in violation of law, or (iv) violated in any material respect any provision of Foreign Corrupt Practices Act of 1977, as amended.</w:t>
      </w:r>
    </w:p>
    <w:p>
      <w:pPr>
        <w:spacing w:after="0" w:line="122"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nn.          The Issuer’s accounting firm is Baker Tilly US, LLP (the “</w:t>
      </w:r>
      <w:r>
        <w:rPr>
          <w:rFonts w:ascii="Times New Roman" w:cs="Times New Roman" w:eastAsia="Times New Roman" w:hAnsi="Times New Roman"/>
          <w:sz w:val="12"/>
          <w:szCs w:val="12"/>
          <w:u w:val="single" w:color="auto"/>
          <w:color w:val="auto"/>
        </w:rPr>
        <w:t>Accountant</w:t>
      </w:r>
      <w:r>
        <w:rPr>
          <w:rFonts w:ascii="Times New Roman" w:cs="Times New Roman" w:eastAsia="Times New Roman" w:hAnsi="Times New Roman"/>
          <w:sz w:val="12"/>
          <w:szCs w:val="12"/>
          <w:color w:val="auto"/>
        </w:rPr>
        <w:t>”). The Accountant (i) is a registered public accounting firm as required by the Exchange Act, (ii) is an independent public accountant within the meaning of the Securities Act and the Public Company Accounting Oversight Board (United States), and (iii) shall express its opinion with respect to the financial statements to be included in the Issuer’s Annual Report on Form 10-K for the fiscal year ending December 31, 2025, whose report was included on the consolidated financial statements of the Issuer for the fiscal year ended December 31, 2024, during the periods covered of its report, was an independent public accountant within the meaning of the Securities Act and the Public Company Accounting Oversight Board (United States). There are no disagreements of any kind presently existing, or reasonably anticipated by the Issuer to arise, between the Issuer and the accountants formerly or presently employed by the Issuer, and the Issuer is current with respect to any fees owed to its accountants which could affect the Issuer’s ability to perform any of its obligations under any of the Transaction Documents. Each of the accountants formerly or presently employed by the Issuer is not, or was not, in violation of the auditor independence requirements of the Sarbanes-Oxley Act of 2002, as amended, with respect to the Issuer.</w:t>
      </w:r>
    </w:p>
    <w:p>
      <w:pPr>
        <w:spacing w:after="0" w:line="126" w:lineRule="exact"/>
        <w:rPr>
          <w:sz w:val="20"/>
          <w:szCs w:val="20"/>
          <w:color w:val="auto"/>
        </w:rPr>
      </w:pPr>
    </w:p>
    <w:p>
      <w:pPr>
        <w:jc w:val="both"/>
        <w:ind w:firstLine="864"/>
        <w:spacing w:after="0" w:line="300" w:lineRule="auto"/>
        <w:rPr>
          <w:sz w:val="20"/>
          <w:szCs w:val="20"/>
          <w:color w:val="auto"/>
        </w:rPr>
      </w:pPr>
      <w:r>
        <w:rPr>
          <w:rFonts w:ascii="Times New Roman" w:cs="Times New Roman" w:eastAsia="Times New Roman" w:hAnsi="Times New Roman"/>
          <w:sz w:val="11"/>
          <w:szCs w:val="11"/>
          <w:color w:val="auto"/>
        </w:rPr>
        <w:t>oo.          Neither the Issuer nor, to its knowledge, anyone acting on its behalf has, (i) taken, directly or indirectly, any action designed to cause or to result in the stabilization or manipulation of the price of any security of the Issuer to facilitate the sale or resale of any of the Acquired Securities, (ii) sold, bid for, purchased, or, paid any compensation for soliciting purchases of, any of the Acquired Securities, or (iii) paid or agreed to pay to any Person any compensation for soliciting another to purchase any other securities of the Issuer, other than, in the case of clauses (ii) and (iii), compensation paid to the Placement Agent in connection with the placement of the Acquired Securities.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1" w:name="page102"/>
    <w:bookmarkEnd w:id="101"/>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pp.          Each share option granted by the Issuer under the Issuer’s share option plan was granted (i) in accordance with the terms of the Issuer’s share option plan and (ii) with an exercise price at least equal to the fair market value of the Common Stock on the date such share option would be considered granted under GAAP and applicable law. No share option granted under the Issuer’s share option plan has been backdated. The Issuer has not knowingly granted, and there is no and has been no Issuer policy or practice to knowingly grant, share options prior to, or otherwise knowingly coordinate the grant of share options with, the release or other public announcement of material information regarding the Issuer or its financial results or prospects.</w:t>
      </w:r>
    </w:p>
    <w:p>
      <w:pPr>
        <w:spacing w:after="0" w:line="122"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qq.           (i) There has been no security breach or other compromise of or relating to any of the Issuer’s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2"/>
          <w:szCs w:val="12"/>
          <w:u w:val="single" w:color="auto"/>
          <w:color w:val="auto"/>
        </w:rPr>
        <w:t>IT Systems and Data</w:t>
      </w:r>
      <w:r>
        <w:rPr>
          <w:rFonts w:ascii="Times New Roman" w:cs="Times New Roman" w:eastAsia="Times New Roman" w:hAnsi="Times New Roman"/>
          <w:sz w:val="12"/>
          <w:szCs w:val="12"/>
          <w:color w:val="auto"/>
        </w:rPr>
        <w:t>”) and (y) the Issuer has not been notified of, any event or condition that would reasonably be expected to result in, any security breach or other compromise to its IT Systems and Data, except, with respect to either (x) or (y), those which would not, individually or in the aggregate, reasonably be expected to have a Material Adverse Effect; (ii) the Issuer is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Issuer has implemented and maintained commercially reasonable safeguards to maintain and protect its material confidential information and the integrity, continuous operation, redundancy and security of all IT Systems and Data; and (iv) the Issuer has implemented backup and disaster recovery technology consistent with industry standards and practices.</w:t>
      </w:r>
    </w:p>
    <w:p>
      <w:pPr>
        <w:spacing w:after="0" w:line="126"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rr.            (i) The Issuer is, and at all times since January 1, 2024, in material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2"/>
          <w:szCs w:val="12"/>
          <w:u w:val="single" w:color="auto"/>
          <w:color w:val="auto"/>
        </w:rPr>
        <w:t>GDPR</w:t>
      </w:r>
      <w:r>
        <w:rPr>
          <w:rFonts w:ascii="Times New Roman" w:cs="Times New Roman" w:eastAsia="Times New Roman" w:hAnsi="Times New Roman"/>
          <w:sz w:val="12"/>
          <w:szCs w:val="12"/>
          <w:color w:val="auto"/>
        </w:rPr>
        <w:t>”) (EU 2016/679) (collectively, “</w:t>
      </w:r>
      <w:r>
        <w:rPr>
          <w:rFonts w:ascii="Times New Roman" w:cs="Times New Roman" w:eastAsia="Times New Roman" w:hAnsi="Times New Roman"/>
          <w:sz w:val="12"/>
          <w:szCs w:val="12"/>
          <w:u w:val="single" w:color="auto"/>
          <w:color w:val="auto"/>
        </w:rPr>
        <w:t>Privacy Laws</w:t>
      </w:r>
      <w:r>
        <w:rPr>
          <w:rFonts w:ascii="Times New Roman" w:cs="Times New Roman" w:eastAsia="Times New Roman" w:hAnsi="Times New Roman"/>
          <w:sz w:val="12"/>
          <w:szCs w:val="12"/>
          <w:color w:val="auto"/>
        </w:rPr>
        <w:t>”); (ii) the Issuer has in place and has taken steps reasonably designed to ensure material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2"/>
          <w:szCs w:val="12"/>
          <w:u w:val="single" w:color="auto"/>
          <w:color w:val="auto"/>
        </w:rPr>
        <w:t>Policies</w:t>
      </w:r>
      <w:r>
        <w:rPr>
          <w:rFonts w:ascii="Times New Roman" w:cs="Times New Roman" w:eastAsia="Times New Roman" w:hAnsi="Times New Roman"/>
          <w:sz w:val="12"/>
          <w:szCs w:val="12"/>
          <w:color w:val="auto"/>
        </w:rPr>
        <w:t>”); (iii) the Issuer provides accurate notice of its applicable Policies to its customers, employees, third party vendors and representatives as required by the Privacy Laws; and (iv) applicable Policies provide accurate and sufficient notice of the Issuer’s then-current privacy practices relating to its subject matter, and do not contain any material omissions of the Issuer’s then-current privacy practices, as required by Privacy Laws. “</w:t>
      </w:r>
      <w:r>
        <w:rPr>
          <w:rFonts w:ascii="Times New Roman" w:cs="Times New Roman" w:eastAsia="Times New Roman" w:hAnsi="Times New Roman"/>
          <w:sz w:val="12"/>
          <w:szCs w:val="12"/>
          <w:u w:val="single" w:color="auto"/>
          <w:color w:val="auto"/>
        </w:rPr>
        <w:t>Personal Data”</w:t>
      </w:r>
      <w:r>
        <w:rPr>
          <w:rFonts w:ascii="Times New Roman" w:cs="Times New Roman" w:eastAsia="Times New Roman" w:hAnsi="Times New Roman"/>
          <w:sz w:val="12"/>
          <w:szCs w:val="12"/>
          <w:color w:val="auto"/>
        </w:rPr>
        <w:t xml:space="preserve">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w:t>
      </w:r>
    </w:p>
    <w:p>
      <w:pPr>
        <w:spacing w:after="0" w:line="2" w:lineRule="exact"/>
        <w:rPr>
          <w:sz w:val="20"/>
          <w:szCs w:val="20"/>
          <w:color w:val="auto"/>
        </w:rPr>
      </w:pPr>
    </w:p>
    <w:p>
      <w:pPr>
        <w:jc w:val="both"/>
        <w:ind w:left="8" w:hanging="8"/>
        <w:spacing w:after="0" w:line="253" w:lineRule="auto"/>
        <w:tabs>
          <w:tab w:leader="none" w:pos="22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“personal data” as defined by GDPR; and (iv) any other piece of information that allows the identification of such natural person, or his or her family, or permits the collection or analysis of any identifiable data related to an identified person’s health or sexual orientation. None of such disclosures made or contained in any of the Policies have been inaccurate, misleading, or incomplete in material violation of any Privacy Laws and the execution, delivery and performance of the Transaction Documents will not result in a breach of any Privacy Laws or Policies. The Issuer (i) has not received written notice of any actual or potential liability of the Issuer under, or actual or potential violation by the Issuer of, any of the Privacy Laws; (ii) is not currently conducting or paying for, in whole or in part, any investigation, remediation or other corrective action pursuant to any regulatory request or demand pursuant to any Privacy Law; or (iii) is not a party to any order, decree, or agreement by or with any court or arbitrator or governmental or regulatory authority that imposed any obligation or liability under any Privacy Law.</w:t>
      </w:r>
    </w:p>
    <w:p>
      <w:pPr>
        <w:spacing w:after="0" w:line="126"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ss.           The Issuer is not subject to the Bank Holding Company Act of 1956, as amended (the “</w:t>
      </w:r>
      <w:r>
        <w:rPr>
          <w:rFonts w:ascii="Times New Roman" w:cs="Times New Roman" w:eastAsia="Times New Roman" w:hAnsi="Times New Roman"/>
          <w:sz w:val="12"/>
          <w:szCs w:val="12"/>
          <w:u w:val="single" w:color="auto"/>
          <w:color w:val="auto"/>
        </w:rPr>
        <w:t>BHCA</w:t>
      </w:r>
      <w:r>
        <w:rPr>
          <w:rFonts w:ascii="Times New Roman" w:cs="Times New Roman" w:eastAsia="Times New Roman" w:hAnsi="Times New Roman"/>
          <w:sz w:val="12"/>
          <w:szCs w:val="12"/>
          <w:color w:val="auto"/>
        </w:rPr>
        <w:t>”) and to regulation by the Board of Governors of the Federal Reserve System (the “</w:t>
      </w:r>
      <w:r>
        <w:rPr>
          <w:rFonts w:ascii="Times New Roman" w:cs="Times New Roman" w:eastAsia="Times New Roman" w:hAnsi="Times New Roman"/>
          <w:sz w:val="12"/>
          <w:szCs w:val="12"/>
          <w:u w:val="single" w:color="auto"/>
          <w:color w:val="auto"/>
        </w:rPr>
        <w:t>Federal Reserve</w:t>
      </w:r>
      <w:r>
        <w:rPr>
          <w:rFonts w:ascii="Times New Roman" w:cs="Times New Roman" w:eastAsia="Times New Roman" w:hAnsi="Times New Roman"/>
          <w:sz w:val="12"/>
          <w:szCs w:val="12"/>
          <w:color w:val="auto"/>
        </w:rPr>
        <w:t>”). Neither the Issuer nor any of its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Issuer nor any of its affiliates exercises a controlling influence over the management or policies of a bank or any entity that is subject to the BHCA and to regulation by the Federal Reserve.</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02" w:name="page103"/>
    <w:bookmarkEnd w:id="102"/>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tt.            Neither the Issuer nor, to the knowledge of the Issuer, any director, officer, agent, employee, affiliate or representative of the Issuer is an individual or entity (“</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currently the subject or target of any sanctions administered or enforced by the United States Government, including, without limitation, the U.S. Department of the Treasury’s Office of Foreign Assets Control (“</w:t>
      </w:r>
      <w:r>
        <w:rPr>
          <w:rFonts w:ascii="Times New Roman" w:cs="Times New Roman" w:eastAsia="Times New Roman" w:hAnsi="Times New Roman"/>
          <w:sz w:val="12"/>
          <w:szCs w:val="12"/>
          <w:u w:val="single" w:color="auto"/>
          <w:color w:val="auto"/>
        </w:rPr>
        <w:t>OFAC</w:t>
      </w:r>
      <w:r>
        <w:rPr>
          <w:rFonts w:ascii="Times New Roman" w:cs="Times New Roman" w:eastAsia="Times New Roman" w:hAnsi="Times New Roman"/>
          <w:sz w:val="12"/>
          <w:szCs w:val="12"/>
          <w:color w:val="auto"/>
        </w:rPr>
        <w:t>”), the United Nations Security Council, the European Union, His Majesty’s Treasury, or other relevant sanctions authority (collectively, “</w:t>
      </w:r>
      <w:r>
        <w:rPr>
          <w:rFonts w:ascii="Times New Roman" w:cs="Times New Roman" w:eastAsia="Times New Roman" w:hAnsi="Times New Roman"/>
          <w:sz w:val="12"/>
          <w:szCs w:val="12"/>
          <w:u w:val="single" w:color="auto"/>
          <w:color w:val="auto"/>
        </w:rPr>
        <w:t>Sanctions</w:t>
      </w:r>
      <w:r>
        <w:rPr>
          <w:rFonts w:ascii="Times New Roman" w:cs="Times New Roman" w:eastAsia="Times New Roman" w:hAnsi="Times New Roman"/>
          <w:sz w:val="12"/>
          <w:szCs w:val="12"/>
          <w:color w:val="auto"/>
        </w:rPr>
        <w:t>”), nor is the Issuer located, organized or resident in a country or territory that is the subject of Sanctions; and the Issuer will not directly or indirectly use any funds, or lend, contribute or otherwise make available such funds to any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uu.          The operations of the Issuer is and has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2"/>
          <w:szCs w:val="12"/>
          <w:u w:val="single" w:color="auto"/>
          <w:color w:val="auto"/>
        </w:rPr>
        <w:t>Money Laundering Laws</w:t>
      </w:r>
      <w:r>
        <w:rPr>
          <w:rFonts w:ascii="Times New Roman" w:cs="Times New Roman" w:eastAsia="Times New Roman" w:hAnsi="Times New Roman"/>
          <w:sz w:val="12"/>
          <w:szCs w:val="12"/>
          <w:color w:val="auto"/>
        </w:rPr>
        <w:t>”), and no Action or Proceeding by or before any court or governmental agency, authority or body or any arbitrator involving the Issuer with respect to the Money Laundering Laws is pending or, to the knowledge of the Issuer, threatened.</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vv.          Issuer has no material liabilities, contingent or otherwise, except as disclosed in the SEC Documents.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ww.         Issuer has not disclosed to Subscriber any material non-public information not otherwise disclosed in the SEC Documents.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          </w:t>
      </w:r>
      <w:r>
        <w:rPr>
          <w:rFonts w:ascii="Times New Roman" w:cs="Times New Roman" w:eastAsia="Times New Roman" w:hAnsi="Times New Roman"/>
          <w:sz w:val="12"/>
          <w:szCs w:val="12"/>
          <w:u w:val="single" w:color="auto"/>
          <w:color w:val="auto"/>
        </w:rPr>
        <w:t>  Subscriber Representations and Warranties</w:t>
      </w:r>
      <w:r>
        <w:rPr>
          <w:rFonts w:ascii="Times New Roman" w:cs="Times New Roman" w:eastAsia="Times New Roman" w:hAnsi="Times New Roman"/>
          <w:sz w:val="12"/>
          <w:szCs w:val="12"/>
          <w:color w:val="auto"/>
        </w:rPr>
        <w:t>. Each Subscriber, severally and not jointly, represents and warrants, as of the date hereof and the Closing Date, that:</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Subscriber has been duly formed or incorporated and is validly existing in good standing under the laws of its jurisdiction of incorporation or formation, with the requisite entity power and authority to enter into, deliver and perform its obligations under this Subscription Agreement.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This Subscription Agreement has been duly authorized, executed and delivered by Subscriber. This Subscription Agreement is enforceable against Subscriber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1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c.            The execution and delivery by Subscriber of this Subscription Agreement, and the performance by Subscriber of its obligations under this Subscription Agreement, including the purchase of the Acquired Securities and the consummation of the other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which would reasonably be expected to have a material adverse effect on the business, properties, financial condition, stockholders’ equity or results of operations of Subscriber, taken as a whole (a “</w:t>
      </w:r>
      <w:r>
        <w:rPr>
          <w:rFonts w:ascii="Times New Roman" w:cs="Times New Roman" w:eastAsia="Times New Roman" w:hAnsi="Times New Roman"/>
          <w:sz w:val="12"/>
          <w:szCs w:val="12"/>
          <w:u w:val="single" w:color="auto"/>
          <w:color w:val="auto"/>
        </w:rPr>
        <w:t>Subscriber Material Adverse Effect</w:t>
      </w:r>
      <w:r>
        <w:rPr>
          <w:rFonts w:ascii="Times New Roman" w:cs="Times New Roman" w:eastAsia="Times New Roman" w:hAnsi="Times New Roman"/>
          <w:sz w:val="12"/>
          <w:szCs w:val="12"/>
          <w:color w:val="auto"/>
        </w:rPr>
        <w:t>”), or materially affect the legal authority of Subscriber to comply in all material respects with the terms of this Subscription Agreement; (ii) the organizational documents of Subscriber; or (iii) any statute or any judgment, order, rule or regulation of any court or governmental agency or body, domestic or foreign, having jurisdiction over Subscriber or any of Subscriber’s properties that would reasonably be expected to have a Subscriber Material Adverse Effect or materially affect the legal authority of Subscriber to comply in all material respects with this Subscription Agreement.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3" w:name="page104"/>
    <w:bookmarkEnd w:id="103"/>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d.            Subscriber (i) is an “accredited investor” as such term is defined in Rule 501(a) of Regulation D under the Securities Act or it is not a “U.S. Person” as defined in Rule 902 of Regulation S (“</w:t>
      </w:r>
      <w:r>
        <w:rPr>
          <w:rFonts w:ascii="Times New Roman" w:cs="Times New Roman" w:eastAsia="Times New Roman" w:hAnsi="Times New Roman"/>
          <w:sz w:val="12"/>
          <w:szCs w:val="12"/>
          <w:u w:val="single" w:color="auto"/>
          <w:color w:val="auto"/>
        </w:rPr>
        <w:t>Regulation S</w:t>
      </w:r>
      <w:r>
        <w:rPr>
          <w:rFonts w:ascii="Times New Roman" w:cs="Times New Roman" w:eastAsia="Times New Roman" w:hAnsi="Times New Roman"/>
          <w:sz w:val="12"/>
          <w:szCs w:val="12"/>
          <w:color w:val="auto"/>
        </w:rPr>
        <w:t xml:space="preserve">”) under the Securities Act, in each case, satisfying the applicable requirements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and acknowledges that the sale contemplated hereby is being made in reliance on a private placement exemption to “Accredited Investors” within the meaning of Section 501(a) of Regulation D under the Securities Act and similar exemptions under state law or a non U.S. Person under Regulation S, and is an “institutional account” as defined in FINRA Rule 4512(c), (ii) is acquiring the Acquired Securities, and upon the exercise of the Pre-Funded Warrants and Stapled Warrants, will acquire the Warrant Shares issuable upon exercise of the Pre-Funded Warrants and Stapled Warrants, respectively, will acquire the only for its own account and not for the account of others, or if Subscriber is subscribing for the Acquired Securities as a fiduciary or agent for one or more investor accounts, each owner of such account is a “qualified institutional buyer” or an “accredited investor” (each as defined above) and Subscriber has full investment discretion with respect to each such account, and the full power and authority to make the acknowledgements, representations and agreements herein on behalf of each owner of each such account and (iii) is not acquiring the Acquired Securities, and upon the exercise of the Pre-Funded Warrants and Stapled Warrants, as applicable, will not acquire the Warrant Shares issuable upon exercise of the Pre-Funded Warrants and Stapled Warrants, as applicable, with a view to, or for offer or sale in connection with, any distribution thereof in violation of the Securities Act. Subscriber has completed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following the signature page hereto and the information contained therein is accurate and complete. Subscriber is not an entity formed for the specific purpose of acquiring the Acquired Securities, and upon the exercise of the Pre-Funded Warrants and Stapled Warrants, as applicable, acquiring the Warrant Shares issuable upon exercise of the Pre-Funded Warrants and Stapled Warrants, as applicable, unless Subscriber is a newly formed entity in which all of the equity owners are accredited investors and is an “institutional account” as defined by FINRA Rule 4512(c). Accordingly, Subscriber is aware that this offering of the Acquired Securities meets the exemptions from filing under FINRA Rule 5123(b)(1)(A), (C) or (J).</w:t>
      </w:r>
    </w:p>
    <w:p>
      <w:pPr>
        <w:spacing w:after="0" w:line="126"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e.            Subscriber understands that the Acquired Securities are being offered in a transaction not involving any public offering within the meaning of the Securities Act and that the Acquired Securities and Warrant Shares underlying the Pre-Funded Warrants and Stapled Warrants have not been registered under the Securities Act. Subscriber understands that the Acquired Securities and Warrant Shares may not be offered, resold, transferred, pledged or otherwise disposed of by Subscriber absent an effective registration statement under the Securities Act, except (i) to the Issuer, (ii) to non-U.S. persons pursuant to offers and sales that occur outside the United States within the meaning of Regulation S under the Securities Act, (iii) pursuant to Rule 144 (including Rule 144(i) thereunder) under the Securities Act;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all of the applicable conditions thereof have been met, or (iv) pursuant to another applicable exemption from the registration requirements of the Securities Act (including, without limitation, a private resale pursuant to the so-called “Section 4(a)(7)”), and in each case, in accordance with any applicable securities laws of the states of the United States and other applicable jurisdictions, and that any certificates or book-entry records representing the Acquired Securities shall contain a legend to such effect. Subscriber acknowledges that the Acquired Securities will not be eligible for resale pursuant to Rule 144A promulgated under the Securities Act. Subscriber understands and agrees that the Acquired Securities will be subject to the foregoing transfer restrictions and, as a result of these transfer restrictions, Subscriber may not be able to readily resell the Acquired Securities and may be required to bear the financial risk of an investment in the Acquired Securities for an indefinite period of time. Subscriber acknowledges and agrees that the Acquired Securities will not be eligible for offer, resale, transfer, pledge or disposition pursuant to Rule 144 until at least six months from the Closing Date. Subscriber understands that it has been advised to consult legal counsel prior to making any offer, resale, pledge or transfer of any of the Acquired Securities.</w:t>
      </w:r>
    </w:p>
    <w:p>
      <w:pPr>
        <w:spacing w:after="0" w:line="12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f.            Subscriber understands and agrees that Subscriber is purchasing the Acquired Securities directly from the Issuer. Subscriber further acknowledges that there have been no representations, warranties, covenants and agreements made to Subscriber by or on behalf of the Issuer, any of its respective affiliates or control persons, officers, directors, employees, partners, agents or representatives, expressly or by implication, regarding the transactions contemplated by this Subscription Agreement, other than those representations, warranties, covenants and agreements included in this Subscription Agreement.</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g.            Subscriber’s acquisition and holding of the Acquired Securities will not constitute or result in a non-exempt prohibited transaction under section 406 of the Employee Retirement Income Security Act of 1974, as amended (“</w:t>
      </w:r>
      <w:r>
        <w:rPr>
          <w:rFonts w:ascii="Times New Roman" w:cs="Times New Roman" w:eastAsia="Times New Roman" w:hAnsi="Times New Roman"/>
          <w:sz w:val="12"/>
          <w:szCs w:val="12"/>
          <w:u w:val="single" w:color="auto"/>
          <w:color w:val="auto"/>
        </w:rPr>
        <w:t>ERISA</w:t>
      </w:r>
      <w:r>
        <w:rPr>
          <w:rFonts w:ascii="Times New Roman" w:cs="Times New Roman" w:eastAsia="Times New Roman" w:hAnsi="Times New Roman"/>
          <w:sz w:val="12"/>
          <w:szCs w:val="12"/>
          <w:color w:val="auto"/>
        </w:rPr>
        <w:t>”), section 4975 of the Code, or any applicable similar law.</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4" w:name="page105"/>
    <w:bookmarkEnd w:id="104"/>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h.            In making its decision to subscribe for and purchase the Acquired Securities, Subscriber represents that it has relied solely upon its own independent investigation, the investor presentation provided to Subscriber and the Issuer’s representations, warranties and covenants set forth in this Subscription Agreement. Without limiting the generality of the foregoing, Subscriber has not relied on any statements, representations or warranties or other information provided by the Placement Agent or any of its affiliates, or any of their respective officers, directors, employees or representatives, concerning the Issuer or the Acquired Securities or the offer and sale of the Acquired Securities. Subscriber acknowledges and agrees that Subscriber has received and has had the opportunity to review such information as Subscriber deems necessary in order to make an investment decision with respect to the Acquired Securities and the Issuer, including the SEC Documents, the risk factors set forth therein, a summary of risks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and certain information provided in the Issuer’s data room (provided that no risk factor disclosure or information set forth in such data room shall be deemed to qualify any representation or warranty of the Issuer contained herein). Subscriber represents and agrees that Subscriber and Subscriber’s professional advisor(s), if any, have had the full opportunity to ask such questions, receive such answers and obtain such information as Subscriber and such Subscriber’s professional advisor(s), if any, have deemed necessary to make an investment decision with respect to the Acquired Securities.</w:t>
      </w:r>
    </w:p>
    <w:p>
      <w:pPr>
        <w:spacing w:after="0" w:line="128"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i.            Subscriber became aware of this offering of the Acquired Securities solely by means of direct contact between Subscriber and the Issuer, the Placement Agent or a representative of the Issuer or the Placement Agent, and the Acquired Securities were offered to Subscriber solely by direct contact between Subscriber and the Issuer, the Placement Agent or a representative of the Issuer or the Placement Agent. Subscriber did not become aware of this offering of the Acquired Securities, nor were the Acquired Securities offered to Subscriber, by any other means. Subscriber acknowledges that the Issuer represents and warrants that the Acquired Securities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j.            Subscriber acknowledges that it is aware that there are substantial risks incident to the purchase and ownership of the Acquired Securities. Subscriber has such knowledge and experience in financial and business matters as to be capable of evaluating the merits and risks of an investment in the Acquired Securities, and Subscriber has sought such accounting, legal and tax advice as Subscriber has considered necessary to make an informed investment decision. Accordingly, Subscriber is aware that the Placement Agent is not making any recommendation to the Subscriber with respect to the offering of the Acquired Securities.</w:t>
      </w:r>
    </w:p>
    <w:p>
      <w:pPr>
        <w:spacing w:after="0" w:line="11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k.            Subscriber acknowledges and agrees that the Placement Agent, nor any affiliate of the Placement Agent or any officer, director, employee or representative of the Placement Agent or any affiliate thereof has provided Subscriber with any information or advice with respect to the Acquired Securities nor is such information or advice necessary or desired. Subscriber acknowledges that none of the Placement Agent, any of its affiliates or any of their respective officers, directors, employees or representatives (i) has made any representation as to the Issuer or the quality of the Acquired Securities, and the Placement Agent may have acquired non-public information with respect to the Issuer, which Subscriber agrees need not be provided to it, (ii) has made an independent investigation with respect to the Issuer or the Acquired Securities or the accuracy, completeness or adequacy of any information supplied to Subscriber by the Issuer, (iii) has acted as Subscriber’s financial advisor or fiduciary in connection with the issuance and purchase of the Acquired Securities or (iv) has prepared a disclosure or offering document in connection with the offer and sale of the Acquired Securities.</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l.            Subscriber represents and acknowledges that Subscriber, either alone or together with any professional advisor(s) has adequately analyzed and fully considered the risks of an investment in the Acquired Securities and determined that the Acquired Securities are a suitable investment for Subscriber and that Subscriber is able at this time and in the foreseeable future to bear the economic risk of a total loss of Subscriber’s investment in the Issuer. Subscriber acknowledges specifically that a possibility of total loss exists; provided, that neither this representation nor any other representation or warranty made by the Subscriber herein shall in any way limit the Subscriber’s right to rely upon the Issuer’s representations, warranties and covenants contained herein.</w:t>
      </w:r>
    </w:p>
    <w:p>
      <w:pPr>
        <w:spacing w:after="0" w:line="12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m.            Subscriber understands and agrees that no federal or state agency has passed upon or endorsed the merits of the offering of the Acquired Securities or made any findings or determination as to the fairness of an investment in the Acquired Securities.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5" w:name="page106"/>
    <w:bookmarkEnd w:id="105"/>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n.            The operations of the Subscriber have been conducted in material compliance with the rules and regulations administered or conducted by OFAC applicable to such Subscriber. Such Subscriber has performed due diligence necessary to reasonably determine that its beneficial owners are not named on the lists of denied parties or blocked persons administered by OFAC, resident in or organized under the laws of a country that is the subject of Sanctions, or otherwise the subject of Sanctions, except as permitted under Sanctions.</w:t>
      </w:r>
    </w:p>
    <w:p>
      <w:pPr>
        <w:spacing w:after="0" w:line="11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o.            Subscriber is not currently (and at all times through the Closing or earlier termination of this Agreement will refrain from being or becoming) a member of a “group” (within the meaning of Section 13(d)(3) or Section 14(d)(2) of the Exchange Act or any successor provision) acting for the purpose of acquiring, holding, voting or disposing of equity securities of the Issuer (within the meaning of Rule 13d-5(b)(1) under the Exchange Act), other than any “group” consisting solely of the Subscriber and one or more of its affiliates.</w:t>
      </w:r>
    </w:p>
    <w:p>
      <w:pPr>
        <w:spacing w:after="0" w:line="119"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p.            If Subscriber is or is acting on behalf of (i) an employee benefit plan that is subject to Title I of ERISA, (ii) a plan, an individual retirement account or other arrangement that is subject to section 4975 of the Code, (iii) an entity whose underlying assets are considered to include “plan assets” of any such plan, account or arrangement described in clauses (i) and (ii) (each, an “</w:t>
      </w:r>
      <w:r>
        <w:rPr>
          <w:rFonts w:ascii="Times New Roman" w:cs="Times New Roman" w:eastAsia="Times New Roman" w:hAnsi="Times New Roman"/>
          <w:sz w:val="12"/>
          <w:szCs w:val="12"/>
          <w:u w:val="single" w:color="auto"/>
          <w:color w:val="auto"/>
        </w:rPr>
        <w:t>ERISA Plan</w:t>
      </w:r>
      <w:r>
        <w:rPr>
          <w:rFonts w:ascii="Times New Roman" w:cs="Times New Roman" w:eastAsia="Times New Roman" w:hAnsi="Times New Roman"/>
          <w:sz w:val="12"/>
          <w:szCs w:val="12"/>
          <w:color w:val="auto"/>
        </w:rPr>
        <w:t>”), or (iv) an employee benefit plan that is a governmental plan (as defined in section 3(32) of ERISA), a church plan (as defined in section 3(33) of ERISA), a non-U.S. plan (as described in section 4(b)(4) of ERISA) or other plan that is not subject to the foregoing clauses (i),</w:t>
      </w:r>
    </w:p>
    <w:p>
      <w:pPr>
        <w:spacing w:after="0" w:line="1" w:lineRule="exact"/>
        <w:rPr>
          <w:sz w:val="20"/>
          <w:szCs w:val="20"/>
          <w:color w:val="auto"/>
        </w:rPr>
      </w:pPr>
    </w:p>
    <w:p>
      <w:pPr>
        <w:jc w:val="both"/>
        <w:ind w:left="8" w:hanging="8"/>
        <w:spacing w:after="0" w:line="253" w:lineRule="auto"/>
        <w:tabs>
          <w:tab w:leader="none" w:pos="195"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(iii) but may be subject to provisions under any other federal, state, local, non-U.S. or other laws or regulations that are similar to such provisions of ERISA or the Internal Revenue Code (collectively, “</w:t>
      </w:r>
      <w:r>
        <w:rPr>
          <w:rFonts w:ascii="Times New Roman" w:cs="Times New Roman" w:eastAsia="Times New Roman" w:hAnsi="Times New Roman"/>
          <w:sz w:val="12"/>
          <w:szCs w:val="12"/>
          <w:u w:val="single" w:color="auto"/>
          <w:color w:val="auto"/>
        </w:rPr>
        <w:t>Similar Laws</w:t>
      </w:r>
      <w:r>
        <w:rPr>
          <w:rFonts w:ascii="Times New Roman" w:cs="Times New Roman" w:eastAsia="Times New Roman" w:hAnsi="Times New Roman"/>
          <w:sz w:val="12"/>
          <w:szCs w:val="12"/>
          <w:color w:val="auto"/>
        </w:rPr>
        <w:t>,” and together with the ERISA Plans, the “</w:t>
      </w:r>
      <w:r>
        <w:rPr>
          <w:rFonts w:ascii="Times New Roman" w:cs="Times New Roman" w:eastAsia="Times New Roman" w:hAnsi="Times New Roman"/>
          <w:sz w:val="12"/>
          <w:szCs w:val="12"/>
          <w:u w:val="single" w:color="auto"/>
          <w:color w:val="auto"/>
        </w:rPr>
        <w:t>Plans</w:t>
      </w:r>
      <w:r>
        <w:rPr>
          <w:rFonts w:ascii="Times New Roman" w:cs="Times New Roman" w:eastAsia="Times New Roman" w:hAnsi="Times New Roman"/>
          <w:sz w:val="12"/>
          <w:szCs w:val="12"/>
          <w:color w:val="auto"/>
        </w:rPr>
        <w:t>”), Subscriber represents and warrants that (i) neither the Issuer nor any of its respective affiliates has provided investment advice or has otherwise acted as the Plan’s fiduciary, with respect to its decision to acquire and hold the Acquired Securities, and none of the Issuer or any of its respective affiliates is or shall at any time be the Plan’s fiduciary with respect to any decision to acquire and hold the Acquired Securities, and none of the Issuer or any of its respective affiliates is or shall at any time be the Plan’s fiduciary with respect to any decision in connection with Subscriber’s investment in the Acquired Securities and (ii) its purchase of the Acquired Securities will not result in a non-exempt prohibited transaction under section 406 of ERISA or section 4975 of the Code, or any applicable Similar Law.</w:t>
      </w:r>
    </w:p>
    <w:p>
      <w:pPr>
        <w:spacing w:after="0" w:line="12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 xml:space="preserve">q.            Subscriber has, and at the Closing, will have, sufficient funds to pay the Purchase Price pursuant to </w:t>
      </w:r>
      <w:r>
        <w:rPr>
          <w:rFonts w:ascii="Times New Roman" w:cs="Times New Roman" w:eastAsia="Times New Roman" w:hAnsi="Times New Roman"/>
          <w:sz w:val="12"/>
          <w:szCs w:val="12"/>
          <w:u w:val="single" w:color="auto"/>
          <w:color w:val="auto"/>
        </w:rPr>
        <w:t>Section 2.b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r.            If Subscriber is paying all or part of the Purchase Price in USDC or USDT (i) Subscriber has all rights, title and interest in and to the USDC or USDT, as applicable, to be contributed by it to the Issuer pursuant to this Agreement, (ii) such USDC or USDT, as applicable, is held in a digital wallet held or operated by or on behalf of the Subscriber at or by an appropriately regulated custodian and/or in accordance with industry-standard security practices (the “</w:t>
      </w:r>
      <w:r>
        <w:rPr>
          <w:rFonts w:ascii="Times New Roman" w:cs="Times New Roman" w:eastAsia="Times New Roman" w:hAnsi="Times New Roman"/>
          <w:sz w:val="12"/>
          <w:szCs w:val="12"/>
          <w:u w:val="single" w:color="auto"/>
          <w:color w:val="auto"/>
        </w:rPr>
        <w:t>Subscriber Digital Wallet</w:t>
      </w:r>
      <w:r>
        <w:rPr>
          <w:rFonts w:ascii="Times New Roman" w:cs="Times New Roman" w:eastAsia="Times New Roman" w:hAnsi="Times New Roman"/>
          <w:sz w:val="12"/>
          <w:szCs w:val="12"/>
          <w:color w:val="auto"/>
        </w:rPr>
        <w:t>”) and neither such USDC nor USDT, as applicable, nor such Subscriber Digital Wallet is subject to any liens, encumbrances or other restrictions, (iii) Subscriber has taken commercially reasonable steps to protect its Subscriber Digital Wallet and such USDC or USDT, as applicable, and (iv) Subscriber has the exclusive ability to control such Subscriber Digital Wallet, including by use of “private keys” or other equivalent means or through custody arrangements or other equivalent means.</w:t>
      </w:r>
    </w:p>
    <w:p>
      <w:pPr>
        <w:spacing w:after="0" w:line="125"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s.            Subscriber hereby represents that neither the Subscriber nor any person or entity acting on behalf of the Subscriber, or pursuant to any agreement or understanding with the Subscriber, has entered into any agreement or other arrangement that is or could reasonably be expected to be treated as (or pursuant to the terms of any such agreement or other arrangement could reasonably be expected to result in), or for U.S. federal income tax purposes, a sale or exchange or other disposition of the Acquired Securities after the Closing. The Subscriber hereby agrees that neither the Subscriber nor any person or entity acting on behalf of the Subscriber, or pursuant to any agreement or understanding with the Subscriber, will, prior to the Closing, enter into any agreement or other arrangement that will or could reasonably be expected to be treated as (or pursuant to the terms of any such agreement or other arrangement could reasonably be expected to result in), for U.S. federal income tax purposes, a sale or exchange or other disposition of the Acquired Securities after the Closing.</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06" w:name="page107"/>
    <w:bookmarkEnd w:id="106"/>
    <w:p>
      <w:pPr>
        <w:ind w:left="428"/>
        <w:spacing w:after="0"/>
        <w:rPr>
          <w:sz w:val="20"/>
          <w:szCs w:val="20"/>
          <w:color w:val="auto"/>
        </w:rPr>
      </w:pPr>
      <w:r>
        <w:rPr>
          <w:rFonts w:ascii="Times New Roman" w:cs="Times New Roman" w:eastAsia="Times New Roman" w:hAnsi="Times New Roman"/>
          <w:sz w:val="12"/>
          <w:szCs w:val="12"/>
          <w:color w:val="auto"/>
        </w:rPr>
        <w:t>5.          </w:t>
      </w:r>
      <w:r>
        <w:rPr>
          <w:rFonts w:ascii="Times New Roman" w:cs="Times New Roman" w:eastAsia="Times New Roman" w:hAnsi="Times New Roman"/>
          <w:sz w:val="12"/>
          <w:szCs w:val="12"/>
          <w:u w:val="single" w:color="auto"/>
          <w:color w:val="auto"/>
        </w:rPr>
        <w:t>  Registration Rights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a.            The Issuer agrees to use commercially reasonable efforts to submit to or file with the Commission, within thirty (30) calendar days after the consummation of the Transaction (the “</w:t>
      </w:r>
      <w:r>
        <w:rPr>
          <w:rFonts w:ascii="Times New Roman" w:cs="Times New Roman" w:eastAsia="Times New Roman" w:hAnsi="Times New Roman"/>
          <w:sz w:val="12"/>
          <w:szCs w:val="12"/>
          <w:u w:val="single" w:color="auto"/>
          <w:color w:val="auto"/>
        </w:rPr>
        <w:t>Filing Date</w:t>
      </w:r>
      <w:r>
        <w:rPr>
          <w:rFonts w:ascii="Times New Roman" w:cs="Times New Roman" w:eastAsia="Times New Roman" w:hAnsi="Times New Roman"/>
          <w:sz w:val="12"/>
          <w:szCs w:val="12"/>
          <w:color w:val="auto"/>
        </w:rPr>
        <w:t>”) (at the Issuer’s sole cost and expense), a registration statement on Form S-3 (or Form S-1 if Form S-3 is not available) (the “</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registering the resale of the Registrable Securities (as defined herein), which Registration Statement may include the shares of Common Stock being purchased by the Other Subscribers in the Other Subscriptions and the shares of Common Stock issued or issuable upon the exercise of the Pre-Funded Warrants and Stapled Warrants being purchased by the Other Subscribers in the Other Subscriptions, and the Issuer shall use its commercially reasonable efforts to have the Registration Statement declared effective under the Securities Act as soon as practicable after</w:t>
      </w:r>
    </w:p>
    <w:p>
      <w:pPr>
        <w:jc w:val="both"/>
        <w:ind w:left="8"/>
        <w:spacing w:after="0" w:line="245" w:lineRule="auto"/>
        <w:rPr>
          <w:sz w:val="20"/>
          <w:szCs w:val="20"/>
          <w:color w:val="auto"/>
        </w:rPr>
      </w:pPr>
      <w:r>
        <w:rPr>
          <w:rFonts w:ascii="Times New Roman" w:cs="Times New Roman" w:eastAsia="Times New Roman" w:hAnsi="Times New Roman"/>
          <w:sz w:val="12"/>
          <w:szCs w:val="12"/>
          <w:color w:val="auto"/>
        </w:rPr>
        <w:t>the filing thereof and upon the earlier of (i) the fifteenth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business day (or sixtieth (60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business day if the Commission notifies the Issuer that it will “review” the Registration Statement) following the filing date and (ii) the 5th business day after the date the Issuer is notified (orally or in writing, whichever is earlier) by the Commission that the Registration Statement will not be “reviewed” or will not be subject to further review (such earlier date, the “</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the Issuer’s obligations to include the Registrable Securities in the Registration Statement are contingent upon Subscriber furnishing in writing to the Issuer such information regarding Subscriber, the securities of the Issuer held by Subscriber and the intended method of disposition of the Registrable Securities as shall be reasonably requested by the Issuer to effect the registration of the Registrable Securities,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as permitted under </w:t>
      </w:r>
      <w:r>
        <w:rPr>
          <w:rFonts w:ascii="Times New Roman" w:cs="Times New Roman" w:eastAsia="Times New Roman" w:hAnsi="Times New Roman"/>
          <w:sz w:val="12"/>
          <w:szCs w:val="12"/>
          <w:u w:val="single" w:color="auto"/>
          <w:color w:val="auto"/>
        </w:rPr>
        <w:t>Section 5.c</w:t>
      </w:r>
      <w:r>
        <w:rPr>
          <w:rFonts w:ascii="Times New Roman" w:cs="Times New Roman" w:eastAsia="Times New Roman" w:hAnsi="Times New Roman"/>
          <w:sz w:val="12"/>
          <w:szCs w:val="12"/>
          <w:color w:val="auto"/>
        </w:rPr>
        <w:t xml:space="preserve"> of this Subscription Agreement. Notwithstanding the foregoing, if the Commission prevents the Issuer from including any or all of the shares proposed to be registered under the Registration Statement due to limitations on the use of Rule 415 of the Securities Act for the resale of the Registrable Securities by the applicable stockholders or otherwise, such Registration Statement shall register for resale such number of Registrable Securities which is equal to the maximum number of Registrable Securities as is permitted by the Commission. In such event, the number of Registrable Securities to be registered for each selling stockholder named in the Registration Statement shall be reduced pro rata among all such selling stockholders. In the event of any such reduction, the Issuer shall use its best efforts to promptly file additional registration statements (or amendments) as permitted by the Commission to register for resale any Registerable Securities not included due to such limitation, until all Registerable Securities are so registered. Upon notification by the Commission that the Registration Statement has been declared effective by the Commission, within two (2) business days thereafter, the Issuer shall file the final prospectus under Rule 424 of the Securities Act. The Issuer will provide a draft of the Registration Statement to Subscriber for review at least five (5) business days in advance of filing the Registration Statement;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for the avoidance of doubt, in no event shall the Issuer be required to delay or postpone the filing of such Registration Statement as a result of or in connection with Subscriber’s review. In no event shall Subscriber be identified as an underwriter in the Registration Statement unless required by the Commission;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if the Commission requests that Subscriber be identified as an underwriter in the Registration Statement, Subscriber will have an opportunity to withdraw from the Registration Statement (in which case the Issuer shall not identify the Subscriber as an underwriter therein). Subscriber shall not be entitled to use the Registration Statement for an underwritten offering of Registrable Securities. For purposes of clarification, any failure by the Issuer to file the Registration Statement by the Filing Date or to effect such Registration Statement by the Effective Date shall not otherwise relieve the Issuer of its obligations to file or effect the Registration Statement as set forth above in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Registrable Securities</w:t>
      </w:r>
      <w:r>
        <w:rPr>
          <w:rFonts w:ascii="Times New Roman" w:cs="Times New Roman" w:eastAsia="Times New Roman" w:hAnsi="Times New Roman"/>
          <w:sz w:val="12"/>
          <w:szCs w:val="12"/>
          <w:color w:val="auto"/>
        </w:rPr>
        <w:t>” means the Acquired Shares, the Stapled Warrants, the Warrant Shares issued or issuable upon the exercise of the Pre-Funded Warrants and/or Stapled Warrants, and any shares of Common Stock issued or issuable with respect to the Acquired Shares and the Warrant Shares as a result of any stock split or subdivision, stock dividend, recapitalization, exchange or similar event.</w:t>
      </w:r>
    </w:p>
    <w:p>
      <w:pPr>
        <w:spacing w:after="0" w:line="134"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b.            In the case of the registration effected by the Issuer pursuant to this Subscription Agreement, the Issuer shall, upon reasonable request, inform Subscriber as to the status of such registration. At its expense the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Issuer shall:</w:t>
      </w:r>
    </w:p>
    <w:p>
      <w:pPr>
        <w:spacing w:after="0" w:line="139" w:lineRule="exact"/>
        <w:rPr>
          <w:sz w:val="20"/>
          <w:szCs w:val="20"/>
          <w:color w:val="auto"/>
        </w:rPr>
      </w:pPr>
    </w:p>
    <w:p>
      <w:pPr>
        <w:jc w:val="both"/>
        <w:ind w:left="8" w:right="20" w:firstLine="1288"/>
        <w:spacing w:after="0" w:line="259" w:lineRule="auto"/>
        <w:tabs>
          <w:tab w:leader="none" w:pos="1455"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such times as the Issuer is permitted hereunder to suspend the use of the prospectus forming part of a Registration Statement, use its commercially reasonable efforts to keep such registration continuously effective with respect to Subscriber, and to keep the applicable Registration Statement or any subsequent shelf registration statement free of any material misstatements or omissions, until the earlier of the following:</w:t>
      </w:r>
    </w:p>
    <w:p>
      <w:pPr>
        <w:spacing w:after="0" w:line="1" w:lineRule="exact"/>
        <w:rPr>
          <w:rFonts w:ascii="Times New Roman" w:cs="Times New Roman" w:eastAsia="Times New Roman" w:hAnsi="Times New Roman"/>
          <w:sz w:val="12"/>
          <w:szCs w:val="12"/>
          <w:color w:val="auto"/>
        </w:rPr>
      </w:pPr>
    </w:p>
    <w:p>
      <w:pPr>
        <w:jc w:val="both"/>
        <w:ind w:left="8" w:hanging="8"/>
        <w:spacing w:after="0" w:line="253" w:lineRule="auto"/>
        <w:tabs>
          <w:tab w:leader="none" w:pos="213"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ceases to hold any Registrable Securities, (B) the date all Registrable Securities held by Subscriber may be sold without restriction under Rule 144 of the Securities Act, including without limitation, any volume and manner of sale restrictions which may be applicable to affiliates under Rule 144 and without the requirement for the Issuer to be in compliance with the current public information required under Rule 144(c)(1) or Rule 144(i)(2), as applicable, and (C) three (3) years from the Effective Date of the Registration Statement. The period of time during which the Issuer is required hereunder to keep a Registration Statement effective is referred to herein as the “</w:t>
      </w:r>
      <w:r>
        <w:rPr>
          <w:rFonts w:ascii="Times New Roman" w:cs="Times New Roman" w:eastAsia="Times New Roman" w:hAnsi="Times New Roman"/>
          <w:sz w:val="12"/>
          <w:szCs w:val="12"/>
          <w:u w:val="single" w:color="auto"/>
          <w:color w:val="auto"/>
        </w:rPr>
        <w:t>Registration Period</w:t>
      </w:r>
      <w:r>
        <w:rPr>
          <w:rFonts w:ascii="Times New Roman" w:cs="Times New Roman" w:eastAsia="Times New Roman" w:hAnsi="Times New Roman"/>
          <w:sz w:val="12"/>
          <w:szCs w:val="12"/>
          <w:color w:val="auto"/>
        </w:rPr>
        <w:t>”;</w:t>
      </w:r>
    </w:p>
    <w:p>
      <w:pPr>
        <w:spacing w:after="0" w:line="271" w:lineRule="exact"/>
        <w:rPr>
          <w:rFonts w:ascii="Times New Roman" w:cs="Times New Roman" w:eastAsia="Times New Roman" w:hAnsi="Times New Roman"/>
          <w:sz w:val="12"/>
          <w:szCs w:val="12"/>
          <w:color w:val="auto"/>
        </w:rPr>
      </w:pPr>
    </w:p>
    <w:p>
      <w:pPr>
        <w:ind w:left="5588" w:hanging="61"/>
        <w:spacing w:after="0"/>
        <w:tabs>
          <w:tab w:leader="none" w:pos="5588" w:val="left"/>
        </w:tabs>
        <w:numPr>
          <w:ilvl w:val="2"/>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07" w:name="page108"/>
    <w:bookmarkEnd w:id="107"/>
    <w:p>
      <w:pPr>
        <w:ind w:left="1460" w:hanging="172"/>
        <w:spacing w:after="0"/>
        <w:tabs>
          <w:tab w:leader="none" w:pos="146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Registration Period, advise Subscriber promptly:</w:t>
      </w:r>
    </w:p>
    <w:p>
      <w:pPr>
        <w:spacing w:after="0" w:line="150" w:lineRule="exact"/>
        <w:rPr>
          <w:rFonts w:ascii="Times New Roman" w:cs="Times New Roman" w:eastAsia="Times New Roman" w:hAnsi="Times New Roman"/>
          <w:sz w:val="12"/>
          <w:szCs w:val="12"/>
          <w:color w:val="auto"/>
        </w:rPr>
      </w:pPr>
    </w:p>
    <w:p>
      <w:pPr>
        <w:ind w:left="1900" w:hanging="180"/>
        <w:spacing w:after="0"/>
        <w:tabs>
          <w:tab w:leader="none" w:pos="1900"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a Registration Statement or any amendment thereto has been filed with the Commission and when such Registration Statement or any post-effective amendment thereto has become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effective;</w:t>
      </w:r>
    </w:p>
    <w:p>
      <w:pPr>
        <w:spacing w:after="0" w:line="139" w:lineRule="exact"/>
        <w:rPr>
          <w:sz w:val="20"/>
          <w:szCs w:val="20"/>
          <w:color w:val="auto"/>
        </w:rPr>
      </w:pPr>
    </w:p>
    <w:p>
      <w:pPr>
        <w:ind w:left="1880" w:hanging="160"/>
        <w:spacing w:after="0"/>
        <w:tabs>
          <w:tab w:leader="none" w:pos="188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any request by the Commission for amendments or supplements to any Registration Statement or the prospectus included therein or for additional information;</w:t>
      </w:r>
    </w:p>
    <w:p>
      <w:pPr>
        <w:spacing w:after="0" w:line="150" w:lineRule="exact"/>
        <w:rPr>
          <w:rFonts w:ascii="Times New Roman" w:cs="Times New Roman" w:eastAsia="Times New Roman" w:hAnsi="Times New Roman"/>
          <w:sz w:val="12"/>
          <w:szCs w:val="12"/>
          <w:color w:val="auto"/>
        </w:rPr>
      </w:pPr>
    </w:p>
    <w:p>
      <w:pPr>
        <w:ind w:left="1900" w:hanging="180"/>
        <w:spacing w:after="0"/>
        <w:tabs>
          <w:tab w:leader="none" w:pos="190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it shall receive notice or obtain knowledge thereof, of the issuance by the Commission of any stop order suspending the effectiveness of any Registration Statement or the initiation of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proceedings for such purpose;</w:t>
      </w:r>
    </w:p>
    <w:p>
      <w:pPr>
        <w:spacing w:after="0" w:line="139" w:lineRule="exact"/>
        <w:rPr>
          <w:sz w:val="20"/>
          <w:szCs w:val="20"/>
          <w:color w:val="auto"/>
        </w:rPr>
      </w:pPr>
    </w:p>
    <w:p>
      <w:pPr>
        <w:ind w:right="20" w:firstLine="1720"/>
        <w:spacing w:after="0" w:line="279" w:lineRule="auto"/>
        <w:tabs>
          <w:tab w:leader="none" w:pos="1911"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receipt by the Issuer of any notification with respect to the suspension of the qualification of the Registrable Securities included therein for sale in any jurisdiction or the initiation or threatening of any proceeding for such purpose; and</w:t>
      </w:r>
    </w:p>
    <w:p>
      <w:pPr>
        <w:spacing w:after="0" w:line="111" w:lineRule="exact"/>
        <w:rPr>
          <w:rFonts w:ascii="Times New Roman" w:cs="Times New Roman" w:eastAsia="Times New Roman" w:hAnsi="Times New Roman"/>
          <w:sz w:val="12"/>
          <w:szCs w:val="12"/>
          <w:color w:val="auto"/>
        </w:rPr>
      </w:pPr>
    </w:p>
    <w:p>
      <w:pPr>
        <w:jc w:val="both"/>
        <w:ind w:firstLine="1720"/>
        <w:spacing w:after="0" w:line="265" w:lineRule="auto"/>
        <w:tabs>
          <w:tab w:leader="none" w:pos="1902"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accordance with </w:t>
      </w:r>
      <w:r>
        <w:rPr>
          <w:rFonts w:ascii="Times New Roman" w:cs="Times New Roman" w:eastAsia="Times New Roman" w:hAnsi="Times New Roman"/>
          <w:sz w:val="12"/>
          <w:szCs w:val="12"/>
          <w:u w:val="single" w:color="auto"/>
          <w:color w:val="auto"/>
        </w:rPr>
        <w:t>Section 5.c</w:t>
      </w:r>
      <w:r>
        <w:rPr>
          <w:rFonts w:ascii="Times New Roman" w:cs="Times New Roman" w:eastAsia="Times New Roman" w:hAnsi="Times New Roman"/>
          <w:sz w:val="12"/>
          <w:szCs w:val="12"/>
          <w:color w:val="auto"/>
        </w:rPr>
        <w:t xml:space="preserve"> of this Subscription Agreement, of the occurrence of any event that requires the making of any changes in any Registration Statement or prospectus so that, as of such date, any Registration Statement does not contain an untrue statement of a material fact or does not omit to state a material fact required to be stated therein or necessary to make the statements therein not misleading, or any prospectus does not include an untrue statement of a material fact or does not omit to state a material fact necessary in order to make the statements therein, in the light of the circumstances under which they were made, not misleading.</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Notwithstanding anything to the contrary set forth herein, the Issuer shall not, when so advising Subscriber of such events, provide Subscriber with any material, nonpublic information regarding the Issuer, any of its affiliates or any other Person, unless the Issuer has notified Subscriber of the existence of such an event (without providing material, nonpublic information about the specific nature of such event) and obtained the written consent of the Subscriber to receive such information;</w:t>
      </w:r>
    </w:p>
    <w:p>
      <w:pPr>
        <w:spacing w:after="0" w:line="119" w:lineRule="exact"/>
        <w:rPr>
          <w:sz w:val="20"/>
          <w:szCs w:val="20"/>
          <w:color w:val="auto"/>
        </w:rPr>
      </w:pPr>
    </w:p>
    <w:p>
      <w:pPr>
        <w:ind w:left="1500" w:hanging="212"/>
        <w:spacing w:after="0"/>
        <w:tabs>
          <w:tab w:leader="none" w:pos="150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Registration Period, use its commercially reasonable efforts to obtain the withdrawal of any order suspending the effectiveness of any Registration Statement as soon as reasonably practicable;</w:t>
      </w:r>
    </w:p>
    <w:p>
      <w:pPr>
        <w:spacing w:after="0" w:line="150" w:lineRule="exact"/>
        <w:rPr>
          <w:rFonts w:ascii="Times New Roman" w:cs="Times New Roman" w:eastAsia="Times New Roman" w:hAnsi="Times New Roman"/>
          <w:sz w:val="12"/>
          <w:szCs w:val="12"/>
          <w:color w:val="auto"/>
        </w:rPr>
      </w:pPr>
    </w:p>
    <w:p>
      <w:pPr>
        <w:jc w:val="both"/>
        <w:ind w:firstLine="1288"/>
        <w:spacing w:after="0" w:line="260" w:lineRule="auto"/>
        <w:tabs>
          <w:tab w:leader="none" w:pos="1507"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Registration Period, upon the occurrence of any event contemplated above, except for such times as the Issuer is permitted hereunder to suspend, and has suspended, the use of a prospectus forming part of a Registration Statement,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in order to make the statements therein, in the light of the circumstances under which they were made, not misleading;</w:t>
      </w:r>
    </w:p>
    <w:p>
      <w:pPr>
        <w:spacing w:after="0" w:line="122" w:lineRule="exact"/>
        <w:rPr>
          <w:rFonts w:ascii="Times New Roman" w:cs="Times New Roman" w:eastAsia="Times New Roman" w:hAnsi="Times New Roman"/>
          <w:sz w:val="12"/>
          <w:szCs w:val="12"/>
          <w:color w:val="auto"/>
        </w:rPr>
      </w:pPr>
    </w:p>
    <w:p>
      <w:pPr>
        <w:jc w:val="both"/>
        <w:ind w:firstLine="1288"/>
        <w:spacing w:after="0" w:line="265" w:lineRule="auto"/>
        <w:tabs>
          <w:tab w:leader="none" w:pos="1472"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Registration Period, use its commercially reasonable efforts (y) to remain listed on each Exchange and to cause all Registrable Securities to be listed on each securities exchange or market, if any, on which the Common Stock issued by the Issuer have been listed and (z) to timely comply in all material respects with the Issuer’s reporting, filing and other obligations under the rules and regulations of the Commission and each Exchange;</w:t>
      </w:r>
    </w:p>
    <w:p>
      <w:pPr>
        <w:spacing w:after="0" w:line="118" w:lineRule="exact"/>
        <w:rPr>
          <w:rFonts w:ascii="Times New Roman" w:cs="Times New Roman" w:eastAsia="Times New Roman" w:hAnsi="Times New Roman"/>
          <w:sz w:val="12"/>
          <w:szCs w:val="12"/>
          <w:color w:val="auto"/>
        </w:rPr>
      </w:pPr>
    </w:p>
    <w:p>
      <w:pPr>
        <w:ind w:firstLine="1288"/>
        <w:spacing w:after="0" w:line="279" w:lineRule="auto"/>
        <w:tabs>
          <w:tab w:leader="none" w:pos="1511"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Registration Period, use its commercially reasonable efforts to take all other steps necessary to effect the registration of the Registrable Securities contemplated hereby and, for so long as Subscriber holds Registrable Securities, to enable Subscriber to sell the Registrable Securities under Rule 144; and</w:t>
      </w:r>
    </w:p>
    <w:p>
      <w:pPr>
        <w:spacing w:after="0" w:line="255" w:lineRule="exact"/>
        <w:rPr>
          <w:rFonts w:ascii="Times New Roman" w:cs="Times New Roman" w:eastAsia="Times New Roman" w:hAnsi="Times New Roman"/>
          <w:sz w:val="12"/>
          <w:szCs w:val="12"/>
          <w:color w:val="auto"/>
        </w:rPr>
      </w:pPr>
    </w:p>
    <w:p>
      <w:pPr>
        <w:ind w:left="5580" w:hanging="61"/>
        <w:spacing w:after="0"/>
        <w:tabs>
          <w:tab w:leader="none" w:pos="5580"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8" w:name="page109"/>
    <w:bookmarkEnd w:id="108"/>
    <w:p>
      <w:pPr>
        <w:jc w:val="both"/>
        <w:ind w:firstLine="1288"/>
        <w:spacing w:after="0" w:line="254" w:lineRule="auto"/>
        <w:tabs>
          <w:tab w:leader="none" w:pos="1541"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receipt from Subscriber by the Issuer or its transfer agent of customary representations and other customary documentation reasonably acceptable to the Issuer and the transfer agent in connection therewith, Subscriber may request that the Issuer remove, and the Issuer shall cause to be removed, any legend from the book entry position(s) or certificate(s) evidencing its Registrable Securities at any time that such Registrable Securities (A) are subject to or have been or are about to be sold or transferred pursuant to, an effective registration statement (including a registration statement filed under this Agreement); (B) have been or are about to be sold pursuant to Rule 144; or (C) may be sold pursuant to Rule 144 without restriction on the volume or manner of sale and without the requirement for the Issuer to be in compliance with the current public information requirement under Rule 144 (or any similar provision then in force under the Securities Act). If required by the Issuer’s transfer agent, the Issuer shall cause its counsel to deliver to such transfer agent an opinion of counsel to the effect that the removal of restrictive legends in such circumstances may be effected under the Securities Act. If restrictive legends are no longer required for such Registrable Securities pursuant to the foregoing, the Issuer shall, in accordance with the provisions of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and within two (2) business days of any request therefor from Subscriber accompanied by such customary and reasonably acceptable representations and other documentation referred to above establishing that restrictive legends are no longer required, deliver to the transfer agent irrevocable instructions that the transfer agent shall make a new, unlegended entry for such book entry Registrable Securities. The Issuer shall be responsible for the fees of its transfer agent and all Depository Trust Company fees associated with such issuance.</w:t>
      </w:r>
    </w:p>
    <w:p>
      <w:pPr>
        <w:spacing w:after="0" w:line="125" w:lineRule="exact"/>
        <w:rPr>
          <w:rFonts w:ascii="Times New Roman" w:cs="Times New Roman" w:eastAsia="Times New Roman" w:hAnsi="Times New Roman"/>
          <w:sz w:val="12"/>
          <w:szCs w:val="12"/>
          <w:color w:val="auto"/>
        </w:rPr>
      </w:pPr>
    </w:p>
    <w:p>
      <w:pPr>
        <w:ind w:left="1560" w:hanging="272"/>
        <w:spacing w:after="0"/>
        <w:tabs>
          <w:tab w:leader="none" w:pos="156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 shall reasonably cooperate with any broker-dealer through which a Subscriber proposes to resell Registrable Securities, including making any required filings with FINRA and applicable state</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authorities.</w:t>
      </w:r>
    </w:p>
    <w:p>
      <w:pPr>
        <w:spacing w:after="0" w:line="139"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c.            Notwithstanding anything to the contrary in this Subscription Agreement, the Issuer shall be entitled to delay or postpone the filing or effectiveness of the Registration Statement, and, from time to time, to require Subscriber not to sell under the Registration Statement or to suspend the effectiveness or use thereof, if it determines that the negotiation or consummation of a transaction by the Issuer is pending or an event has occurred, which negotiation, consummation or event that the Board of Directors reasonably believes, upon the advice of outside legal counsel, would require additional disclosure by the Issuer in the Registration Statement of material information that the Issuer has a bona fide business purpose for keeping confidential and the non-disclosure of which in the Registration Statement would be expected, in the reasonable determination of the Issuer, upon the advice of outside legal counsel, to cause the Registration Statement to fail to comply with applicable disclosure requirements or is otherwise necessary for the Registration Statement to not contain a material misstatement or omission (each such circumstance, a “</w:t>
      </w:r>
      <w:r>
        <w:rPr>
          <w:rFonts w:ascii="Times New Roman" w:cs="Times New Roman" w:eastAsia="Times New Roman" w:hAnsi="Times New Roman"/>
          <w:sz w:val="12"/>
          <w:szCs w:val="12"/>
          <w:u w:val="single" w:color="auto"/>
          <w:color w:val="auto"/>
        </w:rPr>
        <w:t>Suspension Event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the Issuer may not delay or suspend the effectiveness or use of the Registration Statement on more than two (2) occasions or for more than sixty (60) calendar days, or for more than ninety (90) total calendar days, in each case during any twelve-month period. Upon receipt of any written notice from the Issuer of the happening of any Suspension Event (which notice shall not contain material, nonpublic information) during the period that the Registration Statement is effective or if as a result of a Suspension Event the Registration Statement contains any untrue statement of a material fact or omits to state any material fact required to be stated therein or necessary to make the statements therein not misleading, or any related prospectus includes any untrue statement of a material fact or omits to state any material fact necessary in order to make the statements therein, in the light of the circumstances under which they were made, not misleading, Subscriber agrees that (i) it will promptly discontinue offers and sales of the Registrable Securities under the Registration Statement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unless otherwise required by law or subpoena. If so directed by the Issuer, Subscriber will deliver to the Issuer or, in Subscriber’s sole discretion destroy, all copies of the prospectus covering the Registrable Securities in Subscriber’s possession;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this obligation to deliver or destroy all copies of the prospectus covering the Registrable Securities shall not apply (A) to the extent Subscriber is required to retain a copy of such prospectus (x) in order to comply with applicable legal, regulatory, self-regulatory or professional requirements or (y) in accordance with a bona fide pre-existing document retention policy or (B) to copies stored electronically on archival servers as a result of automatic data back-up.</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9" w:name="page110"/>
    <w:bookmarkEnd w:id="109"/>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d.            Subscriber may deliver written notice (including via email in accordance with </w:t>
      </w:r>
      <w:r>
        <w:rPr>
          <w:rFonts w:ascii="Times New Roman" w:cs="Times New Roman" w:eastAsia="Times New Roman" w:hAnsi="Times New Roman"/>
          <w:sz w:val="12"/>
          <w:szCs w:val="12"/>
          <w:u w:val="single" w:color="auto"/>
          <w:color w:val="auto"/>
        </w:rPr>
        <w:t>Section 8.k</w:t>
      </w:r>
      <w:r>
        <w:rPr>
          <w:rFonts w:ascii="Times New Roman" w:cs="Times New Roman" w:eastAsia="Times New Roman" w:hAnsi="Times New Roman"/>
          <w:sz w:val="12"/>
          <w:szCs w:val="12"/>
          <w:color w:val="auto"/>
        </w:rPr>
        <w:t>) (an “</w:t>
      </w:r>
      <w:r>
        <w:rPr>
          <w:rFonts w:ascii="Times New Roman" w:cs="Times New Roman" w:eastAsia="Times New Roman" w:hAnsi="Times New Roman"/>
          <w:sz w:val="12"/>
          <w:szCs w:val="12"/>
          <w:u w:val="single" w:color="auto"/>
          <w:color w:val="auto"/>
        </w:rPr>
        <w:t>Opt-Out Notice</w:t>
      </w:r>
      <w:r>
        <w:rPr>
          <w:rFonts w:ascii="Times New Roman" w:cs="Times New Roman" w:eastAsia="Times New Roman" w:hAnsi="Times New Roman"/>
          <w:sz w:val="12"/>
          <w:szCs w:val="12"/>
          <w:color w:val="auto"/>
        </w:rPr>
        <w:t xml:space="preserve">”) to the Issuer requesting that Subscriber not receive notices from the Issuer otherwise required by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Subscriber may later revoke any such Opt-Out Notice in writing. Following receipt of an Opt-Out Notice from Subscriber (unless subsequently revoked), (i) the Issuer shall not deliver any such notices to Subscriber and Subscriber shall no longer be entitled to the rights associated with any such notice and (ii) each time prior to Subscriber’s intended use of an effective Registration Statement, Subscriber will notify the Issuer in writing at least two (2) business days in advance of such intended use, and if a notice of a Suspension Event was previously delivered (or would have been delivered but for the provisions of this </w:t>
      </w:r>
      <w:r>
        <w:rPr>
          <w:rFonts w:ascii="Times New Roman" w:cs="Times New Roman" w:eastAsia="Times New Roman" w:hAnsi="Times New Roman"/>
          <w:sz w:val="12"/>
          <w:szCs w:val="12"/>
          <w:u w:val="single" w:color="auto"/>
          <w:color w:val="auto"/>
        </w:rPr>
        <w:t>Section 5.d</w:t>
      </w:r>
      <w:r>
        <w:rPr>
          <w:rFonts w:ascii="Times New Roman" w:cs="Times New Roman" w:eastAsia="Times New Roman" w:hAnsi="Times New Roman"/>
          <w:sz w:val="12"/>
          <w:szCs w:val="12"/>
          <w:color w:val="auto"/>
        </w:rPr>
        <w:t>) and the related suspension period remains in effect, the Issuer will so notify Subscriber, within one (1) business day of Subscriber’s notification to the Issuer, by delivering to Subscriber a copy of such previous notice of Suspension Event, and thereafter will provide Subscriber with the related notice of the conclusion of such Suspension Event immediately upon its availability.</w:t>
      </w:r>
    </w:p>
    <w:p>
      <w:pPr>
        <w:spacing w:after="0" w:line="125"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 xml:space="preserve">e.            The Issuer shall, notwithstanding any termination of this Subscription Agreement in accordance with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indemnify, defend and hold harmless Subscriber (to the extent a seller under the Registration Statement), its directors, officers, agents, broker-dealers, and employees and each person who controls Subscriber (within the meaning of Section 15 of the Securities Act or Section 20 of the Exchange Act) to the fullest extent permitted by applicable law, from and against any and all out-of-pocket losses, claims, damages, liabilities and reasonable and documented costs (including, without limitation, reasonable and documented costs of preparation and investigation and reasonable documented attorneys’ fees of one legal counsel (and one local counsel)) and all other reasonable and documented expenses (collectively, “</w:t>
      </w:r>
      <w:r>
        <w:rPr>
          <w:rFonts w:ascii="Times New Roman" w:cs="Times New Roman" w:eastAsia="Times New Roman" w:hAnsi="Times New Roman"/>
          <w:sz w:val="12"/>
          <w:szCs w:val="12"/>
          <w:u w:val="single" w:color="auto"/>
          <w:color w:val="auto"/>
        </w:rPr>
        <w:t>Losses</w:t>
      </w:r>
      <w:r>
        <w:rPr>
          <w:rFonts w:ascii="Times New Roman" w:cs="Times New Roman" w:eastAsia="Times New Roman" w:hAnsi="Times New Roman"/>
          <w:sz w:val="12"/>
          <w:szCs w:val="12"/>
          <w:color w:val="auto"/>
        </w:rPr>
        <w:t xml:space="preserve">”), as incurred, that arise out of or are based upon (i) any untrue statement of a material fact contained in the Registration Statement or in any amendment or supplement thereto, or arising out of or relating to any omission to state a material fact required to be stated therein or necessary to make the statements therein not misleading; (ii) any untrue statement of a material fact included in any prospectus included (or incorporated by reference) in the Registration Statement, or any form of prospectus, or in any amendment or supplement thereto or in any preliminary prospectus, or arising out of or relating to any omission to state a material fact necessary in order to make the statements therein, in the light of the circumstances under which they were made, not misleading, in either of the foregoing cases, to the extent, but only to the extent, that such untrue statement or omissions are based upon information regarding Subscriber furnished in writing to the Issuer by Subscriber expressly for use therein or Subscriber has omitted a material fact from such information or otherwise violated the Securities Act, Exchange Act or any state securities law or any rule or regulation thereunder; or (iii) any material breach of any representation, warranty, or covenant in this Agreement;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the indemnification contained in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shall not apply to amounts paid in settlement of any Losses if such settlement is effected without the consent of the Issuer (which consent shall not be unreasonably withheld, conditioned or delayed), nor shall the Issuer be liable for any Losses to the extent they arise out of or are based upon a violation which occurs (A) in reliance upon and in conformity with written information furnished by Subscriber expressly for inclusion in the Registration Statement, or (B) in connection with any offers or sales effected by or on behalf of Subscriber in violation of </w:t>
      </w:r>
      <w:r>
        <w:rPr>
          <w:rFonts w:ascii="Times New Roman" w:cs="Times New Roman" w:eastAsia="Times New Roman" w:hAnsi="Times New Roman"/>
          <w:sz w:val="12"/>
          <w:szCs w:val="12"/>
          <w:u w:val="single" w:color="auto"/>
          <w:color w:val="auto"/>
        </w:rPr>
        <w:t>Section 5.c</w:t>
      </w:r>
      <w:r>
        <w:rPr>
          <w:rFonts w:ascii="Times New Roman" w:cs="Times New Roman" w:eastAsia="Times New Roman" w:hAnsi="Times New Roman"/>
          <w:sz w:val="12"/>
          <w:szCs w:val="12"/>
          <w:color w:val="auto"/>
        </w:rPr>
        <w:t xml:space="preserve"> hereof. The Issuer shall notify Subscriber reasonably promptly of the institution, threat or assertion of any proceeding arising from or in connection with the transactions contemplated by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of which the Issuer is aware. The Issuer shall not, without the prior written consent of Subscriber, effect any settlement of any pending proceeding in respect of which Subscriber or any other person entitled to indemnification hereunder is a party, unless such settlement includes an unconditional release of Subscriber or such other person, as applicable, from all liability on claims that are the subject matter of such proceeding. Such indemnity shall remain in full force and effect regardless of any investigation made by or on behalf of an indemnified party and shall survive the transfer of the Registrable Securities by Subscriber. The indemnification obligations of the Issuer shall remain in full force and effect regardless of any termination of this Subscription Agreement and shall survive the transfer of Registerable Securities by Subscriber.</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0" w:name="page111"/>
    <w:bookmarkEnd w:id="110"/>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f.            Subscriber shall, severally and not jointly, indemnify and hold harmless the Issuer, its directors, officers, agents and employees, and each person who controls the Issuer (within the meaning of Section 15 of the Securities Act and Section 20 of the Exchange Act), to the fullest extent permitted by applicable law, from and against all Losses, as incurred, that arise out of or are based upon (i) any untrue statement of a material fact contained in any Registration Statement or in any amendment or supplement thereto or arising out of or relating to any omission of a material fact required to be stated therein or necessary to make the statements therein not misleading or (ii) any untrue statement of a material fact included in any prospectus included in the Registration Statement, or any form of prospectus, or in any amendment or supplement thereto or in any preliminary prospectus, or arising out of or relating to any omission of a material fact necessary in order to make the statements therein, in the light of the circumstances under which they were made, not misleading, to the extent, but only to the extent, that such untrue statement or omissions are based upon information regarding Subscriber furnished in writing to the Issuer by Subscriber expressly for use therein or a material fact that Subscriber has omitted from such information;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the indemnification contained in this </w:t>
      </w:r>
      <w:r>
        <w:rPr>
          <w:rFonts w:ascii="Times New Roman" w:cs="Times New Roman" w:eastAsia="Times New Roman" w:hAnsi="Times New Roman"/>
          <w:sz w:val="12"/>
          <w:szCs w:val="12"/>
          <w:u w:val="single" w:color="auto"/>
          <w:color w:val="auto"/>
        </w:rPr>
        <w:t>Section 5.f</w:t>
      </w:r>
      <w:r>
        <w:rPr>
          <w:rFonts w:ascii="Times New Roman" w:cs="Times New Roman" w:eastAsia="Times New Roman" w:hAnsi="Times New Roman"/>
          <w:sz w:val="12"/>
          <w:szCs w:val="12"/>
          <w:color w:val="auto"/>
        </w:rPr>
        <w:t xml:space="preserve"> shall not apply to amounts paid in settlement of any Losses if such settlement is effected without the consent of Subscriber (which consent shall not be unreasonably withheld, conditioned or delayed). In no event shall the liability of Subscriber be greater in amount than the dollar amount of the net proceeds received by Subscriber upon the sale of the Registrable Securities giving rise to such indemnification obligation. Subscriber shall notify the Issuer promptly of the institution, threat or assertion of any proceeding arising from or in connection with the transactions contemplated by this </w:t>
      </w:r>
      <w:r>
        <w:rPr>
          <w:rFonts w:ascii="Times New Roman" w:cs="Times New Roman" w:eastAsia="Times New Roman" w:hAnsi="Times New Roman"/>
          <w:sz w:val="12"/>
          <w:szCs w:val="12"/>
          <w:u w:val="single" w:color="auto"/>
          <w:color w:val="auto"/>
        </w:rPr>
        <w:t>Section 5.f</w:t>
      </w:r>
      <w:r>
        <w:rPr>
          <w:rFonts w:ascii="Times New Roman" w:cs="Times New Roman" w:eastAsia="Times New Roman" w:hAnsi="Times New Roman"/>
          <w:sz w:val="12"/>
          <w:szCs w:val="12"/>
          <w:color w:val="auto"/>
        </w:rPr>
        <w:t xml:space="preserve"> of which Subscriber is aware. Such indemnity shall remain in full force and effect regardless of any investigation made by or on behalf of an indemnified party and shall survive the transfer of the Acquired Securities by Subscriber.</w:t>
      </w:r>
    </w:p>
    <w:p>
      <w:pPr>
        <w:spacing w:after="0" w:line="129"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g.            If the indemnification provided under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from the indemnifying party is unavailable or insufficient to hold harmless an indemnified party in respect of any Losses,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statement of a material fact or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12"/>
          <w:szCs w:val="12"/>
          <w:u w:val="single" w:color="auto"/>
          <w:color w:val="auto"/>
        </w:rPr>
        <w:t>Section 5.g</w:t>
      </w:r>
      <w:r>
        <w:rPr>
          <w:rFonts w:ascii="Times New Roman" w:cs="Times New Roman" w:eastAsia="Times New Roman" w:hAnsi="Times New Roman"/>
          <w:sz w:val="12"/>
          <w:szCs w:val="12"/>
          <w:color w:val="auto"/>
        </w:rPr>
        <w:t xml:space="preserve"> from any person who was not guilty of such fraudulent misrepresentation. Each indemnifying party’s obligation to make a contribution pursuant to this </w:t>
      </w:r>
      <w:r>
        <w:rPr>
          <w:rFonts w:ascii="Times New Roman" w:cs="Times New Roman" w:eastAsia="Times New Roman" w:hAnsi="Times New Roman"/>
          <w:sz w:val="12"/>
          <w:szCs w:val="12"/>
          <w:u w:val="single" w:color="auto"/>
          <w:color w:val="auto"/>
        </w:rPr>
        <w:t>Section 5.g</w:t>
      </w:r>
      <w:r>
        <w:rPr>
          <w:rFonts w:ascii="Times New Roman" w:cs="Times New Roman" w:eastAsia="Times New Roman" w:hAnsi="Times New Roman"/>
          <w:sz w:val="12"/>
          <w:szCs w:val="12"/>
          <w:color w:val="auto"/>
        </w:rPr>
        <w:t xml:space="preserve"> shall be several, not joint. In no event shall the liability of the Subscriber under any indemnification or contribution obligation hereunder be greater in amount than the dollar amount of the net proceeds received by the Subscriber upon the sale of the Acquired Securities purchased pursuant to this Subscription Agreement giving rise to such obligation. The Issuer acknowledges and agrees that monetary damages would not be adequate compensation for a breach of its obligations hereunder, and Subscriber shall be entitled to specific performance. All obligations of the Issuer under this Section shall survive any termination of this Agreement and the transfer of Registerable Securities.</w:t>
      </w:r>
    </w:p>
    <w:p>
      <w:pPr>
        <w:spacing w:after="0" w:line="273"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h.            Except as expressly set forth in the Transaction Documents to the contrary, the Issuer shall not enter into any agreement granting registration rights that are more favorable in any respect to another holder of its securities without offering such more favorable terms to Subscriber on a pari passu basis.</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6.          </w:t>
      </w:r>
      <w:r>
        <w:rPr>
          <w:rFonts w:ascii="Times New Roman" w:cs="Times New Roman" w:eastAsia="Times New Roman" w:hAnsi="Times New Roman"/>
          <w:sz w:val="12"/>
          <w:szCs w:val="12"/>
          <w:u w:val="single" w:color="auto"/>
          <w:color w:val="auto"/>
        </w:rPr>
        <w:t>  Termination</w:t>
      </w:r>
      <w:r>
        <w:rPr>
          <w:rFonts w:ascii="Times New Roman" w:cs="Times New Roman" w:eastAsia="Times New Roman" w:hAnsi="Times New Roman"/>
          <w:sz w:val="12"/>
          <w:szCs w:val="12"/>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earliest to occur of (a) upon the mutual written agreement of each of the parties hereto to terminate this Subscription Agreement, (b) if any of the conditions to the Closing set forth in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of this Subscription Agreement are not satisfied at, or are not capable of being satisfied on or prior to the Closing and, as a result thereof, the transactions contemplated by this Subscription Agreement will not be or are not consummated at the Closing, or (c) at the election of Subscriber, on or after September 24, 2025;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nothing herein will relieve any party from liability for any willful breach hereof prior to the time of termination, and each party will be entitled to any remedies at law or in equity to recover losses, liabilities or damages arising from any such willful breach. In the event that this Subscription Agreement is terminated for any reason, the Issuer shall within one (1) business day following such termination, return to Subscriber (by wire transfer of U.S. dollars in immediately available funds to the account specified by such Subscriber) all funds deposited in escrow by Subscriber in connection with the Transaction.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1" w:name="page112"/>
    <w:bookmarkEnd w:id="111"/>
    <w:p>
      <w:pPr>
        <w:ind w:left="420"/>
        <w:spacing w:after="0"/>
        <w:rPr>
          <w:sz w:val="20"/>
          <w:szCs w:val="20"/>
          <w:color w:val="auto"/>
        </w:rPr>
      </w:pPr>
      <w:r>
        <w:rPr>
          <w:rFonts w:ascii="Times New Roman" w:cs="Times New Roman" w:eastAsia="Times New Roman" w:hAnsi="Times New Roman"/>
          <w:sz w:val="12"/>
          <w:szCs w:val="12"/>
          <w:color w:val="auto"/>
        </w:rPr>
        <w:t>7.          </w:t>
      </w:r>
      <w:r>
        <w:rPr>
          <w:rFonts w:ascii="Times New Roman" w:cs="Times New Roman" w:eastAsia="Times New Roman" w:hAnsi="Times New Roman"/>
          <w:sz w:val="12"/>
          <w:szCs w:val="12"/>
          <w:u w:val="single" w:color="auto"/>
          <w:color w:val="auto"/>
        </w:rPr>
        <w:t>  Miscellaneous</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a.            Each party hereto acknowledges that the other party hereto and the Placement Agent will rely on the acknowledgments, understandings, agreements, representations and warranties contained in this Subscription Agreement. Prior to the Closing, each party hereto agrees to promptly notify the other party hereto if any of the acknowledgments, understandings, agreements, representations and warranties made by such party as set forth herein are no longer accurate in all material respects. Subscriber further acknowledges and agrees that the Placement Agent is a third-party beneficiary of the representations and warranties of Subscriber contained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and the Issuer further acknowledges and agrees that the Placement Agent is a third-party beneficiary of the representations and warranties of the Issuer contained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Subscriber agrees that none of (i) any Other Subscriber pursuant to Other Subscription Agreements entered into in connection with the Transaction (including the affiliates or controlling persons, members, officers, directors, partners, agents, or employees of any such Other Subscriber), (ii) the Placement Agent, its affiliates or any of its or its affiliate’s control persons, officers, directors or employees, (iii) any affiliates or any control persons, officers, directors, employees, partners, agents or representatives of the Issuer shall be liable to Subscriber or to any Other Subscriber pursuant to this Subscription Agreement, the Pre-Funded Warrants, the Stapled Warrants or the Other Subscription Agreements, as applicable, the negotiation hereof or thereof or the subject matter hereof or thereof, or the transactions contemplated hereby or thereby, for any action heretofore or hereafter taken or omitted to be taken by any of them in connection with the purchase of the Acquired Securities. On behalf of itself and its affiliates, the Subscriber releases each of the entities or individuals described above in respect of any losses, claims, damages, obligations, penalties, judgments, awards, liabilities, costs, expenses or disbursements related to this Subscription Agreement or the transactions contemplated hereby.</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The Issuer and Subscriber are entitled to rely upon this Subscription Agreement and each is irrevocably authorized to produce this Subscription Agreement or a copy hereof to any interested party in any administrative or legal proceeding or official inquiry with respect to the matters covered hereby to the extent required by law or by regulatory bodies.</w:t>
      </w:r>
    </w:p>
    <w:p>
      <w:pPr>
        <w:spacing w:after="0" w:line="11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d.            Notwithstanding anything to the contrary in this Subscription Agreement, prior to the Closing, Subscriber may not transfer or assign all or a portion of its rights and obligations under this Subscription Agreement, other than to one or more of its affiliates (including other investment funds or accounts managed or advised by the investment manager who acts on behalf of Subscriber) without the prior consent of the Issuer;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such transferee or assignee agrees in writing to be bound by and subject to the terms and conditions of this Subscription Agreement, makes the representations and warranties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and completes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w:t>
      </w:r>
      <w:r>
        <w:rPr>
          <w:rFonts w:ascii="Times New Roman" w:cs="Times New Roman" w:eastAsia="Times New Roman" w:hAnsi="Times New Roman"/>
          <w:sz w:val="12"/>
          <w:szCs w:val="12"/>
          <w:i w:val="1"/>
          <w:iCs w:val="1"/>
          <w:color w:val="auto"/>
        </w:rPr>
        <w:t>provided, further</w:t>
      </w:r>
      <w:r>
        <w:rPr>
          <w:rFonts w:ascii="Times New Roman" w:cs="Times New Roman" w:eastAsia="Times New Roman" w:hAnsi="Times New Roman"/>
          <w:sz w:val="12"/>
          <w:szCs w:val="12"/>
          <w:color w:val="auto"/>
        </w:rPr>
        <w:t xml:space="preserve">, that, no assignment shall relieve the assigning party of any of its obligations hereunder, including any assignment to any fund or account managed by the same investment manager as Subscriber or by an affiliate of such investment manager. In the event of such a transfer or assignment, Subscriber shall complete the form of assignment attached as </w:t>
      </w:r>
      <w:r>
        <w:rPr>
          <w:rFonts w:ascii="Times New Roman" w:cs="Times New Roman" w:eastAsia="Times New Roman" w:hAnsi="Times New Roman"/>
          <w:sz w:val="12"/>
          <w:szCs w:val="12"/>
          <w:u w:val="single" w:color="auto"/>
          <w:color w:val="auto"/>
        </w:rPr>
        <w:t>Schedule B</w:t>
      </w:r>
      <w:r>
        <w:rPr>
          <w:rFonts w:ascii="Times New Roman" w:cs="Times New Roman" w:eastAsia="Times New Roman" w:hAnsi="Times New Roman"/>
          <w:sz w:val="12"/>
          <w:szCs w:val="12"/>
          <w:color w:val="auto"/>
        </w:rPr>
        <w:t xml:space="preserve"> hereto. The Issuer may not assign or transfer all or any portion of its rights or obligations under this Subscription Agreement without the consent of the Subscriber.</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e.            The Issuer may request from Subscriber such additional information as the Issuer may reasonably deem necessary to evaluate the eligibility of Subscriber to acquire the Acquired Securities and to register the Acquired Securities for resale, and Subscriber shall promptly provide such information as may be reasonably requested, to the extent readily available and to the extent consistent with its internal policies and procedures;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Issuer agrees to keep any such information provided by Subscriber confidential.</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f.            This Subscription Agreement constitutes the entire agreement, and supersedes all other prior agreements, understandings, representations and warranties, both written and oral, among the parties, with respect to the subject matter hereof.</w:t>
      </w:r>
    </w:p>
    <w:p>
      <w:pPr>
        <w:spacing w:after="0" w:line="111"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g.            Except as otherwise provided herein, this Subscription Agreement shall be binding upon, and inure to the benefit of, the parties hereto and their respective affiliates and their respective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2" w:name="page113"/>
    <w:bookmarkEnd w:id="112"/>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i.            This Subscription Agreement may be executed in two (2) or more counterparts (including by electronic means), all of which shall be considered one and the same agreement and shall become effective when signed by each of the parties and delivered to the other parties, it being understood that all parties need not sign the same counterpart.</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j.            Except as expressly set forth in the Transaction Documents to the contrary, each party shall pay all of its own expenses in connection with this Subscription Agreement and the transactions contemplated herein.</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k.            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(i) when so delivered personally, (ii) upon receipt of an appropriate electronic answerback or confirmation when so delivered by telecopy (to such number specified below or another number or numbers as such person may subsequently designate by notice given hereunder), (iii) when sent, with no mail undeliverable or other rejection notice, if sent by email or (iv) five</w:t>
      </w:r>
    </w:p>
    <w:p>
      <w:pPr>
        <w:spacing w:after="0" w:line="1" w:lineRule="exact"/>
        <w:rPr>
          <w:sz w:val="20"/>
          <w:szCs w:val="20"/>
          <w:color w:val="auto"/>
        </w:rPr>
      </w:pPr>
    </w:p>
    <w:p>
      <w:pPr>
        <w:ind w:left="168" w:hanging="168"/>
        <w:spacing w:after="0"/>
        <w:tabs>
          <w:tab w:leader="none" w:pos="168"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days after the date of mailing to the address below or to such other address or addresses as such person may hereafter designate by notice given hereunder:</w:t>
      </w:r>
    </w:p>
    <w:p>
      <w:pPr>
        <w:spacing w:after="0" w:line="139" w:lineRule="exact"/>
        <w:rPr>
          <w:rFonts w:ascii="Times New Roman" w:cs="Times New Roman" w:eastAsia="Times New Roman" w:hAnsi="Times New Roman"/>
          <w:sz w:val="12"/>
          <w:szCs w:val="12"/>
          <w:color w:val="auto"/>
        </w:rPr>
      </w:pPr>
    </w:p>
    <w:p>
      <w:pPr>
        <w:ind w:left="1068" w:hanging="204"/>
        <w:spacing w:after="0"/>
        <w:tabs>
          <w:tab w:leader="none" w:pos="1068"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to Subscriber, to such address or addresses set forth on the signature page hereto;</w:t>
      </w:r>
    </w:p>
    <w:p>
      <w:pPr>
        <w:spacing w:after="0" w:line="150" w:lineRule="exact"/>
        <w:rPr>
          <w:rFonts w:ascii="Times New Roman" w:cs="Times New Roman" w:eastAsia="Times New Roman" w:hAnsi="Times New Roman"/>
          <w:sz w:val="12"/>
          <w:szCs w:val="12"/>
          <w:color w:val="auto"/>
        </w:rPr>
      </w:pPr>
    </w:p>
    <w:p>
      <w:pPr>
        <w:ind w:left="1048" w:hanging="184"/>
        <w:spacing w:after="0"/>
        <w:tabs>
          <w:tab w:leader="none" w:pos="1048"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to the Issuer, to:</w:t>
      </w:r>
    </w:p>
    <w:p>
      <w:pPr>
        <w:spacing w:after="0" w:line="150"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Helius Medical Technologies, Inc.</w:t>
      </w:r>
    </w:p>
    <w:p>
      <w:pPr>
        <w:spacing w:after="0" w:line="1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642 Newtown Yardley Road, Suite 100</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Newtown, Pennsylvania 18940</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Attn: Dane Andreeff</w:t>
      </w:r>
    </w:p>
    <w:p>
      <w:pPr>
        <w:spacing w:after="0" w:line="139"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50"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Honigman LLP</w:t>
      </w:r>
    </w:p>
    <w:p>
      <w:pPr>
        <w:spacing w:after="0" w:line="1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650 Trade Centre Way, Suite 200</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Kalamazoo, Michigan 49002</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Attn: Phillip D. Torrence</w:t>
      </w:r>
    </w:p>
    <w:p>
      <w:pPr>
        <w:spacing w:after="0" w:line="13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(C) if to the Placement Agent, to:</w:t>
      </w:r>
    </w:p>
    <w:p>
      <w:pPr>
        <w:spacing w:after="0" w:line="150"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Clear Street LLC</w:t>
      </w:r>
    </w:p>
    <w:p>
      <w:pPr>
        <w:spacing w:after="0" w:line="1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4 World Trade Center</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150 Greenwich Street, 45th Floor</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New York, NY 10007</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Attn: Bradley R. Friedman</w:t>
      </w:r>
    </w:p>
    <w:p>
      <w:pPr>
        <w:spacing w:after="0" w:line="13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l.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Delaware, without giving effect to the principles of conflicts of law thereof.</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13" w:name="page114"/>
    <w:bookmarkEnd w:id="113"/>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 xml:space="preserve">THE PARTIES HERETO IRREVOCABLY SUBMIT TO THE EXCLUSIVE JURISDICTION OF THE UNITED STATES DISTRICT COURT FOR THE SOUTHERN DISTRICT OF NEW YORK, THE SUPREME COURT OF THE STATE OF NEW YORK AND THE FEDERAL COURTS OF THE UNITED STATES OF AMERICA LOCATED IN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2"/>
          <w:szCs w:val="12"/>
          <w:u w:val="single" w:color="auto"/>
          <w:color w:val="auto"/>
        </w:rPr>
        <w:t>SECTION 8.k</w:t>
      </w:r>
      <w:r>
        <w:rPr>
          <w:rFonts w:ascii="Times New Roman" w:cs="Times New Roman" w:eastAsia="Times New Roman" w:hAnsi="Times New Roman"/>
          <w:sz w:val="12"/>
          <w:szCs w:val="12"/>
          <w:color w:val="auto"/>
        </w:rPr>
        <w:t xml:space="preserve"> OR IN SUCH OTHER MANNER AS MAY BE PERMITTED BY LAW SHALL BE VALID AND SUFFICIENT SERVICE THEREOF.</w:t>
      </w:r>
    </w:p>
    <w:p>
      <w:pPr>
        <w:spacing w:after="0" w:line="126"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2"/>
          <w:szCs w:val="12"/>
          <w:u w:val="single" w:color="auto"/>
          <w:color w:val="auto"/>
        </w:rPr>
        <w:t>SECTION 8.L</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m.            The Issuer shall, by 9:30 a.m., New York City time, on the first (1st) business day immediately following the date of this Subscription Agreement (or, if this Subscription Agreement is executed and delivered by the parties hereto prior to 8:00 a.m., New York City time, on a business day, prior to 9:30 a.m., New York City time, on the date hereof), issue one or more press releases or furnish or file with the Commission a Current Report on Form 8-K (collectively, the “</w:t>
      </w:r>
      <w:r>
        <w:rPr>
          <w:rFonts w:ascii="Times New Roman" w:cs="Times New Roman" w:eastAsia="Times New Roman" w:hAnsi="Times New Roman"/>
          <w:sz w:val="12"/>
          <w:szCs w:val="12"/>
          <w:u w:val="single" w:color="auto"/>
          <w:color w:val="auto"/>
        </w:rPr>
        <w:t>Disclosure Document</w:t>
      </w:r>
      <w:r>
        <w:rPr>
          <w:rFonts w:ascii="Times New Roman" w:cs="Times New Roman" w:eastAsia="Times New Roman" w:hAnsi="Times New Roman"/>
          <w:sz w:val="12"/>
          <w:szCs w:val="12"/>
          <w:color w:val="auto"/>
        </w:rPr>
        <w:t>”) disclosing, to the extent not previously publicly disclosed, all material terms of the transactions contemplated hereby, the Transaction and any other material, nonpublic information that the Issuer has provided to Subscriber at any time prior to the filing of the Disclosure Document. From and after the issuance of the Disclosure Document, Subscriber shall not be in possession of any material, nonpublic information received from the Issuer or any of its officers, directors, employees or other representatives. From and after such date, Issuer shall not provide any material non-public information to Subscriber without Subscriber’s prior written consent, and any such information so provided shall be promptly disclosed publicly. Notwithstanding anything in this Subscription Agreement to the contrary, the Issuer shall not publicly disclose the name of Subscriber or any of its affiliates, or include the name of Subscriber or any of its affiliates, without the prior written consent of Subscriber, (i) in any press release or (ii) in any filing with the Commission or any regulatory agency or trading market, except</w:t>
      </w:r>
    </w:p>
    <w:p>
      <w:pPr>
        <w:spacing w:after="0" w:line="1" w:lineRule="exact"/>
        <w:rPr>
          <w:sz w:val="20"/>
          <w:szCs w:val="20"/>
          <w:color w:val="auto"/>
        </w:rPr>
      </w:pPr>
    </w:p>
    <w:p>
      <w:pPr>
        <w:jc w:val="both"/>
        <w:ind w:left="8" w:hanging="8"/>
        <w:spacing w:after="0" w:line="255" w:lineRule="auto"/>
        <w:tabs>
          <w:tab w:leader="none" w:pos="208"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required by the federal securities law in connection with the Registration Statement, (B) in a press release or marketing materials of the Issuer in connection with the Transaction to the extent any such disclosure is substantially equivalent to the information that has previously been made public without breach of the obligation under this </w:t>
      </w:r>
      <w:r>
        <w:rPr>
          <w:rFonts w:ascii="Times New Roman" w:cs="Times New Roman" w:eastAsia="Times New Roman" w:hAnsi="Times New Roman"/>
          <w:sz w:val="12"/>
          <w:szCs w:val="12"/>
          <w:u w:val="single" w:color="auto"/>
          <w:color w:val="auto"/>
        </w:rPr>
        <w:t>Section 8.m</w:t>
      </w:r>
      <w:r>
        <w:rPr>
          <w:rFonts w:ascii="Times New Roman" w:cs="Times New Roman" w:eastAsia="Times New Roman" w:hAnsi="Times New Roman"/>
          <w:sz w:val="12"/>
          <w:szCs w:val="12"/>
          <w:color w:val="auto"/>
        </w:rPr>
        <w:t xml:space="preserve"> or (C) to the extent such disclosure is required by law, at the request of the staff of the Commission or regulatory agency or under the regulations of the Exchange or by any other governmental authority, in which case the Issuer shall provide Subscriber with prior written notice of such disclosure permitted under this subclause (iii).</w:t>
      </w:r>
    </w:p>
    <w:p>
      <w:pPr>
        <w:spacing w:after="0" w:line="269" w:lineRule="exact"/>
        <w:rPr>
          <w:rFonts w:ascii="Times New Roman" w:cs="Times New Roman" w:eastAsia="Times New Roman" w:hAnsi="Times New Roman"/>
          <w:sz w:val="12"/>
          <w:szCs w:val="12"/>
          <w:color w:val="auto"/>
        </w:rPr>
      </w:pPr>
    </w:p>
    <w:p>
      <w:pPr>
        <w:ind w:left="5588" w:hanging="61"/>
        <w:spacing w:after="0"/>
        <w:tabs>
          <w:tab w:leader="none" w:pos="5588"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14" w:name="page115"/>
    <w:bookmarkEnd w:id="114"/>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n.            In connection with any sale, assignment, transfer or other disposition of the Acquired Securities by a Subscriber pursuant to Rule 144 or pursuant to any other exemption under the Securities Act such that the purchaser acquires freely tradable shares and upon compliance by the Subscriber with the requirements of this Subscription Agreement, if requested by the Subscriber by notice to the Issuer, the Issuer shall request its transfer agent to remove any restrictive legends related to the book entry account holding such shares and make a new, unlegended entry for such book entry shares sold or disposed of without restrictive legends within one (1) business day of any such request therefor from such Subscriber,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Issuer has timely received from the Subscriber a completed representation letter in customary form and such other customary representations as may be reasonably required in accordance with applicable law in connection therewith. The Issuer shall be responsible for the fees of the Issuer’s transfer agent, its legal counsel and all DTC fees associated with such legend removal.</w:t>
      </w:r>
    </w:p>
    <w:p>
      <w:pPr>
        <w:spacing w:after="0" w:line="125"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o.            From the date hereof until thirty (30) days after the Effective Date, neither the Company nor any subsidiary of the Company shall (i) issue, enter into any agreement to issue or announce the issuance or proposed issuance of any shares of Common Stock at a price below the Stapled Warrant Exercise Price or (ii) file any registration statement or amendment or supplement thereto, in each case without the written consent of the holders of a majority of the Acquired Securities in the Offering, other than (x) a registration statement on Form S-8 in connection with any employee benefit plan and (y) a universal shelf registration statement on Form S-3 to register securities of the Company in a continuous and/or delayed offering; provided, however, the Company will be permitted to (A) enter into a sales agreement providing for the sale of shares of Common Stock in an “at-the-market” offering and file any such prospectus supplement or registration statement with the Commission in connection with such sales agreement and (B) issue shares of Common Stock pursuant to an equity line of credit.</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p.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w:t>
      </w:r>
    </w:p>
    <w:p>
      <w:pPr>
        <w:spacing w:after="0" w:line="109" w:lineRule="exact"/>
        <w:rPr>
          <w:sz w:val="20"/>
          <w:szCs w:val="20"/>
          <w:color w:val="auto"/>
        </w:rPr>
      </w:pPr>
    </w:p>
    <w:p>
      <w:pPr>
        <w:jc w:val="both"/>
        <w:ind w:right="20" w:firstLine="864"/>
        <w:spacing w:after="0" w:line="266" w:lineRule="auto"/>
        <w:rPr>
          <w:sz w:val="20"/>
          <w:szCs w:val="20"/>
          <w:color w:val="auto"/>
        </w:rPr>
      </w:pPr>
      <w:r>
        <w:rPr>
          <w:rFonts w:ascii="Times New Roman" w:cs="Times New Roman" w:eastAsia="Times New Roman" w:hAnsi="Times New Roman"/>
          <w:sz w:val="12"/>
          <w:szCs w:val="12"/>
          <w:color w:val="auto"/>
        </w:rPr>
        <w:t xml:space="preserve">q.            This Subscription Agreement may not be amended, modified, supplemented, or waived except by an instrument in writing signed by the Issuer and Subscriber;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any amendment, modification, supplement or waiver that adversely affects the Placement Agent will require the consent of the Placement Agent. Notwithstanding the foregoing, any party may waive any of its own rights (but not obligations) under this Subscription Agreement, in whole or in part, by providing written notice to the other parties, and such waiver shall not require the consent of any other party.</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r.            The parties agree that irreparable damage would occur if any provision of this Subscription Agreement were not performed in accordance with the terms hereof, and accordingly, that the parties hereto shall be entitled to seek an injunction or injunctions to prevent breaches of this Subscription Agreement or to enforce specifically the performance of the terms and provisions of this Subscription Agreement in an appropriate court of competent jurisdiction as set forth in </w:t>
      </w:r>
      <w:r>
        <w:rPr>
          <w:rFonts w:ascii="Times New Roman" w:cs="Times New Roman" w:eastAsia="Times New Roman" w:hAnsi="Times New Roman"/>
          <w:sz w:val="12"/>
          <w:szCs w:val="12"/>
          <w:u w:val="single" w:color="auto"/>
          <w:color w:val="auto"/>
        </w:rPr>
        <w:t>Section 8.l</w:t>
      </w:r>
      <w:r>
        <w:rPr>
          <w:rFonts w:ascii="Times New Roman" w:cs="Times New Roman" w:eastAsia="Times New Roman" w:hAnsi="Times New Roman"/>
          <w:sz w:val="12"/>
          <w:szCs w:val="12"/>
          <w:color w:val="auto"/>
        </w:rPr>
        <w:t>, in addition to any other remedy to which any party is entitled at law or in equity.</w:t>
      </w:r>
    </w:p>
    <w:p>
      <w:pPr>
        <w:spacing w:after="0" w:line="11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s.            Each party hereto intends that (i) the purchase of the Acquired Securities by Subscriber pursuant to this Subscription Agreement, together and as part of a single integrated transaction with the purchase of shares of Common Stock and Pre-Funded Warrants by the Other Subscribers pursuant to the Other Subscription Agreements, shall, unless otherwise determined by the Company after the Closing, qualify as an exchange by Subscriber of cash, USDC, and/or USDT for the Acquired Securities pursuant to Section 351(a) of the Code, and (ii) the Pre-Funded Warrants shall be treated as stock for U.S. federal (and applicable state and local) income tax purposes (together, the “Intended Tax Treatment”). Unless otherwise determined by the Company after the Closing, each party hereto (a) agrees to report and file all applicable tax returns consistent with the Intended Tax Treatment, and no party hereto will take any position for applicable tax purposes inconsistent with the Intended Tax Treatment (whether in applicable tax returns, tax audits or proceedings, or otherwise), unless in any such case required by a “determination” within the meaning of Section 1313(a)(1) of the Code (or any similar or analogous provision of state or local tax law) and (b) shall file with its applicable U.S. federal income tax return on a timely basis the information required by Treasury Regulations Section 1.351-3 and maintain the permanent records described in Treasury Regulations Section 1.351-3, in each case, to the extent applicable, and in the event a government authority disputes or takes a position inconsistent with the Intended Tax Treatment, the party receiving notice of such dispute shall promptly notify the other parties hereto.</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5" w:name="page116"/>
    <w:bookmarkEnd w:id="115"/>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t.            If Subscriber purchases the Acquired Securities by transferring USDC or USDT to the Issuer, Subscriber shall furnish or otherwise make available to the Issuer (and shall cooperate with the Issuer in obtaining) all information and documentation necessary for the Issuer to specifically identify the tax basis in each such USDC or USDT for U.S. federal (and applicable state and local) income tax purposes, including, but not limited to: (i) the date, time, and source of acquisition of each such USDC or USDT, (ii) the original cost and fair market value at the time of acquisition of each such USDC or USDT, (iii) historical wallet and account location with respect to each such USDC or USDT, and (iv) detailed transaction history (both on-chain and off-chain) with respect to each such USDC or USDT.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pages follow.</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each of the Issuer and Subscriber has executed or caused this Subscription Agreement to be executed by its duly authorized representative as of the date first written above.</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ISSUER:</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HELIUS MEDICAL TECHNOLOGIES, INC.</w:t>
      </w:r>
    </w:p>
    <w:p>
      <w:pPr>
        <w:spacing w:after="0" w:line="154"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Jeffrey S. Mathiesen</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Treasurer, and Secretary</w:t>
            </w:r>
          </w:p>
        </w:tc>
      </w:tr>
    </w:tbl>
    <w:p>
      <w:pPr>
        <w:spacing w:after="0" w:line="1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297815</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2"/>
          <w:szCs w:val="12"/>
          <w:b w:val="1"/>
          <w:bCs w:val="1"/>
          <w:color w:val="auto"/>
        </w:rPr>
        <w:t>SUBSCRIBER: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35204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520440"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of Subscriber: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-86995</wp:posOffset>
            </wp:positionV>
            <wp:extent cx="322897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192405</wp:posOffset>
            </wp:positionV>
            <wp:extent cx="358902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in which securities are to be registered (if different):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Address: ____________________</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Subscriber’s EIN: __________________</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290830</wp:posOffset>
            </wp:positionV>
            <wp:extent cx="358902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8902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193675</wp:posOffset>
            </wp:positionV>
            <wp:extent cx="358902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10795</wp:posOffset>
            </wp:positionV>
            <wp:extent cx="293751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37510"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10795</wp:posOffset>
            </wp:positionV>
            <wp:extent cx="293751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937510"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10795</wp:posOffset>
            </wp:positionV>
            <wp:extent cx="293751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937510" cy="5715"/>
                    </a:xfrm>
                    <a:prstGeom prst="rect">
                      <a:avLst/>
                    </a:prstGeom>
                    <a:noFill/>
                  </pic:spPr>
                </pic:pic>
              </a:graphicData>
            </a:graphic>
          </wp:anchor>
        </w:drawing>
      </w:r>
    </w:p>
    <w:p>
      <w:pPr>
        <w:spacing w:after="0" w:line="283"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12"/>
          <w:szCs w:val="12"/>
          <w:color w:val="auto"/>
        </w:rPr>
        <w:t>Subscription Amount:</w:t>
      </w:r>
      <w:r>
        <w:rPr>
          <w:sz w:val="20"/>
          <w:szCs w:val="20"/>
          <w:color w:val="auto"/>
        </w:rPr>
        <w:tab/>
      </w:r>
      <w:r>
        <w:rPr>
          <w:rFonts w:ascii="Times New Roman" w:cs="Times New Roman" w:eastAsia="Times New Roman" w:hAnsi="Times New Roman"/>
          <w:sz w:val="12"/>
          <w:szCs w:val="12"/>
          <w:color w:val="auto"/>
        </w:rPr>
        <w:t>$ _________________ (in USD)</w:t>
      </w:r>
    </w:p>
    <w:p>
      <w:pPr>
        <w:spacing w:after="0" w:line="17" w:lineRule="exact"/>
        <w:rPr>
          <w:sz w:val="20"/>
          <w:szCs w:val="20"/>
          <w:color w:val="auto"/>
        </w:rPr>
      </w:pPr>
    </w:p>
    <w:p>
      <w:pPr>
        <w:ind w:left="3160" w:hanging="108"/>
        <w:spacing w:after="0"/>
        <w:tabs>
          <w:tab w:leader="none" w:pos="316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_________________ (in USDT)</w:t>
      </w:r>
    </w:p>
    <w:p>
      <w:pPr>
        <w:spacing w:after="0" w:line="6" w:lineRule="exact"/>
        <w:rPr>
          <w:rFonts w:ascii="Times New Roman" w:cs="Times New Roman" w:eastAsia="Times New Roman" w:hAnsi="Times New Roman"/>
          <w:sz w:val="12"/>
          <w:szCs w:val="12"/>
          <w:color w:val="auto"/>
        </w:rPr>
      </w:pPr>
    </w:p>
    <w:p>
      <w:pPr>
        <w:ind w:left="3160" w:hanging="108"/>
        <w:spacing w:after="0"/>
        <w:tabs>
          <w:tab w:leader="none" w:pos="316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_________________ (in USDC)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Aggregate Number of Acquired Shares subscribed for: _______________________</w:t>
      </w:r>
    </w:p>
    <w:p>
      <w:pPr>
        <w:spacing w:after="0" w:line="14"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Beneficial Ownership Blocker </w:t>
      </w:r>
      <w:r>
        <w:rPr>
          <w:rFonts w:ascii="MS PGothic" w:cs="MS PGothic" w:eastAsia="MS PGothic" w:hAnsi="MS PGothic"/>
          <w:sz w:val="12"/>
          <w:szCs w:val="12"/>
          <w:color w:val="auto"/>
          <w:highlight w:val="black"/>
        </w:rPr>
        <w:t>☐</w:t>
      </w:r>
      <w:r>
        <w:rPr>
          <w:rFonts w:ascii="Times New Roman" w:cs="Times New Roman" w:eastAsia="Times New Roman" w:hAnsi="Times New Roman"/>
          <w:sz w:val="12"/>
          <w:szCs w:val="12"/>
          <w:b w:val="1"/>
          <w:bCs w:val="1"/>
          <w:color w:val="auto"/>
        </w:rPr>
        <w:t xml:space="preserve"> 4.99% or </w:t>
      </w:r>
      <w:r>
        <w:rPr>
          <w:rFonts w:ascii="MS PGothic" w:cs="MS PGothic" w:eastAsia="MS PGothic" w:hAnsi="MS PGothic"/>
          <w:sz w:val="12"/>
          <w:szCs w:val="12"/>
          <w:color w:val="auto"/>
          <w:highlight w:val="black"/>
        </w:rPr>
        <w:t>☐</w:t>
      </w:r>
      <w:r>
        <w:rPr>
          <w:rFonts w:ascii="Times New Roman" w:cs="Times New Roman" w:eastAsia="Times New Roman" w:hAnsi="Times New Roman"/>
          <w:sz w:val="12"/>
          <w:szCs w:val="12"/>
          <w:b w:val="1"/>
          <w:bCs w:val="1"/>
          <w:color w:val="auto"/>
        </w:rPr>
        <w:t xml:space="preserve"> 9.99%</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Aggregate Number of Pre-Funded Warrants subscribed for: _____________________</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Aggregate Number of Stapled Warrants subscribed for: ___________________</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Aggregate Purchase Price: $ ___________________</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You must pay the Purchase Price by wire transfer of United States dollars in immediately available funds to the account specified by the Issuer in the Closing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and Address of Beneficial Owner, if different from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199390</wp:posOffset>
            </wp:positionV>
            <wp:extent cx="358902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Number of shares of Common Stock and other equity securities of the Issuer currently owned by Beneficial Owner prior to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358902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SUBSCRIPTION AGREEMENT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This SUBSCRIPTION AGREEMENT (this “</w:t>
      </w:r>
      <w:r>
        <w:rPr>
          <w:rFonts w:ascii="Times New Roman" w:cs="Times New Roman" w:eastAsia="Times New Roman" w:hAnsi="Times New Roman"/>
          <w:sz w:val="12"/>
          <w:szCs w:val="12"/>
          <w:u w:val="single" w:color="auto"/>
          <w:color w:val="auto"/>
        </w:rPr>
        <w:t>Subscription Agreement</w:t>
      </w:r>
      <w:r>
        <w:rPr>
          <w:rFonts w:ascii="Times New Roman" w:cs="Times New Roman" w:eastAsia="Times New Roman" w:hAnsi="Times New Roman"/>
          <w:sz w:val="12"/>
          <w:szCs w:val="12"/>
          <w:color w:val="auto"/>
        </w:rPr>
        <w:t>”) is entered into on September 15, 2025, by and among Helius Medical Technologies, Inc., a Delaware corporation (the “</w:t>
      </w:r>
      <w:r>
        <w:rPr>
          <w:rFonts w:ascii="Times New Roman" w:cs="Times New Roman" w:eastAsia="Times New Roman" w:hAnsi="Times New Roman"/>
          <w:sz w:val="12"/>
          <w:szCs w:val="12"/>
          <w:u w:val="single" w:color="auto"/>
          <w:color w:val="auto"/>
        </w:rPr>
        <w:t>Issuer</w:t>
      </w:r>
      <w:r>
        <w:rPr>
          <w:rFonts w:ascii="Times New Roman" w:cs="Times New Roman" w:eastAsia="Times New Roman" w:hAnsi="Times New Roman"/>
          <w:sz w:val="12"/>
          <w:szCs w:val="12"/>
          <w:color w:val="auto"/>
        </w:rPr>
        <w:t>”), and the undersigned investors (collectively, the “</w:t>
      </w:r>
      <w:r>
        <w:rPr>
          <w:rFonts w:ascii="Times New Roman" w:cs="Times New Roman" w:eastAsia="Times New Roman" w:hAnsi="Times New Roman"/>
          <w:sz w:val="12"/>
          <w:szCs w:val="12"/>
          <w:u w:val="single" w:color="auto"/>
          <w:color w:val="auto"/>
        </w:rPr>
        <w:t>Subscribers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u w:val="single" w:color="auto"/>
          <w:color w:val="auto"/>
        </w:rPr>
        <w:t>Subscriber</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This Subscription Agreement may be executed by an investment manager on behalf of one or more managed funds or accounts set forth on a schedule hereto, each of which severally and not jointly shall be a Subscriber hereunder.</w:t>
      </w:r>
    </w:p>
    <w:p>
      <w:pPr>
        <w:spacing w:after="0" w:line="11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WHEREAS, in connection with the Transaction (as defined below), on the terms and subject to the conditions set forth in this Subscription Agreement, Subscriber desires to subscribe for and purchase from the Issuer (i) the number of pre-funded warrants to purchase the number of shares of the Issuer’s Class A common stock, par value $0.001 per share, and any other class of securities into which such securities may hereafter be reclassified or changed (the “</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and/or (ii) the number of pre-funded warrants to purchase Common Stock (the “</w:t>
      </w:r>
      <w:r>
        <w:rPr>
          <w:rFonts w:ascii="Times New Roman" w:cs="Times New Roman" w:eastAsia="Times New Roman" w:hAnsi="Times New Roman"/>
          <w:sz w:val="12"/>
          <w:szCs w:val="12"/>
          <w:u w:val="single" w:color="auto"/>
          <w:color w:val="auto"/>
        </w:rPr>
        <w:t>Pre-Funded Warrant Shares</w:t>
      </w:r>
      <w:r>
        <w:rPr>
          <w:rFonts w:ascii="Times New Roman" w:cs="Times New Roman" w:eastAsia="Times New Roman" w:hAnsi="Times New Roman"/>
          <w:sz w:val="12"/>
          <w:szCs w:val="12"/>
          <w:color w:val="auto"/>
        </w:rPr>
        <w:t xml:space="preserve">”), set forth on the Subscriber’s signature page hereto substantially in the form attached hereto as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Pre-Funded Warrants</w:t>
      </w:r>
      <w:r>
        <w:rPr>
          <w:rFonts w:ascii="Times New Roman" w:cs="Times New Roman" w:eastAsia="Times New Roman" w:hAnsi="Times New Roman"/>
          <w:sz w:val="12"/>
          <w:szCs w:val="12"/>
          <w:color w:val="auto"/>
        </w:rPr>
        <w:t>”) set forth on the signature page hereto, if any, at a purchase price equal to $6.881 per share (the “</w:t>
      </w:r>
      <w:r>
        <w:rPr>
          <w:rFonts w:ascii="Times New Roman" w:cs="Times New Roman" w:eastAsia="Times New Roman" w:hAnsi="Times New Roman"/>
          <w:sz w:val="12"/>
          <w:szCs w:val="12"/>
          <w:u w:val="single" w:color="auto"/>
          <w:color w:val="auto"/>
        </w:rPr>
        <w:t>Share Purchase Price</w:t>
      </w:r>
      <w:r>
        <w:rPr>
          <w:rFonts w:ascii="Times New Roman" w:cs="Times New Roman" w:eastAsia="Times New Roman" w:hAnsi="Times New Roman"/>
          <w:sz w:val="12"/>
          <w:szCs w:val="12"/>
          <w:color w:val="auto"/>
        </w:rPr>
        <w:t>”), less $0.001 per Pre-Funded Warrant, with a remaining exercise price equal to $0.001 per Warrant Share (the “</w:t>
      </w:r>
      <w:r>
        <w:rPr>
          <w:rFonts w:ascii="Times New Roman" w:cs="Times New Roman" w:eastAsia="Times New Roman" w:hAnsi="Times New Roman"/>
          <w:sz w:val="12"/>
          <w:szCs w:val="12"/>
          <w:u w:val="single" w:color="auto"/>
          <w:color w:val="auto"/>
        </w:rPr>
        <w:t>Warrant Purchase Price</w:t>
      </w:r>
      <w:r>
        <w:rPr>
          <w:rFonts w:ascii="Times New Roman" w:cs="Times New Roman" w:eastAsia="Times New Roman" w:hAnsi="Times New Roman"/>
          <w:sz w:val="12"/>
          <w:szCs w:val="12"/>
          <w:color w:val="auto"/>
        </w:rPr>
        <w:t>”) and (ii) the number of warrants to purchase Common Stock (the “</w:t>
      </w:r>
      <w:r>
        <w:rPr>
          <w:rFonts w:ascii="Times New Roman" w:cs="Times New Roman" w:eastAsia="Times New Roman" w:hAnsi="Times New Roman"/>
          <w:sz w:val="12"/>
          <w:szCs w:val="12"/>
          <w:u w:val="single" w:color="auto"/>
          <w:color w:val="auto"/>
        </w:rPr>
        <w:t>Stapled Warrant Shares</w:t>
      </w:r>
      <w:r>
        <w:rPr>
          <w:rFonts w:ascii="Times New Roman" w:cs="Times New Roman" w:eastAsia="Times New Roman" w:hAnsi="Times New Roman"/>
          <w:sz w:val="12"/>
          <w:szCs w:val="12"/>
          <w:color w:val="auto"/>
        </w:rPr>
        <w:t>,” and collectively with the Pre-Funded Warrant Shares, the “</w:t>
      </w:r>
      <w:r>
        <w:rPr>
          <w:rFonts w:ascii="Times New Roman" w:cs="Times New Roman" w:eastAsia="Times New Roman" w:hAnsi="Times New Roman"/>
          <w:sz w:val="12"/>
          <w:szCs w:val="12"/>
          <w:u w:val="single" w:color="auto"/>
          <w:color w:val="auto"/>
        </w:rPr>
        <w:t>Warrant Shares</w:t>
      </w:r>
      <w:r>
        <w:rPr>
          <w:rFonts w:ascii="Times New Roman" w:cs="Times New Roman" w:eastAsia="Times New Roman" w:hAnsi="Times New Roman"/>
          <w:sz w:val="12"/>
          <w:szCs w:val="12"/>
          <w:color w:val="auto"/>
        </w:rPr>
        <w:t>”), with a cash exercise price equal to $10.134 (the “</w:t>
      </w:r>
      <w:r>
        <w:rPr>
          <w:rFonts w:ascii="Times New Roman" w:cs="Times New Roman" w:eastAsia="Times New Roman" w:hAnsi="Times New Roman"/>
          <w:sz w:val="12"/>
          <w:szCs w:val="12"/>
          <w:u w:val="single" w:color="auto"/>
          <w:color w:val="auto"/>
        </w:rPr>
        <w:t>Stapled Warrant Exercise Price</w:t>
      </w:r>
      <w:r>
        <w:rPr>
          <w:rFonts w:ascii="Times New Roman" w:cs="Times New Roman" w:eastAsia="Times New Roman" w:hAnsi="Times New Roman"/>
          <w:sz w:val="12"/>
          <w:szCs w:val="12"/>
          <w:color w:val="auto"/>
        </w:rPr>
        <w:t xml:space="preserve">”), substantially in the form attached hereto as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Stapled Warrants,</w:t>
      </w:r>
      <w:r>
        <w:rPr>
          <w:rFonts w:ascii="Times New Roman" w:cs="Times New Roman" w:eastAsia="Times New Roman" w:hAnsi="Times New Roman"/>
          <w:sz w:val="12"/>
          <w:szCs w:val="12"/>
          <w:color w:val="auto"/>
        </w:rPr>
        <w:t>” as defined and described more fully in this Agreement, and together with the Pre-Funded Warrants, the “</w:t>
      </w:r>
      <w:r>
        <w:rPr>
          <w:rFonts w:ascii="Times New Roman" w:cs="Times New Roman" w:eastAsia="Times New Roman" w:hAnsi="Times New Roman"/>
          <w:sz w:val="12"/>
          <w:szCs w:val="12"/>
          <w:u w:val="single" w:color="auto"/>
          <w:color w:val="auto"/>
        </w:rPr>
        <w:t>Acquired Securities</w:t>
      </w:r>
      <w:r>
        <w:rPr>
          <w:rFonts w:ascii="Times New Roman" w:cs="Times New Roman" w:eastAsia="Times New Roman" w:hAnsi="Times New Roman"/>
          <w:sz w:val="12"/>
          <w:szCs w:val="12"/>
          <w:color w:val="auto"/>
        </w:rPr>
        <w:t>”) set forth on the signature page hereto (the aggregate purchase price in native cryptocurrency of Solana, a blockchain ecosystem (“</w:t>
      </w:r>
      <w:r>
        <w:rPr>
          <w:rFonts w:ascii="Times New Roman" w:cs="Times New Roman" w:eastAsia="Times New Roman" w:hAnsi="Times New Roman"/>
          <w:sz w:val="12"/>
          <w:szCs w:val="12"/>
          <w:u w:val="single" w:color="auto"/>
          <w:color w:val="auto"/>
        </w:rPr>
        <w:t>SOL</w:t>
      </w:r>
      <w:r>
        <w:rPr>
          <w:rFonts w:ascii="Times New Roman" w:cs="Times New Roman" w:eastAsia="Times New Roman" w:hAnsi="Times New Roman"/>
          <w:sz w:val="12"/>
          <w:szCs w:val="12"/>
          <w:color w:val="auto"/>
        </w:rPr>
        <w:t>”) set forth on the Subscriber’s signature page hereto for the Acquired Securities, the “</w:t>
      </w:r>
      <w:r>
        <w:rPr>
          <w:rFonts w:ascii="Times New Roman" w:cs="Times New Roman" w:eastAsia="Times New Roman" w:hAnsi="Times New Roman"/>
          <w:sz w:val="12"/>
          <w:szCs w:val="12"/>
          <w:u w:val="single" w:color="auto"/>
          <w:color w:val="auto"/>
        </w:rPr>
        <w:t>Purchase Price</w:t>
      </w:r>
      <w:r>
        <w:rPr>
          <w:rFonts w:ascii="Times New Roman" w:cs="Times New Roman" w:eastAsia="Times New Roman" w:hAnsi="Times New Roman"/>
          <w:sz w:val="12"/>
          <w:szCs w:val="12"/>
          <w:color w:val="auto"/>
        </w:rPr>
        <w:t>”).</w:t>
      </w:r>
    </w:p>
    <w:p>
      <w:pPr>
        <w:spacing w:after="0" w:line="12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WHEREAS, subject to the terms and conditions set forth in this Agreement and pursuant to Section 4(a)(2) of the Securities Act of 1933, as amended, and the rules and regulations promulgated thereunder (the “</w:t>
      </w:r>
      <w:r>
        <w:rPr>
          <w:rFonts w:ascii="Times New Roman" w:cs="Times New Roman" w:eastAsia="Times New Roman" w:hAnsi="Times New Roman"/>
          <w:sz w:val="12"/>
          <w:szCs w:val="12"/>
          <w:u w:val="single" w:color="auto"/>
          <w:color w:val="auto"/>
        </w:rPr>
        <w:t>Securities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Act</w:t>
      </w:r>
      <w:r>
        <w:rPr>
          <w:rFonts w:ascii="Times New Roman" w:cs="Times New Roman" w:eastAsia="Times New Roman" w:hAnsi="Times New Roman"/>
          <w:sz w:val="12"/>
          <w:szCs w:val="12"/>
          <w:color w:val="auto"/>
        </w:rPr>
        <w:t>”), and Rule 506(b) of Regulation D promulgated thereunder, the Issuer desires to issue and sell to each Subscriber, and each Subscriber, severally and not jointly, desires to purchase from the Issuer, Shares and/or Pre-Funded Warrants, together with Stapled Warrants, as more fully described in this Agreement (the “</w:t>
      </w:r>
      <w:r>
        <w:rPr>
          <w:rFonts w:ascii="Times New Roman" w:cs="Times New Roman" w:eastAsia="Times New Roman" w:hAnsi="Times New Roman"/>
          <w:sz w:val="12"/>
          <w:szCs w:val="12"/>
          <w:u w:val="single" w:color="auto"/>
          <w:color w:val="auto"/>
        </w:rPr>
        <w:t>Offering</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the Issuer intends to use the net proceeds of the sale of Acquired Securities to purchase SOL, for working capital and for general corporate purposes;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contemporaneously with the sale of the Acquired Securities hereunder, the Issuer will issue strategic advisor warrants to purchase shares of Common Stock (the “</w:t>
      </w:r>
      <w:r>
        <w:rPr>
          <w:rFonts w:ascii="Times New Roman" w:cs="Times New Roman" w:eastAsia="Times New Roman" w:hAnsi="Times New Roman"/>
          <w:sz w:val="12"/>
          <w:szCs w:val="12"/>
          <w:u w:val="single" w:color="auto"/>
          <w:color w:val="auto"/>
        </w:rPr>
        <w:t>Strategic Advisor Warrants</w:t>
      </w:r>
      <w:r>
        <w:rPr>
          <w:rFonts w:ascii="Times New Roman" w:cs="Times New Roman" w:eastAsia="Times New Roman" w:hAnsi="Times New Roman"/>
          <w:sz w:val="12"/>
          <w:szCs w:val="12"/>
          <w:color w:val="auto"/>
        </w:rPr>
        <w:t>”) to certain strategic advisors (the “</w:t>
      </w:r>
      <w:r>
        <w:rPr>
          <w:rFonts w:ascii="Times New Roman" w:cs="Times New Roman" w:eastAsia="Times New Roman" w:hAnsi="Times New Roman"/>
          <w:sz w:val="12"/>
          <w:szCs w:val="12"/>
          <w:u w:val="single" w:color="auto"/>
          <w:color w:val="auto"/>
        </w:rPr>
        <w:t>Strategic Advisors</w:t>
      </w:r>
      <w:r>
        <w:rPr>
          <w:rFonts w:ascii="Times New Roman" w:cs="Times New Roman" w:eastAsia="Times New Roman" w:hAnsi="Times New Roman"/>
          <w:sz w:val="12"/>
          <w:szCs w:val="12"/>
          <w:color w:val="auto"/>
        </w:rPr>
        <w:t>”) pursuant to a strategic advisor agreement, by and between the Issuer and the Strategic Advisors to be executed on or prior to the closing of the Offering;</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WHEREAS, in connection with the Transaction, Clear Street LLC, in its capacity as placement agent (the “</w:t>
      </w:r>
      <w:r>
        <w:rPr>
          <w:rFonts w:ascii="Times New Roman" w:cs="Times New Roman" w:eastAsia="Times New Roman" w:hAnsi="Times New Roman"/>
          <w:sz w:val="12"/>
          <w:szCs w:val="12"/>
          <w:u w:val="single" w:color="auto"/>
          <w:color w:val="auto"/>
        </w:rPr>
        <w:t>Placement Agent</w:t>
      </w:r>
      <w:r>
        <w:rPr>
          <w:rFonts w:ascii="Times New Roman" w:cs="Times New Roman" w:eastAsia="Times New Roman" w:hAnsi="Times New Roman"/>
          <w:sz w:val="12"/>
          <w:szCs w:val="12"/>
          <w:color w:val="auto"/>
        </w:rPr>
        <w:t>”) for the offer and sale of the Acquired Securities (the “</w:t>
      </w:r>
      <w:r>
        <w:rPr>
          <w:rFonts w:ascii="Times New Roman" w:cs="Times New Roman" w:eastAsia="Times New Roman" w:hAnsi="Times New Roman"/>
          <w:sz w:val="12"/>
          <w:szCs w:val="12"/>
          <w:u w:val="single" w:color="auto"/>
          <w:color w:val="auto"/>
        </w:rPr>
        <w:t>Transaction</w:t>
      </w:r>
      <w:r>
        <w:rPr>
          <w:rFonts w:ascii="Times New Roman" w:cs="Times New Roman" w:eastAsia="Times New Roman" w:hAnsi="Times New Roman"/>
          <w:sz w:val="12"/>
          <w:szCs w:val="12"/>
          <w:color w:val="auto"/>
        </w:rPr>
        <w:t>”) may identify and solicit certain other “qualified institutional buyers” (as defined in Rule 144A under the Securities Act) or “accredited investors” (as such term is defined in Rule 501 under the Securities Act, and each such “qualified institutional buyer” or “accredited investor,” an “</w:t>
      </w:r>
      <w:r>
        <w:rPr>
          <w:rFonts w:ascii="Times New Roman" w:cs="Times New Roman" w:eastAsia="Times New Roman" w:hAnsi="Times New Roman"/>
          <w:sz w:val="12"/>
          <w:szCs w:val="12"/>
          <w:u w:val="single" w:color="auto"/>
          <w:color w:val="auto"/>
        </w:rPr>
        <w:t>Other Subscriber</w:t>
      </w:r>
      <w:r>
        <w:rPr>
          <w:rFonts w:ascii="Times New Roman" w:cs="Times New Roman" w:eastAsia="Times New Roman" w:hAnsi="Times New Roman"/>
          <w:sz w:val="12"/>
          <w:szCs w:val="12"/>
          <w:color w:val="auto"/>
        </w:rPr>
        <w:t>”), each of which shall have entered into subscription agreements with the Issuer contemporaneously herewith (the “</w:t>
      </w:r>
      <w:r>
        <w:rPr>
          <w:rFonts w:ascii="Times New Roman" w:cs="Times New Roman" w:eastAsia="Times New Roman" w:hAnsi="Times New Roman"/>
          <w:sz w:val="12"/>
          <w:szCs w:val="12"/>
          <w:u w:val="single" w:color="auto"/>
          <w:color w:val="auto"/>
        </w:rPr>
        <w:t>Other Subscription Agreements</w:t>
      </w:r>
      <w:r>
        <w:rPr>
          <w:rFonts w:ascii="Times New Roman" w:cs="Times New Roman" w:eastAsia="Times New Roman" w:hAnsi="Times New Roman"/>
          <w:sz w:val="12"/>
          <w:szCs w:val="12"/>
          <w:color w:val="auto"/>
        </w:rPr>
        <w:t>”), pursuant to which such Other Subscribers have agreed to subscribe for and purchase, and the Issuer has agreed to issue and sell to such Other Subscribers, on the Closing Date, the Acquired Securities (the “</w:t>
      </w:r>
      <w:r>
        <w:rPr>
          <w:rFonts w:ascii="Times New Roman" w:cs="Times New Roman" w:eastAsia="Times New Roman" w:hAnsi="Times New Roman"/>
          <w:sz w:val="12"/>
          <w:szCs w:val="12"/>
          <w:u w:val="single" w:color="auto"/>
          <w:color w:val="auto"/>
        </w:rPr>
        <w:t>Other Subscriptions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1.           </w:t>
      </w:r>
      <w:r>
        <w:rPr>
          <w:rFonts w:ascii="Times New Roman" w:cs="Times New Roman" w:eastAsia="Times New Roman" w:hAnsi="Times New Roman"/>
          <w:sz w:val="12"/>
          <w:szCs w:val="12"/>
          <w:u w:val="single" w:color="auto"/>
          <w:color w:val="auto"/>
        </w:rPr>
        <w:t>  Subscription</w:t>
      </w:r>
      <w:r>
        <w:rPr>
          <w:rFonts w:ascii="Times New Roman" w:cs="Times New Roman" w:eastAsia="Times New Roman" w:hAnsi="Times New Roman"/>
          <w:sz w:val="12"/>
          <w:szCs w:val="12"/>
          <w:color w:val="auto"/>
        </w:rPr>
        <w:t>. Subject to the terms and conditions hereof, Subscriber hereby agrees to subscribe for and purchase, and the Issuer hereby agrees to sell to Subscriber, upon the payment of the Purchase Price, the Acquired Securities (such subscription and issuance, the “</w:t>
      </w:r>
      <w:r>
        <w:rPr>
          <w:rFonts w:ascii="Times New Roman" w:cs="Times New Roman" w:eastAsia="Times New Roman" w:hAnsi="Times New Roman"/>
          <w:sz w:val="12"/>
          <w:szCs w:val="12"/>
          <w:u w:val="single" w:color="auto"/>
          <w:color w:val="auto"/>
        </w:rPr>
        <w:t>Subscription</w:t>
      </w:r>
      <w:r>
        <w:rPr>
          <w:rFonts w:ascii="Times New Roman" w:cs="Times New Roman" w:eastAsia="Times New Roman" w:hAnsi="Times New Roman"/>
          <w:sz w:val="12"/>
          <w:szCs w:val="12"/>
          <w:color w:val="auto"/>
        </w:rPr>
        <w: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19" w:name="page120"/>
    <w:bookmarkEnd w:id="119"/>
    <w:p>
      <w:pPr>
        <w:ind w:left="428"/>
        <w:spacing w:after="0"/>
        <w:rPr>
          <w:sz w:val="20"/>
          <w:szCs w:val="20"/>
          <w:color w:val="auto"/>
        </w:rPr>
      </w:pPr>
      <w:r>
        <w:rPr>
          <w:rFonts w:ascii="Times New Roman" w:cs="Times New Roman" w:eastAsia="Times New Roman" w:hAnsi="Times New Roman"/>
          <w:sz w:val="12"/>
          <w:szCs w:val="12"/>
          <w:color w:val="auto"/>
        </w:rPr>
        <w:t>2.           </w:t>
      </w:r>
      <w:r>
        <w:rPr>
          <w:rFonts w:ascii="Times New Roman" w:cs="Times New Roman" w:eastAsia="Times New Roman" w:hAnsi="Times New Roman"/>
          <w:sz w:val="12"/>
          <w:szCs w:val="12"/>
          <w:u w:val="single" w:color="auto"/>
          <w:color w:val="auto"/>
        </w:rPr>
        <w:t>  Closing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 xml:space="preserve">a.             Subject to the satisfaction or waiver of the conditions set forth in </w:t>
      </w:r>
      <w:r>
        <w:rPr>
          <w:rFonts w:ascii="Times New Roman" w:cs="Times New Roman" w:eastAsia="Times New Roman" w:hAnsi="Times New Roman"/>
          <w:sz w:val="12"/>
          <w:szCs w:val="12"/>
          <w:u w:val="single" w:color="auto"/>
          <w:color w:val="auto"/>
        </w:rPr>
        <w:t>Sections 2.d</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2.e</w:t>
      </w:r>
      <w:r>
        <w:rPr>
          <w:rFonts w:ascii="Times New Roman" w:cs="Times New Roman" w:eastAsia="Times New Roman" w:hAnsi="Times New Roman"/>
          <w:sz w:val="12"/>
          <w:szCs w:val="12"/>
          <w:color w:val="auto"/>
        </w:rPr>
        <w:t xml:space="preserve"> (other than those conditions that by their nature are to be satisfied at Closing, but without affecting the requirement that such conditions be satisfied or waived at Closing), the closing of the Subscription contemplated hereby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shall occur substantially concurrent with the closing of the Other Subscriptions (such date, the “</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b.             On or prior to 4:00 p.m. New York City time on the date disclosed in the Closing Notice (as defined herein) that is two business days prior to the anticipated date of Closing (the “</w:t>
      </w:r>
      <w:r>
        <w:rPr>
          <w:rFonts w:ascii="Times New Roman" w:cs="Times New Roman" w:eastAsia="Times New Roman" w:hAnsi="Times New Roman"/>
          <w:sz w:val="12"/>
          <w:szCs w:val="12"/>
          <w:u w:val="single" w:color="auto"/>
          <w:color w:val="auto"/>
        </w:rPr>
        <w:t>Escrow Payment Deadline</w:t>
      </w:r>
      <w:r>
        <w:rPr>
          <w:rFonts w:ascii="Times New Roman" w:cs="Times New Roman" w:eastAsia="Times New Roman" w:hAnsi="Times New Roman"/>
          <w:sz w:val="12"/>
          <w:szCs w:val="12"/>
          <w:color w:val="auto"/>
        </w:rPr>
        <w:t>”), each Subscriber will pay its total Purchase Price by transfer of either SOL subject to certain transfer restrictions of such SOL as imposed by the Solana Foundation or the FTX bankruptcy estate (“</w:t>
      </w:r>
      <w:r>
        <w:rPr>
          <w:rFonts w:ascii="Times New Roman" w:cs="Times New Roman" w:eastAsia="Times New Roman" w:hAnsi="Times New Roman"/>
          <w:sz w:val="12"/>
          <w:szCs w:val="12"/>
          <w:u w:val="single" w:color="auto"/>
          <w:color w:val="auto"/>
        </w:rPr>
        <w:t>Locked SOL</w:t>
      </w:r>
      <w:r>
        <w:rPr>
          <w:rFonts w:ascii="Times New Roman" w:cs="Times New Roman" w:eastAsia="Times New Roman" w:hAnsi="Times New Roman"/>
          <w:sz w:val="12"/>
          <w:szCs w:val="12"/>
          <w:color w:val="auto"/>
        </w:rPr>
        <w:t>”) or SOL not subject to any transfer restrictions (“</w:t>
      </w:r>
      <w:r>
        <w:rPr>
          <w:rFonts w:ascii="Times New Roman" w:cs="Times New Roman" w:eastAsia="Times New Roman" w:hAnsi="Times New Roman"/>
          <w:sz w:val="12"/>
          <w:szCs w:val="12"/>
          <w:u w:val="single" w:color="auto"/>
          <w:color w:val="auto"/>
        </w:rPr>
        <w:t>Unlocked SOL</w:t>
      </w:r>
      <w:r>
        <w:rPr>
          <w:rFonts w:ascii="Times New Roman" w:cs="Times New Roman" w:eastAsia="Times New Roman" w:hAnsi="Times New Roman"/>
          <w:sz w:val="12"/>
          <w:szCs w:val="12"/>
          <w:color w:val="auto"/>
        </w:rPr>
        <w:t>”) to an applicable wallet address in the name of Marvel Operations Corp., a Delaware corporation and wholly-owned subsidiary of Issuer (the “</w:t>
      </w:r>
      <w:r>
        <w:rPr>
          <w:rFonts w:ascii="Times New Roman" w:cs="Times New Roman" w:eastAsia="Times New Roman" w:hAnsi="Times New Roman"/>
          <w:sz w:val="12"/>
          <w:szCs w:val="12"/>
          <w:u w:val="single" w:color="auto"/>
          <w:color w:val="auto"/>
        </w:rPr>
        <w:t>Custodial Account</w:t>
      </w:r>
      <w:r>
        <w:rPr>
          <w:rFonts w:ascii="Times New Roman" w:cs="Times New Roman" w:eastAsia="Times New Roman" w:hAnsi="Times New Roman"/>
          <w:sz w:val="12"/>
          <w:szCs w:val="12"/>
          <w:color w:val="auto"/>
        </w:rPr>
        <w:t>”). At the Closing, the Issuer shall deliver or cause to be delivered to the Subscriber a number of Acquired Securities, registered in the name of the Subscriber (or its nominee in accordance with such Subscriber’s delivery instructions), equal to the number of Acquired Securities indicated on the Subscriber’s signature page to this Subscription Agreement. The Issuer will deliver or cause to be delivered to Subscriber as promptly as practicable after the Closing, evidence from the Issuer’s transfer agent of the issuance to Subscriber of Subscriber’s Acquired Securities on and as of the Closing Date. The amount of Unlocked SOL to be paid to the Issuer shall equal (a) the Subscriber’s Purchase Price divided by</w:t>
      </w:r>
    </w:p>
    <w:p>
      <w:pPr>
        <w:spacing w:after="0" w:line="2" w:lineRule="exact"/>
        <w:rPr>
          <w:sz w:val="20"/>
          <w:szCs w:val="20"/>
          <w:color w:val="auto"/>
        </w:rPr>
      </w:pPr>
    </w:p>
    <w:p>
      <w:pPr>
        <w:jc w:val="both"/>
        <w:ind w:left="8" w:right="20" w:hanging="8"/>
        <w:spacing w:after="0" w:line="255" w:lineRule="auto"/>
        <w:tabs>
          <w:tab w:leader="none" w:pos="178"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$243.9008333 (representing the Time-Weighted Average Price (“</w:t>
      </w:r>
      <w:r>
        <w:rPr>
          <w:rFonts w:ascii="Times New Roman" w:cs="Times New Roman" w:eastAsia="Times New Roman" w:hAnsi="Times New Roman"/>
          <w:sz w:val="12"/>
          <w:szCs w:val="12"/>
          <w:u w:val="single" w:color="auto"/>
          <w:color w:val="auto"/>
        </w:rPr>
        <w:t>TWAP</w:t>
      </w:r>
      <w:r>
        <w:rPr>
          <w:rFonts w:ascii="Times New Roman" w:cs="Times New Roman" w:eastAsia="Times New Roman" w:hAnsi="Times New Roman"/>
          <w:sz w:val="12"/>
          <w:szCs w:val="12"/>
          <w:color w:val="auto"/>
        </w:rPr>
        <w:t>”) of SOL over the 24-hour period ending at 12:00 p.m. Eastern Time on the Sunday immediately preceding the date hereof, as quoted on Binance Spot). The amount of Locked SOL to be paid to the Issuer shall equal (a) the Subscriber’s Purchase Price divided by (b) $219.511 (representing 90% of the TWAP of SOL over the 24-hour period ending at 12:00 p.m. Eastern Time on the Sunday immediately preceding the date hereof, as quoted on Binance Spot).</w:t>
      </w:r>
    </w:p>
    <w:p>
      <w:pPr>
        <w:spacing w:after="0" w:line="125" w:lineRule="exact"/>
        <w:rPr>
          <w:sz w:val="20"/>
          <w:szCs w:val="20"/>
          <w:color w:val="auto"/>
        </w:rPr>
      </w:pPr>
    </w:p>
    <w:p>
      <w:pPr>
        <w:ind w:left="8" w:firstLine="864"/>
        <w:spacing w:after="0" w:line="279" w:lineRule="auto"/>
        <w:rPr>
          <w:sz w:val="20"/>
          <w:szCs w:val="20"/>
          <w:color w:val="auto"/>
        </w:rPr>
      </w:pPr>
      <w:r>
        <w:rPr>
          <w:rFonts w:ascii="Times New Roman" w:cs="Times New Roman" w:eastAsia="Times New Roman" w:hAnsi="Times New Roman"/>
          <w:sz w:val="12"/>
          <w:szCs w:val="12"/>
          <w:color w:val="auto"/>
        </w:rPr>
        <w:t xml:space="preserve">c.             Subject to the satisfaction or waiver of the conditions set forth in </w:t>
      </w:r>
      <w:r>
        <w:rPr>
          <w:rFonts w:ascii="Times New Roman" w:cs="Times New Roman" w:eastAsia="Times New Roman" w:hAnsi="Times New Roman"/>
          <w:sz w:val="12"/>
          <w:szCs w:val="12"/>
          <w:u w:val="single" w:color="auto"/>
          <w:color w:val="auto"/>
        </w:rPr>
        <w:t>Sections 2.c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2.d</w:t>
      </w:r>
      <w:r>
        <w:rPr>
          <w:rFonts w:ascii="Times New Roman" w:cs="Times New Roman" w:eastAsia="Times New Roman" w:hAnsi="Times New Roman"/>
          <w:sz w:val="12"/>
          <w:szCs w:val="12"/>
          <w:color w:val="auto"/>
        </w:rPr>
        <w:t xml:space="preserve"> (other than those conditions that by their nature are to be satisfied at Closing, but without affecting the requirement that such conditions be satisfied or waived at Closing):</w:t>
      </w:r>
    </w:p>
    <w:p>
      <w:pPr>
        <w:spacing w:after="0" w:line="111" w:lineRule="exact"/>
        <w:rPr>
          <w:sz w:val="20"/>
          <w:szCs w:val="20"/>
          <w:color w:val="auto"/>
        </w:rPr>
      </w:pPr>
    </w:p>
    <w:p>
      <w:pPr>
        <w:jc w:val="both"/>
        <w:ind w:left="8" w:firstLine="1288"/>
        <w:spacing w:after="0" w:line="265" w:lineRule="auto"/>
        <w:tabs>
          <w:tab w:leader="none" w:pos="145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shall deliver to the Issuer on the Escrow Payment Deadline, any other information that is reasonably requested in the notice provided by Issuer (the “</w:t>
      </w:r>
      <w:r>
        <w:rPr>
          <w:rFonts w:ascii="Times New Roman" w:cs="Times New Roman" w:eastAsia="Times New Roman" w:hAnsi="Times New Roman"/>
          <w:sz w:val="12"/>
          <w:szCs w:val="12"/>
          <w:u w:val="single" w:color="auto"/>
          <w:color w:val="auto"/>
        </w:rPr>
        <w:t>Closing Notice</w:t>
      </w:r>
      <w:r>
        <w:rPr>
          <w:rFonts w:ascii="Times New Roman" w:cs="Times New Roman" w:eastAsia="Times New Roman" w:hAnsi="Times New Roman"/>
          <w:sz w:val="12"/>
          <w:szCs w:val="12"/>
          <w:color w:val="auto"/>
        </w:rPr>
        <w:t>”) that is required in order to enable the Issuer to issue and sell the Acquired Securities, including, without limitation, the legal name of the person (or nominee) in whose name such Acquired Securities are to be delivered and a duly executed Internal Revenue Service Form W-9 or W-8, as applicable; and</w:t>
      </w:r>
    </w:p>
    <w:p>
      <w:pPr>
        <w:spacing w:after="0" w:line="118" w:lineRule="exact"/>
        <w:rPr>
          <w:rFonts w:ascii="Times New Roman" w:cs="Times New Roman" w:eastAsia="Times New Roman" w:hAnsi="Times New Roman"/>
          <w:sz w:val="12"/>
          <w:szCs w:val="12"/>
          <w:color w:val="auto"/>
        </w:rPr>
      </w:pPr>
    </w:p>
    <w:p>
      <w:pPr>
        <w:jc w:val="both"/>
        <w:ind w:left="8" w:firstLine="1288"/>
        <w:spacing w:after="0" w:line="265" w:lineRule="auto"/>
        <w:tabs>
          <w:tab w:leader="none" w:pos="1489"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Closing Date, the Issuer shall deliver or cause to be delivered to Subscriber the Acquired Securities against and upon payment by Subscriber in book-entry form, free and clear of any Liens (as defined below) or other restrictions whatsoever (other than those arising under state or federal securities laws), in the name of Subscriber (or its nominee in accordance with its delivery instructions) or to a custodian designated by Subscriber, as applicable. Each book entry for the Acquired Securities shall contain a legend in substantially the following form:</w:t>
      </w:r>
    </w:p>
    <w:p>
      <w:pPr>
        <w:spacing w:after="0" w:line="119" w:lineRule="exact"/>
        <w:rPr>
          <w:sz w:val="20"/>
          <w:szCs w:val="20"/>
          <w:color w:val="auto"/>
        </w:rPr>
      </w:pPr>
    </w:p>
    <w:p>
      <w:pPr>
        <w:jc w:val="both"/>
        <w:ind w:left="428"/>
        <w:spacing w:after="0" w:line="256" w:lineRule="auto"/>
        <w:rPr>
          <w:sz w:val="20"/>
          <w:szCs w:val="20"/>
          <w:color w:val="auto"/>
        </w:rPr>
      </w:pPr>
      <w:r>
        <w:rPr>
          <w:rFonts w:ascii="Times New Roman" w:cs="Times New Roman" w:eastAsia="Times New Roman" w:hAnsi="Times New Roman"/>
          <w:sz w:val="12"/>
          <w:szCs w:val="12"/>
          <w:color w:val="auto"/>
        </w:rPr>
        <w:t>[NEITHER] THIS SECURITY [NOR THE SECURITIES INTO WHICH THIS SECURITY IS EXERCISABLE]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0" w:name="page121"/>
    <w:bookmarkEnd w:id="120"/>
    <w:p>
      <w:pPr>
        <w:ind w:right="20" w:firstLine="864"/>
        <w:spacing w:after="0" w:line="279" w:lineRule="auto"/>
        <w:rPr>
          <w:sz w:val="20"/>
          <w:szCs w:val="20"/>
          <w:color w:val="auto"/>
        </w:rPr>
      </w:pPr>
      <w:r>
        <w:rPr>
          <w:rFonts w:ascii="Times New Roman" w:cs="Times New Roman" w:eastAsia="Times New Roman" w:hAnsi="Times New Roman"/>
          <w:sz w:val="12"/>
          <w:szCs w:val="12"/>
          <w:color w:val="auto"/>
        </w:rPr>
        <w:t>d.            The Issuer’s obligation to effect the Closing shall be subject to the satisfaction on the Closing Date, or, to the extent permitted by applicable law, the waiver by the Issuer on the Closing Date, of each of the following conditions:</w:t>
      </w:r>
    </w:p>
    <w:p>
      <w:pPr>
        <w:spacing w:after="0" w:line="111" w:lineRule="exact"/>
        <w:rPr>
          <w:sz w:val="20"/>
          <w:szCs w:val="20"/>
          <w:color w:val="auto"/>
        </w:rPr>
      </w:pPr>
    </w:p>
    <w:p>
      <w:pPr>
        <w:ind w:left="1440" w:hanging="152"/>
        <w:spacing w:after="0"/>
        <w:tabs>
          <w:tab w:leader="none" w:pos="144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Placement Agent and the Issuer shall each have received a completed copy of the “Eligibility Representations of Subscriber” questionnaire in substantially the form attached as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no</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later than the Closing Date;</w:t>
      </w:r>
    </w:p>
    <w:p>
      <w:pPr>
        <w:spacing w:after="0" w:line="139" w:lineRule="exact"/>
        <w:rPr>
          <w:rFonts w:ascii="Times New Roman" w:cs="Times New Roman" w:eastAsia="Times New Roman" w:hAnsi="Times New Roman"/>
          <w:sz w:val="12"/>
          <w:szCs w:val="12"/>
          <w:color w:val="auto"/>
        </w:rPr>
      </w:pPr>
    </w:p>
    <w:p>
      <w:pPr>
        <w:ind w:left="1460" w:hanging="172"/>
        <w:spacing w:after="0"/>
        <w:tabs>
          <w:tab w:leader="none" w:pos="146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All Subscribers party to this Agreement shall have delivered to the Issuer an executed lock-up agreement in the form attached hereto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right="20" w:firstLine="1288"/>
        <w:spacing w:after="0" w:line="279" w:lineRule="auto"/>
        <w:tabs>
          <w:tab w:leader="none" w:pos="1508"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representations and warranties of Subscriber contained in this Subscription Agreement shall be true and correct in all material respects (other than representations and warranties that are qualified as to materiality or Subscriber Material Adverse Effect (as defined herein), which representations and warranties shall be true and correct in all respects) at and as of the Closing Date;</w:t>
      </w:r>
    </w:p>
    <w:p>
      <w:pPr>
        <w:spacing w:after="0" w:line="111" w:lineRule="exact"/>
        <w:rPr>
          <w:rFonts w:ascii="Times New Roman" w:cs="Times New Roman" w:eastAsia="Times New Roman" w:hAnsi="Times New Roman"/>
          <w:sz w:val="12"/>
          <w:szCs w:val="12"/>
          <w:color w:val="auto"/>
        </w:rPr>
      </w:pPr>
    </w:p>
    <w:p>
      <w:pPr>
        <w:jc w:val="both"/>
        <w:ind w:firstLine="1288"/>
        <w:spacing w:after="0" w:line="265" w:lineRule="auto"/>
        <w:tabs>
          <w:tab w:leader="none" w:pos="1514"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shall have performed, satisfied and complied in all material respects with all covenants, agreements and conditions required by this Subscription Agreement to be performed, satisfied or complied with by it at or prior to the Closing, except where the failure of such performance, satisfaction or compliance would not or would not be reasonably expected to prevent, materially delay or materially impair the ability of Subscriber to consummate the Closing; and</w:t>
      </w:r>
    </w:p>
    <w:p>
      <w:pPr>
        <w:spacing w:after="0" w:line="118" w:lineRule="exact"/>
        <w:rPr>
          <w:rFonts w:ascii="Times New Roman" w:cs="Times New Roman" w:eastAsia="Times New Roman" w:hAnsi="Times New Roman"/>
          <w:sz w:val="12"/>
          <w:szCs w:val="12"/>
          <w:color w:val="auto"/>
        </w:rPr>
      </w:pPr>
    </w:p>
    <w:p>
      <w:pPr>
        <w:jc w:val="both"/>
        <w:ind w:firstLine="1288"/>
        <w:spacing w:after="0" w:line="265" w:lineRule="auto"/>
        <w:tabs>
          <w:tab w:leader="none" w:pos="1466"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applicable governmental authority shall have enacted, issued, promulgated, enforced or entered any judgment, order, law, rule or regulation (whether temporary, preliminary or permanent) that is then in effect and has the effect of making consummation of the Subscription illegal or otherwise preventing or prohibiting consummation of the Subscription, and no governmental authority shall have instituted or threatened in writing a proceeding seeking to impose any such prevention or prohibition.</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             Subscriber’s obligation to effect the Closing shall be subject to the satisfaction on the Closing Date, or, to the extent permitted by applicable law, the written waiver by Subscriber, of each of the following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conditions:</w:t>
      </w:r>
    </w:p>
    <w:p>
      <w:pPr>
        <w:spacing w:after="0" w:line="139" w:lineRule="exact"/>
        <w:rPr>
          <w:sz w:val="20"/>
          <w:szCs w:val="20"/>
          <w:color w:val="auto"/>
        </w:rPr>
      </w:pPr>
    </w:p>
    <w:p>
      <w:pPr>
        <w:jc w:val="both"/>
        <w:ind w:right="20" w:firstLine="1288"/>
        <w:spacing w:after="0" w:line="265" w:lineRule="auto"/>
        <w:tabs>
          <w:tab w:leader="none" w:pos="1442"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suspension of the listing on The Nasdaq Capital Market or another national securities exchange (collectively, the “</w:t>
      </w:r>
      <w:r>
        <w:rPr>
          <w:rFonts w:ascii="Times New Roman" w:cs="Times New Roman" w:eastAsia="Times New Roman" w:hAnsi="Times New Roman"/>
          <w:sz w:val="12"/>
          <w:szCs w:val="12"/>
          <w:u w:val="single" w:color="auto"/>
          <w:color w:val="auto"/>
        </w:rPr>
        <w:t>Exchange</w:t>
      </w:r>
      <w:r>
        <w:rPr>
          <w:rFonts w:ascii="Times New Roman" w:cs="Times New Roman" w:eastAsia="Times New Roman" w:hAnsi="Times New Roman"/>
          <w:sz w:val="12"/>
          <w:szCs w:val="12"/>
          <w:color w:val="auto"/>
        </w:rPr>
        <w:t>”), of the Common Stock shall have occurred, and the Issuer shall have filed with The Nasdaq Stock Market LLC (“</w:t>
      </w:r>
      <w:r>
        <w:rPr>
          <w:rFonts w:ascii="Times New Roman" w:cs="Times New Roman" w:eastAsia="Times New Roman" w:hAnsi="Times New Roman"/>
          <w:sz w:val="12"/>
          <w:szCs w:val="12"/>
          <w:u w:val="single" w:color="auto"/>
          <w:color w:val="auto"/>
        </w:rPr>
        <w:t>Nasdaq</w:t>
      </w:r>
      <w:r>
        <w:rPr>
          <w:rFonts w:ascii="Times New Roman" w:cs="Times New Roman" w:eastAsia="Times New Roman" w:hAnsi="Times New Roman"/>
          <w:sz w:val="12"/>
          <w:szCs w:val="12"/>
          <w:color w:val="auto"/>
        </w:rPr>
        <w:t>”) a Notification Form: Listing of Additional Shares for the listing of the Warrant Shares. In the event that Nasdaq raises any objection to such notice or to the transactions contemplated hereby, the Issuer shall be afforded a reasonable period of time to cure such objection to the satisfaction of Nasdaq;</w:t>
      </w:r>
    </w:p>
    <w:p>
      <w:pPr>
        <w:spacing w:after="0" w:line="118" w:lineRule="exact"/>
        <w:rPr>
          <w:rFonts w:ascii="Times New Roman" w:cs="Times New Roman" w:eastAsia="Times New Roman" w:hAnsi="Times New Roman"/>
          <w:sz w:val="12"/>
          <w:szCs w:val="12"/>
          <w:color w:val="auto"/>
        </w:rPr>
      </w:pPr>
    </w:p>
    <w:p>
      <w:pPr>
        <w:jc w:val="both"/>
        <w:ind w:firstLine="1288"/>
        <w:spacing w:after="0" w:line="265" w:lineRule="auto"/>
        <w:tabs>
          <w:tab w:leader="none" w:pos="1477"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representations and warranties of the Issuer contained in this Subscription Agreement shall be true and correct in all material respects (other than representations and warranties that are qualified as to materiality or Material Adverse Effect (as defined herein), which representations and warranties shall be true and correct in all respects) at and as of the Closing Date (except for representations and warranties made as of a specific date, which shall be true and correct in all material respects or in all respects, as applicable as of such date);</w:t>
      </w:r>
    </w:p>
    <w:p>
      <w:pPr>
        <w:spacing w:after="0" w:line="118" w:lineRule="exact"/>
        <w:rPr>
          <w:rFonts w:ascii="Times New Roman" w:cs="Times New Roman" w:eastAsia="Times New Roman" w:hAnsi="Times New Roman"/>
          <w:sz w:val="12"/>
          <w:szCs w:val="12"/>
          <w:color w:val="auto"/>
        </w:rPr>
      </w:pPr>
    </w:p>
    <w:p>
      <w:pPr>
        <w:ind w:right="20" w:firstLine="1288"/>
        <w:spacing w:after="0" w:line="279" w:lineRule="auto"/>
        <w:tabs>
          <w:tab w:leader="none" w:pos="1513"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 shall have performed, satisfied and complied (unless waived) in all material respects with all covenants, agreements and conditions required by this Subscription Agreement to be performed, satisfied or complied with by it at or prior to the Closing;</w:t>
      </w:r>
    </w:p>
    <w:p>
      <w:pPr>
        <w:spacing w:after="0" w:line="111" w:lineRule="exact"/>
        <w:rPr>
          <w:rFonts w:ascii="Times New Roman" w:cs="Times New Roman" w:eastAsia="Times New Roman" w:hAnsi="Times New Roman"/>
          <w:sz w:val="12"/>
          <w:szCs w:val="12"/>
          <w:color w:val="auto"/>
        </w:rPr>
      </w:pPr>
    </w:p>
    <w:p>
      <w:pPr>
        <w:jc w:val="both"/>
        <w:ind w:right="20" w:firstLine="1288"/>
        <w:spacing w:after="0" w:line="265" w:lineRule="auto"/>
        <w:tabs>
          <w:tab w:leader="none" w:pos="1503"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applicable governmental authority shall have enacted, issued, promulgated, enforced or entered any judgment, order, law, rule or regulation (whether temporary, preliminary or permanent) that is then in effect and has the effect of making consummation of the Subscription illegal or otherwise preventing or prohibiting consummation of the Subscription and no governmental authority shall have instituted or threatened in writing a proceeding seeking to impose any such prevention or prohibition;</w:t>
      </w:r>
    </w:p>
    <w:p>
      <w:pPr>
        <w:spacing w:after="0" w:line="255" w:lineRule="exact"/>
        <w:rPr>
          <w:rFonts w:ascii="Times New Roman" w:cs="Times New Roman" w:eastAsia="Times New Roman" w:hAnsi="Times New Roman"/>
          <w:sz w:val="12"/>
          <w:szCs w:val="12"/>
          <w:color w:val="auto"/>
        </w:rPr>
      </w:pPr>
    </w:p>
    <w:p>
      <w:pPr>
        <w:ind w:left="5600" w:hanging="76"/>
        <w:spacing w:after="0"/>
        <w:tabs>
          <w:tab w:leader="none" w:pos="560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1" w:name="page122"/>
    <w:bookmarkEnd w:id="121"/>
    <w:p>
      <w:pPr>
        <w:ind w:left="1468" w:hanging="172"/>
        <w:spacing w:after="0"/>
        <w:tabs>
          <w:tab w:leader="none" w:pos="1468"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 shall have provided each Subscriber with the Custodial Account information;</w:t>
      </w:r>
    </w:p>
    <w:p>
      <w:pPr>
        <w:spacing w:after="0" w:line="150" w:lineRule="exact"/>
        <w:rPr>
          <w:rFonts w:ascii="Times New Roman" w:cs="Times New Roman" w:eastAsia="Times New Roman" w:hAnsi="Times New Roman"/>
          <w:sz w:val="12"/>
          <w:szCs w:val="12"/>
          <w:color w:val="auto"/>
        </w:rPr>
      </w:pPr>
    </w:p>
    <w:p>
      <w:pPr>
        <w:ind w:left="1508" w:hanging="212"/>
        <w:spacing w:after="0"/>
        <w:tabs>
          <w:tab w:leader="none" w:pos="1508"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 shall have delivered a Pre-Funded Warrant registered in the name of such Subscriber to purchase up to a number of Warrant Shares included on the signature page hereto;</w:t>
      </w:r>
    </w:p>
    <w:p>
      <w:pPr>
        <w:spacing w:after="0" w:line="150" w:lineRule="exact"/>
        <w:rPr>
          <w:rFonts w:ascii="Times New Roman" w:cs="Times New Roman" w:eastAsia="Times New Roman" w:hAnsi="Times New Roman"/>
          <w:sz w:val="12"/>
          <w:szCs w:val="12"/>
          <w:color w:val="auto"/>
        </w:rPr>
      </w:pPr>
    </w:p>
    <w:p>
      <w:pPr>
        <w:jc w:val="both"/>
        <w:ind w:left="8" w:firstLine="1288"/>
        <w:spacing w:after="0" w:line="265" w:lineRule="auto"/>
        <w:tabs>
          <w:tab w:leader="none" w:pos="1545"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Issuer shall have delivered a Stapled Warrant registered in the name of such Subscriber to purchase up to a number of Warrant Shares included on the signature page hereto, which Stapled Warrants shall be exercisable immediately and shall expire upon the earliest of (x) 36 months after the Closing Date, (y) when exercised in full, or (z) if earlier redeemed or terminated in accordance with its terms, in the form of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attached hereto; and</w:t>
      </w:r>
    </w:p>
    <w:p>
      <w:pPr>
        <w:spacing w:after="0" w:line="118" w:lineRule="exact"/>
        <w:rPr>
          <w:rFonts w:ascii="Times New Roman" w:cs="Times New Roman" w:eastAsia="Times New Roman" w:hAnsi="Times New Roman"/>
          <w:sz w:val="12"/>
          <w:szCs w:val="12"/>
          <w:color w:val="auto"/>
        </w:rPr>
      </w:pPr>
    </w:p>
    <w:p>
      <w:pPr>
        <w:ind w:left="1568" w:hanging="272"/>
        <w:spacing w:after="0"/>
        <w:tabs>
          <w:tab w:leader="none" w:pos="1568"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or series of events that, individually or in the aggregate, has had or would reasonably be expected to have a Material Adverse Effect (as defined herein) shall have occurred and be continuing on</w:t>
      </w:r>
    </w:p>
    <w:p>
      <w:pPr>
        <w:spacing w:after="0" w:line="1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Closing Date; and</w:t>
      </w:r>
    </w:p>
    <w:p>
      <w:pPr>
        <w:spacing w:after="0" w:line="139"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f.               Notwithstanding anything to the contrary contained herein, Subscriber may notify the Issuer in writing in the event it elects to be subject to the provisions contained in this Section 2(f); however, no Subscriber shall be subject to this Section 2(f) unless he, she or it makes such election. If the election is made by the Subscriber, in no event shall the Subscriber be permitted to acquire Acquired Securities to the extent that, immediately after giving effect to such acquisition, the Subscriber (together with its affiliates and any other persons or entities whose beneficial ownership of Common Stock would be aggregated with the Subscriber’s for purposes of Section 13(d) of the Securities Exchange Act of 1934, as amended, and the applicable regulations of the Securities and Exchange Commission), would beneficially own in excess of [4.99/9.99%] of the then outstanding shares of Common Stock of the Issuer (the “Beneficial Ownership Limitation”). For purposes of this provision, beneficial ownership shall be calculated in accordance with Section 13(d) of the Exchange Act and the rules and regulations promulgated thereunder. The Beneficial Ownership Limitation may be increased or decreased by the Subscriber upon written notice to the Issuer, provided that any increase shall not be effective until the 61st day after such notice is delivered to the Issuer and in no event shall the Beneficial Ownership Limitation exceed 19.99%.</w:t>
      </w:r>
    </w:p>
    <w:p>
      <w:pPr>
        <w:spacing w:after="0" w:line="126"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g.              Prior to or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3.           </w:t>
      </w:r>
      <w:r>
        <w:rPr>
          <w:rFonts w:ascii="Times New Roman" w:cs="Times New Roman" w:eastAsia="Times New Roman" w:hAnsi="Times New Roman"/>
          <w:sz w:val="12"/>
          <w:szCs w:val="12"/>
          <w:u w:val="single" w:color="auto"/>
          <w:color w:val="auto"/>
        </w:rPr>
        <w:t>  Issuer Representations and Warranties</w:t>
      </w:r>
      <w:r>
        <w:rPr>
          <w:rFonts w:ascii="Times New Roman" w:cs="Times New Roman" w:eastAsia="Times New Roman" w:hAnsi="Times New Roman"/>
          <w:sz w:val="12"/>
          <w:szCs w:val="12"/>
          <w:color w:val="auto"/>
        </w:rPr>
        <w:t>. The Issuer represents and warrants, as of the date hereof and the Closing Date, that:</w:t>
      </w:r>
    </w:p>
    <w:p>
      <w:pPr>
        <w:spacing w:after="0" w:line="17"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left="8" w:firstLine="864"/>
        <w:spacing w:after="0" w:line="273" w:lineRule="auto"/>
        <w:rPr>
          <w:sz w:val="20"/>
          <w:szCs w:val="20"/>
          <w:color w:val="auto"/>
        </w:rPr>
      </w:pPr>
      <w:r>
        <w:rPr>
          <w:rFonts w:ascii="Times New Roman" w:cs="Times New Roman" w:eastAsia="Times New Roman" w:hAnsi="Times New Roman"/>
          <w:sz w:val="11"/>
          <w:szCs w:val="11"/>
          <w:color w:val="auto"/>
        </w:rPr>
        <w:t>a.             The Issuer has been duly incorporated and is validly existing as a corporation in good standing under the laws of the State of Delaware, with corporate power and authority to own, lease and operate its respective properties and conduct its business as presently conducted and to enter into, deliver and perform its obligations under this Subscription Agreement. The Issuer, as set forth in the SEC Documents, is not in violation or default of any of the provisions of its respective certificate or articles of incorporation, memorandum and articles of association, bylaws, or other organizational or charter documents, as applicable (the “</w:t>
      </w:r>
      <w:r>
        <w:rPr>
          <w:rFonts w:ascii="Times New Roman" w:cs="Times New Roman" w:eastAsia="Times New Roman" w:hAnsi="Times New Roman"/>
          <w:sz w:val="11"/>
          <w:szCs w:val="11"/>
          <w:u w:val="single" w:color="auto"/>
          <w:color w:val="auto"/>
        </w:rPr>
        <w:t>Charter Documents</w:t>
      </w:r>
      <w:r>
        <w:rPr>
          <w:rFonts w:ascii="Times New Roman" w:cs="Times New Roman" w:eastAsia="Times New Roman" w:hAnsi="Times New Roman"/>
          <w:sz w:val="11"/>
          <w:szCs w:val="11"/>
          <w:color w:val="auto"/>
        </w:rPr>
        <w:t>”). The Issuer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(as defined below),</w:t>
      </w:r>
    </w:p>
    <w:p>
      <w:pPr>
        <w:spacing w:after="0" w:line="1" w:lineRule="exact"/>
        <w:rPr>
          <w:sz w:val="20"/>
          <w:szCs w:val="20"/>
          <w:color w:val="auto"/>
        </w:rPr>
      </w:pPr>
    </w:p>
    <w:p>
      <w:pPr>
        <w:jc w:val="both"/>
        <w:ind w:left="8" w:hanging="8"/>
        <w:spacing w:after="0" w:line="253" w:lineRule="auto"/>
        <w:tabs>
          <w:tab w:leader="none" w:pos="186"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material adverse effect on the results of operations, assets, business, prospects or condition (financial or otherwise) of the Issuer, or (iii) a material adverse effect on the Issuer’s ability to perform in any material respect on a timely basis its obligations under any Transaction Document (any of (i), (ii) or (iii), a “</w:t>
      </w: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and no Proceeding has been instituted in any such jurisdiction revoking, limiting or curtailing or seeking to revoke, limit or curtail such power and authority or qualification. “</w:t>
      </w:r>
      <w:r>
        <w:rPr>
          <w:rFonts w:ascii="Times New Roman" w:cs="Times New Roman" w:eastAsia="Times New Roman" w:hAnsi="Times New Roman"/>
          <w:sz w:val="12"/>
          <w:szCs w:val="12"/>
          <w:u w:val="single" w:color="auto"/>
          <w:color w:val="auto"/>
        </w:rPr>
        <w:t>Proceeding</w:t>
      </w:r>
      <w:r>
        <w:rPr>
          <w:rFonts w:ascii="Times New Roman" w:cs="Times New Roman" w:eastAsia="Times New Roman" w:hAnsi="Times New Roman"/>
          <w:sz w:val="12"/>
          <w:szCs w:val="12"/>
          <w:color w:val="auto"/>
        </w:rPr>
        <w:t>” means an action, claim, suit, investigation or proceeding (including, without limitation, an informal investigation or partial proceeding, such as a deposition), whether commenced or threatened.</w:t>
      </w:r>
    </w:p>
    <w:p>
      <w:pPr>
        <w:spacing w:after="0" w:line="127"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b.             The Pre-Funded Warrants are duly authorized and, when issued in accordance with this Agreement, will be duly and validly issued and constitute the legal, valid and binding obligations of the Issuer, enforceable against the Issuer in accordance with their terms free and clear of all liens imposed by the Issuer. The Pre-Funded Warrant Shares have been duly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Documents (as defined below) or restrictions on transfer under applicable state and federal securities laws), and the holder of the Pre-Funded Warrant Shares shall be entitled to all rights accorded to a holder of Common Stock.</w:t>
      </w:r>
    </w:p>
    <w:p>
      <w:pPr>
        <w:spacing w:after="0" w:line="2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2" w:name="page123"/>
    <w:bookmarkEnd w:id="122"/>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c.            The Stapled Warrants are duly authorized and, when issued in accordance with this Agreement, will be duly and validly issued and constitute the legal, valid and binding obligations of the Issuer, enforceable against the Issuer in accordance with their terms free and clear of all Liens imposed by the Issuer. The Stapled Warrant Shares, when issued in accordance with the terms of the Stapled Warrants, will be duly authorized, validly issued, fully paid and nonassessable, free and clear of all Liens imposed by the Issuer other than restrictions on transfer provided for in the Transaction Documents or restrictions on transfer under applicable state and federal securities laws), and the holder of the Stapled Warrant Shares shall be entitled to all rights accorded to a holder of Common Stock. The Strategic Advisor Warrant Shares, when issued in accordance with the terms of the Strategic Advisor Warrants, will be duly authorized, validly issued, fully paid and nonassessable, free and clear of all Liens imposed by the Issuer other than restrictions on transfer provided for in the Transaction Documents.</w:t>
      </w:r>
    </w:p>
    <w:p>
      <w:pPr>
        <w:spacing w:after="0" w:line="125"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d.            The Issuer has reserved from its duly authorized capital stock the maximum number of shares of Common Stock issuable pursuant to this Agreement, the Pre-Funded Warrants, the Stapled Warrants and the Strategic Advisor Warrants.</w:t>
      </w:r>
    </w:p>
    <w:p>
      <w:pPr>
        <w:spacing w:after="0" w:line="111"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e.             This Subscription Agreement, the Other Subscription Agreements, the Pre-Funded Warrants and the Stapled Warrants (collectively, the “</w:t>
      </w:r>
      <w:r>
        <w:rPr>
          <w:rFonts w:ascii="Times New Roman" w:cs="Times New Roman" w:eastAsia="Times New Roman" w:hAnsi="Times New Roman"/>
          <w:sz w:val="12"/>
          <w:szCs w:val="12"/>
          <w:u w:val="single" w:color="auto"/>
          <w:color w:val="auto"/>
        </w:rPr>
        <w:t>Transaction Documents</w:t>
      </w:r>
      <w:r>
        <w:rPr>
          <w:rFonts w:ascii="Times New Roman" w:cs="Times New Roman" w:eastAsia="Times New Roman" w:hAnsi="Times New Roman"/>
          <w:sz w:val="12"/>
          <w:szCs w:val="12"/>
          <w:color w:val="auto"/>
        </w:rPr>
        <w:t>”) have been duly authorized, executed and delivered by the Issuer and the Transaction Documents constitute the valid and legally binding obligation of the Issuer, enforceable against the Issuer in accordance with their respective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19"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 xml:space="preserve">f.             Assuming the accuracy of Subscriber’s representations and warranties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the execution and delivery of this Agreement the other Transaction Documents to which the Issuer is a party, and the performance by the Issuer of its obligations under the Transaction Documents, including the issuance and sale of the Acquired Securities, do not and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is a party or by which the Issuer is bound or to which any of the property or assets of the Issuer is subject, which would reasonably be expected to have, individually or in the aggregate, a Material Adverse Effect or materially affect the validity of the Acquired Securities or the legal authority of the Issuer to comply in all material respects with the terms of this Subscription Agreement or any other Transaction Document; (ii) the Charter Documents; or (iii) any statute or any judgment, order, rule or regulation of any court or governmental agency or body, domestic or foreign, having jurisdiction over the Issuer or any of its respective properties that would reasonably be expected to have, individually or in the aggregate, a Material Adverse Effect or materially affect the validity of the Acquired Securities or the legal authority of the Issuer to comply in all material respects with the terms of this Subscription Agreement or any other Transaction Document.</w:t>
      </w:r>
    </w:p>
    <w:p>
      <w:pPr>
        <w:spacing w:after="0" w:line="128"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g.            There are no securities or instruments issued by or to which the Issuer is a party containing anti-dilution, price reset or similar provisions that will be triggered by the issuance of (i) the Acquired Securities, or</w:t>
      </w:r>
    </w:p>
    <w:p>
      <w:pPr>
        <w:spacing w:after="0" w:line="17" w:lineRule="exact"/>
        <w:rPr>
          <w:sz w:val="20"/>
          <w:szCs w:val="20"/>
          <w:color w:val="auto"/>
        </w:rPr>
      </w:pPr>
    </w:p>
    <w:p>
      <w:pPr>
        <w:ind w:left="8" w:right="20" w:hanging="8"/>
        <w:spacing w:after="0" w:line="260" w:lineRule="auto"/>
        <w:tabs>
          <w:tab w:leader="none" w:pos="189"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Common Stock to be issued pursuant to any Other Subscription Agreement, Pre-Funded Warrants and Stapled Warrants, in each case, that have not been or will not be validly and irrevocably waived on or prior to the Closing Date.</w:t>
      </w:r>
    </w:p>
    <w:p>
      <w:pPr>
        <w:spacing w:after="0" w:line="122"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h.            Assuming the accuracy of each Subscriber’s representations and warranties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the Issuer is not required to obtain any consent, waiver, authorization or order of, give any notice to, or make any filing or registration with, any court or other federal, state, local or other governmental authority, self-regulatory organization (including the Exchange) or other person in connection with the execution, delivery and performance by the Issuer of this Subscription Agreement (including, without limitation, the issuance of the Acquired Securities and Warrant Shares), other than (i) the filing with the Securities and Exchange Commission (the “</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xml:space="preserve">”) of the Registration Statement (as defined below), (ii) the filings required in accordance with </w:t>
      </w:r>
      <w:r>
        <w:rPr>
          <w:rFonts w:ascii="Times New Roman" w:cs="Times New Roman" w:eastAsia="Times New Roman" w:hAnsi="Times New Roman"/>
          <w:sz w:val="12"/>
          <w:szCs w:val="12"/>
          <w:u w:val="single" w:color="auto"/>
          <w:color w:val="auto"/>
        </w:rPr>
        <w:t>Section 9.m</w:t>
      </w:r>
      <w:r>
        <w:rPr>
          <w:rFonts w:ascii="Times New Roman" w:cs="Times New Roman" w:eastAsia="Times New Roman" w:hAnsi="Times New Roman"/>
          <w:sz w:val="12"/>
          <w:szCs w:val="12"/>
          <w:color w:val="auto"/>
        </w:rPr>
        <w:t>, (iii) notifications required by each Exchange, (v) the Shareholder Approval (as defined below) and(v) the failure of which to obtain would not reasonably be expected to have, individually or in the aggregate, a Material Adverse Effect or have a material adverse effect on the Issuer’s ability to consummate the transactions contemplated hereby or thereby, including the sale and issuance of the Acquired Securities.</w:t>
      </w:r>
    </w:p>
    <w:p>
      <w:pPr>
        <w:spacing w:after="0" w:line="2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3" w:name="page124"/>
    <w:bookmarkEnd w:id="123"/>
    <w:p>
      <w:pPr>
        <w:jc w:val="both"/>
        <w:ind w:left="8" w:firstLine="864"/>
        <w:spacing w:after="0" w:line="278" w:lineRule="auto"/>
        <w:rPr>
          <w:sz w:val="20"/>
          <w:szCs w:val="20"/>
          <w:color w:val="auto"/>
        </w:rPr>
      </w:pPr>
      <w:r>
        <w:rPr>
          <w:rFonts w:ascii="Times New Roman" w:cs="Times New Roman" w:eastAsia="Times New Roman" w:hAnsi="Times New Roman"/>
          <w:sz w:val="11"/>
          <w:szCs w:val="11"/>
          <w:color w:val="auto"/>
        </w:rPr>
        <w:t>i.             As of the date hereof, the authorized capital stock of the Issuer consists of (i) 10,000,000 shares of preferred stock, par value $0.001 per share (“</w:t>
      </w:r>
      <w:r>
        <w:rPr>
          <w:rFonts w:ascii="Times New Roman" w:cs="Times New Roman" w:eastAsia="Times New Roman" w:hAnsi="Times New Roman"/>
          <w:sz w:val="11"/>
          <w:szCs w:val="11"/>
          <w:u w:val="single" w:color="auto"/>
          <w:color w:val="auto"/>
        </w:rPr>
        <w:t>Preferred Stock</w:t>
      </w:r>
      <w:r>
        <w:rPr>
          <w:rFonts w:ascii="Times New Roman" w:cs="Times New Roman" w:eastAsia="Times New Roman" w:hAnsi="Times New Roman"/>
          <w:sz w:val="11"/>
          <w:szCs w:val="11"/>
          <w:color w:val="auto"/>
        </w:rPr>
        <w:t>”), and (ii) 150,000,000 shares of Common Stock. As of the date hereof, there are no shares of Preferred Stock issued and outstanding, there are 1,077,257 shares of Common Stock issued and outstanding, and there are 9,683 total warrants outstanding, with a weighted average exercise price of $666.43 and a 5-year exercise term. The Issuer has not issued any shares of Common Stock since its most recently filed or furnished report under the Securities Exchange Act of 1934, as amended (the “</w:t>
      </w:r>
      <w:r>
        <w:rPr>
          <w:rFonts w:ascii="Times New Roman" w:cs="Times New Roman" w:eastAsia="Times New Roman" w:hAnsi="Times New Roman"/>
          <w:sz w:val="11"/>
          <w:szCs w:val="11"/>
          <w:u w:val="single" w:color="auto"/>
          <w:color w:val="auto"/>
        </w:rPr>
        <w:t>Exchange Act</w:t>
      </w:r>
      <w:r>
        <w:rPr>
          <w:rFonts w:ascii="Times New Roman" w:cs="Times New Roman" w:eastAsia="Times New Roman" w:hAnsi="Times New Roman"/>
          <w:sz w:val="11"/>
          <w:szCs w:val="11"/>
          <w:color w:val="auto"/>
        </w:rPr>
        <w:t>”), other than (i) pursuant to the exercise of employee share options under the Issuer’s outstanding share option awards, (ii) the issuance of Common Stock or other equity securities to employees pursuant to the Issuer’s equity incentive plan, and</w:t>
      </w:r>
    </w:p>
    <w:p>
      <w:pPr>
        <w:spacing w:after="0" w:line="1" w:lineRule="exact"/>
        <w:rPr>
          <w:sz w:val="20"/>
          <w:szCs w:val="20"/>
          <w:color w:val="auto"/>
        </w:rPr>
      </w:pPr>
    </w:p>
    <w:p>
      <w:pPr>
        <w:jc w:val="both"/>
        <w:ind w:left="8" w:hanging="8"/>
        <w:spacing w:after="0" w:line="251" w:lineRule="auto"/>
        <w:tabs>
          <w:tab w:leader="none" w:pos="218"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conversion and/or exercise of Common Stock Equivalents outstanding as of the date of the most recent Quarterly Report on Form 10-Q filed with the Commission. No Person has any right of first refusal, preemptive right, right of participation, or any similar right to participate in the transactions contemplated by the Transaction Documents. Except as a result of the purchase and sale of the Acquired Securities and described in the SEC Documents,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Stock, or contracts, commitments, understandings or arrangements by which the Issuer is or may become bound to issue additional Common Stock or Common Stock Equivalents. The issuance and sale of the Acquired Securities will not obligate the Issuer to issue Common Stock or other securities to any Person (other than the Subscribers). There are no outstanding securities or instruments of the Issuer with any provision that adjusts the exercise, conversion, exchange or reset price of such security or instrument upon an issuance of securities by the Issuer. There are no outstanding securities or instruments of the Issuer that contain any redemption or similar provisions, and there are no contracts, commitments, understandings or arrangements by which the Issuer is or may become bound to redeem a security of the Issuer. The Issuer does not have any outstanding share appreciation rights or “phantom stock” awards or agreements or any similar award or agreement. All of the outstanding shares of the Issuer are duly authorized, validly issued as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of Directors or others is required for the issuance and sale of the Acquired Securities. There are no shareholders agreements, voting agreements or other similar agreements with respect to the Issuer’s shares of Common Stock to which the Issuer is a party or, to the knowledge of the Issuer, between or among any of the Issuer’s shareholders. “</w:t>
      </w:r>
      <w:r>
        <w:rPr>
          <w:rFonts w:ascii="Times New Roman" w:cs="Times New Roman" w:eastAsia="Times New Roman" w:hAnsi="Times New Roman"/>
          <w:sz w:val="12"/>
          <w:szCs w:val="12"/>
          <w:u w:val="single" w:color="auto"/>
          <w:color w:val="auto"/>
        </w:rPr>
        <w:t>Common Stock Equivalents</w:t>
      </w:r>
      <w:r>
        <w:rPr>
          <w:rFonts w:ascii="Times New Roman" w:cs="Times New Roman" w:eastAsia="Times New Roman" w:hAnsi="Times New Roman"/>
          <w:sz w:val="12"/>
          <w:szCs w:val="12"/>
          <w:color w:val="auto"/>
        </w:rPr>
        <w:t>” means any securities of the Issuer which would entitle the holder thereof to acquire at any time Common Stock, including, without limitation, any debt, preference share, right, option, warrant or other instrument that is at any time convertible into or exercisable or exchangeable for, or otherwise entitles the holder thereof to receive, Common Stock.</w:t>
      </w:r>
    </w:p>
    <w:p>
      <w:pPr>
        <w:spacing w:after="0" w:line="129" w:lineRule="exact"/>
        <w:rPr>
          <w:sz w:val="20"/>
          <w:szCs w:val="20"/>
          <w:color w:val="auto"/>
        </w:rPr>
      </w:pPr>
    </w:p>
    <w:p>
      <w:pPr>
        <w:jc w:val="both"/>
        <w:ind w:left="8" w:firstLine="864"/>
        <w:spacing w:after="0" w:line="252" w:lineRule="auto"/>
        <w:rPr>
          <w:sz w:val="20"/>
          <w:szCs w:val="20"/>
          <w:color w:val="auto"/>
        </w:rPr>
      </w:pPr>
      <w:r>
        <w:rPr>
          <w:rFonts w:ascii="Times New Roman" w:cs="Times New Roman" w:eastAsia="Times New Roman" w:hAnsi="Times New Roman"/>
          <w:sz w:val="12"/>
          <w:szCs w:val="12"/>
          <w:color w:val="auto"/>
        </w:rPr>
        <w:t>j.             The financial statements of the Issuer included in the SEC Documents (as defined below) comply in all material respects with applicable accounting requirements and the rules and regulations of the Commission with respect thereto as in effect at the time of filing or as such financial statements have been amended or corrected in a subsequent filing. Such financial statements have been prepared in accordance with U.S. generally accepted accounting principles applied on a consistent basis during the periods involved (“</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Issuer as of and for the dates thereof and the results of operations and cash flows for the periods then ended, subject, in the case of unaudited statements, to normal, immaterial, year-end audit adjustments. Since the date of the latest audited financial statements included within the SEC Documents or as otherwise disclosed in the SEC Documents, (i) there has been no event, occurrence or development that has had or that would reasonably be expected to result in a Material Adverse Effect, (ii) the Issuer has not incurred any liabilities (contingent or otherwise) other than (A) trade payables and accrued expenses incurred in the ordinary course of business consistent with past practice and (B) liabilities not required to be reflected in the Issuer’s financial statements pursuant to GAAP or disclosed in filings made with the Commission, (iii) the Issuer has not altered its method of accounting, (iv) the Issuer has not declared or made any dividend or distribution of cash or other property to its shareholders or purchased, redeemed or made any agreements to purchase or redeem any shares and (v) the Issuer has not issued any equity securities to any officer, director or affiliate, except pursuant to existing Issuer equity incentive plans. The Issuer does not have pending before the Commission any request for confidential treatment of information. Except for the issuance of the Acquired Securities contemplated by this Subscription Agreement, the other transactions contemplated by the Transaction Documents, no event, liability, fact, circumstance, occurrence or development has occurred or exists or is reasonably expected to occur or exist with respect to the Issuer or its business, prospects, properties, operations, assets or financial condition that would be required to be disclosed by the Issuer under applicable securities laws at the time this representation is made or deemed made that has not been publicly disclosed at least one (1) trading day prior to the date that this representation is made.</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4" w:name="page125"/>
    <w:bookmarkEnd w:id="124"/>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k.            The Issuer has not received any written communication from a governmental entity that alleges that the Issuer is not in compliance with or is in default or violation of any applicable law, except where such non-compliance, default or violation would not, individually or in the aggregate, reasonably be expected to have a Material Adverse Effect.</w:t>
      </w:r>
    </w:p>
    <w:p>
      <w:pPr>
        <w:spacing w:after="0" w:line="11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l.             The issued and outstanding shares of Common Stock are, and as of the Closing will be, registered pursuant to Section 12(b) of the Exchange Act, and are listed for trading on each Exchange. The Issuer has taken no action that is designed to terminate the registration of the Common Stock under the Exchange Act or the listing of the Common Stock on the Exchange. Except as included in the SEC Documents, the Issuer has not received notice from any Exchange on which the Common Stock are or have been listed or quoted to the effect that the Issuer is not in compliance with the listing or maintenance requirements of such Exchange. There is no suit, action, proceeding or investigation pending or, to the knowledge of the Issuer, threatened against the Issuer by the Exchange or the Commission with respect to any intention by such entity to deregister the Common Stock or prohibit or terminate the listing of the Common Stock on the Exchange. The Issuer is, in compliance with all such listing and maintenance requirements and is not aware of any facts or circumstances that would reasonably be expected to result in noncompliance with such requirements in the foreseeable future. The Common Stock are currently eligible for electronic transfer through the Depository Trust Company or another established clearing corporation and the Issuer is current in payment of the fees to the Depository Trust Company (or such other established clearing corporation) in connection with such electronic transfer.</w:t>
      </w:r>
    </w:p>
    <w:p>
      <w:pPr>
        <w:spacing w:after="0" w:line="126"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m.            Assuming the accuracy of Subscriber’s representations and warranties set forth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no registration under the Securities Act is required for the issuance and sale of the Acquired Securities by the Issuer to Subscriber or the Other Subscribers in the manner contemplated by this Subscription Agreement or the Other Subscription Agreements, as the case may be. The issuance, sale, and delivery of the Acquired Securities hereunder does not contravene the rules and regulations of the Exchange.</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n.            Neither the Issuer nor any person acting on its behalf has engaged or will engage in any form of general solicitation or general advertising (within the meaning of Regulation D of the Securities Act) in connection with any offer or sale of the Acquired Securities.</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o.            The Issuer is not, and immediately after receipt of payment for the Acquired Securities and the use of proceeds as contemplated hereby will not be, an “investment company” within the meaning of the Investment Company Act of 1940, as amended (the “</w:t>
      </w:r>
      <w:r>
        <w:rPr>
          <w:rFonts w:ascii="Times New Roman" w:cs="Times New Roman" w:eastAsia="Times New Roman" w:hAnsi="Times New Roman"/>
          <w:sz w:val="12"/>
          <w:szCs w:val="12"/>
          <w:u w:val="single" w:color="auto"/>
          <w:color w:val="auto"/>
        </w:rPr>
        <w:t>ICA</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p.            The Issuer has not entered into any subscription agreement, side letter or other agreement with any Other Subscriber or any other investor (other than certain agreements with affiliates of Pantera Capital and Summer Capital, and except with respect to payment method and timing) in connection with such Other Subscriber’s or investor’s direct or indirect investment in the Issuer, other than (i) the Other Subscription Agreements, (ii) the Pre-Funded Warrants, (iii) the Stapled Warrants and (iv) agreements or forms thereof that have been publicly filed as exhibits to the SEC Documents via the Commission’s EDGAR system, including filings made by the Issuer.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5" w:name="page126"/>
    <w:bookmarkEnd w:id="125"/>
    <w:p>
      <w:pPr>
        <w:ind w:left="868"/>
        <w:spacing w:after="0"/>
        <w:rPr>
          <w:sz w:val="20"/>
          <w:szCs w:val="20"/>
          <w:color w:val="auto"/>
        </w:rPr>
      </w:pPr>
      <w:r>
        <w:rPr>
          <w:rFonts w:ascii="Times New Roman" w:cs="Times New Roman" w:eastAsia="Times New Roman" w:hAnsi="Times New Roman"/>
          <w:sz w:val="12"/>
          <w:szCs w:val="12"/>
          <w:color w:val="auto"/>
        </w:rPr>
        <w:t>q.            The Issuer is not, and has not been at any time during the past 12 months, a ‘shell company’ as such term is defined in Rule 405 under the Securities Act of 1933 or Rule 12b-2 under the Exchange Act.</w:t>
      </w:r>
    </w:p>
    <w:p>
      <w:pPr>
        <w:spacing w:after="0" w:line="150"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r.             The Issuer is eligible to register the resale of the Registrable Securities on a registration statement on Form S-3 under the Securities Act. Without limiting the generality of the foregoing, the Issuer specifically represents and warrants that: (i) the Issuer has been subject to the reporting requirements of Section 13 or 15(d) of the Exchange Act, for a period of at least twelve (12) calendar months immediately preceding the date hereof and the Closing Date; (ii) the Issuer has filed all material required to be filed pursuant to Section 13, 14, or 15(d) of the Exchange Act for such period; and (iii) the Issuer has filed in a timely manner all reports required to be filed by it with the Commission during the preceding twelve (12) calendar months (or for such shorter period that the Issuer was required to file such reports), including its most recent Annual Report on Form 10-K and all required Quarterly Reports on Form 10-Q and Current Reports on Form 8-K.</w:t>
      </w:r>
    </w:p>
    <w:p>
      <w:pPr>
        <w:spacing w:after="0" w:line="125"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s.            The Issuer acknowledges and agrees that each of the Subscribers is acting solely in the capacity of an arm’s length purchaser with respect to this Subscription Agreement and the transactions contemplated hereby. The Issuer further acknowledges that no Subscriber is acting as a financial advisor or fiduciary of the Issuer (or in any similar capacity) with respect to this Subscription Agreement and the transactions contemplated hereby and thereby and any advice given by any Subscriber or any of their respective representatives or agents in connection with this Subscription Agreement and the transactions contemplated hereby and thereby is merely incidental to the Subscriber’s purchase of the Acquired Securities. The Issuer further represents to each Subscriber that the Issuer’s decision to enter into this Subscription Agreement and the Other Subscription Agreements has been based solely on the independent evaluation of the transactions contemplated hereby by the Issuer and its respective representatives.</w:t>
      </w:r>
    </w:p>
    <w:p>
      <w:pPr>
        <w:spacing w:after="0" w:line="125"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t.             Anything in this Subscription Agreement or elsewhere herein to the contrary notwithstanding, it is understood and acknowledged by the Issuer that: (i) none of the Subscribers has been asked by the Issuer to agree, nor has any Subscriber agreed, to desist from purchasing or selling, long and/or short, securities of the Issuer, or “derivative” securities based on securities issued by the Issuer or to hold the Acquired Securities for any specified term; (ii) past or future open market or other transactions by any Subscriber, specifically including, without limitation, “short sales” (as defined in Rule 200 of Regulation SHO under the Exchange Act) or “derivative” transactions, before or after the closing of this or future private placement transactions, may negatively impact the market price of the Issuer’s publicly-traded securities; (iii) any Subscriber, and counter-parties in “derivative” transactions to which any such Subscriber is a party, directly or indirectly, presently may have a “short” position in the Common Stock; and (iv) each Subscriber shall not be deemed to have any affiliation with or control over any arm’s length counter-party in any “derivative” transaction. The Issuer further understands and acknowledges that (y) one or more Subscribers may engage in hedging activities at various times during the period that the Acquired Securities are outstanding, and</w:t>
      </w:r>
    </w:p>
    <w:p>
      <w:pPr>
        <w:spacing w:after="0" w:line="2" w:lineRule="exact"/>
        <w:rPr>
          <w:sz w:val="20"/>
          <w:szCs w:val="20"/>
          <w:color w:val="auto"/>
        </w:rPr>
      </w:pPr>
    </w:p>
    <w:p>
      <w:pPr>
        <w:ind w:left="8" w:hanging="8"/>
        <w:spacing w:after="0" w:line="260" w:lineRule="auto"/>
        <w:tabs>
          <w:tab w:leader="none" w:pos="171"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hedging activities (if any) could reduce the value of the existing shareholders’ equity interests in the Issuer at and after the time that the hedging activities are being conducted. The Issuer acknowledges that such aforementioned hedging activities do not constitute a breach of this Subscription Agreement or any of the Transaction Documents.</w:t>
      </w:r>
    </w:p>
    <w:p>
      <w:pPr>
        <w:spacing w:after="0" w:line="122"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u.            The Issuer has made available to Subscriber (including via the Commission’s EDGAR system) a copy of each form, report, statement, schedule, prospectus, proxy, registration statement and other document, if any, filed by the Issuer with the Commission for the two years preceding the date hereof (the foregoing materials filed or furnished by the Issuer under the Securities Act and the Exchange Act, including the exhibits thereto and documents incorporated by reference therein, being collectively referred to herein as the “</w:t>
      </w:r>
      <w:r>
        <w:rPr>
          <w:rFonts w:ascii="Times New Roman" w:cs="Times New Roman" w:eastAsia="Times New Roman" w:hAnsi="Times New Roman"/>
          <w:sz w:val="12"/>
          <w:szCs w:val="12"/>
          <w:u w:val="single" w:color="auto"/>
          <w:color w:val="auto"/>
        </w:rPr>
        <w:t>SEC Documents</w:t>
      </w:r>
      <w:r>
        <w:rPr>
          <w:rFonts w:ascii="Times New Roman" w:cs="Times New Roman" w:eastAsia="Times New Roman" w:hAnsi="Times New Roman"/>
          <w:sz w:val="12"/>
          <w:szCs w:val="12"/>
          <w:color w:val="auto"/>
        </w:rPr>
        <w:t>”), which SEC Documents, as of their respective filing dates, complied in all material respects with the requirements of the Securities Act and Exchange Act applicable to the SEC Documents and the rules and regulations of the Commission promulgated thereunder applicable to the SEC Documents on a timely basis or has received a valid extension of such time of filing and has filed any such SEC Documents prior to the expiration of any such extension. None of the SEC Documents filed under the Exchange Act (except to the extent that information contained in any SEC Document has been superseded by a later timely filed SEC Document) contained, when filed, any untrue statement of a material fact or omitted to state a material fact required to be stated therein or necessary to make the statements therein not misleading, in the case of any SEC Document that is a registration statement, or included, when filed, any untrue statement of a material fact or omitted to state a material fact necessary in order to make the statements therein, in the light of the circumstances under which they were made, not misleading, in the case of all other SEC Documents.</w:t>
      </w:r>
    </w:p>
    <w:p>
      <w:pPr>
        <w:spacing w:after="0" w:line="2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6" w:name="page127"/>
    <w:bookmarkEnd w:id="126"/>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v.            Except as disclosed in the SEC Documents or for such matters as would not reasonably be expected to have, individually or in the aggregate, a Material Adverse Effect, there is no action, suit, inquiry, notice of violation, proceeding or investigation pending or, to the knowledge of the Issuer, threatened against or affecting the Issuer or any of its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2"/>
          <w:szCs w:val="12"/>
          <w:u w:val="single" w:color="auto"/>
          <w:color w:val="auto"/>
        </w:rPr>
        <w:t>Action</w:t>
      </w:r>
      <w:r>
        <w:rPr>
          <w:rFonts w:ascii="Times New Roman" w:cs="Times New Roman" w:eastAsia="Times New Roman" w:hAnsi="Times New Roman"/>
          <w:sz w:val="12"/>
          <w:szCs w:val="12"/>
          <w:color w:val="auto"/>
        </w:rPr>
        <w:t>”). Except as disclosed in the SEC Documents, none of the Actions, if any, (i) adversely affects or challenges the legality, validity or enforceability of any of the Transaction Documents or the Acquired Securities or (ii) would, if resolved adversely to the Issuer, have or reasonably be expected to result in a Material Adverse Effect. Neither the Issuer nor any director or officer thereof is or has been the subject of any Action involving a claim of violation of or liability under federal or state securities laws or a claim of breach of fiduciary duty. There has not been, and to the knowledge of the Issuer, there is not pending or contemplated, any investigation by the Commission involving the Issuer or any current or former director or officer of the Issuer. The Commission has not issued any stop order or other order suspending the effectiveness of any registration statement filed by the Issuer under the Exchange Act or the Securities Act.</w:t>
      </w:r>
    </w:p>
    <w:p>
      <w:pPr>
        <w:spacing w:after="0" w:line="126"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w.           Except for any placement fees payable to the Placement Agent, the Issuer has not paid, and is not obligated to pay, any brokerage, finder’s or other commission or similar fees in connection with the transactions contemplated by the Transaction Documents. The Subscribers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x.            None of the Issuer, any predecessor or affiliated issuer of the Issuer, any director, executive officer or other officer of the Issuer or, to the Issuer’s knowledge, any beneficial owner of twenty percent (20%) or more of the Issuer’s outstanding voting equity securities, calculated on the basis of voting power, or any promoter connected with the Issuer in any capacity, is subject to any of the “bad actor” disqualifications within the meaning of Rule 506(d) under the Securities Act, except for a disqualification event covered by Rule 506(d)(2) or (d)(3).</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y.            The Issuer acknowledges that there have been no representations, warranties, covenants and agreements made to Issuer by or on behalf of the Subscriber, any of its respective affiliates or any of its or their control persons, officers, directors, employees, partners, agents or representatives, expressly or by implication, regarding the transactions contemplated by this Subscription Agreement other than those representations, warranties, covenants and agreements included in this Subscription Agreement (inclusive of the exhibits and schedules attached hereto).</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z.            The gross proceeds from the Acquired Securities contemplated by the Transaction will be utilized for purposes of acquiring SOL (including costs associated with such acquisition), transaction costs, working capital and general corporate purposes.</w:t>
      </w:r>
    </w:p>
    <w:p>
      <w:pPr>
        <w:spacing w:after="0" w:line="11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aa.          No labor dispute exists or, to the knowledge of the Issuer, is threatened with respect to any of the employees of the Issuer, which would reasonably be expected to result in a Material Adverse Effect. None of the Issuer’s employees is a member of a union that relates to such employee’s relationship with the Issuer, the Issuer is not a party to a collective bargaining agreement, and the Issuer believes that its relationship with its employees is good. To the knowledge of the Issuer, no executive officer of the Issuer,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Issuer to any liability with respect to any of the foregoing matters. The Issuer is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bb.         The Issuer possesses all certificates, authorizations and permits issued by the appropriate federal, state, local or foreign regulatory authorities necessary to conduct its business as described in the SEC Documents, except where the failure to possess such permits would not reasonably be expected to result in a Material Adverse Effect (“</w:t>
      </w:r>
      <w:r>
        <w:rPr>
          <w:rFonts w:ascii="Times New Roman" w:cs="Times New Roman" w:eastAsia="Times New Roman" w:hAnsi="Times New Roman"/>
          <w:sz w:val="12"/>
          <w:szCs w:val="12"/>
          <w:u w:val="single" w:color="auto"/>
          <w:color w:val="auto"/>
        </w:rPr>
        <w:t>Material Permits</w:t>
      </w:r>
      <w:r>
        <w:rPr>
          <w:rFonts w:ascii="Times New Roman" w:cs="Times New Roman" w:eastAsia="Times New Roman" w:hAnsi="Times New Roman"/>
          <w:sz w:val="12"/>
          <w:szCs w:val="12"/>
          <w:color w:val="auto"/>
        </w:rPr>
        <w:t>”), and the Issuer has not received any notice of proceedings relating to the revocation or modification of any Material Permit.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7" w:name="page128"/>
    <w:bookmarkEnd w:id="127"/>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cc.          The Issuer has good and marketable title to its owned properties and owned assets that is material to the business of the Issuer, free and clear of all (i) Liens, except for Liens as do not materially affect the value of such property, taken as a whole, and do not interfere in any material respect with the use made or proposed to be made of such properties by the Issuer and (ii) Liens for the payment of federal, state or other taxes, for which appropriate reserves have been made therefor in accordance with GAAP and, the payment of which is neither delinquent nor subject to penalties. Any real property and facilities held under lease by the Issuer is held by the Issuer under valid, subsisting and enforceable leases with which the Issuer is in compliance, except where such non-compliance would not have or reasonably be expected to have a Material Adverse Effect. “</w:t>
      </w:r>
      <w:r>
        <w:rPr>
          <w:rFonts w:ascii="Times New Roman" w:cs="Times New Roman" w:eastAsia="Times New Roman" w:hAnsi="Times New Roman"/>
          <w:sz w:val="12"/>
          <w:szCs w:val="12"/>
          <w:u w:val="single" w:color="auto"/>
          <w:color w:val="auto"/>
        </w:rPr>
        <w:t>Liens</w:t>
      </w:r>
      <w:r>
        <w:rPr>
          <w:rFonts w:ascii="Times New Roman" w:cs="Times New Roman" w:eastAsia="Times New Roman" w:hAnsi="Times New Roman"/>
          <w:sz w:val="12"/>
          <w:szCs w:val="12"/>
          <w:color w:val="auto"/>
        </w:rPr>
        <w:t>” means a lien, charge, pledge, security interest, encumbrance, right of first refusal, preemptive right or other restriction.</w:t>
      </w:r>
    </w:p>
    <w:p>
      <w:pPr>
        <w:spacing w:after="0" w:line="125" w:lineRule="exact"/>
        <w:rPr>
          <w:sz w:val="20"/>
          <w:szCs w:val="20"/>
          <w:color w:val="auto"/>
        </w:rPr>
      </w:pPr>
    </w:p>
    <w:p>
      <w:pPr>
        <w:jc w:val="both"/>
        <w:ind w:left="8" w:firstLine="864"/>
        <w:spacing w:after="0" w:line="280" w:lineRule="auto"/>
        <w:rPr>
          <w:sz w:val="20"/>
          <w:szCs w:val="20"/>
          <w:color w:val="auto"/>
        </w:rPr>
      </w:pPr>
      <w:r>
        <w:rPr>
          <w:rFonts w:ascii="Times New Roman" w:cs="Times New Roman" w:eastAsia="Times New Roman" w:hAnsi="Times New Roman"/>
          <w:sz w:val="11"/>
          <w:szCs w:val="11"/>
          <w:color w:val="auto"/>
        </w:rPr>
        <w:t>dd.         The Issuer has, or has rights to use, all patents, patent applications, trademarks, trademark applications, service marks, trade names, trade secrets, inventions, copyrights, licenses and other intellectual property rights and similar rights necessary or required for use in connection with its respective businesses as described in the SEC Documents and which the failure to so have would have a Material Adverse Effect (collectively, the “</w:t>
      </w:r>
      <w:r>
        <w:rPr>
          <w:rFonts w:ascii="Times New Roman" w:cs="Times New Roman" w:eastAsia="Times New Roman" w:hAnsi="Times New Roman"/>
          <w:sz w:val="11"/>
          <w:szCs w:val="11"/>
          <w:u w:val="single" w:color="auto"/>
          <w:color w:val="auto"/>
        </w:rPr>
        <w:t>Intellectual</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Property Rights</w:t>
      </w:r>
      <w:r>
        <w:rPr>
          <w:rFonts w:ascii="Times New Roman" w:cs="Times New Roman" w:eastAsia="Times New Roman" w:hAnsi="Times New Roman"/>
          <w:sz w:val="11"/>
          <w:szCs w:val="11"/>
          <w:color w:val="auto"/>
        </w:rPr>
        <w:t>”). The Issuer has not received a notice (written or otherwise) that any of, the Intellectual Property Rights has expired, terminated or been abandoned, or is expected to expire or terminate or be abandoned, within two</w:t>
      </w:r>
    </w:p>
    <w:p>
      <w:pPr>
        <w:jc w:val="both"/>
        <w:ind w:left="8" w:hanging="8"/>
        <w:spacing w:after="0" w:line="253" w:lineRule="auto"/>
        <w:tabs>
          <w:tab w:leader="none" w:pos="179"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years from the date of this Agreement, except where such expiration, termination or abandonment would not have or reasonably be expected to have a Material Adverse Effect. The Issuer has not received, since the date of the latest audited financial statements included within the SEC Documents or as otherwise disclosed in the SEC Documents, a written notice of a claim or otherwise has any knowledge that the Intellectual Property Rights violate or infringe upon the rights of any Person, except as would not have or reasonably be expected to not have a Material Adverse Effect. To the knowledge of the Issuer, all such Intellectual Property Rights are enforceable and there is no existing infringement by another Person of any of the Intellectual Property Rights. The Issuer has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26"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ee.           The Issuer is insured by insurers of recognized financial responsibility against such losses and risks and in such amounts as are prudent and customary for companies of similar size as the Issuer in the businesses in which the Issuer is engaged, including, but not limited to, directors and officers insurance coverage. The Issuer has no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19"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ff.            Except as disclosed in the SEC Documents, none of the officers or directors of the Issuer, and, to the knowledge of the Issuer, none of the employees of the Issuer is presently a party to any transaction with the Issuer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Issuer,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Issuer and (iii) other employee benefits, including equity incentives granted under any equity incentive plan of the Issuer.</w:t>
      </w:r>
    </w:p>
    <w:p>
      <w:pPr>
        <w:spacing w:after="0" w:line="125"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gg.          Except as set forth in the SEC Documents, the Issuer is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Documents, the Issuer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Issuer has established disclosure controls and procedures (as defined in Exchange Act Rules 13a-15(e) and 15d-15(e)) for the Issuer and designed such disclosure controls and procedures to ensure that information required to be disclosed by the Issuer in the reports it files or submits under the Exchange Act is recorded, processed, summarized and reported, within the time periods specified in the Commission’s rules and forms.</w:t>
      </w:r>
    </w:p>
    <w:p>
      <w:pPr>
        <w:spacing w:after="0" w:line="2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8" w:name="page129"/>
    <w:bookmarkEnd w:id="128"/>
    <w:p>
      <w:pPr>
        <w:ind w:left="860"/>
        <w:spacing w:after="0"/>
        <w:rPr>
          <w:sz w:val="20"/>
          <w:szCs w:val="20"/>
          <w:color w:val="auto"/>
        </w:rPr>
      </w:pPr>
      <w:r>
        <w:rPr>
          <w:rFonts w:ascii="Times New Roman" w:cs="Times New Roman" w:eastAsia="Times New Roman" w:hAnsi="Times New Roman"/>
          <w:sz w:val="12"/>
          <w:szCs w:val="12"/>
          <w:color w:val="auto"/>
        </w:rPr>
        <w:t>hh.          Except as set forth in SEC Documents and in connection with this Transaction, no Person has any right to cause the Issuer to effect the registration under the Securities Act of any securities of the Issuer.</w:t>
      </w:r>
    </w:p>
    <w:p>
      <w:pPr>
        <w:spacing w:after="0" w:line="150"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ii.            The Issuer and the Board of Directors have taken all necessary action, if any, in order to render inapplicable any control share acquisition, business combination, poison pill (including any distribution under a rights agreement) or other similar anti-takeover provision under the Charter Documents or the laws of its jurisdiction of incorporation that is or could become applicable to the Subscribers as a result of the Subscribers and the Issuer fulfilling their obligations or exercising their rights under the Transaction Documents, including without limitation as a result of the Issuer’s issuance and sale of the Acquired Securities and the Subscribers’ ownership of the Acquired Securities.</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jj.            Assuming the accuracy of the Subscribers’ representations and warranties set forth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neither the Issuer nor any of its affiliates, nor any Person acting on its or their behalf has, directly or indirectly, made any offers or sales of any security or solicited any offers to buy any security, under circumstances that would cause this offering of the Acquired Securities to be integrated with prior offerings by the Issuer for purposes of (i) the Securities Act which would require the registration of any such securities under the Securities Act, or (ii) any applicable shareholder approval provisions of any Exchange on which any of the securities of the Issuer are listed or designated.</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kk.          Except for matters that would not, individually or in the aggregate, have or reasonably be expected to result in a Material Adverse Effect, the Issuer (i) has made or filed all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provisions reasonably adequate for the payment of all material taxes for periods subsequent to the periods to which such returns, reports or declarations apply. To the knowledge of the Issuer, there are no unpaid taxes in any material amount claimed to be due by the taxing authority of any jurisdiction.</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ll.            None of the Issuer or, to the knowledge of the Issuer, any agent or other person acting on behalf of the Issuer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Issuer (or made by any person acting on its behalf of which the Issuer is aware) which is in violation of law, or (iv) violated in any material respect any provision of Foreign Corrupt Practices Act of 1977, as amended.</w:t>
      </w:r>
    </w:p>
    <w:p>
      <w:pPr>
        <w:spacing w:after="0" w:line="122"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mm.        The Issuer’s accounting firm is Baker Tilly US, LLP (the “</w:t>
      </w:r>
      <w:r>
        <w:rPr>
          <w:rFonts w:ascii="Times New Roman" w:cs="Times New Roman" w:eastAsia="Times New Roman" w:hAnsi="Times New Roman"/>
          <w:sz w:val="12"/>
          <w:szCs w:val="12"/>
          <w:u w:val="single" w:color="auto"/>
          <w:color w:val="auto"/>
        </w:rPr>
        <w:t>Accountant</w:t>
      </w:r>
      <w:r>
        <w:rPr>
          <w:rFonts w:ascii="Times New Roman" w:cs="Times New Roman" w:eastAsia="Times New Roman" w:hAnsi="Times New Roman"/>
          <w:sz w:val="12"/>
          <w:szCs w:val="12"/>
          <w:color w:val="auto"/>
        </w:rPr>
        <w:t>”). The Accountant (i) is a registered public accounting firm as required by the Exchange Act, (ii) is an independent public accountant within the meaning of the Securities Act and the Public Company Accounting Oversight Board (United States), and (iii) shall express its opinion with respect to the financial statements to be included in the Issuer’s Annual Report on Form 10-K for the fiscal year ending December 31, 2025, whose report was included on the consolidated financial statements of the Issuer for the fiscal year ended December 31, 2024, during the periods covered of its report, was an independent public accountant within the meaning of the Securities Act and the Public Company Accounting Oversight Board (United States). There are no disagreements of any kind presently existing, or reasonably anticipated by the Issuer to arise, between the Issuer and the accountants formerly or presently employed by the Issuer, and the Issuer is current with respect to any fees owed to its accountants which could affect the Issuer’s ability to perform any of its obligations under any of the Transaction Documents. Each of the accountants formerly or presently employed by the Issuer is not, or was not, in violation of the auditor independence requirements of the Sarbanes-Oxley Act of 2002, as amended, with respect to the Issuer.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9" w:name="page130"/>
    <w:bookmarkEnd w:id="129"/>
    <w:p>
      <w:pPr>
        <w:jc w:val="both"/>
        <w:ind w:left="8" w:firstLine="864"/>
        <w:spacing w:after="0" w:line="300" w:lineRule="auto"/>
        <w:rPr>
          <w:sz w:val="20"/>
          <w:szCs w:val="20"/>
          <w:color w:val="auto"/>
        </w:rPr>
      </w:pPr>
      <w:r>
        <w:rPr>
          <w:rFonts w:ascii="Times New Roman" w:cs="Times New Roman" w:eastAsia="Times New Roman" w:hAnsi="Times New Roman"/>
          <w:sz w:val="11"/>
          <w:szCs w:val="11"/>
          <w:color w:val="auto"/>
        </w:rPr>
        <w:t>nn.         Neither the Issuer nor, to its knowledge, anyone acting on its behalf has, (i) taken, directly or indirectly, any action designed to cause or to result in the stabilization or manipulation of the price of any security of the Issuer to facilitate the sale or resale of any of the Acquired Securities, (ii) sold, bid for, purchased, or, paid any compensation for soliciting purchases of, any of the Acquired Securities, or (iii) paid or agreed to pay to any Person any compensation for soliciting another to purchase any other securities of the Issuer, other than, in the case of clauses (ii) and (iii), compensation paid to the Placement Agent in connection with the placement of the Acquired Securities.</w:t>
      </w:r>
    </w:p>
    <w:p>
      <w:pPr>
        <w:spacing w:after="0" w:line="102"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oo.          Each share option granted by the Issuer under the Issuer’s share option plan was granted (i) in accordance with the terms of the Issuer’s share option plan and (ii) with an exercise price at least equal to the fair market value of the Common Stock on the date such share option would be considered granted under GAAP and applicable law. No share option granted under the Issuer’s share option plan has been backdated. The Issuer has not knowingly granted, and there is no and has been no Issuer policy or practice to knowingly grant, share options prior to, or otherwise knowingly coordinate the grant of share options with, the release or other public announcement of material information regarding the Issuer or its financial results or prospects.</w:t>
      </w:r>
    </w:p>
    <w:p>
      <w:pPr>
        <w:spacing w:after="0" w:line="122"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pp.          (i) There has been no security breach or other compromise of or relating to any of the Issuer’s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2"/>
          <w:szCs w:val="12"/>
          <w:u w:val="single" w:color="auto"/>
          <w:color w:val="auto"/>
        </w:rPr>
        <w:t>IT Systems and Data</w:t>
      </w:r>
      <w:r>
        <w:rPr>
          <w:rFonts w:ascii="Times New Roman" w:cs="Times New Roman" w:eastAsia="Times New Roman" w:hAnsi="Times New Roman"/>
          <w:sz w:val="12"/>
          <w:szCs w:val="12"/>
          <w:color w:val="auto"/>
        </w:rPr>
        <w:t>”) and (y) the Issuer has not been notified of, any event or condition that would reasonably be expected to result in, any security breach or other compromise to its IT Systems and Data, except, with respect to either (x) or (y), those which would not, individually or in the aggregate, reasonably be expected to have a Material Adverse Effect; (ii) the Issuer is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Issuer has implemented and maintained commercially reasonable safeguards to maintain and protect its material confidential information and the integrity, continuous operation, redundancy and security of all IT Systems and Data; and (iv) the Issuer has implemented backup and disaster recovery technology consistent with industry standards and practices.</w:t>
      </w:r>
    </w:p>
    <w:p>
      <w:pPr>
        <w:spacing w:after="0" w:line="126"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qq.          (i) The Issuer is, and at all times since January 1, 2024, in material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2"/>
          <w:szCs w:val="12"/>
          <w:u w:val="single" w:color="auto"/>
          <w:color w:val="auto"/>
        </w:rPr>
        <w:t>GDPR</w:t>
      </w:r>
      <w:r>
        <w:rPr>
          <w:rFonts w:ascii="Times New Roman" w:cs="Times New Roman" w:eastAsia="Times New Roman" w:hAnsi="Times New Roman"/>
          <w:sz w:val="12"/>
          <w:szCs w:val="12"/>
          <w:color w:val="auto"/>
        </w:rPr>
        <w:t>”) (EU 2016/679) (collectively, “</w:t>
      </w:r>
      <w:r>
        <w:rPr>
          <w:rFonts w:ascii="Times New Roman" w:cs="Times New Roman" w:eastAsia="Times New Roman" w:hAnsi="Times New Roman"/>
          <w:sz w:val="12"/>
          <w:szCs w:val="12"/>
          <w:u w:val="single" w:color="auto"/>
          <w:color w:val="auto"/>
        </w:rPr>
        <w:t>Privacy Laws</w:t>
      </w:r>
      <w:r>
        <w:rPr>
          <w:rFonts w:ascii="Times New Roman" w:cs="Times New Roman" w:eastAsia="Times New Roman" w:hAnsi="Times New Roman"/>
          <w:sz w:val="12"/>
          <w:szCs w:val="12"/>
          <w:color w:val="auto"/>
        </w:rPr>
        <w:t>”); (ii) the Issuer has in place and has taken steps reasonably designed to ensure material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2"/>
          <w:szCs w:val="12"/>
          <w:u w:val="single" w:color="auto"/>
          <w:color w:val="auto"/>
        </w:rPr>
        <w:t>Policies</w:t>
      </w:r>
      <w:r>
        <w:rPr>
          <w:rFonts w:ascii="Times New Roman" w:cs="Times New Roman" w:eastAsia="Times New Roman" w:hAnsi="Times New Roman"/>
          <w:sz w:val="12"/>
          <w:szCs w:val="12"/>
          <w:color w:val="auto"/>
        </w:rPr>
        <w:t>”); (iii) the Issuer provides accurate notice of its applicable Policies to its customers, employees, third party vendors and representatives as required by the Privacy Laws; and (iv) applicable Policies provide accurate and sufficient notice of the Issuer’s then-current privacy practices relating to its subject matter, and do not contain any material omissions of the Issuer’s then-current privacy practices, as required by Privacy Laws. “</w:t>
      </w:r>
      <w:r>
        <w:rPr>
          <w:rFonts w:ascii="Times New Roman" w:cs="Times New Roman" w:eastAsia="Times New Roman" w:hAnsi="Times New Roman"/>
          <w:sz w:val="12"/>
          <w:szCs w:val="12"/>
          <w:u w:val="single" w:color="auto"/>
          <w:color w:val="auto"/>
        </w:rPr>
        <w:t>Personal Data”</w:t>
      </w:r>
      <w:r>
        <w:rPr>
          <w:rFonts w:ascii="Times New Roman" w:cs="Times New Roman" w:eastAsia="Times New Roman" w:hAnsi="Times New Roman"/>
          <w:sz w:val="12"/>
          <w:szCs w:val="12"/>
          <w:color w:val="auto"/>
        </w:rPr>
        <w:t xml:space="preserve">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w:t>
      </w:r>
    </w:p>
    <w:p>
      <w:pPr>
        <w:spacing w:after="0" w:line="2" w:lineRule="exact"/>
        <w:rPr>
          <w:sz w:val="20"/>
          <w:szCs w:val="20"/>
          <w:color w:val="auto"/>
        </w:rPr>
      </w:pPr>
    </w:p>
    <w:p>
      <w:pPr>
        <w:jc w:val="both"/>
        <w:ind w:left="8" w:hanging="8"/>
        <w:spacing w:after="0" w:line="253" w:lineRule="auto"/>
        <w:tabs>
          <w:tab w:leader="none" w:pos="228"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“personal data” as defined by GDPR; and (iv) any other piece of information that allows the identification of such natural person, or his or her family, or permits the collection or analysis of any identifiable data related to an identified person’s health or sexual orientation. None of such disclosures made or contained in any of the Policies have been inaccurate, misleading, or incomplete in material violation of any Privacy Laws and the execution, delivery and performance of the Transaction Documents will not result in a breach of any Privacy Laws or Policies. The Issuer (i) has not received written notice of any actual or potential liability of the Issuer under, or actual or potential violation by the Issuer of, any of the Privacy Laws; (ii) is not currently conducting or paying for, in whole or in part, any investigation, remediation or other corrective action pursuant to any regulatory request or demand pursuant to any Privacy Law; or (iii) is not a party to any order, decree, or agreement by or with any court or arbitrator or governmental or regulatory authority that imposed any obligation or liability under any Privacy Law.</w:t>
      </w:r>
    </w:p>
    <w:p>
      <w:pPr>
        <w:spacing w:after="0" w:line="262" w:lineRule="exact"/>
        <w:rPr>
          <w:rFonts w:ascii="Times New Roman" w:cs="Times New Roman" w:eastAsia="Times New Roman" w:hAnsi="Times New Roman"/>
          <w:sz w:val="12"/>
          <w:szCs w:val="12"/>
          <w:color w:val="auto"/>
        </w:rPr>
      </w:pPr>
    </w:p>
    <w:p>
      <w:pPr>
        <w:ind w:left="5588" w:hanging="92"/>
        <w:spacing w:after="0"/>
        <w:tabs>
          <w:tab w:leader="none" w:pos="5588"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30" w:name="page131"/>
    <w:bookmarkEnd w:id="130"/>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rr.            The Issuer is not subject to the Bank Holding Company Act of 1956, as amended (the “</w:t>
      </w:r>
      <w:r>
        <w:rPr>
          <w:rFonts w:ascii="Times New Roman" w:cs="Times New Roman" w:eastAsia="Times New Roman" w:hAnsi="Times New Roman"/>
          <w:sz w:val="12"/>
          <w:szCs w:val="12"/>
          <w:u w:val="single" w:color="auto"/>
          <w:color w:val="auto"/>
        </w:rPr>
        <w:t>BHCA</w:t>
      </w:r>
      <w:r>
        <w:rPr>
          <w:rFonts w:ascii="Times New Roman" w:cs="Times New Roman" w:eastAsia="Times New Roman" w:hAnsi="Times New Roman"/>
          <w:sz w:val="12"/>
          <w:szCs w:val="12"/>
          <w:color w:val="auto"/>
        </w:rPr>
        <w:t>”) and to regulation by the Board of Governors of the Federal Reserve System (the “</w:t>
      </w:r>
      <w:r>
        <w:rPr>
          <w:rFonts w:ascii="Times New Roman" w:cs="Times New Roman" w:eastAsia="Times New Roman" w:hAnsi="Times New Roman"/>
          <w:sz w:val="12"/>
          <w:szCs w:val="12"/>
          <w:u w:val="single" w:color="auto"/>
          <w:color w:val="auto"/>
        </w:rPr>
        <w:t>Federal Reserve</w:t>
      </w:r>
      <w:r>
        <w:rPr>
          <w:rFonts w:ascii="Times New Roman" w:cs="Times New Roman" w:eastAsia="Times New Roman" w:hAnsi="Times New Roman"/>
          <w:sz w:val="12"/>
          <w:szCs w:val="12"/>
          <w:color w:val="auto"/>
        </w:rPr>
        <w:t>”). Neither the Issuer nor any of its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Issuer nor any of its affiliates exercises a controlling influence over the management or policies of a bank or any entity that is subject to the BHCA and to regulation by the Federal Reserve.</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ss.           Neither the Issuer nor, to the knowledge of the Issuer, any director, officer, agent, employee, affiliate or representative of the Issuer is an individual or entity (“</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currently the subject or target of any sanctions administered or enforced by the United States Government, including, without limitation, the U.S. Department of the Treasury’s Office of Foreign Assets Control (“</w:t>
      </w:r>
      <w:r>
        <w:rPr>
          <w:rFonts w:ascii="Times New Roman" w:cs="Times New Roman" w:eastAsia="Times New Roman" w:hAnsi="Times New Roman"/>
          <w:sz w:val="12"/>
          <w:szCs w:val="12"/>
          <w:u w:val="single" w:color="auto"/>
          <w:color w:val="auto"/>
        </w:rPr>
        <w:t>OFAC</w:t>
      </w:r>
      <w:r>
        <w:rPr>
          <w:rFonts w:ascii="Times New Roman" w:cs="Times New Roman" w:eastAsia="Times New Roman" w:hAnsi="Times New Roman"/>
          <w:sz w:val="12"/>
          <w:szCs w:val="12"/>
          <w:color w:val="auto"/>
        </w:rPr>
        <w:t>”), the United Nations Security Council, the European Union, His Majesty’s Treasury, or other relevant sanctions authority (collectively, “</w:t>
      </w:r>
      <w:r>
        <w:rPr>
          <w:rFonts w:ascii="Times New Roman" w:cs="Times New Roman" w:eastAsia="Times New Roman" w:hAnsi="Times New Roman"/>
          <w:sz w:val="12"/>
          <w:szCs w:val="12"/>
          <w:u w:val="single" w:color="auto"/>
          <w:color w:val="auto"/>
        </w:rPr>
        <w:t>Sanctions</w:t>
      </w:r>
      <w:r>
        <w:rPr>
          <w:rFonts w:ascii="Times New Roman" w:cs="Times New Roman" w:eastAsia="Times New Roman" w:hAnsi="Times New Roman"/>
          <w:sz w:val="12"/>
          <w:szCs w:val="12"/>
          <w:color w:val="auto"/>
        </w:rPr>
        <w:t>”), nor is the Issuer located, organized or resident in a country or territory that is the subject of Sanctions; and the Issuer will not directly or indirectly use any funds, or lend, contribute or otherwise make available such funds to any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tt.            The operations of the Issuer is and has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2"/>
          <w:szCs w:val="12"/>
          <w:u w:val="single" w:color="auto"/>
          <w:color w:val="auto"/>
        </w:rPr>
        <w:t>Money Laundering Laws</w:t>
      </w:r>
      <w:r>
        <w:rPr>
          <w:rFonts w:ascii="Times New Roman" w:cs="Times New Roman" w:eastAsia="Times New Roman" w:hAnsi="Times New Roman"/>
          <w:sz w:val="12"/>
          <w:szCs w:val="12"/>
          <w:color w:val="auto"/>
        </w:rPr>
        <w:t>”), and no Action or Proceeding by or before any court or governmental agency, authority or body or any arbitrator involving the Issuer with respect to the Money Laundering Laws is pending or, to the knowledge of the Issuer, threatened.</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uu.          Issuer has no material liabilities, contingent or otherwise, except as disclosed in the SEC Documents.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vv.          Issuer has not disclosed to Subscriber any material non-public information not otherwise disclosed in the SEC Documents.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          </w:t>
      </w:r>
      <w:r>
        <w:rPr>
          <w:rFonts w:ascii="Times New Roman" w:cs="Times New Roman" w:eastAsia="Times New Roman" w:hAnsi="Times New Roman"/>
          <w:sz w:val="12"/>
          <w:szCs w:val="12"/>
          <w:u w:val="single" w:color="auto"/>
          <w:color w:val="auto"/>
        </w:rPr>
        <w:t>  Subscriber Representations and Warranties</w:t>
      </w:r>
      <w:r>
        <w:rPr>
          <w:rFonts w:ascii="Times New Roman" w:cs="Times New Roman" w:eastAsia="Times New Roman" w:hAnsi="Times New Roman"/>
          <w:sz w:val="12"/>
          <w:szCs w:val="12"/>
          <w:color w:val="auto"/>
        </w:rPr>
        <w:t>. Each Subscriber, severally and not jointly, represents and warrants, as of the date hereof and the Closing Date, that:</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a.             Subscriber has been duly formed or incorporated and is validly existing in good standing under the laws of its jurisdiction of incorporation or formation, with the requisite entity power and authority to enter into, deliver and perform its obligations under this Subscription Agreement.</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This Subscription Agreement has been duly authorized, executed and delivered by Subscriber. This Subscription Agreement is enforceable against Subscriber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1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c.            The execution and delivery by Subscriber of this Subscription Agreement, and the performance by Subscriber of its obligations under this Subscription Agreement, including the purchase of the Acquired Securities and the consummation of the other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which would reasonably be expected to have a material adverse effect on the business, properties, financial condition, stockholders’ equity or results of operations of Subscriber, taken as a whole (a “</w:t>
      </w:r>
      <w:r>
        <w:rPr>
          <w:rFonts w:ascii="Times New Roman" w:cs="Times New Roman" w:eastAsia="Times New Roman" w:hAnsi="Times New Roman"/>
          <w:sz w:val="12"/>
          <w:szCs w:val="12"/>
          <w:u w:val="single" w:color="auto"/>
          <w:color w:val="auto"/>
        </w:rPr>
        <w:t>Subscriber Material Adverse Effect</w:t>
      </w:r>
      <w:r>
        <w:rPr>
          <w:rFonts w:ascii="Times New Roman" w:cs="Times New Roman" w:eastAsia="Times New Roman" w:hAnsi="Times New Roman"/>
          <w:sz w:val="12"/>
          <w:szCs w:val="12"/>
          <w:color w:val="auto"/>
        </w:rPr>
        <w:t>”), or materially affect the legal authority of Subscriber to comply in all material respects with the terms of this Subscription Agreement; (ii) the organizational documents of Subscriber; or (iii) any statute or any judgment, order, rule or regulation of any court or governmental agency or body, domestic or foreign, having jurisdiction over Subscriber or any of Subscriber’s properties that would reasonably be expected to have a Subscriber Material Adverse Effect or materially affect the legal authority of Subscriber to comply in all material respects with this Subscription Agreement.</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1" w:name="page132"/>
    <w:bookmarkEnd w:id="131"/>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d.            Subscriber (i) is an “accredited investor” as such term is defined in Rule 501(a) of Regulation D under the Securities Act or it is not a “U.S. Person” as defined in Rule 902 of Regulation S (“</w:t>
      </w:r>
      <w:r>
        <w:rPr>
          <w:rFonts w:ascii="Times New Roman" w:cs="Times New Roman" w:eastAsia="Times New Roman" w:hAnsi="Times New Roman"/>
          <w:sz w:val="12"/>
          <w:szCs w:val="12"/>
          <w:u w:val="single" w:color="auto"/>
          <w:color w:val="auto"/>
        </w:rPr>
        <w:t>Regulation S</w:t>
      </w:r>
      <w:r>
        <w:rPr>
          <w:rFonts w:ascii="Times New Roman" w:cs="Times New Roman" w:eastAsia="Times New Roman" w:hAnsi="Times New Roman"/>
          <w:sz w:val="12"/>
          <w:szCs w:val="12"/>
          <w:color w:val="auto"/>
        </w:rPr>
        <w:t xml:space="preserve">”) under the Securities Act, in each case, satisfying the applicable requirements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and acknowledges that the sale contemplated hereby is being made in reliance on a private placement exemption to “Accredited Investors” within the meaning of Section 501(a) of Regulation D under the Securities Act and similar exemptions under state law or a non U.S. Person under Regulation S, and is an “institutional account” as defined in FINRA Rule 4512(c), (ii) is acquiring the Acquired Securities, and upon the exercise of the Pre-Funded Warrants and Stapled Warrants, will acquire the Warrant Shares issuable upon exercise of the Pre-Funded Warrants and Stapled Warrants, respectively, will acquire the only for its own account and not for the account of others, or if Subscriber is subscribing for the Acquired Securities as a fiduciary or agent for one or more investor accounts, each owner of such account is a “qualified institutional buyer” or an “accredited investor” (each as defined above) and Subscriber has full investment discretion with respect to each such account, and the full power and authority to make the acknowledgements, representations and agreements herein on behalf of each owner of each such account and (iii) is not acquiring the Acquired Securities, and upon the exercise of the Pre-Funded Warrants and Stapled Warrants, as applicable, will not acquire the Warrant Shares issuable upon exercise of the Pre-Funded Warrants and Stapled Warrants, as applicable, with a view to, or for offer or sale in connection with, any distribution thereof in violation of the Securities Act. Subscriber has completed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following the signature page hereto and the information contained therein is accurate and complete. Subscriber is not an entity formed for the specific purpose of acquiring the Acquired Securities, and upon the exercise of the Pre-Funded Warrants and Stapled Warrants, as applicable, acquiring the Warrant Shares issuable upon exercise of the Pre-Funded Warrants and Stapled Warrants, as applicable, unless Subscriber is a newly formed entity in which all of the equity owners are accredited investors and is an “institutional account” as defined by FINRA Rule 4512(c). Accordingly, Subscriber is aware that this offering of the Acquired Securities meets the exemptions from filing under FINRA Rule 5123(b)(1)(A), (C) or (J).</w:t>
      </w:r>
    </w:p>
    <w:p>
      <w:pPr>
        <w:spacing w:after="0" w:line="126"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e.            Subscriber understands that the Acquired Securities are being offered in a transaction not involving any public offering within the meaning of the Securities Act and that the Acquired Securities and Warrant Shares underlying the Pre-Funded Warrants and Stapled Warrants have not been registered under the Securities Act. Subscriber understands that the Acquired Securities and Warrant Shares may not be offered, resold, transferred, pledged or otherwise disposed of by Subscriber absent an effective registration statement under the Securities Act, except (i) to the Issuer, (ii) to non-U.S. persons pursuant to offers and sales that occur outside the United States within the meaning of Regulation S under the Securities Act, (iii) pursuant to Rule 144 (including Rule 144(i) thereunder) under the Securities Act;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all of the applicable conditions thereof have been met, or (iv) pursuant to another applicable exemption from the registration requirements of the Securities Act (including, without limitation, a private resale pursuant to the so-called “Section 4(a)(7)”), and in each case, in accordance with any applicable securities laws of the states of the United States and other applicable jurisdictions, and that any certificates or book-entry records representing the Acquired Securities shall contain a legend to such effect. Subscriber acknowledges that the Acquired Securities will not be eligible for resale pursuant to Rule 144A promulgated under the Securities Act. Subscriber understands and agrees that the Acquired Securities will be subject to the foregoing transfer restrictions and, as a result of these transfer restrictions, Subscriber may not be able to readily resell the Acquired Securities and may be required to bear the financial risk of an investment in the Acquired Securities for an indefinite period of time. Subscriber acknowledges and agrees that the Acquired Securities will not be eligible for offer, resale, transfer, pledge or disposition pursuant to Rule 144 until at least six months from the Closing Date. Subscriber understands that it has been advised to consult legal counsel prior to making any offer, resale, pledge or transfer of any of the Acquired Securities.</w:t>
      </w:r>
    </w:p>
    <w:p>
      <w:pPr>
        <w:spacing w:after="0" w:line="12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f.             Subscriber understands and agrees that Subscriber is purchasing the Acquired Securities directly from the Issuer. Subscriber further acknowledges that there have been no representations, warranties, covenants and agreements made to Subscriber by or on behalf of the Issuer, any of its respective affiliates or control persons, officers, directors, employees, partners, agents or representatives, expressly or by implication, regarding the transactions contemplated by this Subscription Agreement, other than those representations, warranties, covenants and agreements included in this Subscription Agreement.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2" w:name="page133"/>
    <w:bookmarkEnd w:id="132"/>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g.            Subscriber acknowledges (a) that the Issuer makes no representation or warranty with respect to any tax implications of the Transaction to the Subscriber, (b) Subscriber shall be solely and exclusively responsible for the payment of any and all taxes to Subscriber as a result of the Transaction; (c) Subscriber represents that (i) Subscriber will not retain any rights in SOL transferred by the Subscriber to the Issuer, (ii) none of the SOL transferred by Subscriber to the Issuer are subject to liabilities that are assumed by the Issuer. (iii) the fair market value of the SOL contributed to the Issuer is at least equal to or greater than Subscriber’s tax basis in SOL, and (iv) the Subscriber’s tax basis of the SOL contributed to the Issuer as listed on the signature page hereto is true and correct in all respects, (d) Subscriber has paid its own expenses, if any, incurred in connection with entering into this Agreement, and (e) Subscriber is not a party to any binding commitments and has no current plans or intention to sell the stock of the Issuer purchased pursuant to this Agreement.</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Subscriber’s acquisition and holding of the Acquired Securities will not constitute or result in a non-exempt prohibited transaction under section 406 of the Employee Retirement Income Security Act of 1974, as amended (“</w:t>
      </w:r>
      <w:r>
        <w:rPr>
          <w:rFonts w:ascii="Times New Roman" w:cs="Times New Roman" w:eastAsia="Times New Roman" w:hAnsi="Times New Roman"/>
          <w:sz w:val="12"/>
          <w:szCs w:val="12"/>
          <w:u w:val="single" w:color="auto"/>
          <w:color w:val="auto"/>
        </w:rPr>
        <w:t>ERISA</w:t>
      </w:r>
      <w:r>
        <w:rPr>
          <w:rFonts w:ascii="Times New Roman" w:cs="Times New Roman" w:eastAsia="Times New Roman" w:hAnsi="Times New Roman"/>
          <w:sz w:val="12"/>
          <w:szCs w:val="12"/>
          <w:color w:val="auto"/>
        </w:rPr>
        <w:t>”), section 4975 of the Code, or any applicable similar law.</w:t>
      </w:r>
    </w:p>
    <w:p>
      <w:pPr>
        <w:spacing w:after="0" w:line="11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i.              In making its decision to subscribe for and purchase the Acquired Securities, Subscriber represents that it has relied solely upon its own independent investigation, the investor presentation provided to Subscriber and the Issuer’s representations, warranties and covenants set forth in this Subscription Agreement. Without limiting the generality of the foregoing, Subscriber has not relied on any statements, representations or warranties or other information provided by the Placement Agent or any of its affiliates, or any of their respective officers, directors, employees or representatives, concerning the Issuer or the Acquired Securities or the offer and sale of the Acquired Securities. Subscriber acknowledges and agrees that Subscriber has received and has had the opportunity to review such information as Subscriber deems necessary in order to make an investment decision with respect to the Acquired Securities and the Issuer, including the SEC Documents, the risk factors set forth therein, a summary of risks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and certain information provided in the Issuer’s data room (provided that no risk factor disclosure or information set forth in such data room shall be deemed to qualify any representation or warranty of the Issuer contained herein). Subscriber represents and agrees that Subscriber and Subscriber’s professional advisor(s), if any, have had the full opportunity to ask such questions, receive such answers and obtain such information as Subscriber and such Subscriber’s professional advisor(s), if any, have deemed necessary to make an investment decision with respect to the Acquired Securities.</w:t>
      </w:r>
    </w:p>
    <w:p>
      <w:pPr>
        <w:spacing w:after="0" w:line="128"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j.              Subscriber became aware of this offering of the Acquired Securities solely by means of direct contact between Subscriber and the Issuer, the Placement Agent or a representative of the Issuer or the Placement Agent, and the Acquired Securities were offered to Subscriber solely by direct contact between Subscriber and the Issuer, the Placement Agent or a representative of the Issuer or the Placement Agent. Subscriber did not become aware of this offering of the Acquired Securities, nor were the Acquired Securities offered to Subscriber, by any other means. Subscriber acknowledges that the Issuer represents and warrants that the Acquired Securities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k.            Subscriber acknowledges that it is aware that there are substantial risks incident to the purchase and ownership of the Acquired Securities. Subscriber has such knowledge and experience in financial and business matters as to be capable of evaluating the merits and risks of an investment in the Acquired Securities, and Subscriber has sought such accounting, legal and tax advice as Subscriber has considered necessary to make an informed investment decision. Accordingly, Subscriber is aware that the Placement Agent is not making any recommendation to the Subscriber with respect to the offering of the Acquired Securities.</w:t>
      </w:r>
    </w:p>
    <w:p>
      <w:pPr>
        <w:spacing w:after="0" w:line="119"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l.             Subscriber acknowledges and agrees that the Placement Agent, nor any affiliate of the Placement Agent or any officer, director, employee or representative of the Placement Agent or any affiliate thereof has provided Subscriber with any information or advice with respect to the Acquired Securities nor is such information or advice necessary or desired. Subscriber acknowledges that none of the Placement Agent, any of its affiliates or any of their respective officers, directors, employees or representatives (i) has made any representation as to the Issuer or the quality of the Acquired Securities, and the Placement Agent may have acquired non-public information with respect to the Issuer, which Subscriber agrees need not be provided to it, (ii) has made an independent investigation with respect to the Issuer or the Acquired Securities or the accuracy, completeness or adequacy of any information supplied to Subscriber by the Issuer, (iii) has acted as Subscriber’s financial advisor or fiduciary in connection with the issuance and purchase of the Acquired Securities or (iv) has prepared a disclosure or offering document in connection with the offer and sale of the Acquired Securities.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3" w:name="page134"/>
    <w:bookmarkEnd w:id="133"/>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m.           Subscriber represents and acknowledges that Subscriber, either alone or together with any professional advisor(s) has adequately analyzed and fully considered the risks of an investment in the Acquired Securities and determined that the Acquired Securities are a suitable investment for Subscriber and that Subscriber is able at this time and in the foreseeable future to bear the economic risk of a total loss of Subscriber’s investment in the Issuer. Subscriber acknowledges specifically that a possibility of total loss exists; provided, that neither this representation nor any other representation or warranty made by the Subscriber herein shall in any way limit the Subscriber’s right to rely upon the Issuer’s representations, warranties and covenants contained herein.</w:t>
      </w:r>
    </w:p>
    <w:p>
      <w:pPr>
        <w:spacing w:after="0" w:line="122"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n.            Subscriber understands and agrees that no federal or state agency has passed upon or endorsed the merits of the offering of the Acquired Securities or made any findings or determination as to the fairness of an investment in the Acquired Securities.</w:t>
      </w:r>
    </w:p>
    <w:p>
      <w:pPr>
        <w:spacing w:after="0" w:line="111"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o.            The operations of the Subscriber have been conducted in material compliance with the rules and regulations administered or conducted by OFAC applicable to such Subscriber. Such Subscriber has performed due diligence necessary to reasonably determine that its beneficial owners are not named on the lists of denied parties or blocked persons administered by OFAC, resident in or organized under the laws of a country that is the subject of Sanctions, or otherwise the subject of Sanctions, except as permitted under Sanctions.</w:t>
      </w:r>
    </w:p>
    <w:p>
      <w:pPr>
        <w:spacing w:after="0" w:line="11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p.            Subscriber is not currently (and at all times through the Closing or earlier termination of this Agreement will refrain from being or becoming) a member of a “group” (within the meaning of Section 13(d)(3) or Section 14(d)(2) of the Exchange Act or any successor provision) acting for the purpose of acquiring, holding, voting or disposing of equity securities of the Issuer (within the meaning of Rule 13d-5(b)(1) under the Exchange Act), other than any “group” consisting solely of the Subscriber and one or more of its affiliates.</w:t>
      </w:r>
    </w:p>
    <w:p>
      <w:pPr>
        <w:spacing w:after="0" w:line="119"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q.            If Subscriber is or is acting on behalf of (i) an employee benefit plan that is subject to Title I of ERISA, (ii) a plan, an individual retirement account or other arrangement that is subject to section 4975 of the Code, (iii) an entity whose underlying assets are considered to include “plan assets” of any such plan, account or arrangement described in clauses (i) and (ii) (each, an “</w:t>
      </w:r>
      <w:r>
        <w:rPr>
          <w:rFonts w:ascii="Times New Roman" w:cs="Times New Roman" w:eastAsia="Times New Roman" w:hAnsi="Times New Roman"/>
          <w:sz w:val="12"/>
          <w:szCs w:val="12"/>
          <w:u w:val="single" w:color="auto"/>
          <w:color w:val="auto"/>
        </w:rPr>
        <w:t>ERISA Plan</w:t>
      </w:r>
      <w:r>
        <w:rPr>
          <w:rFonts w:ascii="Times New Roman" w:cs="Times New Roman" w:eastAsia="Times New Roman" w:hAnsi="Times New Roman"/>
          <w:sz w:val="12"/>
          <w:szCs w:val="12"/>
          <w:color w:val="auto"/>
        </w:rPr>
        <w:t>”), or (iv) an employee benefit plan that is a governmental plan (as defined in section 3(32) of ERISA), a church plan (as defined in section 3(33) of ERISA), a non-U.S. plan (as described in section 4(b)(4) of ERISA) or other plan that is not subject to the foregoing clauses (i),</w:t>
      </w:r>
    </w:p>
    <w:p>
      <w:pPr>
        <w:spacing w:after="0" w:line="1" w:lineRule="exact"/>
        <w:rPr>
          <w:sz w:val="20"/>
          <w:szCs w:val="20"/>
          <w:color w:val="auto"/>
        </w:rPr>
      </w:pPr>
    </w:p>
    <w:p>
      <w:pPr>
        <w:jc w:val="both"/>
        <w:ind w:left="8" w:hanging="8"/>
        <w:spacing w:after="0" w:line="253" w:lineRule="auto"/>
        <w:tabs>
          <w:tab w:leader="none" w:pos="195"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(iii) but may be subject to provisions under any other federal, state, local, non-U.S. or other laws or regulations that are similar to such provisions of ERISA or the Internal Revenue Code (collectively, “</w:t>
      </w:r>
      <w:r>
        <w:rPr>
          <w:rFonts w:ascii="Times New Roman" w:cs="Times New Roman" w:eastAsia="Times New Roman" w:hAnsi="Times New Roman"/>
          <w:sz w:val="12"/>
          <w:szCs w:val="12"/>
          <w:u w:val="single" w:color="auto"/>
          <w:color w:val="auto"/>
        </w:rPr>
        <w:t>Similar Laws</w:t>
      </w:r>
      <w:r>
        <w:rPr>
          <w:rFonts w:ascii="Times New Roman" w:cs="Times New Roman" w:eastAsia="Times New Roman" w:hAnsi="Times New Roman"/>
          <w:sz w:val="12"/>
          <w:szCs w:val="12"/>
          <w:color w:val="auto"/>
        </w:rPr>
        <w:t>,” and together with the ERISA Plans, the “</w:t>
      </w:r>
      <w:r>
        <w:rPr>
          <w:rFonts w:ascii="Times New Roman" w:cs="Times New Roman" w:eastAsia="Times New Roman" w:hAnsi="Times New Roman"/>
          <w:sz w:val="12"/>
          <w:szCs w:val="12"/>
          <w:u w:val="single" w:color="auto"/>
          <w:color w:val="auto"/>
        </w:rPr>
        <w:t>Plans</w:t>
      </w:r>
      <w:r>
        <w:rPr>
          <w:rFonts w:ascii="Times New Roman" w:cs="Times New Roman" w:eastAsia="Times New Roman" w:hAnsi="Times New Roman"/>
          <w:sz w:val="12"/>
          <w:szCs w:val="12"/>
          <w:color w:val="auto"/>
        </w:rPr>
        <w:t>”), Subscriber represents and warrants that (i) neither the Issuer nor any of its respective affiliates has provided investment advice or has otherwise acted as the Plan’s fiduciary, with respect to its decision to acquire and hold the Acquired Securities, and none of the Issuer or any of its respective affiliates is or shall at any time be the Plan’s fiduciary with respect to any decision to acquire and hold the Acquired Securities, and none of the Issuer or any of its respective affiliates is or shall at any time be the Plan’s fiduciary with respect to any decision in connection with Subscriber’s investment in the Acquired Securities and (ii) its purchase of the Acquired Securities will not result in a non-exempt prohibited transaction under section 406 of ERISA or section 4975 of the Code, or any applicable Similar Law.</w:t>
      </w:r>
    </w:p>
    <w:p>
      <w:pPr>
        <w:spacing w:after="0" w:line="12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 xml:space="preserve">r.             Subscriber has, and at the Closing, will have, sufficient funds to pay the Purchase Price pursuant to </w:t>
      </w:r>
      <w:r>
        <w:rPr>
          <w:rFonts w:ascii="Times New Roman" w:cs="Times New Roman" w:eastAsia="Times New Roman" w:hAnsi="Times New Roman"/>
          <w:sz w:val="12"/>
          <w:szCs w:val="12"/>
          <w:u w:val="single" w:color="auto"/>
          <w:color w:val="auto"/>
        </w:rPr>
        <w:t>Section 2.b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s.            (i) Subject to any lock-up provisions related solely to Locked SOL as required by either the Solana Foundation or the FTX bankruptcy estate, as the case may be, Purchaser has all rights, title and interest in and to SOL to be contributed by it to the Issuer pursuant to this Agreement, (ii) SOL is held in a digital wallet held or operated by or on behalf of the Subscriber at or by an appropriately regulated custodian and/or in accordance with industry-standard security practices (the “</w:t>
      </w:r>
      <w:r>
        <w:rPr>
          <w:rFonts w:ascii="Times New Roman" w:cs="Times New Roman" w:eastAsia="Times New Roman" w:hAnsi="Times New Roman"/>
          <w:sz w:val="12"/>
          <w:szCs w:val="12"/>
          <w:u w:val="single" w:color="auto"/>
          <w:color w:val="auto"/>
        </w:rPr>
        <w:t>Subscriber Digital Wallet</w:t>
      </w:r>
      <w:r>
        <w:rPr>
          <w:rFonts w:ascii="Times New Roman" w:cs="Times New Roman" w:eastAsia="Times New Roman" w:hAnsi="Times New Roman"/>
          <w:sz w:val="12"/>
          <w:szCs w:val="12"/>
          <w:color w:val="auto"/>
        </w:rPr>
        <w:t>”) and neither SOL nor such Subscriber Digital Wallet is subject to any liens, encumbrances or other restrictions, (iii) Subscriber has taken commercially reasonable steps to protect its Subscriber Digital Wallet and SOL and (iv) Subscriber has the exclusive ability to control such Subscriber Digital Wallet, including by use of “private keys” or other equivalent means or through custody arrangements or other equivalent means. The information contained on the signature page hereto related to the date on which Locked SOL shall unlock is true and correct in all respects.</w:t>
      </w:r>
    </w:p>
    <w:p>
      <w:pPr>
        <w:spacing w:after="0" w:line="2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34" w:name="page135"/>
    <w:bookmarkEnd w:id="134"/>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t.             Subscriber hereby represents that neither the Subscriber nor any person or entity acting on behalf of the Subscriber, or pursuant to any agreement or understanding with the Subscriber, has entered into any agreement or other arrangement that is or could reasonably be expected to be treated as (or pursuant to the terms of any such agreement or other arrangement could reasonably be expected to result in), for U.S. federal income tax purposes, a sale or exchange or other disposition of the Acquired Securities after the Closing. The Subscriber hereby agrees that neither the Subscriber nor any person or entity acting on behalf of the Subscriber, or pursuant to any agreement or understanding with the Subscriber, will, prior to the Closing, enter into any agreement or other arrangement that will or could reasonably be expected to be treated as (or pursuant to the terms of any such agreement or other arrangement could reasonably be expected to result in), for U.S. federal income tax purposes, a sale or exchange or other disposition of the Acquired Securities after the Closing.</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          </w:t>
      </w:r>
      <w:r>
        <w:rPr>
          <w:rFonts w:ascii="Times New Roman" w:cs="Times New Roman" w:eastAsia="Times New Roman" w:hAnsi="Times New Roman"/>
          <w:sz w:val="12"/>
          <w:szCs w:val="12"/>
          <w:u w:val="single" w:color="auto"/>
          <w:color w:val="auto"/>
        </w:rPr>
        <w:t>  Registration Rights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The Issuer agrees to use commercially reasonable efforts to submit to or file with the Commission, within thirty (30) calendar days after the consummation of the Transaction (the “</w:t>
      </w:r>
      <w:r>
        <w:rPr>
          <w:rFonts w:ascii="Times New Roman" w:cs="Times New Roman" w:eastAsia="Times New Roman" w:hAnsi="Times New Roman"/>
          <w:sz w:val="12"/>
          <w:szCs w:val="12"/>
          <w:u w:val="single" w:color="auto"/>
          <w:color w:val="auto"/>
        </w:rPr>
        <w:t>Filing Date</w:t>
      </w:r>
      <w:r>
        <w:rPr>
          <w:rFonts w:ascii="Times New Roman" w:cs="Times New Roman" w:eastAsia="Times New Roman" w:hAnsi="Times New Roman"/>
          <w:sz w:val="12"/>
          <w:szCs w:val="12"/>
          <w:color w:val="auto"/>
        </w:rPr>
        <w:t>”) (at the Issuer’s sole cost and expense), a registration statement on Form S-3 (or Form S-1 if Form S-3 is not available) (the “</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registering the resale of the Registrable Securities (as defined herein), which Registration Statement may include the shares of Common Stock being purchased by the Other Subscribers in the Other Subscriptions and the shares of Common Stock issued or issuable upon the exercise of the Pre-Funded Warrants and Stapled Warrants being purchased by the Other Subscribers in the Other Subscriptions, and the Issuer shall use its commercially reasonable efforts to have the Registration Statement declared effective under the Securities Act as soon as practicable after</w:t>
      </w:r>
    </w:p>
    <w:p>
      <w:pPr>
        <w:jc w:val="both"/>
        <w:spacing w:after="0" w:line="245" w:lineRule="auto"/>
        <w:rPr>
          <w:sz w:val="20"/>
          <w:szCs w:val="20"/>
          <w:color w:val="auto"/>
        </w:rPr>
      </w:pPr>
      <w:r>
        <w:rPr>
          <w:rFonts w:ascii="Times New Roman" w:cs="Times New Roman" w:eastAsia="Times New Roman" w:hAnsi="Times New Roman"/>
          <w:sz w:val="12"/>
          <w:szCs w:val="12"/>
          <w:color w:val="auto"/>
        </w:rPr>
        <w:t>the filing thereof and upon the earlier of (i) the fifteenth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business day (or sixtieth (60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business day if the Commission notifies the Issuer that it will “review” the Registration Statement) following the filing date and (ii) the 5th business day after the date the Issuer is notified (orally or in writing, whichever is earlier) by the Commission that the Registration Statement will not be “reviewed” or will not be subject to further review (such earlier date, the “</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the Issuer’s obligations to include the Registrable Securities in the Registration Statement are contingent upon Subscriber furnishing in writing to the Issuer such information regarding Subscriber, the securities of the Issuer held by Subscriber and the intended method of disposition of the Registrable Securities as shall be reasonably requested by the Issuer to effect the registration of the Registrable Securities,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as permitted under </w:t>
      </w:r>
      <w:r>
        <w:rPr>
          <w:rFonts w:ascii="Times New Roman" w:cs="Times New Roman" w:eastAsia="Times New Roman" w:hAnsi="Times New Roman"/>
          <w:sz w:val="12"/>
          <w:szCs w:val="12"/>
          <w:u w:val="single" w:color="auto"/>
          <w:color w:val="auto"/>
        </w:rPr>
        <w:t>Section 5.c</w:t>
      </w:r>
      <w:r>
        <w:rPr>
          <w:rFonts w:ascii="Times New Roman" w:cs="Times New Roman" w:eastAsia="Times New Roman" w:hAnsi="Times New Roman"/>
          <w:sz w:val="12"/>
          <w:szCs w:val="12"/>
          <w:color w:val="auto"/>
        </w:rPr>
        <w:t xml:space="preserve"> of this Subscription Agreement. Notwithstanding the foregoing, if the Commission prevents the Issuer from including any or all of the shares proposed to be registered under the Registration Statement due to limitations on the use of Rule 415 of the Securities Act for the resale of the Registrable Securities by the applicable stockholders or otherwise, such Registration Statement shall register for resale such number of Registrable Securities which is equal to the maximum number of Registrable Securities as is permitted by the Commission. In such event, the number of Registrable Securities to be registered for each selling stockholder named in the Registration Statement shall be reduced pro rata among all such selling stockholders. In the event of any such reduction, the Issuer shall use its best efforts to promptly file additional registration statements (or amendments) as permitted by the Commission to register for resale any Registerable Securities not included due to such limitation, until all Registerable Securities are so registered. Upon notification by the Commission that the Registration Statement has been declared effective by the Commission, within two (2) business days thereafter, the Issuer shall file the final prospectus under Rule 424 of the Securities Act. The Issuer will provide a draft of the Registration Statement to Subscriber for review at least five (5) business days in advance of filing the Registration Statement;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for the avoidance of doubt, in no event shall the Issuer be required to delay or postpone the filing of such Registration Statement as a result of or in connection with Subscriber’s review. In no event shall Subscriber be identified as an underwriter in the Registration Statement unless required by the Commission;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if the Commission requests that Subscriber be identified as an underwriter in the Registration Statement, Subscriber will have an opportunity to withdraw from the Registration Statement (in which case the Issuer shall not identify the Subscriber as an underwriter therein). Subscriber shall not be entitled to use the Registration Statement for an underwritten offering of Registrable Securities. For purposes of clarification, any failure by the Issuer to file the Registration Statement by the Filing Date or to effect such Registration Statement by the Effective Date shall not otherwise relieve the Issuer of its obligations to file or effect the Registration Statement as set forth above in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Registrable Securities</w:t>
      </w:r>
      <w:r>
        <w:rPr>
          <w:rFonts w:ascii="Times New Roman" w:cs="Times New Roman" w:eastAsia="Times New Roman" w:hAnsi="Times New Roman"/>
          <w:sz w:val="12"/>
          <w:szCs w:val="12"/>
          <w:color w:val="auto"/>
        </w:rPr>
        <w:t>” means the Stapled Warrants, the Warrant Shares issued or issuable upon the exercise of the Pre-Funded Warrants and/or Stapled Warrants, and any shares of Common Stock issued or issuable with respect to the Warrant Shares as a result of any stock split or subdivision, stock dividend, recapitalization, exchange or similar event.</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5" w:name="page136"/>
    <w:bookmarkEnd w:id="135"/>
    <w:p>
      <w:pPr>
        <w:ind w:left="868"/>
        <w:spacing w:after="0"/>
        <w:rPr>
          <w:sz w:val="20"/>
          <w:szCs w:val="20"/>
          <w:color w:val="auto"/>
        </w:rPr>
      </w:pPr>
      <w:r>
        <w:rPr>
          <w:rFonts w:ascii="Times New Roman" w:cs="Times New Roman" w:eastAsia="Times New Roman" w:hAnsi="Times New Roman"/>
          <w:sz w:val="12"/>
          <w:szCs w:val="12"/>
          <w:color w:val="auto"/>
        </w:rPr>
        <w:t>b.            In the case of the registration effected by the Issuer pursuant to this Subscription Agreement, the Issuer shall, upon reasonable request, inform Subscriber as to the status of such registration. At its expense the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Issuer shall:</w:t>
      </w:r>
    </w:p>
    <w:p>
      <w:pPr>
        <w:spacing w:after="0" w:line="139" w:lineRule="exact"/>
        <w:rPr>
          <w:sz w:val="20"/>
          <w:szCs w:val="20"/>
          <w:color w:val="auto"/>
        </w:rPr>
      </w:pPr>
    </w:p>
    <w:p>
      <w:pPr>
        <w:jc w:val="both"/>
        <w:ind w:left="8" w:right="20" w:firstLine="1288"/>
        <w:spacing w:after="0" w:line="259" w:lineRule="auto"/>
        <w:tabs>
          <w:tab w:leader="none" w:pos="1455"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such times as the Issuer is permitted hereunder to suspend the use of the prospectus forming part of a Registration Statement, use its commercially reasonable efforts to keep such registration continuously effective with respect to Subscriber, and to keep the applicable Registration Statement or any subsequent shelf registration statement free of any material misstatements or omissions, until the earlier of the following:</w:t>
      </w:r>
    </w:p>
    <w:p>
      <w:pPr>
        <w:spacing w:after="0" w:line="1" w:lineRule="exact"/>
        <w:rPr>
          <w:rFonts w:ascii="Times New Roman" w:cs="Times New Roman" w:eastAsia="Times New Roman" w:hAnsi="Times New Roman"/>
          <w:sz w:val="12"/>
          <w:szCs w:val="12"/>
          <w:color w:val="auto"/>
        </w:rPr>
      </w:pPr>
    </w:p>
    <w:p>
      <w:pPr>
        <w:jc w:val="both"/>
        <w:ind w:left="8" w:hanging="8"/>
        <w:spacing w:after="0" w:line="253" w:lineRule="auto"/>
        <w:tabs>
          <w:tab w:leader="none" w:pos="213"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ceases to hold any Registrable Securities, (B) the date all Registrable Securities held by Subscriber may be sold without restriction under Rule 144 of the Securities Act, including without limitation, any volume and manner of sale restrictions which may be applicable to affiliates under Rule 144 and without the requirement for the Issuer to be in compliance with the current public information required under Rule 144(c)(1) or Rule 144(i)(2), as applicable, and (C) three (3) years from the Effective Date of the Registration Statement. The period of time during which the Issuer is required hereunder to keep a Registration Statement effective is referred to herein as the “</w:t>
      </w:r>
      <w:r>
        <w:rPr>
          <w:rFonts w:ascii="Times New Roman" w:cs="Times New Roman" w:eastAsia="Times New Roman" w:hAnsi="Times New Roman"/>
          <w:sz w:val="12"/>
          <w:szCs w:val="12"/>
          <w:u w:val="single" w:color="auto"/>
          <w:color w:val="auto"/>
        </w:rPr>
        <w:t>Registration Period</w:t>
      </w:r>
      <w:r>
        <w:rPr>
          <w:rFonts w:ascii="Times New Roman" w:cs="Times New Roman" w:eastAsia="Times New Roman" w:hAnsi="Times New Roman"/>
          <w:sz w:val="12"/>
          <w:szCs w:val="12"/>
          <w:color w:val="auto"/>
        </w:rPr>
        <w:t>”;</w:t>
      </w:r>
    </w:p>
    <w:p>
      <w:pPr>
        <w:spacing w:after="0" w:line="127" w:lineRule="exact"/>
        <w:rPr>
          <w:rFonts w:ascii="Times New Roman" w:cs="Times New Roman" w:eastAsia="Times New Roman" w:hAnsi="Times New Roman"/>
          <w:sz w:val="12"/>
          <w:szCs w:val="12"/>
          <w:color w:val="auto"/>
        </w:rPr>
      </w:pPr>
    </w:p>
    <w:p>
      <w:pPr>
        <w:ind w:left="1468" w:hanging="172"/>
        <w:spacing w:after="0"/>
        <w:tabs>
          <w:tab w:leader="none" w:pos="1468" w:val="left"/>
        </w:tabs>
        <w:numPr>
          <w:ilvl w:val="1"/>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Registration Period, advise Subscriber promptly:</w:t>
      </w:r>
    </w:p>
    <w:p>
      <w:pPr>
        <w:spacing w:after="0" w:line="150" w:lineRule="exact"/>
        <w:rPr>
          <w:rFonts w:ascii="Times New Roman" w:cs="Times New Roman" w:eastAsia="Times New Roman" w:hAnsi="Times New Roman"/>
          <w:sz w:val="12"/>
          <w:szCs w:val="12"/>
          <w:color w:val="auto"/>
        </w:rPr>
      </w:pPr>
    </w:p>
    <w:p>
      <w:pPr>
        <w:ind w:left="1908" w:hanging="180"/>
        <w:spacing w:after="0"/>
        <w:tabs>
          <w:tab w:leader="none" w:pos="1908" w:val="left"/>
        </w:tabs>
        <w:numPr>
          <w:ilvl w:val="2"/>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a Registration Statement or any amendment thereto has been filed with the Commission and when such Registration Statement or any post-effective amendment thereto has become</w:t>
      </w:r>
    </w:p>
    <w:p>
      <w:pPr>
        <w:spacing w:after="0" w:line="1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w:t>
      </w:r>
    </w:p>
    <w:p>
      <w:pPr>
        <w:spacing w:after="0" w:line="139" w:lineRule="exact"/>
        <w:rPr>
          <w:rFonts w:ascii="Times New Roman" w:cs="Times New Roman" w:eastAsia="Times New Roman" w:hAnsi="Times New Roman"/>
          <w:sz w:val="12"/>
          <w:szCs w:val="12"/>
          <w:color w:val="auto"/>
        </w:rPr>
      </w:pPr>
    </w:p>
    <w:p>
      <w:pPr>
        <w:ind w:left="1888" w:hanging="160"/>
        <w:spacing w:after="0"/>
        <w:tabs>
          <w:tab w:leader="none" w:pos="1888" w:val="left"/>
        </w:tabs>
        <w:numPr>
          <w:ilvl w:val="2"/>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any request by the Commission for amendments or supplements to any Registration Statement or the prospectus included therein or for additional information;</w:t>
      </w:r>
    </w:p>
    <w:p>
      <w:pPr>
        <w:spacing w:after="0" w:line="150" w:lineRule="exact"/>
        <w:rPr>
          <w:rFonts w:ascii="Times New Roman" w:cs="Times New Roman" w:eastAsia="Times New Roman" w:hAnsi="Times New Roman"/>
          <w:sz w:val="12"/>
          <w:szCs w:val="12"/>
          <w:color w:val="auto"/>
        </w:rPr>
      </w:pPr>
    </w:p>
    <w:p>
      <w:pPr>
        <w:ind w:left="1908" w:hanging="180"/>
        <w:spacing w:after="0"/>
        <w:tabs>
          <w:tab w:leader="none" w:pos="1908" w:val="left"/>
        </w:tabs>
        <w:numPr>
          <w:ilvl w:val="2"/>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it shall receive notice or obtain knowledge thereof, of the issuance by the Commission of any stop order suspending the effectiveness of any Registration Statement or the initiation of any</w:t>
      </w:r>
    </w:p>
    <w:p>
      <w:pPr>
        <w:spacing w:after="0" w:line="1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proceedings for such purpose;</w:t>
      </w:r>
    </w:p>
    <w:p>
      <w:pPr>
        <w:spacing w:after="0" w:line="139" w:lineRule="exact"/>
        <w:rPr>
          <w:rFonts w:ascii="Times New Roman" w:cs="Times New Roman" w:eastAsia="Times New Roman" w:hAnsi="Times New Roman"/>
          <w:sz w:val="12"/>
          <w:szCs w:val="12"/>
          <w:color w:val="auto"/>
        </w:rPr>
      </w:pPr>
    </w:p>
    <w:p>
      <w:pPr>
        <w:ind w:left="8" w:right="20" w:firstLine="1720"/>
        <w:spacing w:after="0" w:line="279" w:lineRule="auto"/>
        <w:tabs>
          <w:tab w:leader="none" w:pos="1919" w:val="left"/>
        </w:tabs>
        <w:numPr>
          <w:ilvl w:val="2"/>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receipt by the Issuer of any notification with respect to the suspension of the qualification of the Registrable Securities included therein for sale in any jurisdiction or the initiation or threatening of any proceeding for such purpose; and</w:t>
      </w:r>
    </w:p>
    <w:p>
      <w:pPr>
        <w:spacing w:after="0" w:line="111" w:lineRule="exact"/>
        <w:rPr>
          <w:rFonts w:ascii="Times New Roman" w:cs="Times New Roman" w:eastAsia="Times New Roman" w:hAnsi="Times New Roman"/>
          <w:sz w:val="12"/>
          <w:szCs w:val="12"/>
          <w:color w:val="auto"/>
        </w:rPr>
      </w:pPr>
    </w:p>
    <w:p>
      <w:pPr>
        <w:jc w:val="both"/>
        <w:ind w:left="8" w:firstLine="1720"/>
        <w:spacing w:after="0" w:line="265" w:lineRule="auto"/>
        <w:tabs>
          <w:tab w:leader="none" w:pos="1910" w:val="left"/>
        </w:tabs>
        <w:numPr>
          <w:ilvl w:val="2"/>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accordance with </w:t>
      </w:r>
      <w:r>
        <w:rPr>
          <w:rFonts w:ascii="Times New Roman" w:cs="Times New Roman" w:eastAsia="Times New Roman" w:hAnsi="Times New Roman"/>
          <w:sz w:val="12"/>
          <w:szCs w:val="12"/>
          <w:u w:val="single" w:color="auto"/>
          <w:color w:val="auto"/>
        </w:rPr>
        <w:t>Section 5.c</w:t>
      </w:r>
      <w:r>
        <w:rPr>
          <w:rFonts w:ascii="Times New Roman" w:cs="Times New Roman" w:eastAsia="Times New Roman" w:hAnsi="Times New Roman"/>
          <w:sz w:val="12"/>
          <w:szCs w:val="12"/>
          <w:color w:val="auto"/>
        </w:rPr>
        <w:t xml:space="preserve"> of this Subscription Agreement, of the occurrence of any event that requires the making of any changes in any Registration Statement or prospectus so that, as of such date, any Registration Statement does not contain an untrue statement of a material fact or does not omit to state a material fact required to be stated therein or necessary to make the statements therein not misleading, or any prospectus does not include an untrue statement of a material fact or does not omit to state a material fact necessary in order to make the statements therein, in the light of the circumstances under which they were made, not misleading.</w:t>
      </w:r>
    </w:p>
    <w:p>
      <w:pPr>
        <w:spacing w:after="0" w:line="11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Notwithstanding anything to the contrary set forth herein, the Issuer shall not, when so advising Subscriber of such events, provide Subscriber with any material, nonpublic information regarding the Issuer, any of its affiliates or any other Person, unless the Issuer has notified Subscriber of the existence of such an event (without providing material, nonpublic information about the specific nature of such event) and obtained the written consent of the Subscriber to receive such information;</w:t>
      </w:r>
    </w:p>
    <w:p>
      <w:pPr>
        <w:spacing w:after="0" w:line="119" w:lineRule="exact"/>
        <w:rPr>
          <w:sz w:val="20"/>
          <w:szCs w:val="20"/>
          <w:color w:val="auto"/>
        </w:rPr>
      </w:pPr>
    </w:p>
    <w:p>
      <w:pPr>
        <w:ind w:left="1508" w:hanging="212"/>
        <w:spacing w:after="0"/>
        <w:tabs>
          <w:tab w:leader="none" w:pos="1508"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Registration Period, use its commercially reasonable efforts to obtain the withdrawal of any order suspending the effectiveness of any Registration Statement as soon as reasonably practicable;</w:t>
      </w:r>
    </w:p>
    <w:p>
      <w:pPr>
        <w:spacing w:after="0" w:line="150" w:lineRule="exact"/>
        <w:rPr>
          <w:rFonts w:ascii="Times New Roman" w:cs="Times New Roman" w:eastAsia="Times New Roman" w:hAnsi="Times New Roman"/>
          <w:sz w:val="12"/>
          <w:szCs w:val="12"/>
          <w:color w:val="auto"/>
        </w:rPr>
      </w:pPr>
    </w:p>
    <w:p>
      <w:pPr>
        <w:jc w:val="both"/>
        <w:ind w:left="8" w:firstLine="1288"/>
        <w:spacing w:after="0" w:line="260" w:lineRule="auto"/>
        <w:tabs>
          <w:tab w:leader="none" w:pos="1515"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Registration Period, upon the occurrence of any event contemplated above, except for such times as the Issuer is permitted hereunder to suspend, and has suspended, the use of a prospectus forming part of a Registration Statement,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in order to make the statements therein, in the light of the circumstances under which they were made, not misleading;</w:t>
      </w:r>
    </w:p>
    <w:p>
      <w:pPr>
        <w:spacing w:after="0" w:line="258" w:lineRule="exact"/>
        <w:rPr>
          <w:rFonts w:ascii="Times New Roman" w:cs="Times New Roman" w:eastAsia="Times New Roman" w:hAnsi="Times New Roman"/>
          <w:sz w:val="12"/>
          <w:szCs w:val="12"/>
          <w:color w:val="auto"/>
        </w:rPr>
      </w:pPr>
    </w:p>
    <w:p>
      <w:pPr>
        <w:ind w:left="5588" w:hanging="92"/>
        <w:spacing w:after="0"/>
        <w:tabs>
          <w:tab w:leader="none" w:pos="5588"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36" w:name="page137"/>
    <w:bookmarkEnd w:id="136"/>
    <w:p>
      <w:pPr>
        <w:jc w:val="both"/>
        <w:ind w:firstLine="1288"/>
        <w:spacing w:after="0" w:line="265" w:lineRule="auto"/>
        <w:tabs>
          <w:tab w:leader="none" w:pos="1472"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Registration Period, use its commercially reasonable efforts (y) to remain listed on each Exchange and to cause all Registrable Securities to be listed on each securities exchange or market, if any, on which the Common Stock issued by the Issuer have been listed and (z) to timely comply in all material respects with the Issuer’s reporting, filing and other obligations under the rules and regulations of the Commission and each Exchange;</w:t>
      </w:r>
    </w:p>
    <w:p>
      <w:pPr>
        <w:spacing w:after="0" w:line="118" w:lineRule="exact"/>
        <w:rPr>
          <w:rFonts w:ascii="Times New Roman" w:cs="Times New Roman" w:eastAsia="Times New Roman" w:hAnsi="Times New Roman"/>
          <w:sz w:val="12"/>
          <w:szCs w:val="12"/>
          <w:color w:val="auto"/>
        </w:rPr>
      </w:pPr>
    </w:p>
    <w:p>
      <w:pPr>
        <w:ind w:firstLine="1288"/>
        <w:spacing w:after="0" w:line="279" w:lineRule="auto"/>
        <w:tabs>
          <w:tab w:leader="none" w:pos="1511"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Registration Period, use its commercially reasonable efforts to take all other steps necessary to effect the registration of the Registrable Securities contemplated hereby and, for so long as Subscriber holds Registrable Securities, to enable Subscriber to sell the Registrable Securities under Rule 144; and</w:t>
      </w:r>
    </w:p>
    <w:p>
      <w:pPr>
        <w:spacing w:after="0" w:line="111" w:lineRule="exact"/>
        <w:rPr>
          <w:rFonts w:ascii="Times New Roman" w:cs="Times New Roman" w:eastAsia="Times New Roman" w:hAnsi="Times New Roman"/>
          <w:sz w:val="12"/>
          <w:szCs w:val="12"/>
          <w:color w:val="auto"/>
        </w:rPr>
      </w:pPr>
    </w:p>
    <w:p>
      <w:pPr>
        <w:jc w:val="both"/>
        <w:ind w:firstLine="1288"/>
        <w:spacing w:after="0" w:line="254" w:lineRule="auto"/>
        <w:tabs>
          <w:tab w:leader="none" w:pos="1541"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receipt from Subscriber by the Issuer or its transfer agent of customary representations and other customary documentation reasonably acceptable to the Issuer and the transfer agent in connection therewith, Subscriber may request that the Issuer remove, and the Issuer shall cause to be removed, any legend from the book entry position(s) or certificate(s) evidencing its Registrable Securities at any time that such Registrable Securities (A) are subject to or have been or are about to be sold or transferred pursuant to, an effective registration statement (including a registration statement filed under this Agreement); (B) have been or are about to be sold pursuant to Rule 144; or (C) may be sold pursuant to Rule 144 without restriction on the volume or manner of sale and without the requirement for the Issuer to be in compliance with the current public information requirement under Rule 144 (or any similar provision then in force under the Securities Act). If required by the Issuer’s transfer agent, the Issuer shall cause its counsel to deliver to such transfer agent an opinion of counsel to the effect that the removal of restrictive legends in such circumstances may be effected under the Securities Act. If restrictive legends are no longer required for such Registrable Securities pursuant to the foregoing, the Issuer shall, in accordance with the provisions of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and within two (2) business days of any request therefor from Subscriber accompanied by such customary and reasonably acceptable representations and other documentation referred to above establishing that restrictive legends are no longer required, deliver to the transfer agent irrevocable instructions that the transfer agent shall make a new, unlegended entry for such book entry Registrable Securities. The Issuer shall be responsible for the fees of its transfer agent and all Depository Trust Company fees associated with such issuance.</w:t>
      </w:r>
    </w:p>
    <w:p>
      <w:pPr>
        <w:spacing w:after="0" w:line="125" w:lineRule="exact"/>
        <w:rPr>
          <w:rFonts w:ascii="Times New Roman" w:cs="Times New Roman" w:eastAsia="Times New Roman" w:hAnsi="Times New Roman"/>
          <w:sz w:val="12"/>
          <w:szCs w:val="12"/>
          <w:color w:val="auto"/>
        </w:rPr>
      </w:pPr>
    </w:p>
    <w:p>
      <w:pPr>
        <w:ind w:left="1560" w:hanging="272"/>
        <w:spacing w:after="0"/>
        <w:tabs>
          <w:tab w:leader="none" w:pos="15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Issuer shall reasonably cooperate with any broker-dealer through which a Subscriber proposes to resell Registrable Securities, including making any required filings with FINRA and applicable state</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authorities.</w:t>
      </w:r>
    </w:p>
    <w:p>
      <w:pPr>
        <w:spacing w:after="0" w:line="139"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c.            Notwithstanding anything to the contrary in this Subscription Agreement, the Issuer shall be entitled to delay or postpone the filing or effectiveness of the Registration Statement, and, from time to time, to require Subscriber not to sell under the Registration Statement or to suspend the effectiveness or use thereof, if it determines that the negotiation or consummation of a transaction by the Issuer is pending or an event has occurred, which negotiation, consummation or event that the Board of Directors reasonably believes, upon the advice of outside legal counsel, would require additional disclosure by the Issuer in the Registration Statement of material information that the Issuer has a bona fide business purpose for keeping confidential and the non-disclosure of which in the Registration Statement would be expected, in the reasonable determination of the Issuer, upon the advice of outside legal counsel, to cause the Registration Statement to fail to comply with applicable disclosure requirements or is otherwise necessary for the Registration Statement to not contain a material misstatement or omission (each such circumstance, a “</w:t>
      </w:r>
      <w:r>
        <w:rPr>
          <w:rFonts w:ascii="Times New Roman" w:cs="Times New Roman" w:eastAsia="Times New Roman" w:hAnsi="Times New Roman"/>
          <w:sz w:val="12"/>
          <w:szCs w:val="12"/>
          <w:u w:val="single" w:color="auto"/>
          <w:color w:val="auto"/>
        </w:rPr>
        <w:t>Suspension Event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the Issuer may not delay or suspend the effectiveness or use of the Registration Statement on more than two (2) occasions or for more than sixty (60) calendar days, or for more than ninety (90) total calendar days, in each case during any twelve-month period. Upon receipt of any written notice from the Issuer of the happening of any Suspension Event (which notice shall not contain material, nonpublic information) during the period that the Registration Statement is effective or if as a result of a Suspension Event the Registration Statement contains any untrue statement of a material fact or omits to state any material fact required to be stated therein or necessary to make the statements therein not misleading, or any related prospectus includes any untrue statement of a material fact or omits to state any material fact necessary in order to make the statements therein, in the light of the circumstances under which they were made, not misleading, Subscriber agrees that (i) it will promptly discontinue offers and sales of the Registrable Securities under the Registration Statement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unless otherwise required by law or subpoena. If so directed by the Issuer, Subscriber will deliver to the Issuer or, in Subscriber’s sole discretion destroy, all copies of the prospectus covering the Registrable Securities in Subscriber’s possession;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this obligation to deliver or destroy all copies of the prospectus covering the Registrable Securities shall not apply (A) to the extent Subscriber is required to retain a copy of such prospectus (x) in order to comply with applicable legal, regulatory, self-regulatory or professional requirements or (y) in accordance with a bona fide pre-existing document retention policy or (B) to copies stored electronically on archival servers as a result of automatic data back-up.</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7" w:name="page138"/>
    <w:bookmarkEnd w:id="137"/>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d.            Subscriber may deliver written notice (including via email in accordance with </w:t>
      </w:r>
      <w:r>
        <w:rPr>
          <w:rFonts w:ascii="Times New Roman" w:cs="Times New Roman" w:eastAsia="Times New Roman" w:hAnsi="Times New Roman"/>
          <w:sz w:val="12"/>
          <w:szCs w:val="12"/>
          <w:u w:val="single" w:color="auto"/>
          <w:color w:val="auto"/>
        </w:rPr>
        <w:t>Section 8.k</w:t>
      </w:r>
      <w:r>
        <w:rPr>
          <w:rFonts w:ascii="Times New Roman" w:cs="Times New Roman" w:eastAsia="Times New Roman" w:hAnsi="Times New Roman"/>
          <w:sz w:val="12"/>
          <w:szCs w:val="12"/>
          <w:color w:val="auto"/>
        </w:rPr>
        <w:t>) (an “</w:t>
      </w:r>
      <w:r>
        <w:rPr>
          <w:rFonts w:ascii="Times New Roman" w:cs="Times New Roman" w:eastAsia="Times New Roman" w:hAnsi="Times New Roman"/>
          <w:sz w:val="12"/>
          <w:szCs w:val="12"/>
          <w:u w:val="single" w:color="auto"/>
          <w:color w:val="auto"/>
        </w:rPr>
        <w:t>Opt-Out Notice</w:t>
      </w:r>
      <w:r>
        <w:rPr>
          <w:rFonts w:ascii="Times New Roman" w:cs="Times New Roman" w:eastAsia="Times New Roman" w:hAnsi="Times New Roman"/>
          <w:sz w:val="12"/>
          <w:szCs w:val="12"/>
          <w:color w:val="auto"/>
        </w:rPr>
        <w:t xml:space="preserve">”) to the Issuer requesting that Subscriber not receive notices from the Issuer otherwise required by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Subscriber may later revoke any such Opt-Out Notice in writing. Following receipt of an Opt-Out Notice from Subscriber (unless subsequently revoked), (i) the Issuer shall not deliver any such notices to Subscriber and Subscriber shall no longer be entitled to the rights associated with any such notice and (ii) each time prior to Subscriber’s intended use of an effective Registration Statement, Subscriber will notify the Issuer in writing at least two (2) business days in advance of such intended use, and if a notice of a Suspension Event was previously delivered (or would have been delivered but for the provisions of this </w:t>
      </w:r>
      <w:r>
        <w:rPr>
          <w:rFonts w:ascii="Times New Roman" w:cs="Times New Roman" w:eastAsia="Times New Roman" w:hAnsi="Times New Roman"/>
          <w:sz w:val="12"/>
          <w:szCs w:val="12"/>
          <w:u w:val="single" w:color="auto"/>
          <w:color w:val="auto"/>
        </w:rPr>
        <w:t>Section 5.d</w:t>
      </w:r>
      <w:r>
        <w:rPr>
          <w:rFonts w:ascii="Times New Roman" w:cs="Times New Roman" w:eastAsia="Times New Roman" w:hAnsi="Times New Roman"/>
          <w:sz w:val="12"/>
          <w:szCs w:val="12"/>
          <w:color w:val="auto"/>
        </w:rPr>
        <w:t>) and the related suspension period remains in effect, the Issuer will so notify Subscriber, within one (1) business day of Subscriber’s notification to the Issuer, by delivering to Subscriber a copy of such previous notice of Suspension Event, and thereafter will provide Subscriber with the related notice of the conclusion of such Suspension Event immediately upon its availability.</w:t>
      </w:r>
    </w:p>
    <w:p>
      <w:pPr>
        <w:spacing w:after="0" w:line="125"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 xml:space="preserve">e.            The Issuer shall, notwithstanding any termination of this Subscription Agreement in accordance with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indemnify, defend and hold harmless Subscriber (to the extent a seller under the Registration Statement), its directors, officers, agents, broker-dealers, and employees and each person who controls Subscriber (within the meaning of Section 15 of the Securities Act or Section 20 of the Exchange Act) to the fullest extent permitted by applicable law, from and against any and all out-of-pocket losses, claims, damages, liabilities and reasonable and documented costs (including, without limitation, reasonable and documented costs of preparation and investigation and reasonable documented attorneys’ fees of one legal counsel (and one local counsel)) and all other reasonable and documented expenses (collectively, “</w:t>
      </w:r>
      <w:r>
        <w:rPr>
          <w:rFonts w:ascii="Times New Roman" w:cs="Times New Roman" w:eastAsia="Times New Roman" w:hAnsi="Times New Roman"/>
          <w:sz w:val="12"/>
          <w:szCs w:val="12"/>
          <w:u w:val="single" w:color="auto"/>
          <w:color w:val="auto"/>
        </w:rPr>
        <w:t>Losses</w:t>
      </w:r>
      <w:r>
        <w:rPr>
          <w:rFonts w:ascii="Times New Roman" w:cs="Times New Roman" w:eastAsia="Times New Roman" w:hAnsi="Times New Roman"/>
          <w:sz w:val="12"/>
          <w:szCs w:val="12"/>
          <w:color w:val="auto"/>
        </w:rPr>
        <w:t xml:space="preserve">”), as incurred, that arise out of or are based upon (i) any untrue statement of a material fact contained in the Registration Statement or in any amendment or supplement thereto, or arising out of or relating to any omission to state a material fact required to be stated therein or necessary to make the statements therein not misleading; (ii) any untrue statement of a material fact included in any prospectus included (or incorporated by reference) in the Registration Statement, or any form of prospectus, or in any amendment or supplement thereto or in any preliminary prospectus, or arising out of or relating to any omission to state a material fact necessary in order to make the statements therein, in the light of the circumstances under which they were made, not misleading, except to the extent, but only to the extent, that such untrue statements or omissions are based upon information regarding Subscriber furnished in writing to the Issuer by Subscriber expressly for use therein or Subscriber has omitted a material fact from such information or otherwise violated the Securities Act, Exchange Act or any state securities law or any rule or regulation thereunder; or (iii) any material breach of any representation, warranty, or covenant in this Agreement;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the indemnification contained in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shall not apply to amounts paid in settlement of any Losses if such settlement is effected without the consent of the Issuer (which consent shall not be unreasonably withheld, conditioned or delayed), nor shall the Issuer be liable for any Losses to the extent they arise out of or are based upon a violation which occurs (A) in reliance upon and in conformity with written information furnished by Subscriber expressly for inclusion in the Registration Statement, or (B) in connection with any offers or sales effected by or on behalf of Subscriber in violation of </w:t>
      </w:r>
      <w:r>
        <w:rPr>
          <w:rFonts w:ascii="Times New Roman" w:cs="Times New Roman" w:eastAsia="Times New Roman" w:hAnsi="Times New Roman"/>
          <w:sz w:val="12"/>
          <w:szCs w:val="12"/>
          <w:u w:val="single" w:color="auto"/>
          <w:color w:val="auto"/>
        </w:rPr>
        <w:t>Section 5.c</w:t>
      </w:r>
      <w:r>
        <w:rPr>
          <w:rFonts w:ascii="Times New Roman" w:cs="Times New Roman" w:eastAsia="Times New Roman" w:hAnsi="Times New Roman"/>
          <w:sz w:val="12"/>
          <w:szCs w:val="12"/>
          <w:color w:val="auto"/>
        </w:rPr>
        <w:t xml:space="preserve"> hereof. The Issuer shall notify Subscriber reasonably promptly of the institution, threat or assertion of any proceeding arising from or in connection with the transactions contemplated by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of which the Issuer is aware. The Issuer shall not, without the prior written consent of Subscriber, effect any settlement of any pending proceeding in respect of which Subscriber or any other person entitled to indemnification hereunder is a party, unless such settlement includes an unconditional release of Subscriber or such other person, as applicable, from all liability on claims that are the subject matter of such proceeding. Such indemnity shall remain in full force and effect regardless of any investigation made by or on behalf of an indemnified party and shall survive the transfer of the Registrable Securities by Subscriber. The indemnification obligations of the Issuer shall remain in full force and effect regardless of any termination of this Subscription Agreement and shall survive the transfer of Registerable Securities by Subscriber.</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8" w:name="page139"/>
    <w:bookmarkEnd w:id="138"/>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f.            Subscriber shall, severally and not jointly, indemnify and hold harmless the Issuer, its directors, officers, agents and employees, and each person who controls the Issuer (within the meaning of Section 15 of the Securities Act and Section 20 of the Exchange Act), to the fullest extent permitted by applicable law, from and against all Losses, as incurred, that arise out of or are based upon (i) any untrue statement of a material fact contained in any Registration Statement or in any amendment or supplement thereto or arising out of or relating to any omission of a material fact required to be stated therein or necessary to make the statements therein not misleading or (ii) any untrue statement of a material fact included in any prospectus included in the Registration Statement, or any form of prospectus, or in any amendment or supplement thereto or in any preliminary prospectus, or arising out of or relating to any omission of a material fact necessary in order to make the statements therein, in the light of the circumstances under which they were made, not misleading, to the extent, but only to the extent, that such untrue statement or omissions are based upon information regarding Subscriber furnished in writing to the Issuer by Subscriber expressly for use therein or a material fact that Subscriber has omitted from such information;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the indemnification contained in this </w:t>
      </w:r>
      <w:r>
        <w:rPr>
          <w:rFonts w:ascii="Times New Roman" w:cs="Times New Roman" w:eastAsia="Times New Roman" w:hAnsi="Times New Roman"/>
          <w:sz w:val="12"/>
          <w:szCs w:val="12"/>
          <w:u w:val="single" w:color="auto"/>
          <w:color w:val="auto"/>
        </w:rPr>
        <w:t>Section 5.f</w:t>
      </w:r>
      <w:r>
        <w:rPr>
          <w:rFonts w:ascii="Times New Roman" w:cs="Times New Roman" w:eastAsia="Times New Roman" w:hAnsi="Times New Roman"/>
          <w:sz w:val="12"/>
          <w:szCs w:val="12"/>
          <w:color w:val="auto"/>
        </w:rPr>
        <w:t xml:space="preserve"> shall not apply to amounts paid in settlement of any Losses if such settlement is effected without the consent of Subscriber (which consent shall not be unreasonably withheld, conditioned or delayed). In no event shall the liability of Subscriber be greater in amount than the dollar amount of the net proceeds received by Subscriber upon the sale of the Registrable Securities giving rise to such indemnification obligation. Subscriber shall notify the Issuer promptly of the institution, threat or assertion of any proceeding arising from or in connection with the transactions contemplated by this </w:t>
      </w:r>
      <w:r>
        <w:rPr>
          <w:rFonts w:ascii="Times New Roman" w:cs="Times New Roman" w:eastAsia="Times New Roman" w:hAnsi="Times New Roman"/>
          <w:sz w:val="12"/>
          <w:szCs w:val="12"/>
          <w:u w:val="single" w:color="auto"/>
          <w:color w:val="auto"/>
        </w:rPr>
        <w:t>Section 5.f</w:t>
      </w:r>
      <w:r>
        <w:rPr>
          <w:rFonts w:ascii="Times New Roman" w:cs="Times New Roman" w:eastAsia="Times New Roman" w:hAnsi="Times New Roman"/>
          <w:sz w:val="12"/>
          <w:szCs w:val="12"/>
          <w:color w:val="auto"/>
        </w:rPr>
        <w:t xml:space="preserve"> of which Subscriber is aware. Such indemnity shall remain in full force and effect regardless of any investigation made by or on behalf of an indemnified party and shall survive the transfer of the Acquired Securities by Subscriber.</w:t>
      </w:r>
    </w:p>
    <w:p>
      <w:pPr>
        <w:spacing w:after="0" w:line="129"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g.            If the indemnification provided under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from the indemnifying party is unavailable or insufficient to hold harmless an indemnified party in respect of any Losses,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statement of a material fact or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12"/>
          <w:szCs w:val="12"/>
          <w:u w:val="single" w:color="auto"/>
          <w:color w:val="auto"/>
        </w:rPr>
        <w:t>Section 5.g</w:t>
      </w:r>
      <w:r>
        <w:rPr>
          <w:rFonts w:ascii="Times New Roman" w:cs="Times New Roman" w:eastAsia="Times New Roman" w:hAnsi="Times New Roman"/>
          <w:sz w:val="12"/>
          <w:szCs w:val="12"/>
          <w:color w:val="auto"/>
        </w:rPr>
        <w:t xml:space="preserve"> from any person who was not guilty of such fraudulent misrepresentation. Each indemnifying party’s obligation to make a contribution pursuant to this </w:t>
      </w:r>
      <w:r>
        <w:rPr>
          <w:rFonts w:ascii="Times New Roman" w:cs="Times New Roman" w:eastAsia="Times New Roman" w:hAnsi="Times New Roman"/>
          <w:sz w:val="12"/>
          <w:szCs w:val="12"/>
          <w:u w:val="single" w:color="auto"/>
          <w:color w:val="auto"/>
        </w:rPr>
        <w:t>Section 5.g</w:t>
      </w:r>
      <w:r>
        <w:rPr>
          <w:rFonts w:ascii="Times New Roman" w:cs="Times New Roman" w:eastAsia="Times New Roman" w:hAnsi="Times New Roman"/>
          <w:sz w:val="12"/>
          <w:szCs w:val="12"/>
          <w:color w:val="auto"/>
        </w:rPr>
        <w:t xml:space="preserve"> shall be several, not joint. In no event shall the liability of the Subscriber under any indemnification or contribution obligation hereunder be greater in amount than the dollar amount of the net proceeds received by the Subscriber upon the sale of the Acquired Securities purchased pursuant to this Subscription Agreement giving rise to such obligation. The Issuer acknowledges and agrees that monetary damages would not be adequate compensation for a breach of its obligations hereunder, and Subscriber shall be entitled to specific performance. All obligations of the Issuer under this Section shall survive any termination of this Agreement and the transfer of Registerable Securities.</w:t>
      </w:r>
    </w:p>
    <w:p>
      <w:pPr>
        <w:spacing w:after="0" w:line="273"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h.            Except as expressly set forth in the Transaction Documents to the contrary, the Issuer shall not enter into any agreement granting registration rights that are more favorable in any respect to another holder of its securities without offering such more favorable terms to Subscriber on a pari passu basis.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9" w:name="page140"/>
    <w:bookmarkEnd w:id="139"/>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6.           </w:t>
      </w:r>
      <w:r>
        <w:rPr>
          <w:rFonts w:ascii="Times New Roman" w:cs="Times New Roman" w:eastAsia="Times New Roman" w:hAnsi="Times New Roman"/>
          <w:sz w:val="12"/>
          <w:szCs w:val="12"/>
          <w:u w:val="single" w:color="auto"/>
          <w:color w:val="auto"/>
        </w:rPr>
        <w:t>  Shareholder Meeting</w:t>
      </w:r>
      <w:r>
        <w:rPr>
          <w:rFonts w:ascii="Times New Roman" w:cs="Times New Roman" w:eastAsia="Times New Roman" w:hAnsi="Times New Roman"/>
          <w:sz w:val="12"/>
          <w:szCs w:val="12"/>
          <w:color w:val="auto"/>
        </w:rPr>
        <w:t>. The Issuer shall hold a special meeting of shareholders (which may also be at the annual meeting of shareholders) at the earliest practical date after the date hereof for the purpose of obtaining the approval of the Issuer’s shareholders, as may be required by applicable rules and regulations of the Nasdaq Stock Market (or any successor entity) with respect to the transactions contemplated by the Transaction Documents, specifically the issuance of the Warrant Shares in connection with the receipt of an in-kind payment by the Issuer, such as SOL (such approval, the “</w:t>
      </w:r>
      <w:r>
        <w:rPr>
          <w:rFonts w:ascii="Times New Roman" w:cs="Times New Roman" w:eastAsia="Times New Roman" w:hAnsi="Times New Roman"/>
          <w:sz w:val="12"/>
          <w:szCs w:val="12"/>
          <w:u w:val="single" w:color="auto"/>
          <w:color w:val="auto"/>
        </w:rPr>
        <w:t>Shareholder Approval</w:t>
      </w:r>
      <w:r>
        <w:rPr>
          <w:rFonts w:ascii="Times New Roman" w:cs="Times New Roman" w:eastAsia="Times New Roman" w:hAnsi="Times New Roman"/>
          <w:sz w:val="12"/>
          <w:szCs w:val="12"/>
          <w:color w:val="auto"/>
        </w:rPr>
        <w:t>”), with the recommendation of the Issuer’s Board of Directors that such proposal be approved, and the Issuer shall solicit proxies from its shareholders in connection therewith in the same manner as all other management proposals in such proxy statement and all management-appointed proxyholders shall vote their proxies in favor of such proposal. The Issuer shall use its reasonable best efforts to obtain such Shareholder Approval. If the Issuer does not obtain Shareholder Approval at the first meeting, the Issuer shall call a meeting every four months thereafter to seek Shareholder Approval until the earlier of the date Shareholder Approval is obtained or the Warrants are no longer outstanding.</w:t>
      </w:r>
    </w:p>
    <w:p>
      <w:pPr>
        <w:spacing w:after="0" w:line="12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7.           </w:t>
      </w:r>
      <w:r>
        <w:rPr>
          <w:rFonts w:ascii="Times New Roman" w:cs="Times New Roman" w:eastAsia="Times New Roman" w:hAnsi="Times New Roman"/>
          <w:sz w:val="12"/>
          <w:szCs w:val="12"/>
          <w:u w:val="single" w:color="auto"/>
          <w:color w:val="auto"/>
        </w:rPr>
        <w:t>  Termination</w:t>
      </w:r>
      <w:r>
        <w:rPr>
          <w:rFonts w:ascii="Times New Roman" w:cs="Times New Roman" w:eastAsia="Times New Roman" w:hAnsi="Times New Roman"/>
          <w:sz w:val="12"/>
          <w:szCs w:val="12"/>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earliest to occur of (a) upon the mutual written agreement of each of the parties hereto to terminate this Subscription Agreement, (b) if any of the conditions to the Closing set forth in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of this Subscription Agreement are not satisfied at, or are not capable of being satisfied on or prior to the Closing and, as a result thereof, the transactions contemplated by this Subscription Agreement will not be or are not consummated at the Closing, or (c) at the election of Subscriber, on or after September 24, 2025;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nothing herein will relieve any party from liability for any willful breach hereof prior to the time of termination, and each party will be entitled to any remedies at law or in equity to recover losses, liabilities or damages arising from any such willful breach. In the event that this Subscription Agreement is terminated for any reason, the Issuer shall within one (1) business day following such termination, return to Subscriber (by wire transfer of U.S. dollars in immediately available funds to the account specified by such Subscriber) all funds deposited in escrow by Subscriber in connection with the Transaction.</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8.           </w:t>
      </w:r>
      <w:r>
        <w:rPr>
          <w:rFonts w:ascii="Times New Roman" w:cs="Times New Roman" w:eastAsia="Times New Roman" w:hAnsi="Times New Roman"/>
          <w:sz w:val="12"/>
          <w:szCs w:val="12"/>
          <w:u w:val="single" w:color="auto"/>
          <w:color w:val="auto"/>
        </w:rPr>
        <w:t>  Miscellaneous</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a.            Each party hereto acknowledges that the other party hereto and the Placement Agent will rely on the acknowledgments, understandings, agreements, representations and warranties contained in this Subscription Agreement. Prior to the Closing, each party hereto agrees to promptly notify the other party hereto if any of the acknowledgments, understandings, agreements, representations and warranties made by such party as set forth herein are no longer accurate in all material respects. Subscriber further acknowledges and agrees that the Placement Agent is a third-party beneficiary of the representations and warranties of Subscriber contained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and the Issuer further acknowledges and agrees that the Placement Agent is a third-party beneficiary of the representations and warranties of the Issuer contained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Subscriber agrees that none of (i) any Other Subscriber pursuant to Other Subscription Agreements entered into in connection with the Transaction (including the affiliates or controlling persons, members, officers, directors, partners, agents, or employees of any such Other Subscriber), (ii) the Placement Agent, its affiliates or any of its or its affiliate’s control persons, officers, directors or employees, (iii) any affiliates or any control persons, officers, directors, employees, partners, agents or representatives of the Issuer shall be liable to Subscriber or to any Other Subscriber pursuant to this Subscription Agreement, the Pre-Funded Warrants, the Stapled Warrants or the Other Subscription Agreements, as applicable, the negotiation hereof or thereof or the subject matter hereof or thereof, or the transactions contemplated hereby or thereby, for any action heretofore or hereafter taken or omitted to be taken by any of them in connection with the purchase of the Acquired Securities. On behalf of itself and its affiliates, the Subscriber releases each of the entities or individuals described above in respect of any losses, claims, damages, obligations, penalties, judgments, awards, liabilities, costs, expenses or disbursements related to this Subscription Agreement or the transactions contemplated hereby.</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c.            The Issuer and Subscriber are entitled to rely upon this Subscription Agreement and each is irrevocably authorized to produce this Subscription Agreement or a copy hereof to any interested party in any administrative or legal proceeding or official inquiry with respect to the matters covered hereby to the extent required by law or by regulatory bodies.</w:t>
      </w:r>
    </w:p>
    <w:p>
      <w:pPr>
        <w:spacing w:after="0" w:line="11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d.            Notwithstanding anything to the contrary in this Subscription Agreement, prior to the Closing, Subscriber may not transfer or assign all or a portion of its rights and obligations under this Subscription Agreement, other than to one or more of its affiliates (including other investment funds or accounts managed or advised by the investment manager who acts on behalf of Subscriber) without the prior consent of the Issuer;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such transferee or assignee agrees in writing to be bound by and subject to the terms and conditions of this Subscription Agreement, makes the representations and warranties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and completes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hereto; </w:t>
      </w:r>
      <w:r>
        <w:rPr>
          <w:rFonts w:ascii="Times New Roman" w:cs="Times New Roman" w:eastAsia="Times New Roman" w:hAnsi="Times New Roman"/>
          <w:sz w:val="12"/>
          <w:szCs w:val="12"/>
          <w:i w:val="1"/>
          <w:iCs w:val="1"/>
          <w:color w:val="auto"/>
        </w:rPr>
        <w:t>provided, further</w:t>
      </w:r>
      <w:r>
        <w:rPr>
          <w:rFonts w:ascii="Times New Roman" w:cs="Times New Roman" w:eastAsia="Times New Roman" w:hAnsi="Times New Roman"/>
          <w:sz w:val="12"/>
          <w:szCs w:val="12"/>
          <w:color w:val="auto"/>
        </w:rPr>
        <w:t xml:space="preserve">, that, no assignment shall relieve the assigning party of any of its obligations hereunder, including any assignment to any fund or account managed by the same investment manager as Subscriber or by an affiliate of such investment manager. In the event of such a transfer or assignment, Subscriber shall complete the form of assignment attached as </w:t>
      </w:r>
      <w:r>
        <w:rPr>
          <w:rFonts w:ascii="Times New Roman" w:cs="Times New Roman" w:eastAsia="Times New Roman" w:hAnsi="Times New Roman"/>
          <w:sz w:val="12"/>
          <w:szCs w:val="12"/>
          <w:u w:val="single" w:color="auto"/>
          <w:color w:val="auto"/>
        </w:rPr>
        <w:t>Schedule B</w:t>
      </w:r>
      <w:r>
        <w:rPr>
          <w:rFonts w:ascii="Times New Roman" w:cs="Times New Roman" w:eastAsia="Times New Roman" w:hAnsi="Times New Roman"/>
          <w:sz w:val="12"/>
          <w:szCs w:val="12"/>
          <w:color w:val="auto"/>
        </w:rPr>
        <w:t xml:space="preserve"> hereto. The Issuer may not assign or transfer all or any portion of its rights or obligations under this Subscription Agreement without the consent of the Subscriber.</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0" w:name="page141"/>
    <w:bookmarkEnd w:id="140"/>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 xml:space="preserve">e.            The Issuer may request from Subscriber such additional information as the Issuer may reasonably deem necessary to evaluate the eligibility of Subscriber to acquire the Acquired Securities and to register the Acquired Securities for resale, and Subscriber shall promptly provide such information as may be reasonably requested, to the extent readily available and to the extent consistent with its internal policies and procedures;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Issuer agrees to keep any such information provided by Subscriber confidential.</w:t>
      </w:r>
    </w:p>
    <w:p>
      <w:pPr>
        <w:spacing w:after="0" w:line="119"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f.            This Subscription Agreement constitutes the entire agreement, and supersedes all other prior agreements, understandings, representations and warranties, both written and oral, among the parties, with respect to the subject matter hereof.</w:t>
      </w:r>
    </w:p>
    <w:p>
      <w:pPr>
        <w:spacing w:after="0" w:line="111" w:lineRule="exact"/>
        <w:rPr>
          <w:sz w:val="20"/>
          <w:szCs w:val="20"/>
          <w:color w:val="auto"/>
        </w:rPr>
      </w:pPr>
    </w:p>
    <w:p>
      <w:pPr>
        <w:jc w:val="both"/>
        <w:ind w:left="8" w:right="20" w:firstLine="864"/>
        <w:spacing w:after="0" w:line="265" w:lineRule="auto"/>
        <w:rPr>
          <w:sz w:val="20"/>
          <w:szCs w:val="20"/>
          <w:color w:val="auto"/>
        </w:rPr>
      </w:pPr>
      <w:r>
        <w:rPr>
          <w:rFonts w:ascii="Times New Roman" w:cs="Times New Roman" w:eastAsia="Times New Roman" w:hAnsi="Times New Roman"/>
          <w:sz w:val="12"/>
          <w:szCs w:val="12"/>
          <w:color w:val="auto"/>
        </w:rPr>
        <w:t>g.            Except as otherwise provided herein, this Subscription Agreement shall be binding upon, and inure to the benefit of, the parties hereto and their respective affiliates and their respective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19"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h.            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11"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i.             This Subscription Agreement may be executed in two (2) or more counterparts (including by electronic means), all of which shall be considered one and the same agreement and shall become effective when signed by each of the parties and delivered to the other parties, it being understood that all parties need not sign the same counterpart.</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j.             Except as expressly set forth in the Transaction Documents to the contrary, each party shall pay all of its own expenses in connection with this Subscription Agreement and the transactions contemplated herein.</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k.            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(i) when so delivered personally, (ii) upon receipt of an appropriate electronic answerback or confirmation when so delivered by telecopy (to such number specified below or another number or numbers as such person may subsequently designate by notice given hereunder), (iii) when sent, with no mail undeliverable or other rejection notice, if sent by email or (iv) five</w:t>
      </w:r>
    </w:p>
    <w:p>
      <w:pPr>
        <w:spacing w:after="0" w:line="1" w:lineRule="exact"/>
        <w:rPr>
          <w:sz w:val="20"/>
          <w:szCs w:val="20"/>
          <w:color w:val="auto"/>
        </w:rPr>
      </w:pPr>
    </w:p>
    <w:p>
      <w:pPr>
        <w:ind w:left="168" w:hanging="168"/>
        <w:spacing w:after="0"/>
        <w:tabs>
          <w:tab w:leader="none" w:pos="168"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days after the date of mailing to the address below or to such other address or addresses as such person may hereafter designate by notice given hereunder:</w:t>
      </w:r>
    </w:p>
    <w:p>
      <w:pPr>
        <w:spacing w:after="0" w:line="139" w:lineRule="exact"/>
        <w:rPr>
          <w:rFonts w:ascii="Times New Roman" w:cs="Times New Roman" w:eastAsia="Times New Roman" w:hAnsi="Times New Roman"/>
          <w:sz w:val="12"/>
          <w:szCs w:val="12"/>
          <w:color w:val="auto"/>
        </w:rPr>
      </w:pPr>
    </w:p>
    <w:p>
      <w:pPr>
        <w:ind w:left="1068" w:hanging="204"/>
        <w:spacing w:after="0"/>
        <w:tabs>
          <w:tab w:leader="none" w:pos="1068" w:val="left"/>
        </w:tabs>
        <w:numPr>
          <w:ilvl w:val="1"/>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to Subscriber, to such address or addresses set forth on the signature page hereto;</w:t>
      </w:r>
    </w:p>
    <w:p>
      <w:pPr>
        <w:spacing w:after="0" w:line="150" w:lineRule="exact"/>
        <w:rPr>
          <w:rFonts w:ascii="Times New Roman" w:cs="Times New Roman" w:eastAsia="Times New Roman" w:hAnsi="Times New Roman"/>
          <w:sz w:val="12"/>
          <w:szCs w:val="12"/>
          <w:color w:val="auto"/>
        </w:rPr>
      </w:pPr>
    </w:p>
    <w:p>
      <w:pPr>
        <w:ind w:left="1048" w:hanging="184"/>
        <w:spacing w:after="0"/>
        <w:tabs>
          <w:tab w:leader="none" w:pos="1048" w:val="left"/>
        </w:tabs>
        <w:numPr>
          <w:ilvl w:val="1"/>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to the Issuer, to:</w:t>
      </w:r>
    </w:p>
    <w:p>
      <w:pPr>
        <w:spacing w:after="0" w:line="150"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Helius Medical Technologies, Inc.</w:t>
      </w:r>
    </w:p>
    <w:p>
      <w:pPr>
        <w:spacing w:after="0" w:line="1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642 Newtown Yardley Road, Suite 100</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Newtown, Pennsylvania 18940</w:t>
      </w:r>
    </w:p>
    <w:p>
      <w:pPr>
        <w:spacing w:after="0" w:line="6"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Attn: Dane Andreeff</w:t>
      </w:r>
    </w:p>
    <w:p>
      <w:pPr>
        <w:spacing w:after="0" w:line="2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1" w:name="page142"/>
    <w:bookmarkEnd w:id="141"/>
    <w:p>
      <w:pPr>
        <w:ind w:left="1280"/>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Honigman LLP</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650 Trade Centre Way, Suite 200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Kalamazoo, Michigan 49002</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Attn: Phillip D. Torrence</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if to the Placement Agent, to:</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Clear Street LLC</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4 World Trade Center</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150 Greenwich Street, 45th Floor</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New York, NY 10007</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Attn: Bradley R. Friedman</w:t>
      </w:r>
    </w:p>
    <w:p>
      <w:pPr>
        <w:spacing w:after="0" w:line="13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l.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Delaware, without giving effect to the principles of conflicts of law thereof.</w:t>
      </w:r>
    </w:p>
    <w:p>
      <w:pPr>
        <w:spacing w:after="0" w:line="11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THE PARTIES HERETO IRREVOCABLY SUBMIT TO THE EXCLUSIVE JURISDICTION OF THE UNITED STATES DISTRICT COURT FOR THE SOUTHERN DISTRICT OF NEW YORK, THE SUPREME COURT OF THE STATE OF NEW YORK AND THE FEDERAL COURTS OF THE UNITED STATES OF AMERICA LOCATED IN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2"/>
          <w:szCs w:val="12"/>
          <w:u w:val="single" w:color="auto"/>
          <w:color w:val="auto"/>
        </w:rPr>
        <w:t>SECTION 8.k</w:t>
      </w:r>
      <w:r>
        <w:rPr>
          <w:rFonts w:ascii="Times New Roman" w:cs="Times New Roman" w:eastAsia="Times New Roman" w:hAnsi="Times New Roman"/>
          <w:sz w:val="12"/>
          <w:szCs w:val="12"/>
          <w:color w:val="auto"/>
        </w:rPr>
        <w:t xml:space="preserve"> OR IN SUCH OTHER MANNER AS MAY BE PERMITTED BY LAW SHALL BE VALID AND SUFFICIENT SERVICE THEREOF.</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2"/>
          <w:szCs w:val="12"/>
          <w:u w:val="single" w:color="auto"/>
          <w:color w:val="auto"/>
        </w:rPr>
        <w:t>SECTION 9.L</w:t>
      </w:r>
      <w:r>
        <w:rPr>
          <w:rFonts w:ascii="Times New Roman" w:cs="Times New Roman" w:eastAsia="Times New Roman" w:hAnsi="Times New Roman"/>
          <w:sz w:val="12"/>
          <w:szCs w:val="12"/>
          <w:color w:val="auto"/>
        </w:rPr>
        <w: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2" w:name="page143"/>
    <w:bookmarkEnd w:id="142"/>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m.            The Issuer shall, by 9:30 a.m., New York City time, on the first (1st) business day immediately following the date of this Subscription Agreement (or, if this Subscription Agreement is executed and delivered by the parties hereto prior to 8:00 a.m., New York City time, on a business day, prior to 9:30 a.m., New York City time, on the date hereof), issue one or more press releases or furnish or file with the Commission a Current Report on Form 8-K (collectively, the “</w:t>
      </w:r>
      <w:r>
        <w:rPr>
          <w:rFonts w:ascii="Times New Roman" w:cs="Times New Roman" w:eastAsia="Times New Roman" w:hAnsi="Times New Roman"/>
          <w:sz w:val="12"/>
          <w:szCs w:val="12"/>
          <w:u w:val="single" w:color="auto"/>
          <w:color w:val="auto"/>
        </w:rPr>
        <w:t>Disclosure Document</w:t>
      </w:r>
      <w:r>
        <w:rPr>
          <w:rFonts w:ascii="Times New Roman" w:cs="Times New Roman" w:eastAsia="Times New Roman" w:hAnsi="Times New Roman"/>
          <w:sz w:val="12"/>
          <w:szCs w:val="12"/>
          <w:color w:val="auto"/>
        </w:rPr>
        <w:t>”) disclosing, to the extent not previously publicly disclosed, all material terms of the transactions contemplated hereby, the Transaction and any other material, nonpublic information that the Issuer has provided to Subscriber at any time prior to the filing of the Disclosure Document. From and after the issuance of the Disclosure Document, Subscriber shall not be in possession of any material, nonpublic information received from the Issuer or any of its officers, directors, employees or other representatives. From and after such date, Issuer shall not provide any material non-public information to Subscriber without Subscriber’s prior written consent, and any such information so provided shall be promptly disclosed publicly. Notwithstanding anything in this Subscription Agreement to the contrary, the Issuer shall not publicly disclose the name of Subscriber or any of its affiliates, or include the name of Subscriber or any of its affiliates, without the prior written consent of Subscriber, (i) in any press release or (ii) in any filing with the Commission or any regulatory agency or trading market, except</w:t>
      </w:r>
    </w:p>
    <w:p>
      <w:pPr>
        <w:spacing w:after="0" w:line="1" w:lineRule="exact"/>
        <w:rPr>
          <w:sz w:val="20"/>
          <w:szCs w:val="20"/>
          <w:color w:val="auto"/>
        </w:rPr>
      </w:pPr>
    </w:p>
    <w:p>
      <w:pPr>
        <w:jc w:val="both"/>
        <w:ind w:left="8" w:hanging="8"/>
        <w:spacing w:after="0" w:line="255" w:lineRule="auto"/>
        <w:tabs>
          <w:tab w:leader="none" w:pos="208"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required by the federal securities law in connection with the Registration Statement, (B) in a press release or marketing materials of the Issuer in connection with the Transaction to the extent any such disclosure is substantially equivalent to the information that has previously been made public without breach of the obligation under this </w:t>
      </w:r>
      <w:r>
        <w:rPr>
          <w:rFonts w:ascii="Times New Roman" w:cs="Times New Roman" w:eastAsia="Times New Roman" w:hAnsi="Times New Roman"/>
          <w:sz w:val="12"/>
          <w:szCs w:val="12"/>
          <w:u w:val="single" w:color="auto"/>
          <w:color w:val="auto"/>
        </w:rPr>
        <w:t>Section 9.m</w:t>
      </w:r>
      <w:r>
        <w:rPr>
          <w:rFonts w:ascii="Times New Roman" w:cs="Times New Roman" w:eastAsia="Times New Roman" w:hAnsi="Times New Roman"/>
          <w:sz w:val="12"/>
          <w:szCs w:val="12"/>
          <w:color w:val="auto"/>
        </w:rPr>
        <w:t xml:space="preserve"> or (C) to the extent such disclosure is required by law, at the request of the staff of the Commission or regulatory agency or under the regulations of the Exchange or by any other governmental authority, in which case the Issuer shall provide Subscriber with prior written notice of such disclosure permitted under this subclause (iii).</w:t>
      </w:r>
    </w:p>
    <w:p>
      <w:pPr>
        <w:spacing w:after="0" w:line="125"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 xml:space="preserve">n.            In connection with any sale, assignment, transfer or other disposition of the Acquired Securities by a Subscriber pursuant to Rule 144 or pursuant to any other exemption under the Securities Act such that the purchaser acquires freely tradable shares and upon compliance by the Subscriber with the requirements of this Subscription Agreement, if requested by the Subscriber by notice to the Issuer, the Issuer shall request its transfer agent to remove any restrictive legends related to the book entry account holding such shares and make a new, unlegended entry for such book entry shares sold or disposed of without restrictive legends within one (1) business day of any such request therefor from such Subscriber,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Issuer has timely received from the Subscriber a completed representation letter in customary form and such other customary representations as may be reasonably required in accordance with applicable law in connection therewith. The Issuer shall be responsible for the fees of the Issuer’s transfer agent, its legal counsel and all DTC fees associated with such legend removal.</w:t>
      </w:r>
    </w:p>
    <w:p>
      <w:pPr>
        <w:spacing w:after="0" w:line="125"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o.            From the date hereof until thirty (30) days after the Effective Date, neither the Company nor any subsidiary of the Company shall (i) issue, enter into any agreement to issue or announce the issuance or proposed issuance of any shares of Common Stock at a price below the Stapled Warrant Exercise Price or (ii) file any registration statement or amendment or supplement thereto, in each case without the written consent of the holders of a majority of the Acquired Securities in the Offering, other than (x) a registration statement on Form S-8 in connection with any employee benefit plan and (y) a universal shelf registration statement on Form S-3 to register securities of the Company in a continuous and/or delayed offering; provided, however, the Company will be permitted to (A) enter into a sales agreement providing for the sale of shares of Common Stock in an “at-the-market” offering and file any such prospectus supplement or registration statement with the Commission in connection with such sales agreement and (B) issue shares of Common Stock pursuant to an equity line of credit.</w:t>
      </w:r>
    </w:p>
    <w:p>
      <w:pPr>
        <w:spacing w:after="0" w:line="125"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p.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w:t>
      </w:r>
    </w:p>
    <w:p>
      <w:pPr>
        <w:spacing w:after="0" w:line="109" w:lineRule="exact"/>
        <w:rPr>
          <w:sz w:val="20"/>
          <w:szCs w:val="20"/>
          <w:color w:val="auto"/>
        </w:rPr>
      </w:pPr>
    </w:p>
    <w:p>
      <w:pPr>
        <w:jc w:val="both"/>
        <w:ind w:left="8" w:firstLine="864"/>
        <w:spacing w:after="0" w:line="266" w:lineRule="auto"/>
        <w:rPr>
          <w:sz w:val="20"/>
          <w:szCs w:val="20"/>
          <w:color w:val="auto"/>
        </w:rPr>
      </w:pPr>
      <w:r>
        <w:rPr>
          <w:rFonts w:ascii="Times New Roman" w:cs="Times New Roman" w:eastAsia="Times New Roman" w:hAnsi="Times New Roman"/>
          <w:sz w:val="12"/>
          <w:szCs w:val="12"/>
          <w:color w:val="auto"/>
        </w:rPr>
        <w:t xml:space="preserve">q.            This Subscription Agreement may not be amended, modified, supplemented, or waived except by an instrument in writing signed by the Issuer and Subscriber;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any amendment, modification, supplement or waiver that adversely affects the Placement Agent will require the consent of the Placement Agent. Notwithstanding the foregoing, any party may waive any of its own rights (but not obligations) under this Subscription Agreement, in whole or in part, by providing written notice to the other parties, and such waiver shall not require the consent of any other party.</w:t>
      </w:r>
    </w:p>
    <w:p>
      <w:pPr>
        <w:spacing w:after="0" w:line="119"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 xml:space="preserve">r.            The parties agree that irreparable damage would occur if any provision of this Subscription Agreement were not performed in accordance with the terms hereof, and accordingly, that the parties hereto shall be entitled to seek an injunction or injunctions to prevent breaches of this Subscription Agreement or to enforce specifically the performance of the terms and provisions of this Subscription Agreement in an appropriate court of competent jurisdiction as set forth in </w:t>
      </w:r>
      <w:r>
        <w:rPr>
          <w:rFonts w:ascii="Times New Roman" w:cs="Times New Roman" w:eastAsia="Times New Roman" w:hAnsi="Times New Roman"/>
          <w:sz w:val="12"/>
          <w:szCs w:val="12"/>
          <w:u w:val="single" w:color="auto"/>
          <w:color w:val="auto"/>
        </w:rPr>
        <w:t>Section 9.l</w:t>
      </w:r>
      <w:r>
        <w:rPr>
          <w:rFonts w:ascii="Times New Roman" w:cs="Times New Roman" w:eastAsia="Times New Roman" w:hAnsi="Times New Roman"/>
          <w:sz w:val="12"/>
          <w:szCs w:val="12"/>
          <w:color w:val="auto"/>
        </w:rPr>
        <w:t>, in addition to any other remedy to which any party is entitled at law or in equity.</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7804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3" w:name="page144"/>
    <w:bookmarkEnd w:id="143"/>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s.            Each party hereto intends that (i) the purchase of the Acquired Securities by Subscriber pursuant to this Subscription Agreement, together and as part of a single integrated transaction with the purchase of shares of Common Stock and Pre-Funded Warrants by the Other Subscribers pursuant to the Other Subscription Agreements, shall, unless otherwise determined by the Company after the Closing, qualify as an exchange by Subscriber of SOL for the Acquired Securities pursuant to Section 351(a) of the Code, and (ii) the Pre-Funded Warrants shall be treated as stock for U.S. federal (and applicable state and local) income tax purposes (together, the “</w:t>
      </w:r>
      <w:r>
        <w:rPr>
          <w:rFonts w:ascii="Times New Roman" w:cs="Times New Roman" w:eastAsia="Times New Roman" w:hAnsi="Times New Roman"/>
          <w:sz w:val="12"/>
          <w:szCs w:val="12"/>
          <w:u w:val="single" w:color="auto"/>
          <w:color w:val="auto"/>
        </w:rPr>
        <w:t>Intended Tax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Treatment</w:t>
      </w:r>
      <w:r>
        <w:rPr>
          <w:rFonts w:ascii="Times New Roman" w:cs="Times New Roman" w:eastAsia="Times New Roman" w:hAnsi="Times New Roman"/>
          <w:sz w:val="12"/>
          <w:szCs w:val="12"/>
          <w:color w:val="auto"/>
        </w:rPr>
        <w:t>”). Unless otherwise determined by the Company after the Closing, each party hereto (a) agrees to report and file all applicable tax returns consistent with the Intended Tax Treatment, and no party hereto will take any position for applicable tax purposes inconsistent with the Intended Tax Treatment (whether in applicable tax returns, tax audits or proceedings, or otherwise), unless in any such case required by a “determination” within the meaning of Section 1313(a)(1) of the Code (or any similar or analogous provision of state or local tax law) and (b) shall file with its applicable U.S. federal income tax return on a timely basis the information required by Treasury Regulations Section 1.351-3 and maintain the permanent records described in Treasury Regulations Section 1.351-3, in each case, to the extent applicable, and in the event a government authority disputes or takes a position inconsistent with the Intended Tax Treatment, the party receiving notice of such dispute shall promptly notify the other parties hereto.</w:t>
      </w:r>
    </w:p>
    <w:p>
      <w:pPr>
        <w:spacing w:after="0" w:line="128"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t.            Subscriber shall furnish or otherwise make available to the Issuer (and shall cooperate with the Issuer in obtaining) all information and documentation necessary for the Issuer to specifically identify the tax basis in each such SOL for U.S. federal (and applicable state and local) income tax purposes, including, but not limited to: (i) the date, time, and source of acquisition of each such SOL, (ii) the original cost and fair market value at the time of acquisition of each such SOL, (iii) historical wallet and account location with respect to each such SOL, and (iv) detailed transaction history (both on-chain and off-chain) with respect to each such SOL.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pages follow.</w:t>
      </w:r>
      <w:r>
        <w:rPr>
          <w:rFonts w:ascii="Times New Roman" w:cs="Times New Roman" w:eastAsia="Times New Roman" w:hAnsi="Times New Roman"/>
          <w:sz w:val="12"/>
          <w:szCs w:val="12"/>
          <w:color w:val="auto"/>
        </w:rPr>
        <w: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each of the Issuer and Subscriber has executed or caused this Subscription Agreement to be executed by its duly authorized representative as of the date first written above.</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ISSUER:</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HELIUS MEDICAL TECHNOLOGIES, INC.</w:t>
      </w:r>
    </w:p>
    <w:p>
      <w:pPr>
        <w:spacing w:after="0" w:line="154" w:lineRule="exact"/>
        <w:rPr>
          <w:sz w:val="20"/>
          <w:szCs w:val="20"/>
          <w:color w:val="auto"/>
        </w:rPr>
      </w:pPr>
    </w:p>
    <w:tbl>
      <w:tblPr>
        <w:tblLayout w:type="fixed"/>
        <w:tblInd w:w="524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13"/>
                <w:szCs w:val="13"/>
                <w:color w:val="auto"/>
              </w:rPr>
            </w:pP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Jeffrey S. Mathiesen</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Treasurer, and Secretary</w:t>
            </w:r>
          </w:p>
        </w:tc>
      </w:tr>
    </w:tbl>
    <w:p>
      <w:pPr>
        <w:spacing w:after="0" w:line="1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297815</wp:posOffset>
            </wp:positionV>
            <wp:extent cx="71780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2"/>
          <w:szCs w:val="12"/>
          <w:b w:val="1"/>
          <w:bCs w:val="1"/>
          <w:color w:val="auto"/>
        </w:rPr>
        <w:t>SUBSCRIBER: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35204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20440"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of Subscriber: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322897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Name in which securities are to be registered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358902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Address: ____________________</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Subscriber’s EIN: __________________</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199390</wp:posOffset>
            </wp:positionV>
            <wp:extent cx="358902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8902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102235</wp:posOffset>
            </wp:positionV>
            <wp:extent cx="358902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10795</wp:posOffset>
            </wp:positionV>
            <wp:extent cx="293751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37510"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10795</wp:posOffset>
            </wp:positionV>
            <wp:extent cx="293751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937510"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10795</wp:posOffset>
            </wp:positionV>
            <wp:extent cx="293751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93751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Subscription Amount: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Tax Basis of Contributed SOL (Include Tax Basis for each SOL 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which Locked SOL becomes free of restrictions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_________________ (in Unlocked SOL)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_________________ (in Locked SOL)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_________________ (Include for each Locked SOL contributed)</w:t>
      </w:r>
    </w:p>
    <w:p>
      <w:pPr>
        <w:spacing w:after="0" w:line="255" w:lineRule="exact"/>
        <w:rPr>
          <w:sz w:val="20"/>
          <w:szCs w:val="20"/>
          <w:color w:val="auto"/>
        </w:rPr>
      </w:pPr>
    </w:p>
    <w:p>
      <w:pPr>
        <w:sectPr>
          <w:pgSz w:w="11900" w:h="16838" w:orient="portrait"/>
          <w:cols w:equalWidth="0" w:num="2">
            <w:col w:w="3300" w:space="320"/>
            <w:col w:w="6539"/>
          </w:cols>
          <w:pgMar w:left="300" w:top="647" w:right="1440" w:bottom="1440" w:gutter="0" w:footer="0" w:header="0"/>
          <w:type w:val="continuous"/>
        </w:sectPr>
      </w:pPr>
    </w:p>
    <w:p>
      <w:pPr>
        <w:spacing w:after="0" w:line="127" w:lineRule="exact"/>
        <w:rPr>
          <w:sz w:val="20"/>
          <w:szCs w:val="20"/>
          <w:color w:val="auto"/>
        </w:rPr>
      </w:pPr>
      <w:r>
        <w:rPr>
          <w:rFonts w:ascii="Times New Roman" w:cs="Times New Roman" w:eastAsia="Times New Roman" w:hAnsi="Times New Roman"/>
          <w:sz w:val="11"/>
          <w:szCs w:val="11"/>
          <w:b w:val="1"/>
          <w:bCs w:val="1"/>
          <w:color w:val="auto"/>
        </w:rPr>
        <w:t xml:space="preserve">Beneficial Ownership Blocker </w:t>
      </w:r>
      <w:r>
        <w:rPr>
          <w:rFonts w:ascii="MS PGothic" w:cs="MS PGothic" w:eastAsia="MS PGothic" w:hAnsi="MS PGothic"/>
          <w:sz w:val="11"/>
          <w:szCs w:val="11"/>
          <w:color w:val="auto"/>
          <w:highlight w:val="black"/>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r>
        <w:rPr>
          <w:rFonts w:ascii="Times New Roman" w:cs="Times New Roman" w:eastAsia="Times New Roman" w:hAnsi="Times New Roman"/>
          <w:sz w:val="11"/>
          <w:szCs w:val="11"/>
          <w:b w:val="1"/>
          <w:bCs w:val="1"/>
          <w:color w:val="auto"/>
        </w:rPr>
        <w:t xml:space="preserve">4.99% or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b w:val="1"/>
          <w:bCs w:val="1"/>
          <w:color w:val="auto"/>
        </w:rPr>
        <w:t xml:space="preserve"> 9.99%</w:t>
      </w:r>
    </w:p>
    <w:p>
      <w:pPr>
        <w:spacing w:after="0" w:line="190" w:lineRule="exact"/>
        <w:rPr>
          <w:sz w:val="20"/>
          <w:szCs w:val="20"/>
          <w:color w:val="auto"/>
        </w:rPr>
      </w:pPr>
    </w:p>
    <w:p>
      <w:pPr>
        <w:sectPr>
          <w:pgSz w:w="11900" w:h="16838" w:orient="portrait"/>
          <w:cols w:equalWidth="0" w:num="2">
            <w:col w:w="1660" w:space="40"/>
            <w:col w:w="8459"/>
          </w:cols>
          <w:pgMar w:left="300" w:top="64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Aggregate Number of Pre-Funded Warrants subscribed for: _____________________</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Aggregate Number of Stapled Warrants subscribed for: ___________________</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Aggregate Purchase Price: $ ___________________</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You must pay the Purchase Price by wire transfer of United States dollars in immediately available funds to the account specified by the Issuer in the Closing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and Address of Beneficial Owner, if different from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358902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58902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107950</wp:posOffset>
            </wp:positionV>
            <wp:extent cx="358902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Number of shares of Common Stock and other equity securities of the Issuer currently owned by Beneficial Owner prior to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358902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type w:val="continuous"/>
        </w:sectPr>
      </w:pPr>
    </w:p>
    <w:bookmarkStart w:id="146" w:name="page147"/>
    <w:bookmarkEnd w:id="146"/>
    <w:p>
      <w:pPr>
        <w:jc w:val="right"/>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LOCK-UP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HELIUS MEDICAL TECHNOLOGIES,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642 Newtown Yardley Road, Suite 100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Newtown, Pennsylvania 18940</w:t>
      </w:r>
    </w:p>
    <w:p>
      <w:pPr>
        <w:spacing w:after="0" w:line="135"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2"/>
          <w:szCs w:val="12"/>
          <w:color w:val="auto"/>
        </w:rPr>
        <w:t>This agreement (this “</w:t>
      </w:r>
      <w:r>
        <w:rPr>
          <w:rFonts w:ascii="Times New Roman" w:cs="Times New Roman" w:eastAsia="Times New Roman" w:hAnsi="Times New Roman"/>
          <w:sz w:val="12"/>
          <w:szCs w:val="12"/>
          <w:b w:val="1"/>
          <w:bCs w:val="1"/>
          <w:i w:val="1"/>
          <w:iCs w:val="1"/>
          <w:color w:val="auto"/>
        </w:rPr>
        <w:t>Lock-up Agreement</w:t>
      </w:r>
      <w:r>
        <w:rPr>
          <w:rFonts w:ascii="Times New Roman" w:cs="Times New Roman" w:eastAsia="Times New Roman" w:hAnsi="Times New Roman"/>
          <w:sz w:val="12"/>
          <w:szCs w:val="12"/>
          <w:color w:val="auto"/>
        </w:rPr>
        <w:t>”) is being delivered to you in connection with the proposed private placement offering of (i) shares of Class A common stock, par value 0.001 per share (the “</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of Helius Medical Technologies, Inc.,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and/or (ii) pre-funded warrants (the “</w:t>
      </w:r>
      <w:r>
        <w:rPr>
          <w:rFonts w:ascii="Times New Roman" w:cs="Times New Roman" w:eastAsia="Times New Roman" w:hAnsi="Times New Roman"/>
          <w:sz w:val="12"/>
          <w:szCs w:val="12"/>
          <w:b w:val="1"/>
          <w:bCs w:val="1"/>
          <w:i w:val="1"/>
          <w:iCs w:val="1"/>
          <w:color w:val="auto"/>
        </w:rPr>
        <w:t>Pre-Funded Warrants</w:t>
      </w:r>
      <w:r>
        <w:rPr>
          <w:rFonts w:ascii="Times New Roman" w:cs="Times New Roman" w:eastAsia="Times New Roman" w:hAnsi="Times New Roman"/>
          <w:sz w:val="12"/>
          <w:szCs w:val="12"/>
          <w:color w:val="auto"/>
        </w:rPr>
        <w:t>”) to purchase shares of Common Stock pursuant to a certain Subscription Agreement dated September 15, 2025 (the “</w:t>
      </w:r>
      <w:r>
        <w:rPr>
          <w:rFonts w:ascii="Times New Roman" w:cs="Times New Roman" w:eastAsia="Times New Roman" w:hAnsi="Times New Roman"/>
          <w:sz w:val="12"/>
          <w:szCs w:val="12"/>
          <w:b w:val="1"/>
          <w:bCs w:val="1"/>
          <w:i w:val="1"/>
          <w:iCs w:val="1"/>
          <w:color w:val="auto"/>
        </w:rPr>
        <w:t>Purchase Agreement</w:t>
      </w:r>
      <w:r>
        <w:rPr>
          <w:rFonts w:ascii="Times New Roman" w:cs="Times New Roman" w:eastAsia="Times New Roman" w:hAnsi="Times New Roman"/>
          <w:sz w:val="12"/>
          <w:szCs w:val="12"/>
          <w:color w:val="auto"/>
        </w:rPr>
        <w:t>”) by and between you and the Company (the “</w:t>
      </w:r>
      <w:r>
        <w:rPr>
          <w:rFonts w:ascii="Times New Roman" w:cs="Times New Roman" w:eastAsia="Times New Roman" w:hAnsi="Times New Roman"/>
          <w:sz w:val="12"/>
          <w:szCs w:val="12"/>
          <w:b w:val="1"/>
          <w:bCs w:val="1"/>
          <w:i w:val="1"/>
          <w:iCs w:val="1"/>
          <w:color w:val="auto"/>
        </w:rPr>
        <w:t>Offering</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In order to induce the Company to enter into the Purchase Agreement, and in light of the benefits that the Offering will confer upon you in your capacity as a securityholder and/or a director or officer of the Company, and for good and valuable consideration, the receipt and sufficiency of which are hereby acknowledged, you hereby irrevocably agree that, without the prior written consent of the Company, during the period beginning on the date of the Subscription Agreement through and including the date that is (i) the day the effectiveness of the resale registration statement on Form S-3 (or Form S-1 as applicable) (the “</w:t>
      </w:r>
      <w:r>
        <w:rPr>
          <w:rFonts w:ascii="Times New Roman" w:cs="Times New Roman" w:eastAsia="Times New Roman" w:hAnsi="Times New Roman"/>
          <w:sz w:val="12"/>
          <w:szCs w:val="12"/>
          <w:b w:val="1"/>
          <w:bCs w:val="1"/>
          <w:i w:val="1"/>
          <w:iCs w:val="1"/>
          <w:color w:val="auto"/>
        </w:rPr>
        <w:t>Registration Date</w:t>
      </w:r>
      <w:r>
        <w:rPr>
          <w:rFonts w:ascii="Times New Roman" w:cs="Times New Roman" w:eastAsia="Times New Roman" w:hAnsi="Times New Roman"/>
          <w:sz w:val="12"/>
          <w:szCs w:val="12"/>
          <w:color w:val="auto"/>
        </w:rPr>
        <w:t>”) registering for resale the Common Stock and the shares underlying the Pre-Funded Warrants purchased in the Offering (collectively the “</w:t>
      </w:r>
      <w:r>
        <w:rPr>
          <w:rFonts w:ascii="Times New Roman" w:cs="Times New Roman" w:eastAsia="Times New Roman" w:hAnsi="Times New Roman"/>
          <w:sz w:val="12"/>
          <w:szCs w:val="12"/>
          <w:b w:val="1"/>
          <w:bCs w:val="1"/>
          <w:i w:val="1"/>
          <w:iCs w:val="1"/>
          <w:color w:val="auto"/>
        </w:rPr>
        <w:t>Acquired Securities</w:t>
      </w:r>
      <w:r>
        <w:rPr>
          <w:rFonts w:ascii="Times New Roman" w:cs="Times New Roman" w:eastAsia="Times New Roman" w:hAnsi="Times New Roman"/>
          <w:sz w:val="12"/>
          <w:szCs w:val="12"/>
          <w:color w:val="auto"/>
        </w:rPr>
        <w:t>”) with the Securities and Exchange Commission (the “</w:t>
      </w:r>
      <w:r>
        <w:rPr>
          <w:rFonts w:ascii="Times New Roman" w:cs="Times New Roman" w:eastAsia="Times New Roman" w:hAnsi="Times New Roman"/>
          <w:sz w:val="12"/>
          <w:szCs w:val="12"/>
          <w:b w:val="1"/>
          <w:bCs w:val="1"/>
          <w:i w:val="1"/>
          <w:iCs w:val="1"/>
          <w:color w:val="auto"/>
        </w:rPr>
        <w:t>SEC</w:t>
      </w:r>
      <w:r>
        <w:rPr>
          <w:rFonts w:ascii="Times New Roman" w:cs="Times New Roman" w:eastAsia="Times New Roman" w:hAnsi="Times New Roman"/>
          <w:sz w:val="12"/>
          <w:szCs w:val="12"/>
          <w:color w:val="auto"/>
        </w:rPr>
        <w:t>”) with respect to one-hundred percent (100%) of the</w:t>
      </w:r>
    </w:p>
    <w:p>
      <w:pPr>
        <w:jc w:val="both"/>
        <w:spacing w:after="0" w:line="242" w:lineRule="auto"/>
        <w:rPr>
          <w:sz w:val="20"/>
          <w:szCs w:val="20"/>
          <w:color w:val="auto"/>
        </w:rPr>
      </w:pPr>
      <w:r>
        <w:rPr>
          <w:rFonts w:ascii="Times New Roman" w:cs="Times New Roman" w:eastAsia="Times New Roman" w:hAnsi="Times New Roman"/>
          <w:sz w:val="12"/>
          <w:szCs w:val="12"/>
          <w:color w:val="auto"/>
        </w:rPr>
        <w:t>Acquired Securities (the “</w:t>
      </w:r>
      <w:r>
        <w:rPr>
          <w:rFonts w:ascii="Times New Roman" w:cs="Times New Roman" w:eastAsia="Times New Roman" w:hAnsi="Times New Roman"/>
          <w:sz w:val="12"/>
          <w:szCs w:val="12"/>
          <w:b w:val="1"/>
          <w:bCs w:val="1"/>
          <w:i w:val="1"/>
          <w:iCs w:val="1"/>
          <w:color w:val="auto"/>
        </w:rPr>
        <w:t>Initial Lock-Up Period</w:t>
      </w:r>
      <w:r>
        <w:rPr>
          <w:rFonts w:ascii="Times New Roman" w:cs="Times New Roman" w:eastAsia="Times New Roman" w:hAnsi="Times New Roman"/>
          <w:sz w:val="12"/>
          <w:szCs w:val="12"/>
          <w:color w:val="auto"/>
        </w:rPr>
        <w:t>”); and (ii) the 30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day following the Registration Date, with respect to fifty percent (50%) of the Acquired Securities (the “</w:t>
      </w:r>
      <w:r>
        <w:rPr>
          <w:rFonts w:ascii="Times New Roman" w:cs="Times New Roman" w:eastAsia="Times New Roman" w:hAnsi="Times New Roman"/>
          <w:sz w:val="12"/>
          <w:szCs w:val="12"/>
          <w:b w:val="1"/>
          <w:bCs w:val="1"/>
          <w:i w:val="1"/>
          <w:iCs w:val="1"/>
          <w:color w:val="auto"/>
        </w:rPr>
        <w:t>Subsequent Lock-Up Period</w:t>
      </w:r>
      <w:r>
        <w:rPr>
          <w:rFonts w:ascii="Times New Roman" w:cs="Times New Roman" w:eastAsia="Times New Roman" w:hAnsi="Times New Roman"/>
          <w:sz w:val="12"/>
          <w:szCs w:val="12"/>
          <w:color w:val="auto"/>
        </w:rPr>
        <w:t>” and, together with the Initial Lock-Up Period, the “</w:t>
      </w:r>
      <w:r>
        <w:rPr>
          <w:rFonts w:ascii="Times New Roman" w:cs="Times New Roman" w:eastAsia="Times New Roman" w:hAnsi="Times New Roman"/>
          <w:sz w:val="12"/>
          <w:szCs w:val="12"/>
          <w:b w:val="1"/>
          <w:bCs w:val="1"/>
          <w:i w:val="1"/>
          <w:iCs w:val="1"/>
          <w:color w:val="auto"/>
        </w:rPr>
        <w:t>Lock-Up Periods</w:t>
      </w:r>
      <w:r>
        <w:rPr>
          <w:rFonts w:ascii="Times New Roman" w:cs="Times New Roman" w:eastAsia="Times New Roman" w:hAnsi="Times New Roman"/>
          <w:sz w:val="12"/>
          <w:szCs w:val="12"/>
          <w:color w:val="auto"/>
        </w:rPr>
        <w:t>”), you will not directly or indirectly, (1) offer for sale, sell, assign, transfer, pledge, contract to sell, lend or otherwise dispose of (or enter into any transaction or agreement that is designed to, or would reasonably be expected to, result in the disposition by any person at any time in the future of) the Acquired Securities, (2) enter into any swap, hedge or similar agreement or arrangement (including, without limitation, the purchase or sale of, or entry into, any put or call option, or combination thereof, forward, swap or any other derivatives transaction or instrument, however described or defined) that transfers, is designed to transfer or reasonably could be expect to transfer in whole or in part, directly or indirectly, any of the economic benefits or risks of ownership of shares of Common Stock or any Acquired Securities, whether any such transaction described in clause (1) or (2) above is to be settled by delivery of shares of Common Stock or other securities of the Company, in cash or otherwise, (3) make any demand for or exercise any right or cause to be confidentially submitted or filed a registration statement, including any amendments thereto, with respect to the registration of any shares of Common Stock or Acquired Securities, provided that, to the extent the undersigned has demand and/or piggyback registration rights under any registration rights agreement, investor rights agreement or similar agreement, the undersigned may notify the Company privately that the undersigned is or will be exercising its demand and/or piggyback registration rights under any such agreement following the expiration of the respective Lock-Up Period and undertake preparations related thereto, or (4) publicly disclose the intention to do any of the foregoing (the “</w:t>
      </w:r>
      <w:r>
        <w:rPr>
          <w:rFonts w:ascii="Times New Roman" w:cs="Times New Roman" w:eastAsia="Times New Roman" w:hAnsi="Times New Roman"/>
          <w:sz w:val="12"/>
          <w:szCs w:val="12"/>
          <w:b w:val="1"/>
          <w:bCs w:val="1"/>
          <w:i w:val="1"/>
          <w:iCs w:val="1"/>
          <w:color w:val="auto"/>
        </w:rPr>
        <w:t>Lock-Up Restrictions</w:t>
      </w:r>
      <w:r>
        <w:rPr>
          <w:rFonts w:ascii="Times New Roman" w:cs="Times New Roman" w:eastAsia="Times New Roman" w:hAnsi="Times New Roman"/>
          <w:sz w:val="12"/>
          <w:szCs w:val="12"/>
          <w:color w:val="auto"/>
        </w:rPr>
        <w:t>”). Notwithstanding the foregoing, in no event shall the Initial Lock-Up Period extend beyond the date that is one hundred eighty (180) days following the Closing Date (the “</w:t>
      </w:r>
      <w:r>
        <w:rPr>
          <w:rFonts w:ascii="Times New Roman" w:cs="Times New Roman" w:eastAsia="Times New Roman" w:hAnsi="Times New Roman"/>
          <w:sz w:val="12"/>
          <w:szCs w:val="12"/>
          <w:b w:val="1"/>
          <w:bCs w:val="1"/>
          <w:i w:val="1"/>
          <w:iCs w:val="1"/>
          <w:color w:val="auto"/>
        </w:rPr>
        <w:t>Outside Release Date</w:t>
      </w:r>
      <w:r>
        <w:rPr>
          <w:rFonts w:ascii="Times New Roman" w:cs="Times New Roman" w:eastAsia="Times New Roman" w:hAnsi="Times New Roman"/>
          <w:sz w:val="12"/>
          <w:szCs w:val="12"/>
          <w:color w:val="auto"/>
        </w:rPr>
        <w:t>”), whether or not the Registration Date has occurred. Accordingly, the Lock-Up Restrictions shall automatically terminate with respect to all Acquired Securities on the Outside Release Date if the Registration Date has not occurred by such date. Furthermore, the Lock-Up Restrictions shall automatically terminate once the Subscriber is permitted to sell all of its Acquired Securities under Rule 144 without restriction, regardless of whether the Registration Statement has been declared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288290</wp:posOffset>
            </wp:positionV>
            <wp:extent cx="71780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47" w:name="page148"/>
    <w:bookmarkEnd w:id="147"/>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foregoing restrictions are expressly agreed to preclude you from engaging in any hedging or other transaction which is designed to, or which reasonably could be expected to, lead to or result in a sale or disposition of shares of Common Stock or any other securities of the Company, including, without limitation, any short sale or any purchase, sale or grant of any right (including without limitation any put or call option, forward, swap or any other derivative transaction or instrument) with respect to any shares of Common Stock, or any other security of the Company that includes, relates to, or derives any significant part of its value from shares of Common Stock or other securities of the Company.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foregoing restrictions, including without limitation the immediately preceding sentence, shall not apply to:</w:t>
      </w:r>
    </w:p>
    <w:p>
      <w:pPr>
        <w:spacing w:after="0" w:line="148" w:lineRule="exact"/>
        <w:rPr>
          <w:sz w:val="20"/>
          <w:szCs w:val="20"/>
          <w:color w:val="auto"/>
        </w:rPr>
      </w:pPr>
    </w:p>
    <w:p>
      <w:pPr>
        <w:jc w:val="both"/>
        <w:ind w:firstLine="424"/>
        <w:spacing w:after="0" w:line="257" w:lineRule="auto"/>
        <w:tabs>
          <w:tab w:leader="none" w:pos="598"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any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charitable gift or gifts, including, without limitation, to a charitable organization or educational institution, or (ii) bona fide gifts, sales or other dispositions of shares of any class of the Company’s capital stock, in each case, that are made exclusively between and among the undersigned or members of the undersigned’s family, or affiliates of the undersigned, including its partners (if a partnership) or members (if a limited liability company);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it shall be a condition to any transfer pursuant to this clause (a) that (1) the transferee/donee agrees to be bound by the terms of this Lock-Up Letter Agreement (including, without limitation, the restrictions set forth in the preceding sentence) to the same extent as if the transferee/donee were a party hereto, (2) any such transfer shall not involve a disposition for value, (3) each party (donor, donee, transferor or transferee) shall agree to not voluntarily make, any filing or public announcement of the gift, sale or other disposition prior to the expiration of the respective Lock-Up Period, and (4) the undersigned notifies the Company at least two business days prior to the proposed gift, sale or other disposition;</w:t>
      </w:r>
    </w:p>
    <w:p>
      <w:pPr>
        <w:spacing w:after="0" w:line="123" w:lineRule="exact"/>
        <w:rPr>
          <w:rFonts w:ascii="Times New Roman" w:cs="Times New Roman" w:eastAsia="Times New Roman" w:hAnsi="Times New Roman"/>
          <w:sz w:val="12"/>
          <w:szCs w:val="12"/>
          <w:color w:val="auto"/>
        </w:rPr>
      </w:pPr>
    </w:p>
    <w:p>
      <w:pPr>
        <w:ind w:firstLine="424"/>
        <w:spacing w:after="0" w:line="279" w:lineRule="auto"/>
        <w:tabs>
          <w:tab w:leader="none" w:pos="602"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or settlement of stock options or other equity awards granted pursuant to the Company’s stock option/incentive plans or awards, provided, that the restrictions shall apply to shares of Common Stock issued upon such exercise;</w:t>
      </w:r>
    </w:p>
    <w:p>
      <w:pPr>
        <w:spacing w:after="0" w:line="107" w:lineRule="exact"/>
        <w:rPr>
          <w:rFonts w:ascii="Times New Roman" w:cs="Times New Roman" w:eastAsia="Times New Roman" w:hAnsi="Times New Roman"/>
          <w:sz w:val="12"/>
          <w:szCs w:val="12"/>
          <w:color w:val="auto"/>
        </w:rPr>
      </w:pPr>
    </w:p>
    <w:p>
      <w:pPr>
        <w:ind w:firstLine="424"/>
        <w:spacing w:after="0" w:line="286" w:lineRule="auto"/>
        <w:tabs>
          <w:tab w:leader="none" w:pos="596"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transfers by will or intestacy;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no public disclosure or filing under the Securities Exchange Act of 1934, as amended (the “</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shall be voluntarily made during the respective Lock-Up Period and any required filing under the Exchange Act made during the Lock-Up Period shall clearly indicate in the footnotes thereto that the filing relates to the circumstances described in this clause (c);</w:t>
      </w:r>
    </w:p>
    <w:p>
      <w:pPr>
        <w:spacing w:after="0" w:line="105" w:lineRule="exact"/>
        <w:rPr>
          <w:rFonts w:ascii="Times New Roman" w:cs="Times New Roman" w:eastAsia="Times New Roman" w:hAnsi="Times New Roman"/>
          <w:sz w:val="12"/>
          <w:szCs w:val="12"/>
          <w:color w:val="auto"/>
        </w:rPr>
      </w:pPr>
    </w:p>
    <w:p>
      <w:pPr>
        <w:jc w:val="both"/>
        <w:ind w:firstLine="424"/>
        <w:spacing w:after="0" w:line="266" w:lineRule="auto"/>
        <w:tabs>
          <w:tab w:leader="none" w:pos="613"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transfers pursuant to a court order or settlement agreement related to the distribution of assets in connection with the dissolution of a marriage or civil union,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no public disclosure or filing under the Exchange Act shall be voluntarily made during the Lock-Up Period and any required filing under the Exchange Act made during the respective Lock-Up Period shall clearly indicate in the footnotes thereto that the filing relates to the circumstances described in this clause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8" w:name="page149"/>
    <w:bookmarkEnd w:id="148"/>
    <w:p>
      <w:pPr>
        <w:jc w:val="both"/>
        <w:ind w:left="-424" w:firstLine="424"/>
        <w:spacing w:after="0" w:line="255" w:lineRule="auto"/>
        <w:tabs>
          <w:tab w:leader="none" w:pos="175"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or dispositions of shares of capital stock of the Company or any securities convertible into, or exercisable or exchangeable for, such capital stock to any trust for the direct or indirect benefit of the undersigned or the immediate family of the undersigned in a transaction not involving a disposition for value, or, if the undersigned is a trust, to a trustor or beneficiary of the trust, or, if the undersigned is a corporation, partnership, limited liability company or other business entity, to another corporation, partnership, limited liability company or other business entity that controls, is controlled by or is under common control with the undersigned or as part of a disposition, transfer or distribution by the undersigned to partners, limited partners, stockholders, members or equityholders of the undersigned, provided, in each case, that (1) any transferee agrees to be bound by the terms of this Lock-Up Letter Agreement (including, without limitation, the restrictions set forth in the preceding sentence) to the same extent as if the transferee(s) were a party hereto, (2) any such transfer shall not involve a disposition for value, (3) no public disclosure or filing under the Exchange Act shall be voluntarily made during the respective Lock-Up Period and (4) any required filing under the Exchange Act made during the respective Lock-Up Period shall clearly indicate in the footnotes thereto that the filing relates to the circumstances described in this clause (e);</w:t>
      </w:r>
    </w:p>
    <w:p>
      <w:pPr>
        <w:spacing w:after="0" w:line="125" w:lineRule="exact"/>
        <w:rPr>
          <w:rFonts w:ascii="Times New Roman" w:cs="Times New Roman" w:eastAsia="Times New Roman" w:hAnsi="Times New Roman"/>
          <w:sz w:val="12"/>
          <w:szCs w:val="12"/>
          <w:color w:val="auto"/>
        </w:rPr>
      </w:pPr>
    </w:p>
    <w:p>
      <w:pPr>
        <w:ind w:left="-424" w:firstLine="424"/>
        <w:spacing w:after="0" w:line="279" w:lineRule="auto"/>
        <w:tabs>
          <w:tab w:leader="none" w:pos="168"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the Pre-Funded Warrants or Stapled Warrants, as applicable, or the conversion, exercise or exchange of any other securities of the Company, into Common Stock or any other securities of the Company, provided, that such shares of Common Stock or other securities issued upon conversion, exercise or exchange remain subject to the terms of this Lock-Up Letter Agreement;</w:t>
      </w:r>
    </w:p>
    <w:p>
      <w:pPr>
        <w:spacing w:after="0" w:line="111" w:lineRule="exact"/>
        <w:rPr>
          <w:rFonts w:ascii="Times New Roman" w:cs="Times New Roman" w:eastAsia="Times New Roman" w:hAnsi="Times New Roman"/>
          <w:sz w:val="12"/>
          <w:szCs w:val="12"/>
          <w:color w:val="auto"/>
        </w:rPr>
      </w:pPr>
    </w:p>
    <w:p>
      <w:pPr>
        <w:jc w:val="both"/>
        <w:ind w:left="-424" w:firstLine="424"/>
        <w:spacing w:after="0" w:line="265" w:lineRule="auto"/>
        <w:tabs>
          <w:tab w:leader="none" w:pos="178"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transfers or commitments to transfer pursuant to a merger, consolidation, tender offer or other similar transaction involving a Change of Control (as defined below) or reverse merger, provided, that in the event that such merger, consolidation, tender offer or other such transaction involving a Change of Control or reverse merger is not completed, such shares of Common Stock or other securities held by the undersigned shall remain subject to the provisions of this Lock-Up Letter Agreement;</w:t>
      </w:r>
    </w:p>
    <w:p>
      <w:pPr>
        <w:spacing w:after="0" w:line="118" w:lineRule="exact"/>
        <w:rPr>
          <w:rFonts w:ascii="Times New Roman" w:cs="Times New Roman" w:eastAsia="Times New Roman" w:hAnsi="Times New Roman"/>
          <w:sz w:val="12"/>
          <w:szCs w:val="12"/>
          <w:color w:val="auto"/>
        </w:rPr>
      </w:pPr>
    </w:p>
    <w:p>
      <w:pPr>
        <w:jc w:val="both"/>
        <w:ind w:left="-424" w:firstLine="424"/>
        <w:spacing w:after="0" w:line="257" w:lineRule="auto"/>
        <w:tabs>
          <w:tab w:leader="none" w:pos="179"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by the undersigned of shares of Common Stock or any securities convertible into, exercisable or exchangeable for, shares of Common Stock to the Company upon a vesting or settlement event of the Company’s securities or upon the exercise of options or warrants to purchase the Company’s securities on a “cashless” or “net exercise” basis, or in a “sell-to-cover” transaction, in each case, pursuant to any equity incentive plan or award of the Company and to the extent permitted by the instruments representing such options or warrants outstanding as of the date of the Purchase Agreement, provided, that (1) the shares received upon exercise or settlement of such option or warrant or other security are subject to the terms of this Lock-Up Letter Agreement, (2) no public disclosure or filing under the Exchange Act shall be voluntarily made during the respective Lock-Up Period and (3) any required filing under the Exchange Act made during the respective Lock-Up Period shall clearly indicate in the footnotes thereto that the filing relates to the circumstances described in this clause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280670</wp:posOffset>
            </wp:positionV>
            <wp:extent cx="717804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76"/>
          </w:cols>
          <w:pgMar w:left="724" w:top="651" w:right="299" w:bottom="1440" w:gutter="0" w:footer="0" w:header="0"/>
        </w:sectPr>
      </w:pPr>
    </w:p>
    <w:bookmarkStart w:id="149" w:name="page150"/>
    <w:bookmarkEnd w:id="149"/>
    <w:p>
      <w:pPr>
        <w:jc w:val="both"/>
        <w:ind w:right="20" w:firstLine="424"/>
        <w:spacing w:after="0" w:line="265" w:lineRule="auto"/>
        <w:tabs>
          <w:tab w:leader="none" w:pos="578"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of shares of Common Stock or securities convertible into, or exercisable or exchangeable for, shares of Common Stock to the Company in connection with the termination of the undersigned’s employment with the Company, provided, that no public disclosure or filing under the Exchange Act shall be voluntarily made during the respective Lock-Up Period and any required filing under the Exchange Act made during the respective Lock-Up Period shall clearly indicate in the footnotes thereto that the filing relates to the circumstances described in this clause (i);</w:t>
      </w:r>
    </w:p>
    <w:p>
      <w:pPr>
        <w:spacing w:after="0" w:line="118" w:lineRule="exact"/>
        <w:rPr>
          <w:rFonts w:ascii="Times New Roman" w:cs="Times New Roman" w:eastAsia="Times New Roman" w:hAnsi="Times New Roman"/>
          <w:sz w:val="12"/>
          <w:szCs w:val="12"/>
          <w:color w:val="auto"/>
        </w:rPr>
      </w:pPr>
    </w:p>
    <w:p>
      <w:pPr>
        <w:ind w:left="560" w:hanging="136"/>
        <w:spacing w:after="0"/>
        <w:tabs>
          <w:tab w:leader="none" w:pos="56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that are approved by the prior written consent of the Company;</w:t>
      </w:r>
    </w:p>
    <w:p>
      <w:pPr>
        <w:spacing w:after="0" w:line="150" w:lineRule="exact"/>
        <w:rPr>
          <w:rFonts w:ascii="Times New Roman" w:cs="Times New Roman" w:eastAsia="Times New Roman" w:hAnsi="Times New Roman"/>
          <w:sz w:val="12"/>
          <w:szCs w:val="12"/>
          <w:color w:val="auto"/>
        </w:rPr>
      </w:pPr>
    </w:p>
    <w:p>
      <w:pPr>
        <w:ind w:firstLine="424"/>
        <w:spacing w:after="0" w:line="279" w:lineRule="auto"/>
        <w:tabs>
          <w:tab w:leader="none" w:pos="61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shares of Common Stock purchased by the undersigned on the open market following the date of the Purchase Agreement, provided, that any required filing under the Exchange Act made during the respective Lock-Up Period shall clearly indicate in the footnotes thereto that the filing relates to the circumstances described in this clause (k); and</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579"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to any affiliate (as defined in Rule 405 under the Securities Act of 1933, as amended), provided that (i) such transfer is not for value, (ii) the affiliate transferee agrees in writing, prior to such transfer, to be bound by the terms of this Lock-Up Letter Agreement to the same extent as if the affiliate were an original party hereto, and (iii) the undersigned provides the Company with at least two (2) business days’ prior written notice of such transfer, including the identity of the affiliate transferee and a copy of the executed agreement by which the affiliate agrees to be bound by this Lock-Up Letter Agreement.</w:t>
      </w:r>
    </w:p>
    <w:p>
      <w:pPr>
        <w:spacing w:after="0" w:line="11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Notwithstanding the restrictions imposed by this Lock-Up Letter Agreement, the undersigned may establish or enter into a trading plan pursuant to Rule 10b5-1 (“</w:t>
      </w:r>
      <w:r>
        <w:rPr>
          <w:rFonts w:ascii="Times New Roman" w:cs="Times New Roman" w:eastAsia="Times New Roman" w:hAnsi="Times New Roman"/>
          <w:sz w:val="12"/>
          <w:szCs w:val="12"/>
          <w:b w:val="1"/>
          <w:bCs w:val="1"/>
          <w:i w:val="1"/>
          <w:iCs w:val="1"/>
          <w:color w:val="auto"/>
        </w:rPr>
        <w:t>10b5-1 Trading Plan</w:t>
      </w:r>
      <w:r>
        <w:rPr>
          <w:rFonts w:ascii="Times New Roman" w:cs="Times New Roman" w:eastAsia="Times New Roman" w:hAnsi="Times New Roman"/>
          <w:sz w:val="12"/>
          <w:szCs w:val="12"/>
          <w:color w:val="auto"/>
        </w:rPr>
        <w:t xml:space="preserve">”) under the Exchange Act for the transfer of shares of Common Stock,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such plan does not provide for any transfers of shares of Common Stock, and no filing under the Exchange Act or other public announcement shall be required or voluntarily made by the undersigned or any other person in connection therewith, in each case during the respective Lock-Up Period.</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Change of Control</w:t>
      </w:r>
      <w:r>
        <w:rPr>
          <w:rFonts w:ascii="Times New Roman" w:cs="Times New Roman" w:eastAsia="Times New Roman" w:hAnsi="Times New Roman"/>
          <w:sz w:val="12"/>
          <w:szCs w:val="12"/>
          <w:color w:val="auto"/>
        </w:rPr>
        <w:t>” shall mean the consummation of any bona fide third party tender offer, merger, consolidation or other similar transaction, in one transaction or a series of related transactions, the result of which is that any “person” (as defined in Section 13(d)(3) of the Exchange Act), or group of persons, becomes the beneficial owner (as defined in Rules 13d-3 and 13d-5 of the Exchange Act) of more than 50% of the voting capital stock of the Company (or the surviving entity).</w:t>
      </w:r>
    </w:p>
    <w:p>
      <w:pPr>
        <w:spacing w:after="0" w:line="11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This Lock-Up Letter Agreement and any transaction contemplated by this Lock-Up Letter Agreement shall be governed by and construed in accordance with the laws of the State of Delaware without regard to conflict of laws principles that would result in the application of any other law than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0" w:name="page151"/>
    <w:bookmarkEnd w:id="150"/>
    <w:p>
      <w:pPr>
        <w:ind w:firstLine="432"/>
        <w:spacing w:after="0" w:line="279" w:lineRule="auto"/>
        <w:rPr>
          <w:sz w:val="20"/>
          <w:szCs w:val="20"/>
          <w:color w:val="auto"/>
        </w:rPr>
      </w:pPr>
      <w:r>
        <w:rPr>
          <w:rFonts w:ascii="Times New Roman" w:cs="Times New Roman" w:eastAsia="Times New Roman" w:hAnsi="Times New Roman"/>
          <w:sz w:val="12"/>
          <w:szCs w:val="12"/>
          <w:color w:val="auto"/>
        </w:rPr>
        <w:t>The undersigned hereby represents and warrants that the undersigned has full power and authority to enter into this Lock-Up Letter Agreement. Any obligations of the undersigned shall be binding upon the heirs and executors (in the case of individuals), personal representatives, successors and assigns of the undersigned.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September [·], 2025</w:t>
      </w:r>
    </w:p>
    <w:p>
      <w:pPr>
        <w:spacing w:after="0" w:line="1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(Name - Please Print)</w:t>
      </w:r>
    </w:p>
    <w:p>
      <w:pPr>
        <w:spacing w:after="0" w:line="30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-85725</wp:posOffset>
            </wp:positionV>
            <wp:extent cx="358902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(Name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-85725</wp:posOffset>
            </wp:positionV>
            <wp:extent cx="358902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(Title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-85725</wp:posOffset>
            </wp:positionV>
            <wp:extent cx="358902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3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10795</wp:posOffset>
            </wp:positionV>
            <wp:extent cx="30861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0861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302260</wp:posOffset>
            </wp:positionV>
            <wp:extent cx="71780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2"/>
          <w:szCs w:val="12"/>
          <w:b w:val="1"/>
          <w:bCs w:val="1"/>
          <w:color w:val="auto"/>
        </w:rPr>
        <w:t>Exhibit 10.4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STRATEGIC ADVISORY AGREEMENT</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This Strategic Advisory Agreement (this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is entered into as of September 15, 2025 (the “</w:t>
      </w:r>
      <w:r>
        <w:rPr>
          <w:rFonts w:ascii="Times New Roman" w:cs="Times New Roman" w:eastAsia="Times New Roman" w:hAnsi="Times New Roman"/>
          <w:sz w:val="12"/>
          <w:szCs w:val="12"/>
          <w:b w:val="1"/>
          <w:bCs w:val="1"/>
          <w:color w:val="auto"/>
        </w:rPr>
        <w:t>Effective Date</w:t>
      </w:r>
      <w:r>
        <w:rPr>
          <w:rFonts w:ascii="Times New Roman" w:cs="Times New Roman" w:eastAsia="Times New Roman" w:hAnsi="Times New Roman"/>
          <w:sz w:val="12"/>
          <w:szCs w:val="12"/>
          <w:color w:val="auto"/>
        </w:rPr>
        <w:t>”) by and between Helius Medical Technologies, Inc. (the “</w:t>
      </w:r>
      <w:r>
        <w:rPr>
          <w:rFonts w:ascii="Times New Roman" w:cs="Times New Roman" w:eastAsia="Times New Roman" w:hAnsi="Times New Roman"/>
          <w:sz w:val="12"/>
          <w:szCs w:val="12"/>
          <w:b w:val="1"/>
          <w:bCs w:val="1"/>
          <w:color w:val="auto"/>
        </w:rPr>
        <w:t>Customer</w:t>
      </w:r>
      <w:r>
        <w:rPr>
          <w:rFonts w:ascii="Times New Roman" w:cs="Times New Roman" w:eastAsia="Times New Roman" w:hAnsi="Times New Roman"/>
          <w:sz w:val="12"/>
          <w:szCs w:val="12"/>
          <w:color w:val="auto"/>
        </w:rPr>
        <w:t>”), Pantera Capital Management LP, a Delaware limited partnership (“</w:t>
      </w:r>
      <w:r>
        <w:rPr>
          <w:rFonts w:ascii="Times New Roman" w:cs="Times New Roman" w:eastAsia="Times New Roman" w:hAnsi="Times New Roman"/>
          <w:sz w:val="12"/>
          <w:szCs w:val="12"/>
          <w:b w:val="1"/>
          <w:bCs w:val="1"/>
          <w:color w:val="auto"/>
        </w:rPr>
        <w:t>Pantera</w:t>
      </w:r>
      <w:r>
        <w:rPr>
          <w:rFonts w:ascii="Times New Roman" w:cs="Times New Roman" w:eastAsia="Times New Roman" w:hAnsi="Times New Roman"/>
          <w:sz w:val="12"/>
          <w:szCs w:val="12"/>
          <w:color w:val="auto"/>
        </w:rPr>
        <w:t>”) and Summer Wisdom Holdings Limited, a BVI business company incorporated in British Virgin Island (“</w:t>
      </w:r>
      <w:r>
        <w:rPr>
          <w:rFonts w:ascii="Times New Roman" w:cs="Times New Roman" w:eastAsia="Times New Roman" w:hAnsi="Times New Roman"/>
          <w:sz w:val="12"/>
          <w:szCs w:val="12"/>
          <w:b w:val="1"/>
          <w:bCs w:val="1"/>
          <w:color w:val="auto"/>
        </w:rPr>
        <w:t>Summer</w:t>
      </w:r>
      <w:r>
        <w:rPr>
          <w:rFonts w:ascii="Times New Roman" w:cs="Times New Roman" w:eastAsia="Times New Roman" w:hAnsi="Times New Roman"/>
          <w:sz w:val="12"/>
          <w:szCs w:val="12"/>
          <w:color w:val="auto"/>
        </w:rPr>
        <w:t>” together with Pantera, the “</w:t>
      </w:r>
      <w:r>
        <w:rPr>
          <w:rFonts w:ascii="Times New Roman" w:cs="Times New Roman" w:eastAsia="Times New Roman" w:hAnsi="Times New Roman"/>
          <w:sz w:val="12"/>
          <w:szCs w:val="12"/>
          <w:b w:val="1"/>
          <w:bCs w:val="1"/>
          <w:color w:val="auto"/>
        </w:rPr>
        <w:t>Advisors</w:t>
      </w:r>
      <w:r>
        <w:rPr>
          <w:rFonts w:ascii="Times New Roman" w:cs="Times New Roman" w:eastAsia="Times New Roman" w:hAnsi="Times New Roman"/>
          <w:sz w:val="12"/>
          <w:szCs w:val="12"/>
          <w:color w:val="auto"/>
        </w:rPr>
        <w:t>”). The Customer and the Advisors are each a “</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and together the “</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RECITALS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Customer is a specialty finance company that desires to expand and diversify its business through integration of cryptocurrency and digital asset strategies in both its product offerings and as part of its treasury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management strategy;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each Advisor leading investment companies involved in the digital asset industry;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Customer intends to conduct an offering of securities of the Customer (the “</w:t>
      </w:r>
      <w:r>
        <w:rPr>
          <w:rFonts w:ascii="Times New Roman" w:cs="Times New Roman" w:eastAsia="Times New Roman" w:hAnsi="Times New Roman"/>
          <w:sz w:val="12"/>
          <w:szCs w:val="12"/>
          <w:b w:val="1"/>
          <w:bCs w:val="1"/>
          <w:color w:val="auto"/>
        </w:rPr>
        <w:t>Proposed Offering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each Advisor intend to participate in the Proposed Offering as a purchaser of the Customer’s securities; and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Customer intends to apply funds raised in future equity or similar fund raises towards its cryptocurrency and digital asset treasury management strategy.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mutual covenants and promises herein contained, the Parties agree as follows: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1. Engagement</w:t>
      </w:r>
    </w:p>
    <w:p>
      <w:pPr>
        <w:spacing w:after="0" w:line="154"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Scope</w:t>
      </w:r>
      <w:r>
        <w:rPr>
          <w:rFonts w:ascii="Times New Roman" w:cs="Times New Roman" w:eastAsia="Times New Roman" w:hAnsi="Times New Roman"/>
          <w:sz w:val="12"/>
          <w:szCs w:val="12"/>
          <w:color w:val="auto"/>
        </w:rPr>
        <w:t>. Each Advisor to provide strategic advisory services to Customer in connection with the expansion and diversification of the Customer’s core business through integration of cryptocurrency and digital asset strategies in its product offerings and as part of its treasury management strategy, and the related services described in Schedule A attached hereto (the “</w:t>
      </w:r>
      <w:r>
        <w:rPr>
          <w:rFonts w:ascii="Times New Roman" w:cs="Times New Roman" w:eastAsia="Times New Roman" w:hAnsi="Times New Roman"/>
          <w:sz w:val="12"/>
          <w:szCs w:val="12"/>
          <w:b w:val="1"/>
          <w:bCs w:val="1"/>
          <w:color w:val="auto"/>
        </w:rPr>
        <w:t>Services</w:t>
      </w:r>
      <w:r>
        <w:rPr>
          <w:rFonts w:ascii="Times New Roman" w:cs="Times New Roman" w:eastAsia="Times New Roman" w:hAnsi="Times New Roman"/>
          <w:sz w:val="12"/>
          <w:szCs w:val="12"/>
          <w:color w:val="auto"/>
        </w:rPr>
        <w:t>”). Each Advisor’s obligations are several and not joint. Each Advisor is solely responsible for its own Services and deliverables and is not responsible for, and has no duty to supervise or review, the other Advisor’s work. Neither Advisor is the agent of, or may bind, the other.</w:t>
      </w:r>
    </w:p>
    <w:p>
      <w:pPr>
        <w:spacing w:after="0" w:line="119" w:lineRule="exact"/>
        <w:rPr>
          <w:sz w:val="20"/>
          <w:szCs w:val="20"/>
          <w:color w:val="auto"/>
        </w:rPr>
      </w:pPr>
    </w:p>
    <w:p>
      <w:pPr>
        <w:jc w:val="both"/>
        <w:ind w:left="640" w:right="20"/>
        <w:spacing w:after="0" w:line="279"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Agents.</w:t>
      </w:r>
      <w:r>
        <w:rPr>
          <w:rFonts w:ascii="Times New Roman" w:cs="Times New Roman" w:eastAsia="Times New Roman" w:hAnsi="Times New Roman"/>
          <w:sz w:val="12"/>
          <w:szCs w:val="12"/>
          <w:color w:val="auto"/>
        </w:rPr>
        <w:t xml:space="preserve"> Each Advisor may retain for and on behalf of the Customer, and at the sole cost and expense of the Customer, such services of accountants, legal counsel, investment banks, other financial advisors, and such other persons as each Advisor deems necessary or advisable in connection with the provision of the Services.</w:t>
      </w:r>
    </w:p>
    <w:p>
      <w:pPr>
        <w:spacing w:after="0" w:line="111" w:lineRule="exact"/>
        <w:rPr>
          <w:sz w:val="20"/>
          <w:szCs w:val="20"/>
          <w:color w:val="auto"/>
        </w:rPr>
      </w:pPr>
    </w:p>
    <w:p>
      <w:pPr>
        <w:jc w:val="both"/>
        <w:ind w:left="640"/>
        <w:spacing w:after="0" w:line="279" w:lineRule="auto"/>
        <w:rPr>
          <w:sz w:val="20"/>
          <w:szCs w:val="20"/>
          <w:color w:val="auto"/>
        </w:rPr>
      </w:pPr>
      <w:r>
        <w:rPr>
          <w:rFonts w:ascii="Times New Roman" w:cs="Times New Roman" w:eastAsia="Times New Roman" w:hAnsi="Times New Roman"/>
          <w:sz w:val="12"/>
          <w:szCs w:val="12"/>
          <w:color w:val="auto"/>
        </w:rPr>
        <w:t xml:space="preserve">1.3. </w:t>
      </w:r>
      <w:r>
        <w:rPr>
          <w:rFonts w:ascii="Times New Roman" w:cs="Times New Roman" w:eastAsia="Times New Roman" w:hAnsi="Times New Roman"/>
          <w:sz w:val="12"/>
          <w:szCs w:val="12"/>
          <w:u w:val="single" w:color="auto"/>
          <w:color w:val="auto"/>
        </w:rPr>
        <w:t>Independent Contractor</w:t>
      </w:r>
      <w:r>
        <w:rPr>
          <w:rFonts w:ascii="Times New Roman" w:cs="Times New Roman" w:eastAsia="Times New Roman" w:hAnsi="Times New Roman"/>
          <w:sz w:val="12"/>
          <w:szCs w:val="12"/>
          <w:color w:val="auto"/>
        </w:rPr>
        <w:t>. Each Advisor shall perform the Services as independent contractors and not as employees, agents, or partners of the Customer. Nothing in this Agreement shall be construed to create a joint venture, partnership, or agency relationship between the Parties.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2. Term and Termination</w:t>
      </w:r>
    </w:p>
    <w:p>
      <w:pPr>
        <w:spacing w:after="0" w:line="150" w:lineRule="exact"/>
        <w:rPr>
          <w:sz w:val="20"/>
          <w:szCs w:val="20"/>
          <w:color w:val="auto"/>
        </w:rPr>
      </w:pPr>
    </w:p>
    <w:p>
      <w:pPr>
        <w:jc w:val="both"/>
        <w:ind w:left="640"/>
        <w:spacing w:after="0" w:line="286" w:lineRule="auto"/>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u w:val="single" w:color="auto"/>
          <w:color w:val="auto"/>
        </w:rPr>
        <w:t>Term</w:t>
      </w:r>
      <w:r>
        <w:rPr>
          <w:rFonts w:ascii="Times New Roman" w:cs="Times New Roman" w:eastAsia="Times New Roman" w:hAnsi="Times New Roman"/>
          <w:sz w:val="12"/>
          <w:szCs w:val="12"/>
          <w:color w:val="auto"/>
        </w:rPr>
        <w:t>. This Agreement shall commence on the Effective Date and shall continue for an initial period of 2 years, unless earlier terminated in accordance with this Section 2 (the “</w:t>
      </w:r>
      <w:r>
        <w:rPr>
          <w:rFonts w:ascii="Times New Roman" w:cs="Times New Roman" w:eastAsia="Times New Roman" w:hAnsi="Times New Roman"/>
          <w:sz w:val="12"/>
          <w:szCs w:val="12"/>
          <w:b w:val="1"/>
          <w:bCs w:val="1"/>
          <w:color w:val="auto"/>
        </w:rPr>
        <w:t>Term</w:t>
      </w:r>
      <w:r>
        <w:rPr>
          <w:rFonts w:ascii="Times New Roman" w:cs="Times New Roman" w:eastAsia="Times New Roman" w:hAnsi="Times New Roman"/>
          <w:sz w:val="12"/>
          <w:szCs w:val="12"/>
          <w:color w:val="auto"/>
        </w:rPr>
        <w:t>”). Upon expiration of the initial 2-year period, the Term shall automatically renew for an additional 1-year period.</w:t>
      </w:r>
    </w:p>
    <w:p>
      <w:pPr>
        <w:spacing w:after="0" w:line="107"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u w:val="single" w:color="auto"/>
          <w:color w:val="auto"/>
        </w:rPr>
        <w:t>Termination for Cause</w:t>
      </w:r>
      <w:r>
        <w:rPr>
          <w:rFonts w:ascii="Times New Roman" w:cs="Times New Roman" w:eastAsia="Times New Roman" w:hAnsi="Times New Roman"/>
          <w:sz w:val="12"/>
          <w:szCs w:val="12"/>
          <w:color w:val="auto"/>
        </w:rPr>
        <w:t>. Either Party may terminate this Agreement immediately upon written notice if the other Party materially breaches a material provision of this Agreement and fails to cure such breach within thirty (30) days after receiving written notice of the breach. Notwithstanding anything to the contrary in this Agreement, the Customer agrees and confirms that this Agreement may not be terminated pursuant to this Section 2.2 due to the poor performance or underperformance of any assets held by the Customer or its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52" w:name="page153"/>
    <w:bookmarkEnd w:id="152"/>
    <w:p>
      <w:pPr>
        <w:jc w:val="both"/>
        <w:ind w:left="220"/>
        <w:spacing w:after="0" w:line="260" w:lineRule="auto"/>
        <w:rPr>
          <w:sz w:val="20"/>
          <w:szCs w:val="20"/>
          <w:color w:val="auto"/>
        </w:rPr>
      </w:pPr>
      <w:r>
        <w:rPr>
          <w:rFonts w:ascii="Times New Roman" w:cs="Times New Roman" w:eastAsia="Times New Roman" w:hAnsi="Times New Roman"/>
          <w:sz w:val="12"/>
          <w:szCs w:val="12"/>
          <w:color w:val="auto"/>
        </w:rPr>
        <w:t xml:space="preserve">2.3. </w:t>
      </w:r>
      <w:r>
        <w:rPr>
          <w:rFonts w:ascii="Times New Roman" w:cs="Times New Roman" w:eastAsia="Times New Roman" w:hAnsi="Times New Roman"/>
          <w:sz w:val="12"/>
          <w:szCs w:val="12"/>
          <w:u w:val="single" w:color="auto"/>
          <w:color w:val="auto"/>
        </w:rPr>
        <w:t>Effect of Termination</w:t>
      </w:r>
      <w:r>
        <w:rPr>
          <w:rFonts w:ascii="Times New Roman" w:cs="Times New Roman" w:eastAsia="Times New Roman" w:hAnsi="Times New Roman"/>
          <w:sz w:val="12"/>
          <w:szCs w:val="12"/>
          <w:color w:val="auto"/>
        </w:rPr>
        <w:t xml:space="preserve">. Upon termination of this Agreement by the Customer for cause or termination by the Advisors other than for cause, the Advisors shall cease providing the Services on the effective date of such termination, and the Customer shall pay the Advisors any fees that would be due and payable under this Agreement to the Advisors to the effective date of such termination,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upon termination of this Agreement by the Customer for any other reason or termination by the Advisors for cause, the Advisors shall cease providing the Services as of the effective date of such termination, and the Customer shall pay the Advisors any fees that would be due and payable under this Agreement for the remainder of the Term as if the Agreement had not been terminated.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Compensation and Rights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u w:val="single" w:color="auto"/>
          <w:color w:val="auto"/>
        </w:rPr>
        <w:t>Compensation</w:t>
      </w:r>
      <w:r>
        <w:rPr>
          <w:rFonts w:ascii="Times New Roman" w:cs="Times New Roman" w:eastAsia="Times New Roman" w:hAnsi="Times New Roman"/>
          <w:sz w:val="12"/>
          <w:szCs w:val="12"/>
          <w:color w:val="auto"/>
        </w:rPr>
        <w:t>. The Customer shall, during the Term, pay each Advisors the compensation set forth in Schedule B attached hereto (the “</w:t>
      </w:r>
      <w:r>
        <w:rPr>
          <w:rFonts w:ascii="Times New Roman" w:cs="Times New Roman" w:eastAsia="Times New Roman" w:hAnsi="Times New Roman"/>
          <w:sz w:val="12"/>
          <w:szCs w:val="12"/>
          <w:b w:val="1"/>
          <w:bCs w:val="1"/>
          <w:color w:val="auto"/>
        </w:rPr>
        <w:t>Compensation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220"/>
        <w:spacing w:after="0" w:line="256" w:lineRule="auto"/>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Reimbursement</w:t>
      </w:r>
      <w:r>
        <w:rPr>
          <w:rFonts w:ascii="Times New Roman" w:cs="Times New Roman" w:eastAsia="Times New Roman" w:hAnsi="Times New Roman"/>
          <w:sz w:val="12"/>
          <w:szCs w:val="12"/>
          <w:color w:val="auto"/>
        </w:rPr>
        <w:t>. The Customer shall reimburse each Advisors for reasonable and documented out of pocket fees, costs and expenses (including the reasonable and documented expenses of each Advisor’s advisors and representatives) incurred (i) in connection with pursuing or consummating the Proposed Offering, upon completion of the Proposed Offering using proceeds therefrom; and (ii) in connection with the provision of the Services, upon presentation of relevant documentation. The Advisors shall provide periodic invoices to the Customer related to such fees, costs and expenses, and the Customer shall pay all such amounts within ten</w:t>
      </w:r>
    </w:p>
    <w:p>
      <w:pPr>
        <w:spacing w:after="0" w:line="1" w:lineRule="exact"/>
        <w:rPr>
          <w:sz w:val="20"/>
          <w:szCs w:val="20"/>
          <w:color w:val="auto"/>
        </w:rPr>
      </w:pPr>
    </w:p>
    <w:p>
      <w:pPr>
        <w:ind w:left="220" w:right="740"/>
        <w:spacing w:after="0" w:line="487" w:lineRule="auto"/>
        <w:tabs>
          <w:tab w:leader="none" w:pos="45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days of its receipt of such invoice. The provisions of this Section 3.2 shall survive the termination of this Agreement to the extent such expenses were incurred prior to the termination of this Agreement. 3.3. </w:t>
      </w:r>
      <w:r>
        <w:rPr>
          <w:rFonts w:ascii="Times New Roman" w:cs="Times New Roman" w:eastAsia="Times New Roman" w:hAnsi="Times New Roman"/>
          <w:sz w:val="12"/>
          <w:szCs w:val="12"/>
          <w:u w:val="single" w:color="auto"/>
          <w:color w:val="auto"/>
        </w:rPr>
        <w:t>Rights of the Advisors.</w:t>
      </w:r>
    </w:p>
    <w:p>
      <w:pPr>
        <w:spacing w:after="0" w:line="1" w:lineRule="exact"/>
        <w:rPr>
          <w:sz w:val="20"/>
          <w:szCs w:val="20"/>
          <w:color w:val="auto"/>
        </w:rPr>
      </w:pPr>
    </w:p>
    <w:p>
      <w:pPr>
        <w:jc w:val="both"/>
        <w:ind w:left="440" w:hanging="4"/>
        <w:spacing w:after="0" w:line="268" w:lineRule="auto"/>
        <w:tabs>
          <w:tab w:leader="none" w:pos="603"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Customer undertakes in favor of each Advisor that, in respect of any decision by the Customer or the board of directors of the Customer (“</w:t>
      </w:r>
      <w:r>
        <w:rPr>
          <w:rFonts w:ascii="Times New Roman" w:cs="Times New Roman" w:eastAsia="Times New Roman" w:hAnsi="Times New Roman"/>
          <w:sz w:val="12"/>
          <w:szCs w:val="12"/>
          <w:b w:val="1"/>
          <w:bCs w:val="1"/>
          <w:color w:val="auto"/>
        </w:rPr>
        <w:t>Board of Directors</w:t>
      </w:r>
      <w:r>
        <w:rPr>
          <w:rFonts w:ascii="Times New Roman" w:cs="Times New Roman" w:eastAsia="Times New Roman" w:hAnsi="Times New Roman"/>
          <w:sz w:val="12"/>
          <w:szCs w:val="12"/>
          <w:color w:val="auto"/>
        </w:rPr>
        <w:t>”) during the Term regarding the compensation of the members of the Board of Directors (or any of them), including without limitation, the awarding or issuance of warrants or shares (or other securities of the Customer) or other incentive awards, to any member of the Board of Directors no such decision or action shall be effective nor taken without the prior written consent of the Advisors.</w:t>
      </w:r>
    </w:p>
    <w:p>
      <w:pPr>
        <w:spacing w:after="0" w:line="118"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Notwithstanding the foregoing, nothing in this section shall constrain the Board of Directors from exercising their fiduciary duties with respect to the Customer. The foregoing rights of the Advisors are subject to compliance with applicable securities laws, rules and requirements and any applicable requirements of a securities exchange on which the Customer’s equity securities are listed.</w:t>
      </w:r>
    </w:p>
    <w:p>
      <w:pPr>
        <w:spacing w:after="0" w:line="111" w:lineRule="exact"/>
        <w:rPr>
          <w:sz w:val="20"/>
          <w:szCs w:val="20"/>
          <w:color w:val="auto"/>
        </w:rPr>
      </w:pPr>
    </w:p>
    <w:p>
      <w:pPr>
        <w:ind w:left="600" w:hanging="164"/>
        <w:spacing w:after="0"/>
        <w:tabs>
          <w:tab w:leader="none" w:pos="60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Customer undertakes in favor of each Advisor that, in respect of the following actions during the Term:</w:t>
      </w:r>
    </w:p>
    <w:p>
      <w:pPr>
        <w:spacing w:after="0" w:line="150" w:lineRule="exact"/>
        <w:rPr>
          <w:rFonts w:ascii="Times New Roman" w:cs="Times New Roman" w:eastAsia="Times New Roman" w:hAnsi="Times New Roman"/>
          <w:sz w:val="12"/>
          <w:szCs w:val="12"/>
          <w:color w:val="auto"/>
        </w:rPr>
      </w:pPr>
    </w:p>
    <w:p>
      <w:pPr>
        <w:ind w:left="960" w:hanging="92"/>
        <w:spacing w:after="0"/>
        <w:tabs>
          <w:tab w:leader="none" w:pos="960"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appointment or removal of the chief executive officer (CEO) of the Customer; and</w:t>
      </w:r>
    </w:p>
    <w:p>
      <w:pPr>
        <w:spacing w:after="0" w:line="150" w:lineRule="exact"/>
        <w:rPr>
          <w:rFonts w:ascii="Times New Roman" w:cs="Times New Roman" w:eastAsia="Times New Roman" w:hAnsi="Times New Roman"/>
          <w:sz w:val="12"/>
          <w:szCs w:val="12"/>
          <w:color w:val="auto"/>
        </w:rPr>
      </w:pPr>
    </w:p>
    <w:p>
      <w:pPr>
        <w:ind w:left="1000" w:hanging="132"/>
        <w:spacing w:after="0"/>
        <w:tabs>
          <w:tab w:leader="none" w:pos="1000"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appointment or removal of the chief financial officer (CFO) of the Customer;</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no such decision or action shall be effective nor taken without consultation with each Advisor.</w:t>
      </w:r>
    </w:p>
    <w:p>
      <w:pPr>
        <w:spacing w:after="0" w:line="150"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Notwithstanding the foregoing, nothing in this section shall constrain the Board of Directors from exercising their fiduciary duties with respect to the Customer. The foregoing rights of the Advisors are subject to compliance with applicable securities laws, rules and requirements and any applicable requirements of a securities exchange on which the Customer’s equity securities are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271780</wp:posOffset>
            </wp:positionV>
            <wp:extent cx="71780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53" w:name="page154"/>
    <w:bookmarkEnd w:id="153"/>
    <w:p>
      <w:pPr>
        <w:jc w:val="both"/>
        <w:ind w:left="220" w:right="20"/>
        <w:spacing w:after="0" w:line="265" w:lineRule="auto"/>
        <w:rPr>
          <w:sz w:val="20"/>
          <w:szCs w:val="20"/>
          <w:color w:val="auto"/>
        </w:rPr>
      </w:pPr>
      <w:r>
        <w:rPr>
          <w:rFonts w:ascii="Times New Roman" w:cs="Times New Roman" w:eastAsia="Times New Roman" w:hAnsi="Times New Roman"/>
          <w:sz w:val="12"/>
          <w:szCs w:val="12"/>
          <w:color w:val="auto"/>
        </w:rPr>
        <w:t xml:space="preserve">3.4. </w:t>
      </w:r>
      <w:r>
        <w:rPr>
          <w:rFonts w:ascii="Times New Roman" w:cs="Times New Roman" w:eastAsia="Times New Roman" w:hAnsi="Times New Roman"/>
          <w:sz w:val="12"/>
          <w:szCs w:val="12"/>
          <w:u w:val="single" w:color="auto"/>
          <w:color w:val="auto"/>
        </w:rPr>
        <w:t>Change of Customer Name</w:t>
      </w:r>
      <w:r>
        <w:rPr>
          <w:rFonts w:ascii="Times New Roman" w:cs="Times New Roman" w:eastAsia="Times New Roman" w:hAnsi="Times New Roman"/>
          <w:sz w:val="12"/>
          <w:szCs w:val="12"/>
          <w:color w:val="auto"/>
        </w:rPr>
        <w:t>. Upon the written request of any Advisor, the Customer shall take all necessary actions to promptly change its corporate name and, if required, its trading ticker symbol to such name and ticker symbol as specified by the requesting Advisor, subject to compliance with applicable securities laws and the requirements of the securities exchange on which the Customer’s equity securities are then listed. Subject to law and listing rules, the Customer will use commercially reasonable efforts to effect any requested name and ticker change within 90 days of request.</w:t>
      </w:r>
    </w:p>
    <w:p>
      <w:pPr>
        <w:spacing w:after="0" w:line="119" w:lineRule="exact"/>
        <w:rPr>
          <w:sz w:val="20"/>
          <w:szCs w:val="20"/>
          <w:color w:val="auto"/>
        </w:rPr>
      </w:pPr>
    </w:p>
    <w:p>
      <w:pPr>
        <w:jc w:val="both"/>
        <w:ind w:left="220"/>
        <w:spacing w:after="0" w:line="256" w:lineRule="auto"/>
        <w:rPr>
          <w:sz w:val="20"/>
          <w:szCs w:val="20"/>
          <w:color w:val="auto"/>
        </w:rPr>
      </w:pPr>
      <w:r>
        <w:rPr>
          <w:rFonts w:ascii="Times New Roman" w:cs="Times New Roman" w:eastAsia="Times New Roman" w:hAnsi="Times New Roman"/>
          <w:sz w:val="12"/>
          <w:szCs w:val="12"/>
          <w:color w:val="auto"/>
        </w:rPr>
        <w:t xml:space="preserve">3.5. </w:t>
      </w:r>
      <w:r>
        <w:rPr>
          <w:rFonts w:ascii="Times New Roman" w:cs="Times New Roman" w:eastAsia="Times New Roman" w:hAnsi="Times New Roman"/>
          <w:sz w:val="12"/>
          <w:szCs w:val="12"/>
          <w:u w:val="single" w:color="auto"/>
          <w:color w:val="auto"/>
        </w:rPr>
        <w:t>Shareholder Meeting</w:t>
      </w:r>
      <w:r>
        <w:rPr>
          <w:rFonts w:ascii="Times New Roman" w:cs="Times New Roman" w:eastAsia="Times New Roman" w:hAnsi="Times New Roman"/>
          <w:sz w:val="12"/>
          <w:szCs w:val="12"/>
          <w:color w:val="auto"/>
        </w:rPr>
        <w:t>. The Customer agrees that, upon the written request of any Advisor, the Customer shall, as promptly as reasonably practicable and in accordance with applicable law and the rules of any exchange on which the Customer’s securities are listed, file with the U.S. Securities and Exchange Commission and distribute to its shareholders a proxy statement soliciting votes with respect to the replacement or election of the members of the Board of Directors (the “</w:t>
      </w:r>
      <w:r>
        <w:rPr>
          <w:rFonts w:ascii="Times New Roman" w:cs="Times New Roman" w:eastAsia="Times New Roman" w:hAnsi="Times New Roman"/>
          <w:sz w:val="12"/>
          <w:szCs w:val="12"/>
          <w:b w:val="1"/>
          <w:bCs w:val="1"/>
          <w:color w:val="auto"/>
        </w:rPr>
        <w:t>Director Slate</w:t>
      </w:r>
      <w:r>
        <w:rPr>
          <w:rFonts w:ascii="Times New Roman" w:cs="Times New Roman" w:eastAsia="Times New Roman" w:hAnsi="Times New Roman"/>
          <w:sz w:val="12"/>
          <w:szCs w:val="12"/>
          <w:color w:val="auto"/>
        </w:rPr>
        <w:t>”) at a meeting of shareholders duly called for such purpose and that such proxy statement shall include a statement, to be prepared in consultation with the requesting Advisor, from the Customer explaining its recommendation and the rationale for supporting the Director Slate, and shall otherwise cooperate in good faith with the requesting Advisor to facilitate such shareholder vote. Notwithstanding the foregoing, the Customer shall have no obligation to file or distribute any additional proxy statements under this Section if a valid request has been received and acted upon within the prior six (6) months, measured from the date the Customer receives such written request from the requesting Advisor.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Confidentiality</w:t>
      </w:r>
    </w:p>
    <w:p>
      <w:pPr>
        <w:spacing w:after="0" w:line="150" w:lineRule="exact"/>
        <w:rPr>
          <w:sz w:val="20"/>
          <w:szCs w:val="20"/>
          <w:color w:val="auto"/>
        </w:rPr>
      </w:pPr>
    </w:p>
    <w:p>
      <w:pPr>
        <w:jc w:val="both"/>
        <w:ind w:left="220"/>
        <w:spacing w:after="0" w:line="268" w:lineRule="auto"/>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12"/>
          <w:szCs w:val="12"/>
          <w:u w:val="single" w:color="auto"/>
          <w:color w:val="auto"/>
        </w:rPr>
        <w:t>Confidential Information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Confidential Information</w:t>
      </w:r>
      <w:r>
        <w:rPr>
          <w:rFonts w:ascii="Times New Roman" w:cs="Times New Roman" w:eastAsia="Times New Roman" w:hAnsi="Times New Roman"/>
          <w:sz w:val="12"/>
          <w:szCs w:val="12"/>
          <w:color w:val="auto"/>
        </w:rPr>
        <w:t>” means non-public information regarding the disclosing Party’s business affairs, products, services, confidential intellectual property, trade secrets, third-party confidential information and other sensitive or proprietary information, whether orally or in visual, written, electronic, or other form or media, and whether or not marked, designated, or otherwise identified as “confidential.”</w:t>
      </w:r>
    </w:p>
    <w:p>
      <w:pPr>
        <w:spacing w:after="0" w:line="118" w:lineRule="exact"/>
        <w:rPr>
          <w:sz w:val="20"/>
          <w:szCs w:val="20"/>
          <w:color w:val="auto"/>
        </w:rPr>
      </w:pPr>
    </w:p>
    <w:p>
      <w:pPr>
        <w:jc w:val="both"/>
        <w:ind w:left="220"/>
        <w:spacing w:after="0" w:line="260" w:lineRule="auto"/>
        <w:rPr>
          <w:sz w:val="20"/>
          <w:szCs w:val="20"/>
          <w:color w:val="auto"/>
        </w:rPr>
      </w:pPr>
      <w:r>
        <w:rPr>
          <w:rFonts w:ascii="Times New Roman" w:cs="Times New Roman" w:eastAsia="Times New Roman" w:hAnsi="Times New Roman"/>
          <w:sz w:val="12"/>
          <w:szCs w:val="12"/>
          <w:color w:val="auto"/>
        </w:rPr>
        <w:t xml:space="preserve">4.2. </w:t>
      </w:r>
      <w:r>
        <w:rPr>
          <w:rFonts w:ascii="Times New Roman" w:cs="Times New Roman" w:eastAsia="Times New Roman" w:hAnsi="Times New Roman"/>
          <w:sz w:val="12"/>
          <w:szCs w:val="12"/>
          <w:u w:val="single" w:color="auto"/>
          <w:color w:val="auto"/>
        </w:rPr>
        <w:t>Exclusions</w:t>
      </w:r>
      <w:r>
        <w:rPr>
          <w:rFonts w:ascii="Times New Roman" w:cs="Times New Roman" w:eastAsia="Times New Roman" w:hAnsi="Times New Roman"/>
          <w:sz w:val="12"/>
          <w:szCs w:val="12"/>
          <w:color w:val="auto"/>
        </w:rPr>
        <w:t>. Confidential Information does not include information that: (a) is or becomes publicly available without breach of this Agreement; (b) was known to the receiving Party prior to disclosure; (c) is independently developed by the receiving Party without use of or reference to the disclosing Party’s Confidential Information; or (d) is disclosed pursuant to legal or regulatory requirements, provided, however in the case of clause (d), the disclosing Party shall disclose no more than that portion of the Confidential Information which, on the advice of the receiving Party’s legal counsel, such legal or regulatory requirement specifically requires the receiving Party to disclose.</w:t>
      </w:r>
    </w:p>
    <w:p>
      <w:pPr>
        <w:spacing w:after="0" w:line="122" w:lineRule="exact"/>
        <w:rPr>
          <w:sz w:val="20"/>
          <w:szCs w:val="20"/>
          <w:color w:val="auto"/>
        </w:rPr>
      </w:pPr>
    </w:p>
    <w:p>
      <w:pPr>
        <w:jc w:val="both"/>
        <w:ind w:left="220"/>
        <w:spacing w:after="0" w:line="256"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u w:val="single" w:color="auto"/>
          <w:color w:val="auto"/>
        </w:rPr>
        <w:t>Treatment of Confidential Information</w:t>
      </w:r>
      <w:r>
        <w:rPr>
          <w:rFonts w:ascii="Times New Roman" w:cs="Times New Roman" w:eastAsia="Times New Roman" w:hAnsi="Times New Roman"/>
          <w:sz w:val="12"/>
          <w:szCs w:val="12"/>
          <w:color w:val="auto"/>
        </w:rPr>
        <w:t>. Each Party shall: (a) protect and safeguard the confidentiality of the disclosing Party’s Confidential Information with at least the same degree of care as the receiving Party would protect its own Confidential Information, but in no event with less than a commercially reasonable degree of care; (b) not use the disclosing Party’s Confidential Information, or permit it to be accessed or used, for any purpose other than to perform its obligations under this Agreement; and (c) not disclose any such Confidential Information to any person or entity, except to the receiving Party’s representatives who need to know the Confidential Information to assist the recipient, or act on its behalf, to exercise its rights or perform its obligations under this Agreement. The recipient shall be responsible for any breach of this Section 4.3 caused by any of its representatives. On the expiration or termination of the Agreement, the receiving Party and its representatives shall promptly return to the disclosing Party all copies, whether in written, electronic or other form or media, of the disclosing Party’s Confidential Information, or destroy all such copies and certify in writing to the disclosing Party that such Confidential Information has been destroyed.</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 xml:space="preserve">4.4. </w:t>
      </w:r>
      <w:r>
        <w:rPr>
          <w:rFonts w:ascii="Times New Roman" w:cs="Times New Roman" w:eastAsia="Times New Roman" w:hAnsi="Times New Roman"/>
          <w:sz w:val="12"/>
          <w:szCs w:val="12"/>
          <w:u w:val="single" w:color="auto"/>
          <w:color w:val="auto"/>
        </w:rPr>
        <w:t>Survival</w:t>
      </w:r>
      <w:r>
        <w:rPr>
          <w:rFonts w:ascii="Times New Roman" w:cs="Times New Roman" w:eastAsia="Times New Roman" w:hAnsi="Times New Roman"/>
          <w:sz w:val="12"/>
          <w:szCs w:val="12"/>
          <w:color w:val="auto"/>
        </w:rPr>
        <w:t>. The obligations under this Section 4 shall survive the termination or expiration of this Agreement for a period of two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296545</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2"/>
          <w:szCs w:val="12"/>
          <w:b w:val="1"/>
          <w:bCs w:val="1"/>
          <w:color w:val="auto"/>
        </w:rPr>
        <w:t>5. Limitation of Liability</w:t>
      </w:r>
    </w:p>
    <w:p>
      <w:pPr>
        <w:spacing w:after="0" w:line="154" w:lineRule="exact"/>
        <w:rPr>
          <w:sz w:val="20"/>
          <w:szCs w:val="20"/>
          <w:color w:val="auto"/>
        </w:rPr>
      </w:pPr>
    </w:p>
    <w:p>
      <w:pPr>
        <w:jc w:val="both"/>
        <w:ind w:left="220"/>
        <w:spacing w:after="0" w:line="279" w:lineRule="auto"/>
        <w:rPr>
          <w:sz w:val="20"/>
          <w:szCs w:val="20"/>
          <w:color w:val="auto"/>
        </w:rPr>
      </w:pPr>
      <w:r>
        <w:rPr>
          <w:rFonts w:ascii="Times New Roman" w:cs="Times New Roman" w:eastAsia="Times New Roman" w:hAnsi="Times New Roman"/>
          <w:sz w:val="12"/>
          <w:szCs w:val="12"/>
          <w:color w:val="auto"/>
        </w:rPr>
        <w:t>5.1 .</w:t>
      </w:r>
      <w:r>
        <w:rPr>
          <w:rFonts w:ascii="Times New Roman" w:cs="Times New Roman" w:eastAsia="Times New Roman" w:hAnsi="Times New Roman"/>
          <w:sz w:val="12"/>
          <w:szCs w:val="12"/>
          <w:u w:val="single" w:color="auto"/>
          <w:color w:val="auto"/>
        </w:rPr>
        <w:t>Liability Cap</w:t>
      </w:r>
      <w:r>
        <w:rPr>
          <w:rFonts w:ascii="Times New Roman" w:cs="Times New Roman" w:eastAsia="Times New Roman" w:hAnsi="Times New Roman"/>
          <w:sz w:val="12"/>
          <w:szCs w:val="12"/>
          <w:color w:val="auto"/>
        </w:rPr>
        <w:t>. Each Party’s total liability under this Agreement, whether in contract, tort, or otherwise, except with respect to any Compensation due to each Advisor pursuant to Schedule B of this Agreement, shall be limited to the total compensation paid under this Agreement; provided, however, any liability resulting from the fraud, gross negligence or willful misconduct of a Party shall not be limited.</w:t>
      </w:r>
    </w:p>
    <w:p>
      <w:pPr>
        <w:spacing w:after="0" w:line="111" w:lineRule="exact"/>
        <w:rPr>
          <w:sz w:val="20"/>
          <w:szCs w:val="20"/>
          <w:color w:val="auto"/>
        </w:rPr>
      </w:pPr>
    </w:p>
    <w:p>
      <w:pPr>
        <w:jc w:val="both"/>
        <w:ind w:left="220"/>
        <w:spacing w:after="0" w:line="279" w:lineRule="auto"/>
        <w:rPr>
          <w:sz w:val="20"/>
          <w:szCs w:val="20"/>
          <w:color w:val="auto"/>
        </w:rPr>
      </w:pP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12"/>
          <w:szCs w:val="12"/>
          <w:u w:val="single" w:color="auto"/>
          <w:color w:val="auto"/>
        </w:rPr>
        <w:t>Exclusion of Consequential Damages</w:t>
      </w:r>
      <w:r>
        <w:rPr>
          <w:rFonts w:ascii="Times New Roman" w:cs="Times New Roman" w:eastAsia="Times New Roman" w:hAnsi="Times New Roman"/>
          <w:sz w:val="12"/>
          <w:szCs w:val="12"/>
          <w:color w:val="auto"/>
        </w:rPr>
        <w:t>. Neither Party shall be liable to the other Party for any indirect, incidental, consequential, special, or punitive damages, including loss of profits or revenue, arising out of or related to this Agreement, even if advised of the possibility of such damages.</w:t>
      </w:r>
    </w:p>
    <w:p>
      <w:pPr>
        <w:spacing w:after="0" w:line="107" w:lineRule="exact"/>
        <w:rPr>
          <w:sz w:val="20"/>
          <w:szCs w:val="20"/>
          <w:color w:val="auto"/>
        </w:rPr>
      </w:pPr>
    </w:p>
    <w:p>
      <w:pPr>
        <w:jc w:val="both"/>
        <w:ind w:left="220"/>
        <w:spacing w:after="0" w:line="256" w:lineRule="auto"/>
        <w:rPr>
          <w:sz w:val="20"/>
          <w:szCs w:val="20"/>
          <w:color w:val="auto"/>
        </w:rPr>
      </w:pP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12"/>
          <w:szCs w:val="12"/>
          <w:u w:val="single" w:color="auto"/>
          <w:color w:val="auto"/>
        </w:rPr>
        <w:t>Indemnification</w:t>
      </w:r>
      <w:r>
        <w:rPr>
          <w:rFonts w:ascii="Times New Roman" w:cs="Times New Roman" w:eastAsia="Times New Roman" w:hAnsi="Times New Roman"/>
          <w:sz w:val="12"/>
          <w:szCs w:val="12"/>
          <w:color w:val="auto"/>
        </w:rPr>
        <w:t>. The Advisors and their affiliates (including their respective officers, directors, agents, shareholders, partners, members and employees), and any person designated by Advisors (each an “</w:t>
      </w:r>
      <w:r>
        <w:rPr>
          <w:rFonts w:ascii="Times New Roman" w:cs="Times New Roman" w:eastAsia="Times New Roman" w:hAnsi="Times New Roman"/>
          <w:sz w:val="12"/>
          <w:szCs w:val="12"/>
          <w:b w:val="1"/>
          <w:bCs w:val="1"/>
          <w:color w:val="auto"/>
        </w:rPr>
        <w:t>Indemnified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shall not be liable to the Customer for any losses, claims, damages, liabilities, costs or expenses (including legal fees or expenses), judgments, fines, penalties, interest, settlements or other amounts arising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and all claims, demands, actions, suits or proceedings, incurred by such Indemnified Person or threatened in connection with the Customer’s business, investments and activities (together “</w:t>
      </w:r>
      <w:r>
        <w:rPr>
          <w:rFonts w:ascii="Times New Roman" w:cs="Times New Roman" w:eastAsia="Times New Roman" w:hAnsi="Times New Roman"/>
          <w:sz w:val="12"/>
          <w:szCs w:val="12"/>
          <w:b w:val="1"/>
          <w:bCs w:val="1"/>
          <w:color w:val="auto"/>
        </w:rPr>
        <w:t>Losses</w:t>
      </w:r>
      <w:r>
        <w:rPr>
          <w:rFonts w:ascii="Times New Roman" w:cs="Times New Roman" w:eastAsia="Times New Roman" w:hAnsi="Times New Roman"/>
          <w:sz w:val="12"/>
          <w:szCs w:val="12"/>
          <w:color w:val="auto"/>
        </w:rPr>
        <w:t>”), except to the extent that such Losses are determined finally by a court of competent jurisdiction to have resulted from the willful misconduct or gross negligence of such Indemnified Person or as otherwise required by law. Each Indemnified Person shall be indemnified to the fullest extent permitted by law by the Customer against any Losses; provided, however, that the Indemnified Person shall not be so indemnified to the extent such Losses shall have been finally determined by a court of competent jurisdiction to have been incurred or suffered by the Indemnified Person by reason of willful misconduct or gross negligence by the Indemnified Person. Each Indemnified Person shall be deemed a third-party beneficiary (to the extent not a direct Party hereto) of this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Representations and Warranties</w:t>
      </w:r>
    </w:p>
    <w:p>
      <w:pPr>
        <w:spacing w:after="0" w:line="154" w:lineRule="exact"/>
        <w:rPr>
          <w:sz w:val="20"/>
          <w:szCs w:val="20"/>
          <w:color w:val="auto"/>
        </w:rPr>
      </w:pPr>
    </w:p>
    <w:p>
      <w:pPr>
        <w:jc w:val="both"/>
        <w:ind w:left="220"/>
        <w:spacing w:after="0" w:line="279" w:lineRule="auto"/>
        <w:rPr>
          <w:sz w:val="20"/>
          <w:szCs w:val="20"/>
          <w:color w:val="auto"/>
        </w:rPr>
      </w:pPr>
      <w:r>
        <w:rPr>
          <w:rFonts w:ascii="Times New Roman" w:cs="Times New Roman" w:eastAsia="Times New Roman" w:hAnsi="Times New Roman"/>
          <w:sz w:val="12"/>
          <w:szCs w:val="12"/>
          <w:color w:val="auto"/>
        </w:rPr>
        <w:t xml:space="preserve">6.1. </w:t>
      </w:r>
      <w:r>
        <w:rPr>
          <w:rFonts w:ascii="Times New Roman" w:cs="Times New Roman" w:eastAsia="Times New Roman" w:hAnsi="Times New Roman"/>
          <w:sz w:val="12"/>
          <w:szCs w:val="12"/>
          <w:u w:val="single" w:color="auto"/>
          <w:color w:val="auto"/>
        </w:rPr>
        <w:t>Mutual Representations</w:t>
      </w:r>
      <w:r>
        <w:rPr>
          <w:rFonts w:ascii="Times New Roman" w:cs="Times New Roman" w:eastAsia="Times New Roman" w:hAnsi="Times New Roman"/>
          <w:sz w:val="12"/>
          <w:szCs w:val="12"/>
          <w:color w:val="auto"/>
        </w:rPr>
        <w:t>. Each Party represents and warrants to each other that: (a) it has the full right, power, and authority to enter into and perform its obligations under this Agreement; and (b) its performance under this Agreement will not violate any applicable laws or regulations.</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 xml:space="preserve">6.2. </w:t>
      </w:r>
      <w:r>
        <w:rPr>
          <w:rFonts w:ascii="Times New Roman" w:cs="Times New Roman" w:eastAsia="Times New Roman" w:hAnsi="Times New Roman"/>
          <w:sz w:val="12"/>
          <w:szCs w:val="12"/>
          <w:u w:val="single" w:color="auto"/>
          <w:color w:val="auto"/>
        </w:rPr>
        <w:t>Disclaimer</w:t>
      </w:r>
      <w:r>
        <w:rPr>
          <w:rFonts w:ascii="Times New Roman" w:cs="Times New Roman" w:eastAsia="Times New Roman" w:hAnsi="Times New Roman"/>
          <w:sz w:val="12"/>
          <w:szCs w:val="12"/>
          <w:color w:val="auto"/>
        </w:rPr>
        <w:t>. Except as expressly set forth in this Agreement, each Advisor makes no warranties, express or implied, including any warranties of merchantability, fitness for a particular purpose, or non-infringement.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Miscellaneous</w:t>
      </w:r>
    </w:p>
    <w:p>
      <w:pPr>
        <w:spacing w:after="0" w:line="150" w:lineRule="exact"/>
        <w:rPr>
          <w:sz w:val="20"/>
          <w:szCs w:val="20"/>
          <w:color w:val="auto"/>
        </w:rPr>
      </w:pPr>
    </w:p>
    <w:p>
      <w:pPr>
        <w:jc w:val="both"/>
        <w:ind w:left="220"/>
        <w:spacing w:after="0" w:line="256" w:lineRule="auto"/>
        <w:rPr>
          <w:sz w:val="20"/>
          <w:szCs w:val="20"/>
          <w:color w:val="auto"/>
        </w:rPr>
      </w:pPr>
      <w:r>
        <w:rPr>
          <w:rFonts w:ascii="Times New Roman" w:cs="Times New Roman" w:eastAsia="Times New Roman" w:hAnsi="Times New Roman"/>
          <w:sz w:val="12"/>
          <w:szCs w:val="12"/>
          <w:color w:val="auto"/>
        </w:rPr>
        <w:t>7.1.</w:t>
      </w:r>
      <w:r>
        <w:rPr>
          <w:rFonts w:ascii="Times New Roman" w:cs="Times New Roman" w:eastAsia="Times New Roman" w:hAnsi="Times New Roman"/>
          <w:sz w:val="12"/>
          <w:szCs w:val="12"/>
          <w:u w:val="single" w:color="auto"/>
          <w:color w:val="auto"/>
        </w:rPr>
        <w:t>Governing Law and Dispute Resolution</w:t>
      </w:r>
      <w:r>
        <w:rPr>
          <w:rFonts w:ascii="Times New Roman" w:cs="Times New Roman" w:eastAsia="Times New Roman" w:hAnsi="Times New Roman"/>
          <w:sz w:val="12"/>
          <w:szCs w:val="12"/>
          <w:color w:val="auto"/>
        </w:rPr>
        <w:t>. This Agreement shall be governed by the laws of the State of Delaware. Any claim, dispute, or controversy (“</w:t>
      </w:r>
      <w:r>
        <w:rPr>
          <w:rFonts w:ascii="Times New Roman" w:cs="Times New Roman" w:eastAsia="Times New Roman" w:hAnsi="Times New Roman"/>
          <w:sz w:val="12"/>
          <w:szCs w:val="12"/>
          <w:b w:val="1"/>
          <w:bCs w:val="1"/>
          <w:color w:val="auto"/>
        </w:rPr>
        <w:t>Claim</w:t>
      </w:r>
      <w:r>
        <w:rPr>
          <w:rFonts w:ascii="Times New Roman" w:cs="Times New Roman" w:eastAsia="Times New Roman" w:hAnsi="Times New Roman"/>
          <w:sz w:val="12"/>
          <w:szCs w:val="12"/>
          <w:color w:val="auto"/>
        </w:rPr>
        <w:t>”) arising out of or relating to this Agreement or the relationships among the Parties hereto shall be resolved by one arbitrator through binding arbitration conducted in accordance with the expedited procedures set forth in the JAMS Comprehensive Arbitration Rules and Procedures (the “</w:t>
      </w:r>
      <w:r>
        <w:rPr>
          <w:rFonts w:ascii="Times New Roman" w:cs="Times New Roman" w:eastAsia="Times New Roman" w:hAnsi="Times New Roman"/>
          <w:sz w:val="12"/>
          <w:szCs w:val="12"/>
          <w:b w:val="1"/>
          <w:bCs w:val="1"/>
          <w:color w:val="auto"/>
        </w:rPr>
        <w:t>Rules</w:t>
      </w:r>
      <w:r>
        <w:rPr>
          <w:rFonts w:ascii="Times New Roman" w:cs="Times New Roman" w:eastAsia="Times New Roman" w:hAnsi="Times New Roman"/>
          <w:sz w:val="12"/>
          <w:szCs w:val="12"/>
          <w:color w:val="auto"/>
        </w:rPr>
        <w:t>”) as those Rules exist on the Effective Date, including Rules 16.1 and 16.2 of those Rules. The arbitrator’s decision shall be final, binding, and non-appealable. Judgment upon the award may be entered and enforced in any court having jurisdiction. This clause is made pursuant to a transaction involving interstate commerce and shall be governed by the Federal Arbitration Act. Neither Party shall sue the other Party other than as provided herein or for enforcement of this clause or of the arbitrator’s award; any such suit may be brought only in a Federal District Court or a New York state court. The arbitrator, and not any federal, state, or local court, shall have exclusive authority to resolve any dispute relating to the interpretation, applicability, unconscionability, arbitrability, enforceability, or formation of this Agreement including any Claim that all or any part of the Agreement is void or voidable.</w:t>
      </w:r>
    </w:p>
    <w:p>
      <w:pPr>
        <w:spacing w:after="0" w:line="126" w:lineRule="exact"/>
        <w:rPr>
          <w:sz w:val="20"/>
          <w:szCs w:val="20"/>
          <w:color w:val="auto"/>
        </w:rPr>
      </w:pPr>
    </w:p>
    <w:p>
      <w:pPr>
        <w:jc w:val="both"/>
        <w:ind w:left="220"/>
        <w:spacing w:after="0" w:line="279" w:lineRule="auto"/>
        <w:rPr>
          <w:sz w:val="20"/>
          <w:szCs w:val="20"/>
          <w:color w:val="auto"/>
        </w:rPr>
      </w:pPr>
      <w:r>
        <w:rPr>
          <w:rFonts w:ascii="Times New Roman" w:cs="Times New Roman" w:eastAsia="Times New Roman" w:hAnsi="Times New Roman"/>
          <w:sz w:val="12"/>
          <w:szCs w:val="12"/>
          <w:color w:val="auto"/>
        </w:rPr>
        <w:t xml:space="preserve">7.2. </w:t>
      </w: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This Agreement, including its Schedules, constitutes the entire agreement between the Parties and supersedes all prior agreements, understandings, and communications, whether written or oral, relating to the subject matter hereof.</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 xml:space="preserve">7.3. </w:t>
      </w:r>
      <w:r>
        <w:rPr>
          <w:rFonts w:ascii="Times New Roman" w:cs="Times New Roman" w:eastAsia="Times New Roman" w:hAnsi="Times New Roman"/>
          <w:sz w:val="12"/>
          <w:szCs w:val="12"/>
          <w:u w:val="single" w:color="auto"/>
          <w:color w:val="auto"/>
        </w:rPr>
        <w:t>Amendments</w:t>
      </w:r>
      <w:r>
        <w:rPr>
          <w:rFonts w:ascii="Times New Roman" w:cs="Times New Roman" w:eastAsia="Times New Roman" w:hAnsi="Times New Roman"/>
          <w:sz w:val="12"/>
          <w:szCs w:val="12"/>
          <w:color w:val="auto"/>
        </w:rPr>
        <w:t>. This Agreement may only be amended in writing signed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296545</wp:posOffset>
            </wp:positionV>
            <wp:extent cx="71780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155" w:name="page156"/>
    <w:bookmarkEnd w:id="155"/>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7.4. </w:t>
      </w:r>
      <w:r>
        <w:rPr>
          <w:rFonts w:ascii="Times New Roman" w:cs="Times New Roman" w:eastAsia="Times New Roman" w:hAnsi="Times New Roman"/>
          <w:sz w:val="12"/>
          <w:szCs w:val="12"/>
          <w:u w:val="single" w:color="auto"/>
          <w:color w:val="auto"/>
        </w:rPr>
        <w:t>Assignment</w:t>
      </w:r>
      <w:r>
        <w:rPr>
          <w:rFonts w:ascii="Times New Roman" w:cs="Times New Roman" w:eastAsia="Times New Roman" w:hAnsi="Times New Roman"/>
          <w:sz w:val="12"/>
          <w:szCs w:val="12"/>
          <w:color w:val="auto"/>
        </w:rPr>
        <w:t>. Neither Party may assign this Agreement without the prior written consent of the other Party, except in connection with a merger, acquisition, or sale of substantially all of its assets or, in the case of the Advisors, to a wholly-owned subsidiary or direct or indirect subsidiary of its ultimate parent company.</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7.5.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under this Agreement shall be in writing and delivered by certified mail, courier, or email (with confirmation of receipt). Such notices shall be sent to the following addresses (or such other addresses as may be designated by the Parties):</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If to Pantera:</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Pantera Capital Management LP</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600 Montgomery St, 45th Floor</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San Francisco, CA, 94111</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If to Summer:</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Summer Wisdom Holdings Limited</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Vistra Corporate Services Centre, Wickham Cay II, Road Town,</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Tortola, VG1110, British Virgin Islands</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If to the Customer:</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Helius Medical Technologies, Inc.</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642 Newtown Yardley Road, Suite 100</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Newtown, Pennsylvania 18940</w:t>
      </w:r>
    </w:p>
    <w:p>
      <w:pPr>
        <w:spacing w:after="0" w:line="1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7.6. </w:t>
      </w:r>
      <w:r>
        <w:rPr>
          <w:rFonts w:ascii="Times New Roman" w:cs="Times New Roman" w:eastAsia="Times New Roman" w:hAnsi="Times New Roman"/>
          <w:sz w:val="12"/>
          <w:szCs w:val="12"/>
          <w:u w:val="single" w:color="auto"/>
          <w:color w:val="auto"/>
        </w:rPr>
        <w:t>Execution and Counterparts</w:t>
      </w:r>
      <w:r>
        <w:rPr>
          <w:rFonts w:ascii="Times New Roman" w:cs="Times New Roman" w:eastAsia="Times New Roman" w:hAnsi="Times New Roman"/>
          <w:sz w:val="12"/>
          <w:szCs w:val="12"/>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or Docusign, such signature shall create a valid and binding obligation of the party executing (or on whose behalf such signature is executed) with the same force and effect as if such facsimile or “.pdf” or Docusign signature page were an original thereof.</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7.8. </w:t>
      </w:r>
      <w:r>
        <w:rPr>
          <w:rFonts w:ascii="Times New Roman" w:cs="Times New Roman" w:eastAsia="Times New Roman" w:hAnsi="Times New Roman"/>
          <w:sz w:val="12"/>
          <w:szCs w:val="12"/>
          <w:u w:val="single" w:color="auto"/>
          <w:color w:val="auto"/>
        </w:rPr>
        <w:t>Specific Performance</w:t>
      </w:r>
      <w:r>
        <w:rPr>
          <w:rFonts w:ascii="Times New Roman" w:cs="Times New Roman" w:eastAsia="Times New Roman" w:hAnsi="Times New Roman"/>
          <w:sz w:val="12"/>
          <w:szCs w:val="12"/>
          <w:color w:val="auto"/>
        </w:rPr>
        <w:t>. All rights, remedies and powers of a Party are irrevocable and cumulative, and not alternative or exclusive, and shall be in addition to all other rights, remedies and powers given hereby or any laws now existing or hereafter enacted. Each Party acknowledges and agrees that if it breaches any obligations hereunder, the other Party may suffer immediate and irreparable harm for which monetary damages alone shall not be a sufficient remedy, and that in addition to all other remedies that the nonbreaching Party may have, the nonbreaching Party shall be entitled to seek injunctive relief, specific performance or any other form of relief in a court of competent jurisdiction, including, but not limited to, equitable relief, to remedy a breach or threatened breach hereof by the breaching Party and to enforce this Agreement, and the breaching Party hereby waives any and all defenses and objections it may have on grounds of jurisdiction and venue, including, but not limited to, lack of personal jurisdiction and improper venue, and waives any requirement for the securing or posting of any bond in connection with such remedy or to prove the inadequacy of monetary damages.</w:t>
      </w:r>
    </w:p>
    <w:p>
      <w:pPr>
        <w:spacing w:after="0" w:line="1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follows.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297815</wp:posOffset>
            </wp:positionV>
            <wp:extent cx="71780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660"/>
          </w:cols>
          <w:pgMar w:left="940" w:top="651" w:right="2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2"/>
          <w:szCs w:val="12"/>
          <w:color w:val="auto"/>
        </w:rPr>
        <w:t>IN WITNESS WHEREOF, the Parties have executed this Agreement as of the Effective Date.</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CUSTOMER:</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Helius Medical Technologies, Inc.</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13"/>
                <w:szCs w:val="13"/>
                <w:color w:val="auto"/>
              </w:rPr>
            </w:pP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Jeffrey S. Mathiesen</w:t>
            </w:r>
          </w:p>
        </w:tc>
      </w:t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Treasurer and Secretary</w:t>
            </w:r>
          </w:p>
        </w:tc>
      </w:tr>
      <w:tr>
        <w:trPr>
          <w:trHeight w:val="288"/>
        </w:trPr>
        <w:tc>
          <w:tcPr>
            <w:tcW w:w="11300" w:type="dxa"/>
            <w:vAlign w:val="bottom"/>
            <w:gridSpan w:val="2"/>
          </w:tcPr>
          <w:p>
            <w:pPr>
              <w:ind w:left="5660"/>
              <w:spacing w:after="0"/>
              <w:rPr>
                <w:sz w:val="20"/>
                <w:szCs w:val="20"/>
                <w:color w:val="auto"/>
              </w:rPr>
            </w:pPr>
            <w:r>
              <w:rPr>
                <w:rFonts w:ascii="Times New Roman" w:cs="Times New Roman" w:eastAsia="Times New Roman" w:hAnsi="Times New Roman"/>
                <w:sz w:val="12"/>
                <w:szCs w:val="12"/>
                <w:color w:val="auto"/>
              </w:rPr>
              <w:t>PANTERA:</w:t>
            </w:r>
          </w:p>
        </w:tc>
      </w:tr>
      <w:tr>
        <w:trPr>
          <w:trHeight w:val="288"/>
        </w:trPr>
        <w:tc>
          <w:tcPr>
            <w:tcW w:w="11300" w:type="dxa"/>
            <w:vAlign w:val="bottom"/>
            <w:gridSpan w:val="2"/>
          </w:tcPr>
          <w:p>
            <w:pPr>
              <w:ind w:left="5660"/>
              <w:spacing w:after="0"/>
              <w:rPr>
                <w:sz w:val="20"/>
                <w:szCs w:val="20"/>
                <w:color w:val="auto"/>
              </w:rPr>
            </w:pPr>
            <w:r>
              <w:rPr>
                <w:rFonts w:ascii="Times New Roman" w:cs="Times New Roman" w:eastAsia="Times New Roman" w:hAnsi="Times New Roman"/>
                <w:sz w:val="12"/>
                <w:szCs w:val="12"/>
                <w:color w:val="auto"/>
              </w:rPr>
              <w:t>Pantera Capital Management LP</w:t>
            </w:r>
          </w:p>
        </w:tc>
      </w:tr>
      <w:tr>
        <w:trPr>
          <w:trHeight w:val="288"/>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4"/>
                <w:szCs w:val="24"/>
                <w:color w:val="auto"/>
              </w:rPr>
            </w:pP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Matthew Gorham</w:t>
            </w:r>
          </w:p>
        </w:tc>
      </w:t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Authorized Signatory</w:t>
            </w:r>
          </w:p>
        </w:tc>
      </w:tr>
      <w:tr>
        <w:trPr>
          <w:trHeight w:val="288"/>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w w:val="97"/>
              </w:rPr>
              <w:t>SUMMER:</w:t>
            </w:r>
          </w:p>
        </w:tc>
        <w:tc>
          <w:tcPr>
            <w:tcW w:w="5080" w:type="dxa"/>
            <w:vAlign w:val="bottom"/>
          </w:tcPr>
          <w:p>
            <w:pPr>
              <w:spacing w:after="0"/>
              <w:rPr>
                <w:sz w:val="24"/>
                <w:szCs w:val="24"/>
                <w:color w:val="auto"/>
              </w:rPr>
            </w:pPr>
          </w:p>
        </w:tc>
      </w:tr>
      <w:tr>
        <w:trPr>
          <w:trHeight w:val="288"/>
        </w:trPr>
        <w:tc>
          <w:tcPr>
            <w:tcW w:w="11300" w:type="dxa"/>
            <w:vAlign w:val="bottom"/>
            <w:gridSpan w:val="2"/>
          </w:tcPr>
          <w:p>
            <w:pPr>
              <w:ind w:left="5660"/>
              <w:spacing w:after="0"/>
              <w:rPr>
                <w:sz w:val="20"/>
                <w:szCs w:val="20"/>
                <w:color w:val="auto"/>
              </w:rPr>
            </w:pPr>
            <w:r>
              <w:rPr>
                <w:rFonts w:ascii="Times New Roman" w:cs="Times New Roman" w:eastAsia="Times New Roman" w:hAnsi="Times New Roman"/>
                <w:sz w:val="12"/>
                <w:szCs w:val="12"/>
                <w:color w:val="auto"/>
              </w:rPr>
              <w:t>Summer Wisdom Holdings Limited</w:t>
            </w:r>
          </w:p>
        </w:tc>
      </w:tr>
      <w:tr>
        <w:trPr>
          <w:trHeight w:val="288"/>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4"/>
                <w:szCs w:val="24"/>
                <w:color w:val="auto"/>
              </w:rPr>
            </w:pP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Joseph Chee</w:t>
            </w:r>
          </w:p>
        </w:tc>
      </w:t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Authorized Signatory</w:t>
            </w:r>
          </w:p>
        </w:tc>
      </w:tr>
      <w:tr>
        <w:trPr>
          <w:trHeight w:val="450"/>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2"/>
          <w:szCs w:val="12"/>
          <w:b w:val="1"/>
          <w:bCs w:val="1"/>
          <w:color w:val="auto"/>
        </w:rPr>
        <w:t>EXHIBIT 10.5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TRADING ADVISORY AGREEMENT</w:t>
      </w:r>
    </w:p>
    <w:p>
      <w:pPr>
        <w:spacing w:after="0" w:line="150"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b w:val="1"/>
          <w:bCs w:val="1"/>
          <w:color w:val="auto"/>
        </w:rPr>
        <w:t>TRADING ADVISORY AGREEMENT</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effective as of this 15th day of September 2025, is between Pantera Capital Management LP, a Delaware limited partnership (the “</w:t>
      </w:r>
      <w:r>
        <w:rPr>
          <w:rFonts w:ascii="Times New Roman" w:cs="Times New Roman" w:eastAsia="Times New Roman" w:hAnsi="Times New Roman"/>
          <w:sz w:val="12"/>
          <w:szCs w:val="12"/>
          <w:u w:val="single" w:color="auto"/>
          <w:color w:val="auto"/>
        </w:rPr>
        <w:t>Advisor</w:t>
      </w:r>
      <w:r>
        <w:rPr>
          <w:rFonts w:ascii="Times New Roman" w:cs="Times New Roman" w:eastAsia="Times New Roman" w:hAnsi="Times New Roman"/>
          <w:sz w:val="12"/>
          <w:szCs w:val="12"/>
          <w:color w:val="auto"/>
        </w:rPr>
        <w:t>”), and Helius Medical Technologies, Inc. (the “</w:t>
      </w:r>
      <w:r>
        <w:rPr>
          <w:rFonts w:ascii="Times New Roman" w:cs="Times New Roman" w:eastAsia="Times New Roman" w:hAnsi="Times New Roman"/>
          <w:sz w:val="12"/>
          <w:szCs w:val="12"/>
          <w:u w:val="single" w:color="auto"/>
          <w:color w:val="auto"/>
        </w:rPr>
        <w:t>Client</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Client wishes to retain the Advisor to provide trading management services upon the terms and conditions of this Agreement.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consideration of the premises and mutual agreements herein and for other good and valuable consideration, the receipt and sufficiency of which is hereby acknowledged, the parties hereby agree as follows: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          </w:t>
      </w:r>
      <w:r>
        <w:rPr>
          <w:rFonts w:ascii="Times New Roman" w:cs="Times New Roman" w:eastAsia="Times New Roman" w:hAnsi="Times New Roman"/>
          <w:sz w:val="12"/>
          <w:szCs w:val="12"/>
          <w:u w:val="single" w:color="auto"/>
          <w:color w:val="auto"/>
        </w:rPr>
        <w:t>  Allocation of Assets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420" w:firstLine="432"/>
        <w:spacing w:after="0" w:line="265" w:lineRule="auto"/>
        <w:rPr>
          <w:sz w:val="20"/>
          <w:szCs w:val="20"/>
          <w:color w:val="auto"/>
        </w:rPr>
      </w:pPr>
      <w:r>
        <w:rPr>
          <w:rFonts w:ascii="Times New Roman" w:cs="Times New Roman" w:eastAsia="Times New Roman" w:hAnsi="Times New Roman"/>
          <w:sz w:val="12"/>
          <w:szCs w:val="12"/>
          <w:color w:val="auto"/>
        </w:rPr>
        <w:t xml:space="preserve">(a)            The Client hereby appoints the Advisor to manage the investment of Client’s Assets maintained in one or more accounts identified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(together with any other Asset accounts now existing or hereafter established by the Client the “</w:t>
      </w:r>
      <w:r>
        <w:rPr>
          <w:rFonts w:ascii="Times New Roman" w:cs="Times New Roman" w:eastAsia="Times New Roman" w:hAnsi="Times New Roman"/>
          <w:sz w:val="12"/>
          <w:szCs w:val="12"/>
          <w:u w:val="single" w:color="auto"/>
          <w:color w:val="auto"/>
        </w:rPr>
        <w:t>Account</w:t>
      </w:r>
      <w:r>
        <w:rPr>
          <w:rFonts w:ascii="Times New Roman" w:cs="Times New Roman" w:eastAsia="Times New Roman" w:hAnsi="Times New Roman"/>
          <w:sz w:val="12"/>
          <w:szCs w:val="12"/>
          <w:color w:val="auto"/>
        </w:rPr>
        <w:t xml:space="preserve">”) held with the custodians identified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and any successors or additional custodians approved in writing by the Advisor (each, a “</w:t>
      </w:r>
      <w:r>
        <w:rPr>
          <w:rFonts w:ascii="Times New Roman" w:cs="Times New Roman" w:eastAsia="Times New Roman" w:hAnsi="Times New Roman"/>
          <w:sz w:val="12"/>
          <w:szCs w:val="12"/>
          <w:u w:val="single" w:color="auto"/>
          <w:color w:val="auto"/>
        </w:rPr>
        <w:t>Custodian</w:t>
      </w:r>
      <w:r>
        <w:rPr>
          <w:rFonts w:ascii="Times New Roman" w:cs="Times New Roman" w:eastAsia="Times New Roman" w:hAnsi="Times New Roman"/>
          <w:sz w:val="12"/>
          <w:szCs w:val="12"/>
          <w:color w:val="auto"/>
        </w:rPr>
        <w:t>”), and the Advisor hereby accepts such appointment, on the terms and conditions set forth in this Agreement.</w:t>
      </w:r>
    </w:p>
    <w:p>
      <w:pPr>
        <w:spacing w:after="0" w:line="119" w:lineRule="exact"/>
        <w:rPr>
          <w:sz w:val="20"/>
          <w:szCs w:val="20"/>
          <w:color w:val="auto"/>
        </w:rPr>
      </w:pPr>
    </w:p>
    <w:p>
      <w:pPr>
        <w:jc w:val="both"/>
        <w:ind w:left="420" w:firstLine="432"/>
        <w:spacing w:after="0" w:line="257" w:lineRule="auto"/>
        <w:rPr>
          <w:sz w:val="20"/>
          <w:szCs w:val="20"/>
          <w:color w:val="auto"/>
        </w:rPr>
      </w:pPr>
      <w:r>
        <w:rPr>
          <w:rFonts w:ascii="Times New Roman" w:cs="Times New Roman" w:eastAsia="Times New Roman" w:hAnsi="Times New Roman"/>
          <w:sz w:val="12"/>
          <w:szCs w:val="12"/>
          <w:color w:val="auto"/>
        </w:rPr>
        <w:t>(b)            “Assets” means (i) cash net proceeds of the offerings of the Client’s securities designated for SOL purchases as well as all digital investments thereof, proceeds of, income on and additions or accretions to same, including all assets which are or were in the Account, but which are staked in from time to time in accordance with this Agreement (ii) SOL, SOL-denominated interests, cash or stablecoins held for the primary purpose of acquiring, staking, or settling SOL transactions, and (iii) any additional assets mutually agreed upon in writing by Client and Advisor. “Excluded Assets” means any (i) stablecoins or cash held for non-treasury or operating purposes and (ii) digital assets acquired in any merger or acquisition involving the Client, including digital assets held by a business acquired by Client. For the avoidance of doubt, Excluded Assets shall not constitute Assets. Client shall keep Excluded Assets in accounts outside the Account. The Advisor shall have no duty or liability with respect to Excluded Assets or such accounts.</w:t>
      </w:r>
    </w:p>
    <w:p>
      <w:pPr>
        <w:spacing w:after="0" w:line="125" w:lineRule="exact"/>
        <w:rPr>
          <w:sz w:val="20"/>
          <w:szCs w:val="20"/>
          <w:color w:val="auto"/>
        </w:rPr>
      </w:pPr>
    </w:p>
    <w:p>
      <w:pPr>
        <w:jc w:val="both"/>
        <w:ind w:left="420" w:firstLine="432"/>
        <w:spacing w:after="0" w:line="257" w:lineRule="auto"/>
        <w:rPr>
          <w:sz w:val="20"/>
          <w:szCs w:val="20"/>
          <w:color w:val="auto"/>
        </w:rPr>
      </w:pPr>
      <w:r>
        <w:rPr>
          <w:rFonts w:ascii="Times New Roman" w:cs="Times New Roman" w:eastAsia="Times New Roman" w:hAnsi="Times New Roman"/>
          <w:sz w:val="12"/>
          <w:szCs w:val="12"/>
          <w:color w:val="auto"/>
        </w:rPr>
        <w:t xml:space="preserve">(c)            The Client shall promptly notify the Asset Manager of any addition of the Client’s Assets. The Client further covenants and agrees that it shall not establish, maintain or fund any account holding Assets other than the Accounts, unless such account is promptly added to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and made subject to this Agreement. Liquidation of the Account and Assets may be required for any withdrawal by the Client during the term of this Agreement and notice shall be given as soon as possible and, in any event, at least five business days in advance. The Client acknowledges that the Account and Assets may constitute only a part of the assets of the Client, and that the Advisor may act without regard to or consideration of any other assets that may from time to time be held by the Client and shall have no responsibility, duty or liability with respect to any assets not held in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58" w:name="page159"/>
    <w:bookmarkEnd w:id="158"/>
    <w:p>
      <w:pPr>
        <w:jc w:val="both"/>
        <w:ind w:left="420" w:firstLine="432"/>
        <w:spacing w:after="0" w:line="255" w:lineRule="auto"/>
        <w:rPr>
          <w:sz w:val="20"/>
          <w:szCs w:val="20"/>
          <w:color w:val="auto"/>
        </w:rPr>
      </w:pPr>
      <w:r>
        <w:rPr>
          <w:rFonts w:ascii="Times New Roman" w:cs="Times New Roman" w:eastAsia="Times New Roman" w:hAnsi="Times New Roman"/>
          <w:sz w:val="12"/>
          <w:szCs w:val="12"/>
          <w:color w:val="auto"/>
        </w:rPr>
        <w:t>(d)            The Advisor shall act as the sole and exclusive investment advisor retained by the Client with respect to the Assets and Account, and shall have sole and exclusive authority, discretion and responsibility for directing the trading of the Assets and Account at such times, in such amounts and at such prices as the Advisor shall determine in its sole discretion in accordance with this Agreement. During the term of this Agreement, the Client shall have no authority to retain any additional advisors to manage the trading of the Assets or Account, to substitute the Advisor, or otherwise authorize any other person or entity to take any action or have any authority with respect to the Assets or Account, in each case, without the prior written consent of the Advisor. All Assets of the Client, whether now existing or hereafter acquired, shall be managed exclusively by the Advisor pursuant to this Agreement, provided, however, that the foregoing shall not prohibit the Client from (i) maintaining operating accounts reasonably necessary for the conduct of its business (e.g., payroll, vendor payments, or tax reserves), so long as such accounts are not used for investment purposes within the scope of this Agreement, and (ii) any short term cash management investments such as deposits, CDs, commercial papers, money market funds, etc. or any other strategic investments approved by the adjusted Board of Directors of the Client with appointees from the Advisor.</w:t>
      </w:r>
    </w:p>
    <w:p>
      <w:pPr>
        <w:spacing w:after="0" w:line="126" w:lineRule="exact"/>
        <w:rPr>
          <w:sz w:val="20"/>
          <w:szCs w:val="20"/>
          <w:color w:val="auto"/>
        </w:rPr>
      </w:pPr>
    </w:p>
    <w:p>
      <w:pPr>
        <w:jc w:val="both"/>
        <w:ind w:firstLine="432"/>
        <w:spacing w:after="0" w:line="327" w:lineRule="auto"/>
        <w:rPr>
          <w:sz w:val="20"/>
          <w:szCs w:val="20"/>
          <w:color w:val="auto"/>
        </w:rPr>
      </w:pPr>
      <w:r>
        <w:rPr>
          <w:rFonts w:ascii="Times New Roman" w:cs="Times New Roman" w:eastAsia="Times New Roman" w:hAnsi="Times New Roman"/>
          <w:sz w:val="11"/>
          <w:szCs w:val="11"/>
          <w:color w:val="auto"/>
        </w:rPr>
        <w:t>2.           </w:t>
      </w:r>
      <w:r>
        <w:rPr>
          <w:rFonts w:ascii="Times New Roman" w:cs="Times New Roman" w:eastAsia="Times New Roman" w:hAnsi="Times New Roman"/>
          <w:sz w:val="11"/>
          <w:szCs w:val="11"/>
          <w:u w:val="single" w:color="auto"/>
          <w:color w:val="auto"/>
        </w:rPr>
        <w:t>  Ownership of Account Assets</w:t>
      </w:r>
      <w:r>
        <w:rPr>
          <w:rFonts w:ascii="Times New Roman" w:cs="Times New Roman" w:eastAsia="Times New Roman" w:hAnsi="Times New Roman"/>
          <w:sz w:val="11"/>
          <w:szCs w:val="11"/>
          <w:color w:val="auto"/>
        </w:rPr>
        <w:t>. Notwithstanding anything herein to the contrary, all Assets in the Account are assets of, and solely owned by, the Client and remain such at all times. No right, duty, power or authorization granted to Advisor herein shall affect or be deemed to affect in any manner the Client’s sole ownership of all Assets. All transactions authorized by this Agreement for the Account shall be made on behalf of and at the risk of the Client.</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3.           </w:t>
      </w:r>
      <w:r>
        <w:rPr>
          <w:rFonts w:ascii="Times New Roman" w:cs="Times New Roman" w:eastAsia="Times New Roman" w:hAnsi="Times New Roman"/>
          <w:sz w:val="12"/>
          <w:szCs w:val="12"/>
          <w:u w:val="single" w:color="auto"/>
          <w:color w:val="auto"/>
        </w:rPr>
        <w:t>  Authority of Advisor</w:t>
      </w:r>
      <w:r>
        <w:rPr>
          <w:rFonts w:ascii="Times New Roman" w:cs="Times New Roman" w:eastAsia="Times New Roman" w:hAnsi="Times New Roman"/>
          <w:sz w:val="12"/>
          <w:szCs w:val="12"/>
          <w:color w:val="auto"/>
        </w:rPr>
        <w:t>. The Advisor is authorized, on behalf of the Client, to:</w:t>
      </w:r>
    </w:p>
    <w:p>
      <w:pPr>
        <w:spacing w:after="0" w:line="150" w:lineRule="exact"/>
        <w:rPr>
          <w:sz w:val="20"/>
          <w:szCs w:val="20"/>
          <w:color w:val="auto"/>
        </w:rPr>
      </w:pPr>
    </w:p>
    <w:p>
      <w:pPr>
        <w:jc w:val="both"/>
        <w:ind w:left="420" w:firstLine="432"/>
        <w:spacing w:after="0" w:line="256" w:lineRule="auto"/>
        <w:rPr>
          <w:sz w:val="20"/>
          <w:szCs w:val="20"/>
          <w:color w:val="auto"/>
        </w:rPr>
      </w:pPr>
      <w:r>
        <w:rPr>
          <w:rFonts w:ascii="Times New Roman" w:cs="Times New Roman" w:eastAsia="Times New Roman" w:hAnsi="Times New Roman"/>
          <w:sz w:val="12"/>
          <w:szCs w:val="12"/>
          <w:color w:val="auto"/>
        </w:rPr>
        <w:t>(a)            buy, sell (including short sales), stake, and trade in (i) any cryptocurrencies, digital currencies, virtual currencies, digital tokens, virtual tokens, utility tokens, other currencies and tokens that may be maintained on a distributed ledger, and/or other similar digital assets, including decentralized finance tokens or other products based on distributed ledgers, (ii) any commodity, futures contract, security futures contract, forward contract, foreign exchange commitment, swap contract, exchange for physical or spot (cash) commodity (iii) any option, warrant or other right on or pertaining to any of the foregoing, anywhere throughout the world, or (iii) any other financial product or financial instrument or spot (cash) commodity, including spot cryptocurrencies and related derivative contracts traded on centralized and decentralized exchanges and/or in over-the-counter markets, as may be determined from time to time by the Advisor (such instruments described in the foregoing clauses (i), (ii) and (iii), collectively, “</w:t>
      </w:r>
      <w:r>
        <w:rPr>
          <w:rFonts w:ascii="Times New Roman" w:cs="Times New Roman" w:eastAsia="Times New Roman" w:hAnsi="Times New Roman"/>
          <w:sz w:val="12"/>
          <w:szCs w:val="12"/>
          <w:u w:val="single" w:color="auto"/>
          <w:color w:val="auto"/>
        </w:rPr>
        <w:t>Financial Instruments</w:t>
      </w:r>
      <w:r>
        <w:rPr>
          <w:rFonts w:ascii="Times New Roman" w:cs="Times New Roman" w:eastAsia="Times New Roman" w:hAnsi="Times New Roman"/>
          <w:sz w:val="12"/>
          <w:szCs w:val="12"/>
          <w:color w:val="auto"/>
        </w:rPr>
        <w:t xml:space="preserve">”), on margin or otherwise, for the Client’s account and risk, which transactions shall be effected on any of the exchanges listed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hereto (“</w:t>
      </w:r>
      <w:r>
        <w:rPr>
          <w:rFonts w:ascii="Times New Roman" w:cs="Times New Roman" w:eastAsia="Times New Roman" w:hAnsi="Times New Roman"/>
          <w:sz w:val="12"/>
          <w:szCs w:val="12"/>
          <w:u w:val="single" w:color="auto"/>
          <w:color w:val="auto"/>
        </w:rPr>
        <w:t>Exchanges</w:t>
      </w:r>
      <w:r>
        <w:rPr>
          <w:rFonts w:ascii="Times New Roman" w:cs="Times New Roman" w:eastAsia="Times New Roman" w:hAnsi="Times New Roman"/>
          <w:sz w:val="12"/>
          <w:szCs w:val="12"/>
          <w:color w:val="auto"/>
        </w:rPr>
        <w:t xml:space="preserve">”), as such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may be amended from time to time by the Advisor, upon written approval of the Client;</w:t>
      </w:r>
    </w:p>
    <w:p>
      <w:pPr>
        <w:spacing w:after="0" w:line="125" w:lineRule="exact"/>
        <w:rPr>
          <w:sz w:val="20"/>
          <w:szCs w:val="20"/>
          <w:color w:val="auto"/>
        </w:rPr>
      </w:pPr>
    </w:p>
    <w:p>
      <w:pPr>
        <w:jc w:val="both"/>
        <w:ind w:left="420" w:firstLine="432"/>
        <w:spacing w:after="0" w:line="279" w:lineRule="auto"/>
        <w:rPr>
          <w:sz w:val="20"/>
          <w:szCs w:val="20"/>
          <w:color w:val="auto"/>
        </w:rPr>
      </w:pPr>
      <w:r>
        <w:rPr>
          <w:rFonts w:ascii="Times New Roman" w:cs="Times New Roman" w:eastAsia="Times New Roman" w:hAnsi="Times New Roman"/>
          <w:sz w:val="12"/>
          <w:szCs w:val="12"/>
          <w:color w:val="auto"/>
        </w:rPr>
        <w:t>(b)            make all decisions relating to the manner, method and timing of trading transactions effected in the Account. In the event the Advisor will conduct trades that will result in exposure of over 15% of the Assets managed by the Advisor for the benefit of the Client to digital assets outside of SOL, the Advisor must request the Client’s approval before executing such trade;</w:t>
      </w:r>
    </w:p>
    <w:p>
      <w:pPr>
        <w:spacing w:after="0" w:line="111" w:lineRule="exact"/>
        <w:rPr>
          <w:sz w:val="20"/>
          <w:szCs w:val="20"/>
          <w:color w:val="auto"/>
        </w:rPr>
      </w:pPr>
    </w:p>
    <w:p>
      <w:pPr>
        <w:jc w:val="both"/>
        <w:ind w:left="420" w:firstLine="432"/>
        <w:spacing w:after="0" w:line="260" w:lineRule="auto"/>
        <w:rPr>
          <w:sz w:val="20"/>
          <w:szCs w:val="20"/>
          <w:color w:val="auto"/>
        </w:rPr>
      </w:pPr>
      <w:r>
        <w:rPr>
          <w:rFonts w:ascii="Times New Roman" w:cs="Times New Roman" w:eastAsia="Times New Roman" w:hAnsi="Times New Roman"/>
          <w:sz w:val="12"/>
          <w:szCs w:val="12"/>
          <w:color w:val="auto"/>
        </w:rPr>
        <w:t>(c)            exercise voting rights and make similar decisions on behalf of the Client with respect to Financial Instruments held in the Account that are accompanied by such rights, and instruct any custodian of Assets to take any action or non-action with respect to actions, of which the Advisor has knowledge from the Custodian or otherwise, for Financial Instruments held in the Account; provided that, the Advisor shall promptly notify the Client of any proposed vote or decision that the Advisor, acting in a commercially reasonable manner, deems to be of significant strategic importance to the Client, and shall not exercise its voting rights or make such decision without first consulting with the Client and considering the Client’s instructions in good faith.</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9" w:name="page160"/>
    <w:bookmarkEnd w:id="159"/>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(d)            combine purchase or sale orders on behalf of the Client, with respect to the Account, together with other accounts to which the Advisor provides trading management services or accounts of affiliates of the Advisor (“</w:t>
      </w:r>
      <w:r>
        <w:rPr>
          <w:rFonts w:ascii="Times New Roman" w:cs="Times New Roman" w:eastAsia="Times New Roman" w:hAnsi="Times New Roman"/>
          <w:sz w:val="12"/>
          <w:szCs w:val="12"/>
          <w:u w:val="single" w:color="auto"/>
          <w:color w:val="auto"/>
        </w:rPr>
        <w:t>Other Accounts</w:t>
      </w:r>
      <w:r>
        <w:rPr>
          <w:rFonts w:ascii="Times New Roman" w:cs="Times New Roman" w:eastAsia="Times New Roman" w:hAnsi="Times New Roman"/>
          <w:sz w:val="12"/>
          <w:szCs w:val="12"/>
          <w:color w:val="auto"/>
        </w:rPr>
        <w:t>”) and allocate the Financial Instruments so purchased or sold, among the Account and such Other Accounts;</w:t>
      </w:r>
    </w:p>
    <w:p>
      <w:pPr>
        <w:spacing w:after="0" w:line="111"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(e)            enter into arrangements with brokers to open “average price” accounts wherein orders placed during a trading day are placed on behalf of the Client, with respect to the Account, and the Other Accounts and are allocated among such accounts using an average price or other equitable allocation procedure;</w:t>
      </w:r>
    </w:p>
    <w:p>
      <w:pPr>
        <w:spacing w:after="0" w:line="111"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(f)            open, maintain, conduct and close accounts with executing brokers, staking and restaking service providers (“</w:t>
      </w:r>
      <w:r>
        <w:rPr>
          <w:rFonts w:ascii="Times New Roman" w:cs="Times New Roman" w:eastAsia="Times New Roman" w:hAnsi="Times New Roman"/>
          <w:sz w:val="12"/>
          <w:szCs w:val="12"/>
          <w:u w:val="single" w:color="auto"/>
          <w:color w:val="auto"/>
        </w:rPr>
        <w:t>Staking Service Providers</w:t>
      </w:r>
      <w:r>
        <w:rPr>
          <w:rFonts w:ascii="Times New Roman" w:cs="Times New Roman" w:eastAsia="Times New Roman" w:hAnsi="Times New Roman"/>
          <w:sz w:val="12"/>
          <w:szCs w:val="12"/>
          <w:color w:val="auto"/>
        </w:rPr>
        <w:t>”) and other intermediaries, and issue orders and directions to such executing brokers, Staking Service Providers and other intermediaries with respect to the application and disposition of the Assets in the Account; and</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(g)            take all such other actions that the Advisor considers necessary or advisable to exercise its powers and carry out its duties and obligations hereunder.</w:t>
      </w:r>
    </w:p>
    <w:p>
      <w:pPr>
        <w:spacing w:after="0" w:line="1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4.           </w:t>
      </w:r>
      <w:r>
        <w:rPr>
          <w:rFonts w:ascii="Times New Roman" w:cs="Times New Roman" w:eastAsia="Times New Roman" w:hAnsi="Times New Roman"/>
          <w:sz w:val="12"/>
          <w:szCs w:val="12"/>
          <w:u w:val="single" w:color="auto"/>
          <w:color w:val="auto"/>
        </w:rPr>
        <w:t>  Power of Attorney</w:t>
      </w:r>
      <w:r>
        <w:rPr>
          <w:rFonts w:ascii="Times New Roman" w:cs="Times New Roman" w:eastAsia="Times New Roman" w:hAnsi="Times New Roman"/>
          <w:sz w:val="12"/>
          <w:szCs w:val="12"/>
          <w:color w:val="auto"/>
        </w:rPr>
        <w:t>. To enable the Advisor to exercise fully its discretion in managing the Account in accordance with this Agreement, the Client hereby constitutes and appoints the Advisor as its true and lawful attorney-in-fact with full power and authority in the Client’s name, place and stead to effect transactions in Financial Instruments for the Client’s account and risk, and to make, execute, sign, and acknowledge, on behalf of the Client, any and all agreements, certificates, documents and instruments necessary or appropriate to enable the Advisor to trade the Account, as contemplated hereby. The Custodian is authorized and empowered to follow the instructions of the Advisor, as agent and attorney-in-fact for the Client, in every respect with regard to any such trades, purchases or sales, on margin or otherwise, and the Client hereby ratifies and confirms any and all transactions, trades or dealings effected for the Client by the Advisor. This power of attorney is coupled with an interest and is a continuing power and shall remain in full force and effect unless and until this Agreement has been terminated in accordance with Section 15 hereof; provided, however, any such termination shall not affect or be deemed to affect any transaction initiated by the Advisor prior to the effectiveness of such termination.</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           </w:t>
      </w:r>
      <w:r>
        <w:rPr>
          <w:rFonts w:ascii="Times New Roman" w:cs="Times New Roman" w:eastAsia="Times New Roman" w:hAnsi="Times New Roman"/>
          <w:sz w:val="12"/>
          <w:szCs w:val="12"/>
          <w:u w:val="single" w:color="auto"/>
          <w:color w:val="auto"/>
        </w:rPr>
        <w:t>  Compensation and Expenses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(a)            The Client shall pay to the Advisor the compensation described on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attached hereto.</w:t>
      </w:r>
    </w:p>
    <w:p>
      <w:pPr>
        <w:spacing w:after="0" w:line="150"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(b)            All expenses incurred directly or indirectly in connection with the transactions effected or positions held in the Account pursuant to the Advisor’s exercise of its duties hereunder and other related expenses incurred by the Advisor on behalf of the Client in connection with the Account shall be borne by the Client and shall be billed directly to the Client subject to approval.</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6.             Performance Review and Benchmark</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The Advisor’s performance under this Agreement shall be reviewed with the Client on a quarterly basis, with an annual comprehensive review each calendar year.</w:t>
      </w:r>
    </w:p>
    <w:p>
      <w:pPr>
        <w:spacing w:after="0" w:line="150" w:lineRule="exact"/>
        <w:rPr>
          <w:sz w:val="20"/>
          <w:szCs w:val="20"/>
          <w:color w:val="auto"/>
        </w:rPr>
      </w:pPr>
    </w:p>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(b)            The Advisor and the Client shall mutually agree upon key performance indicators (“</w:t>
      </w:r>
      <w:r>
        <w:rPr>
          <w:rFonts w:ascii="Times New Roman" w:cs="Times New Roman" w:eastAsia="Times New Roman" w:hAnsi="Times New Roman"/>
          <w:sz w:val="12"/>
          <w:szCs w:val="12"/>
          <w:u w:val="single" w:color="auto"/>
          <w:color w:val="auto"/>
        </w:rPr>
        <w:t>KPIs</w:t>
      </w:r>
      <w:r>
        <w:rPr>
          <w:rFonts w:ascii="Times New Roman" w:cs="Times New Roman" w:eastAsia="Times New Roman" w:hAnsi="Times New Roman"/>
          <w:sz w:val="12"/>
          <w:szCs w:val="12"/>
          <w:color w:val="auto"/>
        </w:rPr>
        <w:t>”) to be used for such reviews. The Advisor shall provide to the Client reasonable reporting and information as necessary to evaluate performance against such KPIs.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0" w:name="page161"/>
    <w:bookmarkEnd w:id="160"/>
    <w:p>
      <w:pPr>
        <w:ind w:left="420" w:firstLine="432"/>
        <w:spacing w:after="0" w:line="279" w:lineRule="auto"/>
        <w:rPr>
          <w:sz w:val="20"/>
          <w:szCs w:val="20"/>
          <w:color w:val="auto"/>
        </w:rPr>
      </w:pPr>
      <w:r>
        <w:rPr>
          <w:rFonts w:ascii="Times New Roman" w:cs="Times New Roman" w:eastAsia="Times New Roman" w:hAnsi="Times New Roman"/>
          <w:sz w:val="12"/>
          <w:szCs w:val="12"/>
          <w:color w:val="auto"/>
        </w:rPr>
        <w:t>(c)            For purposes of performance evaluation, the parties agree to use the Compass Solana Total Return Monthly Index (the “</w:t>
      </w:r>
      <w:r>
        <w:rPr>
          <w:rFonts w:ascii="Times New Roman" w:cs="Times New Roman" w:eastAsia="Times New Roman" w:hAnsi="Times New Roman"/>
          <w:sz w:val="12"/>
          <w:szCs w:val="12"/>
          <w:u w:val="single" w:color="auto"/>
          <w:color w:val="auto"/>
        </w:rPr>
        <w:t>Benchmark</w:t>
      </w:r>
      <w:r>
        <w:rPr>
          <w:rFonts w:ascii="Times New Roman" w:cs="Times New Roman" w:eastAsia="Times New Roman" w:hAnsi="Times New Roman"/>
          <w:sz w:val="12"/>
          <w:szCs w:val="12"/>
          <w:color w:val="auto"/>
        </w:rPr>
        <w:t>”) as a reference benchmark to measure performance on a gross basis, unless otherwise mutually agreed in writing. The Advisor shall seek to exceed the Benchmark over time, subject to mutually agreed margins of error and reasonable cure periods to be agreed upon by the Client and the Advisor.</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7.           </w:t>
      </w:r>
      <w:r>
        <w:rPr>
          <w:rFonts w:ascii="Times New Roman" w:cs="Times New Roman" w:eastAsia="Times New Roman" w:hAnsi="Times New Roman"/>
          <w:sz w:val="12"/>
          <w:szCs w:val="12"/>
          <w:u w:val="single" w:color="auto"/>
          <w:color w:val="auto"/>
        </w:rPr>
        <w:t>  Transactions Subject Applicable Law and Rules</w:t>
      </w:r>
      <w:r>
        <w:rPr>
          <w:rFonts w:ascii="Times New Roman" w:cs="Times New Roman" w:eastAsia="Times New Roman" w:hAnsi="Times New Roman"/>
          <w:sz w:val="12"/>
          <w:szCs w:val="12"/>
          <w:color w:val="auto"/>
        </w:rPr>
        <w:t>. All transactions executed for the Account will be subject to the constitution, laws, rules, regulations and customs, as they may be amended, governing the exchanges or other markets on which such transactions are executed, and any other applicable laws or regulations. If any provision of this Agreement is or at any time becomes inconsistent with any present or future law, rule, or regulation of any Exchange, or of any sovereign government agency or a self-regulatory body thereof, such provision will be deemed to be superseded or modified to conform to such law, rule or regulation, but in all other respects this Agreement will continue and remain in full force and effect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8.           </w:t>
      </w:r>
      <w:r>
        <w:rPr>
          <w:rFonts w:ascii="Times New Roman" w:cs="Times New Roman" w:eastAsia="Times New Roman" w:hAnsi="Times New Roman"/>
          <w:sz w:val="12"/>
          <w:szCs w:val="12"/>
          <w:u w:val="single" w:color="auto"/>
          <w:color w:val="auto"/>
        </w:rPr>
        <w:t>  Representations and Warranties of the Advisor</w:t>
      </w:r>
      <w:r>
        <w:rPr>
          <w:rFonts w:ascii="Times New Roman" w:cs="Times New Roman" w:eastAsia="Times New Roman" w:hAnsi="Times New Roman"/>
          <w:sz w:val="12"/>
          <w:szCs w:val="12"/>
          <w:color w:val="auto"/>
        </w:rPr>
        <w:t>. The Advisor represents and warrants to the Client that:</w:t>
      </w:r>
    </w:p>
    <w:p>
      <w:pPr>
        <w:spacing w:after="0" w:line="150" w:lineRule="exact"/>
        <w:rPr>
          <w:sz w:val="20"/>
          <w:szCs w:val="20"/>
          <w:color w:val="auto"/>
        </w:rPr>
      </w:pPr>
    </w:p>
    <w:p>
      <w:pPr>
        <w:jc w:val="both"/>
        <w:ind w:left="420" w:firstLine="432"/>
        <w:spacing w:after="0" w:line="265" w:lineRule="auto"/>
        <w:rPr>
          <w:sz w:val="20"/>
          <w:szCs w:val="20"/>
          <w:color w:val="auto"/>
        </w:rPr>
      </w:pPr>
      <w:r>
        <w:rPr>
          <w:rFonts w:ascii="Times New Roman" w:cs="Times New Roman" w:eastAsia="Times New Roman" w:hAnsi="Times New Roman"/>
          <w:sz w:val="12"/>
          <w:szCs w:val="12"/>
          <w:color w:val="auto"/>
        </w:rPr>
        <w:t>(a)            It has the right, power and authority to execute and deliver this Agreement and undertake the obligations contemplated hereby. The execution, delivery and performance by the Advisor of this Agreement and all obligations contemplated hereby have been duly and properly authorized by all requisite action in accordance with applicable law and with the Advisor ’s organizational documents. This Agreement has been duly executed and delivered by the Advisor, and constitutes the legal, valid and binding obligation of the Advisor, enforceable against the Advisor in accordance with its terms.</w:t>
      </w:r>
    </w:p>
    <w:p>
      <w:pPr>
        <w:spacing w:after="0" w:line="119" w:lineRule="exact"/>
        <w:rPr>
          <w:sz w:val="20"/>
          <w:szCs w:val="20"/>
          <w:color w:val="auto"/>
        </w:rPr>
      </w:pPr>
    </w:p>
    <w:p>
      <w:pPr>
        <w:jc w:val="both"/>
        <w:ind w:left="420" w:firstLine="432"/>
        <w:spacing w:after="0" w:line="260" w:lineRule="auto"/>
        <w:rPr>
          <w:sz w:val="20"/>
          <w:szCs w:val="20"/>
          <w:color w:val="auto"/>
        </w:rPr>
      </w:pPr>
      <w:r>
        <w:rPr>
          <w:rFonts w:ascii="Times New Roman" w:cs="Times New Roman" w:eastAsia="Times New Roman" w:hAnsi="Times New Roman"/>
          <w:sz w:val="12"/>
          <w:szCs w:val="12"/>
          <w:color w:val="auto"/>
        </w:rPr>
        <w:t>(b)            The execution, delivery and performance of this Agreement and the incurrence of the obligations set forth in this Agreement will not violate, conflict with or constitute a breach of, or default under, any instrument by which the Advisor is bound or any law, statute, order, rule or regulation applicable to the Advisor of any court or any governmental body, administrative agency, regulatory or self-regulatory organization having jurisdiction over the Advisor where such violation, conflict, breach or default would have a material adverse effect on the Advisor’s ability to perform its duties under this Agreement or conduct its business as presently conducted.</w:t>
      </w:r>
    </w:p>
    <w:p>
      <w:pPr>
        <w:spacing w:after="0" w:line="122"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The foregoing representations and warranties shall be continuing during the term of this Agreement, and if at any time any of the foregoing representations or warranties become untrue or inaccurate in any material respect, the Advisor shall promptly notify the Client in writing of that fact.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9.           </w:t>
      </w:r>
      <w:r>
        <w:rPr>
          <w:rFonts w:ascii="Times New Roman" w:cs="Times New Roman" w:eastAsia="Times New Roman" w:hAnsi="Times New Roman"/>
          <w:sz w:val="12"/>
          <w:szCs w:val="12"/>
          <w:u w:val="single" w:color="auto"/>
          <w:color w:val="auto"/>
        </w:rPr>
        <w:t>  Representations and Warranties of the Client</w:t>
      </w:r>
      <w:r>
        <w:rPr>
          <w:rFonts w:ascii="Times New Roman" w:cs="Times New Roman" w:eastAsia="Times New Roman" w:hAnsi="Times New Roman"/>
          <w:sz w:val="12"/>
          <w:szCs w:val="12"/>
          <w:color w:val="auto"/>
        </w:rPr>
        <w:t>. The Client represents and warrants to the Advisor that:</w:t>
      </w:r>
    </w:p>
    <w:p>
      <w:pPr>
        <w:spacing w:after="0" w:line="150" w:lineRule="exact"/>
        <w:rPr>
          <w:sz w:val="20"/>
          <w:szCs w:val="20"/>
          <w:color w:val="auto"/>
        </w:rPr>
      </w:pPr>
    </w:p>
    <w:p>
      <w:pPr>
        <w:jc w:val="both"/>
        <w:ind w:left="420" w:firstLine="432"/>
        <w:spacing w:after="0" w:line="265" w:lineRule="auto"/>
        <w:rPr>
          <w:sz w:val="20"/>
          <w:szCs w:val="20"/>
          <w:color w:val="auto"/>
        </w:rPr>
      </w:pPr>
      <w:r>
        <w:rPr>
          <w:rFonts w:ascii="Times New Roman" w:cs="Times New Roman" w:eastAsia="Times New Roman" w:hAnsi="Times New Roman"/>
          <w:sz w:val="12"/>
          <w:szCs w:val="12"/>
          <w:color w:val="auto"/>
        </w:rPr>
        <w:t>(a)            It has the right, power and authority to execute and deliver this Agreement and undertake the obligations contemplated hereby. The execution, delivery and performance by the Client of this Agreement and all obligations contemplated hereby have been duly and properly authorized by all requisite action in accordance with applicable law and with the Client’s organizational documents. This Agreement has been duly executed and delivered by the Client, and constitutes the legal, valid and binding obligation of the Client, enforceable against the Client in accordance with its terms.</w:t>
      </w:r>
    </w:p>
    <w:p>
      <w:pPr>
        <w:spacing w:after="0" w:line="119" w:lineRule="exact"/>
        <w:rPr>
          <w:sz w:val="20"/>
          <w:szCs w:val="20"/>
          <w:color w:val="auto"/>
        </w:rPr>
      </w:pPr>
    </w:p>
    <w:p>
      <w:pPr>
        <w:jc w:val="both"/>
        <w:ind w:left="420" w:firstLine="432"/>
        <w:spacing w:after="0" w:line="260" w:lineRule="auto"/>
        <w:rPr>
          <w:sz w:val="20"/>
          <w:szCs w:val="20"/>
          <w:color w:val="auto"/>
        </w:rPr>
      </w:pPr>
      <w:r>
        <w:rPr>
          <w:rFonts w:ascii="Times New Roman" w:cs="Times New Roman" w:eastAsia="Times New Roman" w:hAnsi="Times New Roman"/>
          <w:sz w:val="12"/>
          <w:szCs w:val="12"/>
          <w:color w:val="auto"/>
        </w:rPr>
        <w:t>(b)            The execution, delivery and performance of this Agreement and the incurrence of the obligations set forth in this Agreement will not violate, conflict with or constitute a breach of, or default under, any instrument by which the Client is bound or any law, statute, order, rule (including exchange listing rules) or regulation applicable to the Client of any court or any governmental body, administrative agency, exchange, regulatory or self-regulatory organization having jurisdiction over the Client that would have a material adverse effect on the Client’s ability to perform its duties under this Agreement or conduct its business as presently conducted.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1" w:name="page162"/>
    <w:bookmarkEnd w:id="161"/>
    <w:p>
      <w:pPr>
        <w:jc w:val="both"/>
        <w:ind w:left="420" w:firstLine="432"/>
        <w:spacing w:after="0" w:line="279" w:lineRule="auto"/>
        <w:rPr>
          <w:sz w:val="20"/>
          <w:szCs w:val="20"/>
          <w:color w:val="auto"/>
        </w:rPr>
      </w:pPr>
      <w:r>
        <w:rPr>
          <w:rFonts w:ascii="Times New Roman" w:cs="Times New Roman" w:eastAsia="Times New Roman" w:hAnsi="Times New Roman"/>
          <w:sz w:val="12"/>
          <w:szCs w:val="12"/>
          <w:color w:val="auto"/>
        </w:rPr>
        <w:t>(c)            The Client is in compliance and will continue to comply in all material respects with all laws, rules and regulations having application to its business, properties and assets, including, but not limited to, any applicable federal and state securities, commodities and futures laws, rules and regulations.</w:t>
      </w:r>
    </w:p>
    <w:p>
      <w:pPr>
        <w:spacing w:after="0" w:line="111" w:lineRule="exact"/>
        <w:rPr>
          <w:sz w:val="20"/>
          <w:szCs w:val="20"/>
          <w:color w:val="auto"/>
        </w:rPr>
      </w:pPr>
    </w:p>
    <w:p>
      <w:pPr>
        <w:jc w:val="both"/>
        <w:ind w:left="420" w:firstLine="432"/>
        <w:spacing w:after="0" w:line="265" w:lineRule="auto"/>
        <w:rPr>
          <w:sz w:val="20"/>
          <w:szCs w:val="20"/>
          <w:color w:val="auto"/>
        </w:rPr>
      </w:pPr>
      <w:r>
        <w:rPr>
          <w:rFonts w:ascii="Times New Roman" w:cs="Times New Roman" w:eastAsia="Times New Roman" w:hAnsi="Times New Roman"/>
          <w:sz w:val="12"/>
          <w:szCs w:val="12"/>
          <w:color w:val="auto"/>
        </w:rPr>
        <w:t>(d)            There is neither any pending nor, to the Client’s knowledge, threatened, investigation, action, suit or proceeding before or by any court or other governmental, regulatory or self-regulatory authority or other body to which the Client or any entity or person under control of, controlled by or under common control with the Client (a “</w:t>
      </w:r>
      <w:r>
        <w:rPr>
          <w:rFonts w:ascii="Times New Roman" w:cs="Times New Roman" w:eastAsia="Times New Roman" w:hAnsi="Times New Roman"/>
          <w:sz w:val="12"/>
          <w:szCs w:val="12"/>
          <w:u w:val="single" w:color="auto"/>
          <w:color w:val="auto"/>
        </w:rPr>
        <w:t>Client Affiliate</w:t>
      </w:r>
      <w:r>
        <w:rPr>
          <w:rFonts w:ascii="Times New Roman" w:cs="Times New Roman" w:eastAsia="Times New Roman" w:hAnsi="Times New Roman"/>
          <w:sz w:val="12"/>
          <w:szCs w:val="12"/>
          <w:color w:val="auto"/>
        </w:rPr>
        <w:t>”) is a party or to which any material portion of the Assets of the Client or any Client Affiliate are subject.</w:t>
      </w:r>
    </w:p>
    <w:p>
      <w:pPr>
        <w:spacing w:after="0" w:line="119" w:lineRule="exact"/>
        <w:rPr>
          <w:sz w:val="20"/>
          <w:szCs w:val="20"/>
          <w:color w:val="auto"/>
        </w:rPr>
      </w:pPr>
    </w:p>
    <w:p>
      <w:pPr>
        <w:jc w:val="both"/>
        <w:ind w:left="420" w:firstLine="432"/>
        <w:spacing w:after="0" w:line="265" w:lineRule="auto"/>
        <w:rPr>
          <w:sz w:val="20"/>
          <w:szCs w:val="20"/>
          <w:color w:val="auto"/>
        </w:rPr>
      </w:pPr>
      <w:r>
        <w:rPr>
          <w:rFonts w:ascii="Times New Roman" w:cs="Times New Roman" w:eastAsia="Times New Roman" w:hAnsi="Times New Roman"/>
          <w:sz w:val="12"/>
          <w:szCs w:val="12"/>
          <w:color w:val="auto"/>
        </w:rPr>
        <w:t>(e)            The Client is not (i) an “employee benefit plan” within the meaning of Section 3(3) of the Employee Retirement Income Security Act of 1974, as amended (“</w:t>
      </w:r>
      <w:r>
        <w:rPr>
          <w:rFonts w:ascii="Times New Roman" w:cs="Times New Roman" w:eastAsia="Times New Roman" w:hAnsi="Times New Roman"/>
          <w:sz w:val="12"/>
          <w:szCs w:val="12"/>
          <w:u w:val="single" w:color="auto"/>
          <w:color w:val="auto"/>
        </w:rPr>
        <w:t>ERISA</w:t>
      </w:r>
      <w:r>
        <w:rPr>
          <w:rFonts w:ascii="Times New Roman" w:cs="Times New Roman" w:eastAsia="Times New Roman" w:hAnsi="Times New Roman"/>
          <w:sz w:val="12"/>
          <w:szCs w:val="12"/>
          <w:color w:val="auto"/>
        </w:rPr>
        <w:t>”), that is subject to ERISA, (ii) a “plan” as defined in Section 4975 of the Internal Revenue Code of 1986, as amended (the “</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(iii) an entity the assets of which are deemed to be the assets of such an employee benefit plan or plan as a result of the operation of ERISA and the regulations issued thereunder, or (iv) an entity the assets of which are subject to laws that operate in a manner similar to Section 404 or 406 of ERISA or Section 4975 of the Code.</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(f)            The Client represents and warrants that it has received, read and understood the non-exhaustive risk factors attached as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hereto.</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(g)            The Client shall take all such actions as necessary to become a member or participant on each Exchange as directed by the Advisor.</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The foregoing representations and warranties shall be continuing during the term of this Agreement, and if at any time any of the foregoing representations or warranties become untrue or inaccurate in any material respect, the Client shall promptly notify the Advisor in writing of that fact.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10.         </w:t>
      </w:r>
      <w:r>
        <w:rPr>
          <w:rFonts w:ascii="Times New Roman" w:cs="Times New Roman" w:eastAsia="Times New Roman" w:hAnsi="Times New Roman"/>
          <w:sz w:val="12"/>
          <w:szCs w:val="12"/>
          <w:u w:val="single" w:color="auto"/>
          <w:color w:val="auto"/>
        </w:rPr>
        <w:t>  Executing Brokers and Counterparties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420" w:firstLine="432"/>
        <w:spacing w:after="0" w:line="256" w:lineRule="auto"/>
        <w:rPr>
          <w:sz w:val="20"/>
          <w:szCs w:val="20"/>
          <w:color w:val="auto"/>
        </w:rPr>
      </w:pPr>
      <w:r>
        <w:rPr>
          <w:rFonts w:ascii="Times New Roman" w:cs="Times New Roman" w:eastAsia="Times New Roman" w:hAnsi="Times New Roman"/>
          <w:sz w:val="12"/>
          <w:szCs w:val="12"/>
          <w:color w:val="auto"/>
        </w:rPr>
        <w:t>(a)            The Advisor may, subject to the mutual written consent of the Client, place orders for transactions for the Account through any executing broker or counterparty (whether on the floor of an exchange or otherwise), which may be unrelated to the Custodian, as determined by the Advisor in its sole discretion. Executed trades will then be “given up” to the Custodian for the benefit of the Account. Orders executed in this manner will result in “give-up” fees that will be charged to the Account in addition to the brokerage commissions charged by the Custodian. The Client hereby authorizes the Advisor to enter into execution or give-up agreements on behalf of the Client with the Custodian and executing brokers, and agrees to be bound by such agreements. All fees and expenses (including “give-up” fees) payable to the Custodian, any executing broker or counterparty with respect to the Account, including custodial fees, administration fees, brokerage commissions, clearing fees, interest and withholding or transfer taxes, shall be borne by the Client and shall be paid out of or deducted from the Account. The Client understands that the Advisor will not be responsible for the execution or clearance of the Client’s trades once complete orders have been transmitted to the executing brokers.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2"/>
          <w:szCs w:val="12"/>
          <w:color w:val="auto"/>
        </w:rPr>
        <w:t>11.         </w:t>
      </w:r>
      <w:r>
        <w:rPr>
          <w:rFonts w:ascii="Times New Roman" w:cs="Times New Roman" w:eastAsia="Times New Roman" w:hAnsi="Times New Roman"/>
          <w:sz w:val="12"/>
          <w:szCs w:val="12"/>
          <w:u w:val="single" w:color="auto"/>
          <w:color w:val="auto"/>
        </w:rPr>
        <w:t>  Limitations on Liability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(a)            The Client acknowledges and agrees that the actions taken by the Advisor pursuant to this Agreement are based on its analysis of data and information believed by the Advisor to be reliable and accurate, but not guaranteed. Consequently, none of the Advisor, its affiliates and its and their respective principals, managers, members, officers, directors, employees, shareholders, partners or other applicable representatives (the “</w:t>
      </w:r>
      <w:r>
        <w:rPr>
          <w:rFonts w:ascii="Times New Roman" w:cs="Times New Roman" w:eastAsia="Times New Roman" w:hAnsi="Times New Roman"/>
          <w:sz w:val="12"/>
          <w:szCs w:val="12"/>
          <w:u w:val="single" w:color="auto"/>
          <w:color w:val="auto"/>
        </w:rPr>
        <w:t>Advisor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 shall be liable to the Client or any of its affiliates or their respective principals, managers, members, officers, directors, employees, shareholders, partners or other applicable representatives (the “</w:t>
      </w:r>
      <w:r>
        <w:rPr>
          <w:rFonts w:ascii="Times New Roman" w:cs="Times New Roman" w:eastAsia="Times New Roman" w:hAnsi="Times New Roman"/>
          <w:sz w:val="12"/>
          <w:szCs w:val="12"/>
          <w:u w:val="single" w:color="auto"/>
          <w:color w:val="auto"/>
        </w:rPr>
        <w:t>Client Parties</w:t>
      </w:r>
      <w:r>
        <w:rPr>
          <w:rFonts w:ascii="Times New Roman" w:cs="Times New Roman" w:eastAsia="Times New Roman" w:hAnsi="Times New Roman"/>
          <w:sz w:val="12"/>
          <w:szCs w:val="12"/>
          <w:color w:val="auto"/>
        </w:rPr>
        <w:t>”) or to third parties under this Agreement for any loss (including for any loss due to the action or inaction of any person or entity retained by the Client) sustained by any of the Client Parties arising out of this Agreement or the Advisor’s actions or omissions in connection herewith, including, but not limited to, losses resulting from trading errors, except by reason of acts or omissions found by a court of competent jurisdiction upon entry of a final, non-appealable judgment to have been the result of the Advisor’s bad faith, gross negligence, or willful misconduct in the performance or non-performance of its obligations under this Agreement. All trading activity concerning the Account hereunder shall be for the account and risk of the Client and, except as otherwise provided herein, the Advisor shall not incur any liability for profits or losses resulting therefrom, or any expenses related thereto.</w:t>
      </w:r>
    </w:p>
    <w:p>
      <w:pPr>
        <w:spacing w:after="0" w:line="12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(b)            The Advisor Parties shall not be liable to the Client Parties or to third parties for any taxes assessed upon or payable by any of them wheresoever the same may be assessed or imposed and whether directly or indirectly.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         </w:t>
      </w:r>
      <w:r>
        <w:rPr>
          <w:rFonts w:ascii="Times New Roman" w:cs="Times New Roman" w:eastAsia="Times New Roman" w:hAnsi="Times New Roman"/>
          <w:sz w:val="12"/>
          <w:szCs w:val="12"/>
          <w:u w:val="single" w:color="auto"/>
          <w:color w:val="auto"/>
        </w:rPr>
        <w:t>  Indemnification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            The Client shall indemnify and hold harmless the Advisor Parties (each, an “</w:t>
      </w:r>
      <w:r>
        <w:rPr>
          <w:rFonts w:ascii="Times New Roman" w:cs="Times New Roman" w:eastAsia="Times New Roman" w:hAnsi="Times New Roman"/>
          <w:sz w:val="12"/>
          <w:szCs w:val="12"/>
          <w:u w:val="single" w:color="auto"/>
          <w:color w:val="auto"/>
        </w:rPr>
        <w:t>Indemnified Party</w:t>
      </w:r>
      <w:r>
        <w:rPr>
          <w:rFonts w:ascii="Times New Roman" w:cs="Times New Roman" w:eastAsia="Times New Roman" w:hAnsi="Times New Roman"/>
          <w:sz w:val="12"/>
          <w:szCs w:val="12"/>
          <w:color w:val="auto"/>
        </w:rPr>
        <w:t>”) from and against, any and all losses, claims, damages, liabilities, costs and expenses (including, but not limited to, attorneys’ and accountants’ fees and disbursements), judgments and amounts paid in settlement (collectively, “</w:t>
      </w:r>
      <w:r>
        <w:rPr>
          <w:rFonts w:ascii="Times New Roman" w:cs="Times New Roman" w:eastAsia="Times New Roman" w:hAnsi="Times New Roman"/>
          <w:sz w:val="12"/>
          <w:szCs w:val="12"/>
          <w:u w:val="single" w:color="auto"/>
          <w:color w:val="auto"/>
        </w:rPr>
        <w:t>Losses</w:t>
      </w:r>
      <w:r>
        <w:rPr>
          <w:rFonts w:ascii="Times New Roman" w:cs="Times New Roman" w:eastAsia="Times New Roman" w:hAnsi="Times New Roman"/>
          <w:sz w:val="12"/>
          <w:szCs w:val="12"/>
          <w:color w:val="auto"/>
        </w:rPr>
        <w:t>”), relating to or arising out of Advisor’s engagement hereunder or the provision of services hereunder, except for Losses found by a court of competent jurisdiction upon entry of a final non-appealable judgment to have been the result of the Advisor’s bad faith, gross negligence or willful misconduct.</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(b)            Promptly after receipt of notice of any third party action, arbitration, claim, demand, dispute, investigation, lawsuit or other proceeding (each a “</w:t>
      </w:r>
      <w:r>
        <w:rPr>
          <w:rFonts w:ascii="Times New Roman" w:cs="Times New Roman" w:eastAsia="Times New Roman" w:hAnsi="Times New Roman"/>
          <w:sz w:val="12"/>
          <w:szCs w:val="12"/>
          <w:u w:val="single" w:color="auto"/>
          <w:color w:val="auto"/>
        </w:rPr>
        <w:t>Proceeding</w:t>
      </w:r>
      <w:r>
        <w:rPr>
          <w:rFonts w:ascii="Times New Roman" w:cs="Times New Roman" w:eastAsia="Times New Roman" w:hAnsi="Times New Roman"/>
          <w:sz w:val="12"/>
          <w:szCs w:val="12"/>
          <w:color w:val="auto"/>
        </w:rPr>
        <w:t>”), the Indemnified Party shall notify the Client in writing if a claim is to be made under this Agreement; provided that the failure to notify the Client shall not relieve the Client from any liability that the Client may have to the Indemnified Party under this Section 12 or from any obligation or liability that it may have to the Indemnified Party otherwise than under this Section 12, except and only to the extent that the Indemnified Party’s failure to give such notice actually and materially prejudices the rights of the Client. The Client shall be entitled to assume the defense of any Proceeding with the assistance of counsel reasonably satisfactory to the Indemnified Party if it provides notice of such assumption within fifteen</w:t>
      </w:r>
    </w:p>
    <w:p>
      <w:pPr>
        <w:jc w:val="center"/>
        <w:ind w:left="5200" w:right="180" w:hanging="5196"/>
        <w:spacing w:after="0" w:line="761" w:lineRule="auto"/>
        <w:tabs>
          <w:tab w:leader="none" w:pos="24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days after learning of such claim. The Indemnified Party shall have the right to retain its own counsel, but, subject to Section 12(c) the fees and expenses of such counsel shall be at the Indemnified Party’s own expense.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-189230</wp:posOffset>
            </wp:positionV>
            <wp:extent cx="71780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63" w:name="page164"/>
    <w:bookmarkEnd w:id="163"/>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(c)            In the event that (i) the Client fails to assume the defense within the time period described above, (ii) the Client fails to diligently conduct the defense of the Proceeding, (iii) the Proceeding seeks injunctive or other equitable relief; (iv) the Indemnified Party determines that its interests are or may be adverse, in whole or in part, to the interests of the Client or that there may be legal defenses available to the Indemnified Party that are or may be different from, in addition to, or inconsistent with the defenses available to the Client, or (v) the Client and the Indemnified Party so agree, the Indemnified Party shall have the right to conduct the defense of such claim in good faith. The Indemnified Party shall not settle any Proceeding under this Section 12 without the prior written consent of the Client, which consent shall not be unreasonably withheld or delayed.</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            The Client shall not settle any Proceeding under this Section 12 without the prior written consent of the Indemnified Party, which consent shall not be unreasonably withheld or delayed.</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(e)            The foregoing provisions for indemnification shall be in addition to, and shall in no respect limit or restrict, any other remedies that may be available to a party under this Agreement, at law, in equity or otherwise in connection with any breach of this Agreement.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13.         </w:t>
      </w:r>
      <w:r>
        <w:rPr>
          <w:rFonts w:ascii="Times New Roman" w:cs="Times New Roman" w:eastAsia="Times New Roman" w:hAnsi="Times New Roman"/>
          <w:sz w:val="12"/>
          <w:szCs w:val="12"/>
          <w:u w:val="single" w:color="auto"/>
          <w:color w:val="auto"/>
        </w:rPr>
        <w:t>  Non-Exclusive Services</w:t>
      </w:r>
      <w:r>
        <w:rPr>
          <w:rFonts w:ascii="Times New Roman" w:cs="Times New Roman" w:eastAsia="Times New Roman" w:hAnsi="Times New Roman"/>
          <w:sz w:val="12"/>
          <w:szCs w:val="12"/>
          <w:color w:val="auto"/>
        </w:rPr>
        <w:t>. The Client hereby acknowledges that: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The services provided by the Advisor hereunder are not to be deemed exclusive with respect to Advisor. The Advisor and its affiliates may act as trading advisor or sponsor or in any other capacity with respect to other clients, accounts and pooled investment vehicles (“</w:t>
      </w:r>
      <w:r>
        <w:rPr>
          <w:rFonts w:ascii="Times New Roman" w:cs="Times New Roman" w:eastAsia="Times New Roman" w:hAnsi="Times New Roman"/>
          <w:sz w:val="12"/>
          <w:szCs w:val="12"/>
          <w:u w:val="single" w:color="auto"/>
          <w:color w:val="auto"/>
        </w:rPr>
        <w:t>Other Clients</w:t>
      </w:r>
      <w:r>
        <w:rPr>
          <w:rFonts w:ascii="Times New Roman" w:cs="Times New Roman" w:eastAsia="Times New Roman" w:hAnsi="Times New Roman"/>
          <w:sz w:val="12"/>
          <w:szCs w:val="12"/>
          <w:color w:val="auto"/>
        </w:rPr>
        <w:t>”) and may provide trading management services, give advice and take action with respect to any Other Clients.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(b)            The Advisor and its affiliates may invest in, advise, sponsor and/or act as an advisor, sponsor or general partner or in any other capacity with respect to Other Clients that may have investment objectives similar to those of the Advisor and may compete with the Account for investment opportunities.</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(c)            The Advisor and its affiliates may give advice and engage in transactions or cause or advise Other Clients to engage in transactions that may differ from or be similar or identical to the transactions engaged in by, the advice given, or the timing or nature of action taken, with respect to the Account.</w:t>
      </w:r>
    </w:p>
    <w:p>
      <w:pPr>
        <w:spacing w:after="0" w:line="25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2"/>
          <w:szCs w:val="12"/>
          <w:color w:val="auto"/>
        </w:rPr>
        <w:t>14.          </w:t>
      </w:r>
      <w:r>
        <w:rPr>
          <w:rFonts w:ascii="Times New Roman" w:cs="Times New Roman" w:eastAsia="Times New Roman" w:hAnsi="Times New Roman"/>
          <w:sz w:val="12"/>
          <w:szCs w:val="12"/>
          <w:u w:val="single" w:color="auto"/>
          <w:color w:val="auto"/>
        </w:rPr>
        <w:t>  Confidential Information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(a)            During the term of this Agreement, the Client will have access to (i) trade secrets and other non-public information relating to the Advisor or its affiliates, which may include, but not be limited to: trading or investment strategies, methodologies and results; trading or investment systems; investment positions (whether of the Account or otherwise); risk management models; revenue models; quantitative and other strategies and methodologies, procedures and techniques; business plans and strategies, pricing and other financial information; lists of investors, vendors and suppliers; any confidential information of any such investors, vendors or suppliers; and other proprietary technologies and processes and other proprietary information used by the Advisor in connection with its business and/or that the Advisor or any of its affiliates is obligated to any third party to maintain as confidential, and (ii) information concerning the Advisor’s or its affiliates’ investment or trading performance, including the profits and losses therefrom, return on investment and other performance or “track record” information (collectively, the “Confidential Information”). The Client acknowledges that the Confidential Information is vital, sensitive, confidential and proprietary to the Advisor and/or its affiliates. Notwithstanding the generality of the foregoing, clause (i) of the definition of “Confidential Information” does not include any information, materials, or data that: (x) becomes rightfully known to the Client other than as a result of the performance of the Advisor’s duties under this Agreement; or (y) is or becomes generally available to the public, other than as a result of the Client’s unauthorized direct or indirect acts. For clarity, disclosures made pursuant to Section 14(e) shall not be deemed “unauthorized” for purposes of clause (y). During and after the term of this Agreement, the Client shall (i) hold the Confidential Information in the strictest confidence and take all reasonable precautions to prevent the inadvertent disclosure of Confidential Information to any unauthorized individual or entity; and (ii) not disclose directly or indirectly to any person or entity, including, but not limited to, its affiliates, shareholders, members and investors, or otherwise use the Confidential Information for any purpose whatsoever other than for the purpose of evaluating and monitoring the trading and performance of the Account. Moreover, the Client agrees to reveal the Confidential Information only to such of its representatives, officers, directors and employees who need to know the Confidential Information for the purpose of evaluating the trading and performance of the Account, who are informed by the Client of the confidential nature of the Confidential Information and who agree to treat the Confidential Information as confidential and proprietary, and the Client shall be liable for any breach of this Section 14 by any of such persons or entities.</w:t>
      </w:r>
    </w:p>
    <w:p>
      <w:pPr>
        <w:spacing w:after="0" w:line="13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(b)            During and after the term of this Agreement, the Client shall (i) hold the Confidential Information in the strictest confidence and take all reasonable precautions to prevent the inadvertent disclosure of Confidential Information to any unauthorized individual or entity; and (ii) except as permitted under Section 14(e), not disclose directly or indirectly to any person or entity, including, but not limited to, its affiliates, shareholders, members and investors, or otherwise use the Confidential Information for any purpose whatsoever other than for the purpose of evaluating and monitoring the trading and performance of the Account. Moreover, the Client agrees to reveal the Confidential Information only to such of its representatives, officers, directors and employees who need to know the Confidential Information for the purpose of evaluating the trading and performance of the Account, who are informed by the Client of the confidential nature of the Confidential Information and who agree to treat the Confidential Information as confidential and proprietary, and the Client shall be liable for any breach of this Section 14 by any of such persons or entities.</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            As between the Client and the Advisor, the Advisor is and shall remain the exclusive owner of all rights, title, and interest in and to the Confidential Information.</w:t>
      </w:r>
    </w:p>
    <w:p>
      <w:pPr>
        <w:spacing w:after="0" w:line="1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(d)            Each party acknowledges and agrees that the covenants set forth in this Section 14 (the “Covenants”) are reasonable and necessary for the protection of the Advisor’s business interests, that the Advisor would not have entered into this Agreement without such Covenants, that irreparable injury will result to the Advisor if the Client breaches any of the terms of the Covenants, and that in the event of the actual or threatened breach of any of the Covenants, the Advisor will have no adequate remedy at law. Each party accordingly agrees that in the event of any actual or threatened breach by the Client of any of the Covenants, the Advisor shall be entitled to immediate temporary injunctive and other equitable relief with respect to such actual or threatened breach, without the necessity of showing actual monetary damages or of posting any bond or other security. Nothing contained herein shall be construed as prohibiting the Advisor from pursuing any other remedies available to it for such breach or threatened breach, including the recovery of any damages. The agreements of indemnity contained herein shall be in addition to, and shall in no respect limit or restrict, any other remedies that may be available to the Advisor.</w:t>
      </w:r>
    </w:p>
    <w:p>
      <w:pPr>
        <w:spacing w:after="0" w:line="26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65" w:name="page166"/>
    <w:bookmarkEnd w:id="165"/>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(e)            Notwithstanding anything to the contrary in this Agreement, the Client may disclose Confidential Information to the extent (and only to the extent) required to comply with applicable securities laws, rules and regulations, the rules of any national securities exchange on which the Client’s securities are listed, and the Client’s obligations as a public company, including in current and periodic reports and other filings with the U.S. Securities and Exchange Commission (“SEC”) (including Forms 8-K, 10-Q and 10-K) and any exhibits thereto (“Public Company Obligations”). In connection with any such disclosure, and to the extent legally permissible and practicable, the Client shall: (i) provide the Advisor with reasonable advance notice of the proposed disclosure and the relevant portions of the proposed filing; (ii) consult in good faith with the Advisor regarding the scope of disclosure and any proposed redactions; (iii) use commercially reasonable efforts to limit disclosure to only that portion of the Confidential Information that is required to be disclosed; and (iv) seek confidential treatment, redaction or a protective order to the maximum extent available under applicable law and SEC rules. If advance notice is not legally permissible or practicable, the Client shall provide notice as soon as reasonably practicable thereafter. Any Confidential Information that is publicly disclosed pursuant to this Section 14(e) shall, solely to the extent of such public disclosure, cease to be Confidential Information hereunder. Nothing in this Section 14(e) shall require the Client to disclose any Confidential Information that is not otherwise required to be disclosed by applicable law, regulation or exchange rule.</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            The Advisor is not permitted to disclose the existence of and/or terms of this agreement to any third party without prior written consent of the Client except as required by law.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15.         </w:t>
      </w:r>
      <w:r>
        <w:rPr>
          <w:rFonts w:ascii="Times New Roman" w:cs="Times New Roman" w:eastAsia="Times New Roman" w:hAnsi="Times New Roman"/>
          <w:sz w:val="12"/>
          <w:szCs w:val="12"/>
          <w:u w:val="single" w:color="auto"/>
          <w:color w:val="auto"/>
        </w:rPr>
        <w:t>  Term and Termination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The initial term of this Agreement shall commence on the date hereof and shall continue for ten (10) years, unless terminated in accordance with Section 15(b). Thereafter, the term of this Agreement shall automatically renew for successive one-year periods unless either party gives 90 days’ prior written notice of non-renewal.</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(b)            This Agreement may be terminated as follows: (i) by either party (for any reason or no reason) upon not less than thirty (30) days’ written notice to the other party; (ii) by either party upon a material breach of the Agreement by the other party, unless such breach shall have been cured by the defaulting party or waived by the non-defaulting party within thirty (30) days after receipt of written notice of such breach from the non-defaulting party; or (iii) immediately by one party if the other party is dissolved, becomes insolvent, is unable to pay its debts as they fall due, makes a general assignment, arrangement or composition with or for the benefit of its creditors, institutes or has instituted against it a proceeding seeking a judgment of insolvency or bankruptcy, or if a liquidator, administrator or equivalent is appointed in respect of such party or substantially all of its assets;</w:t>
      </w:r>
    </w:p>
    <w:p>
      <w:pPr>
        <w:jc w:val="both"/>
        <w:ind w:firstLine="4"/>
        <w:spacing w:after="0" w:line="253" w:lineRule="auto"/>
        <w:tabs>
          <w:tab w:leader="none" w:pos="204"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immediately by Advisor for non-payment of Management Fees and expenses in accordance with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and such non-payment has not been cured or waived by the Advisor within thirty (30) days; or (v) by the Advisor upon not less than thirty (30) days’ written notice to the Client if the Advisor has a reasonable basis to believe that continuing the Advisor’s engagement hereunder or continuing the provision of services hereunder would breach applicable law, sanctions, or fiduciary obligations or require the Advisor to register with the Commodity Futures Trading Commission (“</w:t>
      </w:r>
      <w:r>
        <w:rPr>
          <w:rFonts w:ascii="Times New Roman" w:cs="Times New Roman" w:eastAsia="Times New Roman" w:hAnsi="Times New Roman"/>
          <w:sz w:val="12"/>
          <w:szCs w:val="12"/>
          <w:u w:val="single" w:color="auto"/>
          <w:color w:val="auto"/>
        </w:rPr>
        <w:t>CFTC</w:t>
      </w:r>
      <w:r>
        <w:rPr>
          <w:rFonts w:ascii="Times New Roman" w:cs="Times New Roman" w:eastAsia="Times New Roman" w:hAnsi="Times New Roman"/>
          <w:sz w:val="12"/>
          <w:szCs w:val="12"/>
          <w:color w:val="auto"/>
        </w:rPr>
        <w:t>”) as a commodity trading advisor or any other category of CFTC registrant, whether such registration requirement arises out of laws and regulations in place as of the date hereof or future laws and regulations.</w:t>
      </w:r>
    </w:p>
    <w:p>
      <w:pPr>
        <w:spacing w:after="0" w:line="27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66" w:name="page167"/>
    <w:bookmarkEnd w:id="166"/>
    <w:p>
      <w:pPr>
        <w:jc w:val="both"/>
        <w:ind w:left="420" w:firstLine="432"/>
        <w:spacing w:after="0" w:line="254" w:lineRule="auto"/>
        <w:rPr>
          <w:sz w:val="20"/>
          <w:szCs w:val="20"/>
          <w:color w:val="auto"/>
        </w:rPr>
      </w:pPr>
      <w:r>
        <w:rPr>
          <w:rFonts w:ascii="Times New Roman" w:cs="Times New Roman" w:eastAsia="Times New Roman" w:hAnsi="Times New Roman"/>
          <w:sz w:val="12"/>
          <w:szCs w:val="12"/>
          <w:color w:val="auto"/>
        </w:rPr>
        <w:t>(c)            Upon the notice date of any termination of this Agreement (or, at the Client’s written election, upon the giving or receipt of a notice of termination), the Advisor shall immediately suspend initiating or increasing any investment positions for the Account. During such period, the Advisor may effect only those transactions that are reasonably necessary to (A) close out, unwind, hedge, “flatten,” or otherwise reduce or neutralize risk exposure in existing positions, (B) meet margin, collateral, financing, or settlement obligations, (C) correct bona fide trade errors, or (D) implement or respond to corporate actions or other non-discretionary events. The Advisor shall use commercially reasonable efforts to effect any such transactions promptly, consistent with applicable law and in accordance with Exhibit D, except as incidental to the orderly reduction of such exposure. This trading freeze shall remain in effect until the Account is fully liquidated or transferred and all pending transactions have settled, unless otherwise agreed in writing by the Client. In the case of a termination pursuant to clause</w:t>
      </w:r>
    </w:p>
    <w:p>
      <w:pPr>
        <w:spacing w:after="0" w:line="1" w:lineRule="exact"/>
        <w:rPr>
          <w:sz w:val="20"/>
          <w:szCs w:val="20"/>
          <w:color w:val="auto"/>
        </w:rPr>
      </w:pPr>
    </w:p>
    <w:p>
      <w:pPr>
        <w:ind w:left="420" w:right="20" w:firstLine="4"/>
        <w:spacing w:after="0" w:line="260" w:lineRule="auto"/>
        <w:tabs>
          <w:tab w:leader="none" w:pos="636"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of Section 15(b), the trading freeze described in this Section 15(c) shall be effective immediately upon such termination. During such period, Client shall continue to pay Management Fees in accordance with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until such time as the trading freeze is no longer effective.</w:t>
      </w:r>
    </w:p>
    <w:p>
      <w:pPr>
        <w:spacing w:after="0" w:line="122" w:lineRule="exact"/>
        <w:rPr>
          <w:sz w:val="20"/>
          <w:szCs w:val="20"/>
          <w:color w:val="auto"/>
        </w:rPr>
      </w:pPr>
    </w:p>
    <w:p>
      <w:pPr>
        <w:jc w:val="both"/>
        <w:ind w:left="420" w:firstLine="432"/>
        <w:spacing w:after="0" w:line="260" w:lineRule="auto"/>
        <w:rPr>
          <w:sz w:val="20"/>
          <w:szCs w:val="20"/>
          <w:color w:val="auto"/>
        </w:rPr>
      </w:pPr>
      <w:r>
        <w:rPr>
          <w:rFonts w:ascii="Times New Roman" w:cs="Times New Roman" w:eastAsia="Times New Roman" w:hAnsi="Times New Roman"/>
          <w:sz w:val="12"/>
          <w:szCs w:val="12"/>
          <w:color w:val="auto"/>
        </w:rPr>
        <w:t>(d)            Upon the termination date, all accrued, outstanding and unpaid fees and expense pay shall become immediately due and payable. Unless waived by mutual written agreement of the parties, if this Agreement is terminated by the Client pursuant to Section 15(b)(i), in addition to any outstanding Management Fees and expenses owed at termination, the Client shall pay the Advisor, as liquidated damages and not as a penalty, a fee (the “</w:t>
      </w:r>
      <w:r>
        <w:rPr>
          <w:rFonts w:ascii="Times New Roman" w:cs="Times New Roman" w:eastAsia="Times New Roman" w:hAnsi="Times New Roman"/>
          <w:sz w:val="12"/>
          <w:szCs w:val="12"/>
          <w:u w:val="single" w:color="auto"/>
          <w:color w:val="auto"/>
        </w:rPr>
        <w:t>Early Termination Fee</w:t>
      </w:r>
      <w:r>
        <w:rPr>
          <w:rFonts w:ascii="Times New Roman" w:cs="Times New Roman" w:eastAsia="Times New Roman" w:hAnsi="Times New Roman"/>
          <w:sz w:val="12"/>
          <w:szCs w:val="12"/>
          <w:color w:val="auto"/>
        </w:rPr>
        <w:t xml:space="preserve">") equal to the sum of the unearned Management Fees that would have become due for the remainder of the applicable term using the most recent measurement of the Advisor's Assets Under Management (as defined in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The Client shall pay the Early Termination Fee to the Advisor within five (5) business days following the termination date or such other time mutually agreed upon by the parties.</w:t>
      </w:r>
    </w:p>
    <w:p>
      <w:pPr>
        <w:spacing w:after="0" w:line="122" w:lineRule="exact"/>
        <w:rPr>
          <w:sz w:val="20"/>
          <w:szCs w:val="20"/>
          <w:color w:val="auto"/>
        </w:rPr>
      </w:pPr>
    </w:p>
    <w:p>
      <w:pPr>
        <w:jc w:val="both"/>
        <w:ind w:left="420" w:firstLine="432"/>
        <w:spacing w:after="0" w:line="279" w:lineRule="auto"/>
        <w:rPr>
          <w:sz w:val="20"/>
          <w:szCs w:val="20"/>
          <w:color w:val="auto"/>
        </w:rPr>
      </w:pPr>
      <w:r>
        <w:rPr>
          <w:rFonts w:ascii="Times New Roman" w:cs="Times New Roman" w:eastAsia="Times New Roman" w:hAnsi="Times New Roman"/>
          <w:sz w:val="12"/>
          <w:szCs w:val="12"/>
          <w:color w:val="auto"/>
        </w:rPr>
        <w:t>(e)            The following shall survive the termination of this Agreement: (i) each party’s accrued rights and obligations as of the date of termination and (ii) the provisions of Sections 11, 12, 14, 15(c), 15(d), and 23 through 35.</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16.         </w:t>
      </w:r>
      <w:r>
        <w:rPr>
          <w:rFonts w:ascii="Times New Roman" w:cs="Times New Roman" w:eastAsia="Times New Roman" w:hAnsi="Times New Roman"/>
          <w:sz w:val="12"/>
          <w:szCs w:val="12"/>
          <w:u w:val="single" w:color="auto"/>
          <w:color w:val="auto"/>
        </w:rPr>
        <w:t>  Independent Contractor</w:t>
      </w:r>
      <w:r>
        <w:rPr>
          <w:rFonts w:ascii="Times New Roman" w:cs="Times New Roman" w:eastAsia="Times New Roman" w:hAnsi="Times New Roman"/>
          <w:sz w:val="12"/>
          <w:szCs w:val="12"/>
          <w:color w:val="auto"/>
        </w:rPr>
        <w:t>. For all purposes of this Agreement, the Advisor shall be an independent contractor and not an agent, employee, partner or joint venturer of the Client and shall, unless otherwise expressly authorized, have no authority to act for or to represent the Client in any way. Nothing in this Agreement shall be construed as making the Client an employee, agent, partner or joint venturer with the Advisor and its affiliates.</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17.         </w:t>
      </w:r>
      <w:r>
        <w:rPr>
          <w:rFonts w:ascii="Times New Roman" w:cs="Times New Roman" w:eastAsia="Times New Roman" w:hAnsi="Times New Roman"/>
          <w:sz w:val="12"/>
          <w:szCs w:val="12"/>
          <w:u w:val="single" w:color="auto"/>
          <w:color w:val="auto"/>
        </w:rPr>
        <w:t>  Force Majeure</w:t>
      </w:r>
      <w:r>
        <w:rPr>
          <w:rFonts w:ascii="Times New Roman" w:cs="Times New Roman" w:eastAsia="Times New Roman" w:hAnsi="Times New Roman"/>
          <w:sz w:val="12"/>
          <w:szCs w:val="12"/>
          <w:color w:val="auto"/>
        </w:rPr>
        <w:t>. Notwithstanding any other provision contained in this Agreement, no party shall be liable for any action taken, delay or any failure to take any action required to be taken hereunder or otherwise to fulfill its obligations hereunder in the event and to the extent that the taking of such action, delay or such failure arises out of or is caused by or directly or indirectly due to war, act of terrorism, insurrection, riot, labor disputes, civil commotion, act of God, accident, fire, water damage, loss of power, explosion, any law, decree, regulation or order of any government or governmental body (including any court or tribunal), L1/L2 protocol events, technological outages or failures, chain halts, material network congestion, and extraordinary market dislocations, or any other cause (whether similar or dissimilar to any of the foregoing) whatsoever beyond its reasonable control or the reasonable control of any delegate. The non-performing party shall use all reasonable efforts to minimize the effect of any force majeure. In any such event, the non-performing party shall be excused from any further performance and observance of the obligations so affected only for so long as such circumstances prevail and such party continues to use commercially reasonable efforts to recommence performance or observance as soon as practicable.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18.         </w:t>
      </w:r>
      <w:r>
        <w:rPr>
          <w:rFonts w:ascii="Times New Roman" w:cs="Times New Roman" w:eastAsia="Times New Roman" w:hAnsi="Times New Roman"/>
          <w:sz w:val="12"/>
          <w:szCs w:val="12"/>
          <w:u w:val="single" w:color="auto"/>
          <w:color w:val="auto"/>
        </w:rPr>
        <w:t>  Assignment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center"/>
        <w:ind w:left="5580" w:right="580" w:hanging="4724"/>
        <w:spacing w:after="0" w:line="780" w:lineRule="auto"/>
        <w:tabs>
          <w:tab w:leader="none" w:pos="1015"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Client. The Client may not assign, by operation of law or otherwise, all or any portion of its rights, obligations or liabilities under this Agreement without the express prior written consent of the Advisor.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-196215</wp:posOffset>
            </wp:positionV>
            <wp:extent cx="717804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7" w:name="page168"/>
    <w:bookmarkEnd w:id="167"/>
    <w:p>
      <w:pPr>
        <w:jc w:val="both"/>
        <w:ind w:left="860" w:hanging="4"/>
        <w:spacing w:after="0" w:line="265" w:lineRule="auto"/>
        <w:tabs>
          <w:tab w:leader="none" w:pos="1028"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Advisor—Affiliates. The Advisor may assign all or any portion of its rights, obligations, or liabilities under this Agreement to any Affiliate (meaning an entity controlling, controlled by, or under common control with the Advisor) upon at least 5 business days’ prior written notice to the Client, provided that (i) the assignee assumes this Agreement in writing effective as of the assignment; and (ii) the Advisor remains jointly and severally liable for obligations accrued prior to the effective date of such assignment.</w:t>
      </w:r>
    </w:p>
    <w:p>
      <w:pPr>
        <w:spacing w:after="0" w:line="118" w:lineRule="exact"/>
        <w:rPr>
          <w:rFonts w:ascii="Times New Roman" w:cs="Times New Roman" w:eastAsia="Times New Roman" w:hAnsi="Times New Roman"/>
          <w:sz w:val="12"/>
          <w:szCs w:val="12"/>
          <w:color w:val="auto"/>
        </w:rPr>
      </w:pPr>
    </w:p>
    <w:p>
      <w:pPr>
        <w:jc w:val="both"/>
        <w:ind w:left="860" w:hanging="4"/>
        <w:spacing w:after="0" w:line="265" w:lineRule="auto"/>
        <w:tabs>
          <w:tab w:leader="none" w:pos="101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Advisor—Successor Assignments (Consent Required). The Advisor shall not assign this Agreement, in whole or in part, to any Successor (including any purchaser of all or substantially all of the Advisor’s business or assets, or any acquirer in a merger, consolidation, change of control or similar transaction) without the Client’s prior written consent, which shall not be unreasonably withheld. The Advisor will provide the Client with at least 30 days’ prior written notice of any proposed Successor assignment (or, if earlier notice is not legally permissible, then as soon as reasonably practicable).</w:t>
      </w:r>
    </w:p>
    <w:p>
      <w:pPr>
        <w:spacing w:after="0" w:line="118" w:lineRule="exact"/>
        <w:rPr>
          <w:rFonts w:ascii="Times New Roman" w:cs="Times New Roman" w:eastAsia="Times New Roman" w:hAnsi="Times New Roman"/>
          <w:sz w:val="12"/>
          <w:szCs w:val="12"/>
          <w:color w:val="auto"/>
        </w:rPr>
      </w:pPr>
    </w:p>
    <w:p>
      <w:pPr>
        <w:ind w:left="860" w:right="20" w:hanging="4"/>
        <w:spacing w:after="0" w:line="279" w:lineRule="auto"/>
        <w:tabs>
          <w:tab w:leader="none" w:pos="1032"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Definition of “Assignment.” For purposes of this Section 18, “assign” and “assignment” include any direct or indirect assignment of this Agreement or of a controlling interest in the Advisor, whether by operation of law, merger, consolidation, sale of equity or assets, change of control, or otherwise.</w:t>
      </w:r>
    </w:p>
    <w:p>
      <w:pPr>
        <w:spacing w:after="0" w:line="111" w:lineRule="exact"/>
        <w:rPr>
          <w:rFonts w:ascii="Times New Roman" w:cs="Times New Roman" w:eastAsia="Times New Roman" w:hAnsi="Times New Roman"/>
          <w:sz w:val="12"/>
          <w:szCs w:val="12"/>
          <w:color w:val="auto"/>
        </w:rPr>
      </w:pPr>
    </w:p>
    <w:p>
      <w:pPr>
        <w:ind w:left="860" w:right="20" w:hanging="4"/>
        <w:spacing w:after="0" w:line="279" w:lineRule="auto"/>
        <w:tabs>
          <w:tab w:leader="none" w:pos="1019"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Assumption; Continuing Liability. No assignment shall be effective unless the assignee assumes this Agreement in writing, but no assignment (whether or not permitted) shall relieve the Advisor of any obligations or liabilities accrued prior to the effective date of such assignment.</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19.         </w:t>
      </w:r>
      <w:r>
        <w:rPr>
          <w:rFonts w:ascii="Times New Roman" w:cs="Times New Roman" w:eastAsia="Times New Roman" w:hAnsi="Times New Roman"/>
          <w:sz w:val="12"/>
          <w:szCs w:val="12"/>
          <w:u w:val="single" w:color="auto"/>
          <w:color w:val="auto"/>
        </w:rPr>
        <w:t>  Successors</w:t>
      </w:r>
      <w:r>
        <w:rPr>
          <w:rFonts w:ascii="Times New Roman" w:cs="Times New Roman" w:eastAsia="Times New Roman" w:hAnsi="Times New Roman"/>
          <w:sz w:val="12"/>
          <w:szCs w:val="12"/>
          <w:color w:val="auto"/>
        </w:rPr>
        <w:t>. This Agreement shall be binding upon and inure to the benefit of the parties hereto and the successors and permitted assigns of each of them, and no other person or entity (except as otherwise provided herein) shall have any right or obligation under this Agreement.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20.         </w:t>
      </w:r>
      <w:r>
        <w:rPr>
          <w:rFonts w:ascii="Times New Roman" w:cs="Times New Roman" w:eastAsia="Times New Roman" w:hAnsi="Times New Roman"/>
          <w:sz w:val="12"/>
          <w:szCs w:val="12"/>
          <w:u w:val="single" w:color="auto"/>
          <w:color w:val="auto"/>
        </w:rPr>
        <w:t>  Key Person Provision; Immediate Termination Right</w:t>
      </w:r>
      <w:r>
        <w:rPr>
          <w:rFonts w:ascii="Times New Roman" w:cs="Times New Roman" w:eastAsia="Times New Roman" w:hAnsi="Times New Roman"/>
          <w:sz w:val="12"/>
          <w:szCs w:val="12"/>
          <w:color w:val="auto"/>
        </w:rPr>
        <w:t xml:space="preserve">. The following individuals are designated as Key Persons identified in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 xml:space="preserve"> (each, a “</w:t>
      </w:r>
      <w:r>
        <w:rPr>
          <w:rFonts w:ascii="Times New Roman" w:cs="Times New Roman" w:eastAsia="Times New Roman" w:hAnsi="Times New Roman"/>
          <w:sz w:val="12"/>
          <w:szCs w:val="12"/>
          <w:u w:val="single" w:color="auto"/>
          <w:color w:val="auto"/>
        </w:rPr>
        <w:t>Key Person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firstLine="436"/>
        <w:spacing w:after="0" w:line="279" w:lineRule="auto"/>
        <w:tabs>
          <w:tab w:leader="none" w:pos="103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Key Person Event. A Key Person Event occurs if both Key Persons (i) cease to be employed or engaged by the Advisor or an Affiliate, (ii) cease to have day-to-day portfolio management responsibility for, or oversight of, the Account, or (iii) become unable to perform such responsibilities on a continuing basis.</w:t>
      </w:r>
    </w:p>
    <w:p>
      <w:pPr>
        <w:spacing w:after="0" w:line="111" w:lineRule="exact"/>
        <w:rPr>
          <w:rFonts w:ascii="Times New Roman" w:cs="Times New Roman" w:eastAsia="Times New Roman" w:hAnsi="Times New Roman"/>
          <w:sz w:val="12"/>
          <w:szCs w:val="12"/>
          <w:color w:val="auto"/>
        </w:rPr>
      </w:pPr>
    </w:p>
    <w:p>
      <w:pPr>
        <w:ind w:left="1020" w:hanging="164"/>
        <w:spacing w:after="0"/>
        <w:tabs>
          <w:tab w:leader="none" w:pos="102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Client Rights Upon a Key Person Event. Upon any Key Person Event, the Client may, in its sole discretion:</w:t>
      </w:r>
    </w:p>
    <w:p>
      <w:pPr>
        <w:spacing w:after="0" w:line="150" w:lineRule="exact"/>
        <w:rPr>
          <w:rFonts w:ascii="Times New Roman" w:cs="Times New Roman" w:eastAsia="Times New Roman" w:hAnsi="Times New Roman"/>
          <w:sz w:val="12"/>
          <w:szCs w:val="12"/>
          <w:color w:val="auto"/>
        </w:rPr>
      </w:pPr>
    </w:p>
    <w:p>
      <w:pPr>
        <w:ind w:left="1440" w:hanging="152"/>
        <w:spacing w:after="0"/>
        <w:tabs>
          <w:tab w:leader="none" w:pos="1440"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terminate this Agreement immediately upon written notice, with no early termination fee or penalty (fees pro-rated through the effective time of termination); and/or</w:t>
      </w:r>
    </w:p>
    <w:p>
      <w:pPr>
        <w:spacing w:after="0" w:line="150" w:lineRule="exact"/>
        <w:rPr>
          <w:rFonts w:ascii="Times New Roman" w:cs="Times New Roman" w:eastAsia="Times New Roman" w:hAnsi="Times New Roman"/>
          <w:sz w:val="12"/>
          <w:szCs w:val="12"/>
          <w:color w:val="auto"/>
        </w:rPr>
      </w:pPr>
    </w:p>
    <w:p>
      <w:pPr>
        <w:ind w:left="860" w:right="20" w:firstLine="428"/>
        <w:spacing w:after="0" w:line="279" w:lineRule="auto"/>
        <w:tabs>
          <w:tab w:leader="none" w:pos="1489"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impose immediate trading restrictions pending the Client’s decision to continue or terminate. Any such restrictions shall not limit transactions reasonably necessary to reduce or hedge risk, meet margin/collateral calls, or settle pending trades.</w:t>
      </w:r>
    </w:p>
    <w:p>
      <w:pPr>
        <w:spacing w:after="0" w:line="111" w:lineRule="exact"/>
        <w:rPr>
          <w:sz w:val="20"/>
          <w:szCs w:val="20"/>
          <w:color w:val="auto"/>
        </w:rPr>
      </w:pPr>
    </w:p>
    <w:p>
      <w:pPr>
        <w:ind w:left="420" w:right="4300" w:firstLine="868"/>
        <w:spacing w:after="0" w:line="600" w:lineRule="auto"/>
        <w:tabs>
          <w:tab w:leader="none" w:pos="1454" w:val="left"/>
        </w:tabs>
        <w:numPr>
          <w:ilvl w:val="0"/>
          <w:numId w:val="1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Notice. The Advisor shall promptly notify the Client in writing upon becoming aware of any Key Person Event. 21.         </w:t>
      </w:r>
      <w:r>
        <w:rPr>
          <w:rFonts w:ascii="Times New Roman" w:cs="Times New Roman" w:eastAsia="Times New Roman" w:hAnsi="Times New Roman"/>
          <w:sz w:val="11"/>
          <w:szCs w:val="11"/>
          <w:u w:val="single" w:color="auto"/>
          <w:color w:val="auto"/>
        </w:rPr>
        <w:t>  Amendment or Modification</w:t>
      </w:r>
      <w:r>
        <w:rPr>
          <w:rFonts w:ascii="Times New Roman" w:cs="Times New Roman" w:eastAsia="Times New Roman" w:hAnsi="Times New Roman"/>
          <w:sz w:val="11"/>
          <w:szCs w:val="11"/>
          <w:color w:val="auto"/>
        </w:rPr>
        <w:t>. This Agreement may not be amended or modified except by the written consent of all parties hereto.</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8" w:name="page169"/>
    <w:bookmarkEnd w:id="168"/>
    <w:p>
      <w:pPr>
        <w:ind w:left="428"/>
        <w:spacing w:after="0"/>
        <w:rPr>
          <w:sz w:val="20"/>
          <w:szCs w:val="20"/>
          <w:color w:val="auto"/>
        </w:rPr>
      </w:pPr>
      <w:r>
        <w:rPr>
          <w:rFonts w:ascii="Times New Roman" w:cs="Times New Roman" w:eastAsia="Times New Roman" w:hAnsi="Times New Roman"/>
          <w:sz w:val="11"/>
          <w:szCs w:val="11"/>
          <w:color w:val="auto"/>
        </w:rPr>
        <w:t>22.          </w:t>
      </w:r>
      <w:r>
        <w:rPr>
          <w:rFonts w:ascii="Times New Roman" w:cs="Times New Roman" w:eastAsia="Times New Roman" w:hAnsi="Times New Roman"/>
          <w:sz w:val="11"/>
          <w:szCs w:val="11"/>
          <w:u w:val="single" w:color="auto"/>
          <w:color w:val="auto"/>
        </w:rPr>
        <w:t>  Notices</w:t>
      </w:r>
      <w:r>
        <w:rPr>
          <w:rFonts w:ascii="Times New Roman" w:cs="Times New Roman" w:eastAsia="Times New Roman" w:hAnsi="Times New Roman"/>
          <w:sz w:val="11"/>
          <w:szCs w:val="11"/>
          <w:color w:val="auto"/>
        </w:rPr>
        <w:t>. Whenever notice is required to be given by the provisions of this Agreement, such notice shall, except as otherwise specifically provided herein, be in writing and shall be deemed to have been duly given upon</w:t>
      </w:r>
    </w:p>
    <w:p>
      <w:pPr>
        <w:spacing w:after="0" w:line="28" w:lineRule="exact"/>
        <w:rPr>
          <w:sz w:val="20"/>
          <w:szCs w:val="20"/>
          <w:color w:val="auto"/>
        </w:rPr>
      </w:pPr>
    </w:p>
    <w:p>
      <w:pPr>
        <w:ind w:left="148" w:hanging="148"/>
        <w:spacing w:after="0"/>
        <w:tabs>
          <w:tab w:leader="none" w:pos="148"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such notice is delivered personally to the recipient, (ii) one (1) business day after delivery to the recipient by reputable overnight courier service (charges prepaid), (iii) in the case of email, upon confirmation of receipt, or</w:t>
      </w:r>
    </w:p>
    <w:p>
      <w:pPr>
        <w:spacing w:after="0" w:line="6" w:lineRule="exact"/>
        <w:rPr>
          <w:rFonts w:ascii="Times New Roman" w:cs="Times New Roman" w:eastAsia="Times New Roman" w:hAnsi="Times New Roman"/>
          <w:sz w:val="12"/>
          <w:szCs w:val="12"/>
          <w:color w:val="auto"/>
        </w:rPr>
      </w:pPr>
    </w:p>
    <w:p>
      <w:pPr>
        <w:ind w:left="8" w:right="20" w:hanging="8"/>
        <w:spacing w:after="0" w:line="260" w:lineRule="auto"/>
        <w:tabs>
          <w:tab w:leader="none" w:pos="221"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five (5) calendar days after the date mailed to the recipient by certified or registered mail, return receipt requested and postage prepaid. Such notices shall be sent to the following addresses (or such other addresses as may be designated by a party by giving notice in accordance with this Section 22):</w:t>
      </w:r>
    </w:p>
    <w:p>
      <w:pPr>
        <w:spacing w:after="0" w:line="12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If to the Advisor:</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Pantera Capital Management LP</w:t>
      </w:r>
    </w:p>
    <w:p>
      <w:pPr>
        <w:spacing w:after="0" w:line="1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600 Montgomery St, 45th Floor</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San Francisco, CA, 94111</w:t>
      </w:r>
    </w:p>
    <w:p>
      <w:pPr>
        <w:spacing w:after="0" w:line="13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If to the Client: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Helius Medical Technologies, Inc.</w:t>
      </w:r>
    </w:p>
    <w:p>
      <w:pPr>
        <w:spacing w:after="0" w:line="1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642 Newtown Yardley Road, Suite 100</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Newtown, Pennsylvania 18940</w:t>
      </w:r>
    </w:p>
    <w:p>
      <w:pPr>
        <w:spacing w:after="0" w:line="13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23.         </w:t>
      </w:r>
      <w:r>
        <w:rPr>
          <w:rFonts w:ascii="Times New Roman" w:cs="Times New Roman" w:eastAsia="Times New Roman" w:hAnsi="Times New Roman"/>
          <w:sz w:val="12"/>
          <w:szCs w:val="12"/>
          <w:u w:val="single" w:color="auto"/>
          <w:color w:val="auto"/>
        </w:rPr>
        <w:t>  Severability</w:t>
      </w:r>
      <w:r>
        <w:rPr>
          <w:rFonts w:ascii="Times New Roman" w:cs="Times New Roman" w:eastAsia="Times New Roman" w:hAnsi="Times New Roman"/>
          <w:sz w:val="12"/>
          <w:szCs w:val="12"/>
          <w:color w:val="auto"/>
        </w:rPr>
        <w:t>. If any provision of this Agreement, or the application of any provision to any person, entity or circumstance, shall be held to be inconsistent with any present or future law, ruling, rule or regulation of any court or governmental or regulatory authority having jurisdiction over the subject matter hereof, such provision shall be deemed to be rescinded or modified in accordance with such law, ruling, rule, or regulation and the remainder of this Agreement, or the application of such provision to persons, entities or circumstances other than those as to which it shall be held inconsistent, shall not be affected thereby.</w:t>
      </w:r>
    </w:p>
    <w:p>
      <w:pPr>
        <w:spacing w:after="0" w:line="119"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24.         </w:t>
      </w:r>
      <w:r>
        <w:rPr>
          <w:rFonts w:ascii="Times New Roman" w:cs="Times New Roman" w:eastAsia="Times New Roman" w:hAnsi="Times New Roman"/>
          <w:sz w:val="12"/>
          <w:szCs w:val="12"/>
          <w:u w:val="single" w:color="auto"/>
          <w:color w:val="auto"/>
        </w:rPr>
        <w:t>  No Waiver</w:t>
      </w:r>
      <w:r>
        <w:rPr>
          <w:rFonts w:ascii="Times New Roman" w:cs="Times New Roman" w:eastAsia="Times New Roman" w:hAnsi="Times New Roman"/>
          <w:sz w:val="12"/>
          <w:szCs w:val="12"/>
          <w:color w:val="auto"/>
        </w:rPr>
        <w:t>. 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Any waiver granted hereunder must be in writing and shall be valid only in the specific instance in which given.</w:t>
      </w:r>
    </w:p>
    <w:p>
      <w:pPr>
        <w:spacing w:after="0" w:line="111"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25.         </w:t>
      </w:r>
      <w:r>
        <w:rPr>
          <w:rFonts w:ascii="Times New Roman" w:cs="Times New Roman" w:eastAsia="Times New Roman" w:hAnsi="Times New Roman"/>
          <w:sz w:val="12"/>
          <w:szCs w:val="12"/>
          <w:u w:val="single" w:color="auto"/>
          <w:color w:val="auto"/>
        </w:rPr>
        <w:t>  Governing Law</w:t>
      </w:r>
      <w:r>
        <w:rPr>
          <w:rFonts w:ascii="Times New Roman" w:cs="Times New Roman" w:eastAsia="Times New Roman" w:hAnsi="Times New Roman"/>
          <w:sz w:val="12"/>
          <w:szCs w:val="12"/>
          <w:color w:val="auto"/>
        </w:rPr>
        <w:t>. The parties agree that this Agreement shall be governed by and construed in accordance with the laws of the Cayman Islands (excluding any conflicts of laws rule or principle that may require the application of or reference to the law of any other jurisdiction), as the same may be amended from time to time.</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26.         </w:t>
      </w:r>
      <w:r>
        <w:rPr>
          <w:rFonts w:ascii="Times New Roman" w:cs="Times New Roman" w:eastAsia="Times New Roman" w:hAnsi="Times New Roman"/>
          <w:sz w:val="12"/>
          <w:szCs w:val="12"/>
          <w:u w:val="single" w:color="auto"/>
          <w:color w:val="auto"/>
        </w:rPr>
        <w:t>  Venue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428" w:firstLine="432"/>
        <w:spacing w:after="0" w:line="257" w:lineRule="auto"/>
        <w:rPr>
          <w:sz w:val="20"/>
          <w:szCs w:val="20"/>
          <w:color w:val="auto"/>
        </w:rPr>
      </w:pPr>
      <w:r>
        <w:rPr>
          <w:rFonts w:ascii="Times New Roman" w:cs="Times New Roman" w:eastAsia="Times New Roman" w:hAnsi="Times New Roman"/>
          <w:sz w:val="12"/>
          <w:szCs w:val="12"/>
          <w:color w:val="auto"/>
        </w:rPr>
        <w:t>(a)            The parties hereby agree that any suit, action, or proceeding arising directly, indirectly, or otherwise, in connection with, out of, related to, or from, this Agreement, any breach hereof, or any transaction covered hereby, shall be resolved exclusively within the Cayman Islands. Accordingly, the parties irrevocably consent and submit to the exclusive jurisdiction of such courts located within the Cayman Islands and may not claim that any such suit, action, or proceedings has been brought in an inconvenient forum. The parties hereby further irrevocably consent to the service of process out of any of the aforesaid courts. Nothing contained herein shall affect the right of the parties to commence any action, suit, or proceeding or otherwise to proceed against the other party in any other jurisdiction or to service of process upon the other party in any manner permitted by any applicable law in any relevant jurisdiction</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69" w:name="page170"/>
    <w:bookmarkEnd w:id="169"/>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27.         </w:t>
      </w:r>
      <w:r>
        <w:rPr>
          <w:rFonts w:ascii="Times New Roman" w:cs="Times New Roman" w:eastAsia="Times New Roman" w:hAnsi="Times New Roman"/>
          <w:sz w:val="12"/>
          <w:szCs w:val="12"/>
          <w:u w:val="single" w:color="auto"/>
          <w:color w:val="auto"/>
        </w:rPr>
        <w:t>  Consequential Damages</w:t>
      </w:r>
      <w:r>
        <w:rPr>
          <w:rFonts w:ascii="Times New Roman" w:cs="Times New Roman" w:eastAsia="Times New Roman" w:hAnsi="Times New Roman"/>
          <w:sz w:val="12"/>
          <w:szCs w:val="12"/>
          <w:color w:val="auto"/>
        </w:rPr>
        <w:t>. IN NO EVENT WILL THE ADVISOR BE LIABLE FOR ANY CONSEQUENTIAL, INCIDENTAL, INDIRECT, SPECIAL OR PUNITIVE DAMAGES WHATSOEVER (INCLUDING WITHOUT LIMITATION, DAMAGES FOR LOSS OF PROFITS, LOSS OF USE, BUSINESS INTERRUPTION, LOSS OF DATA OR OTHER PECUNIARY LOSS), IN CONNECTION WITH THIS AGREEMENT, WHETHER BASED UPON CONTRACT, TORT OR ANY OTHER LEGAL THEORY, INCLUDING NEGLIGENCE, EVEN IF THE ADVISOR HAS BEEN ADVISED OF THE POSSIBILITY OF SUCH DAMAGES.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28.         </w:t>
      </w:r>
      <w:r>
        <w:rPr>
          <w:rFonts w:ascii="Times New Roman" w:cs="Times New Roman" w:eastAsia="Times New Roman" w:hAnsi="Times New Roman"/>
          <w:sz w:val="12"/>
          <w:szCs w:val="12"/>
          <w:u w:val="single" w:color="auto"/>
          <w:color w:val="auto"/>
        </w:rPr>
        <w:t>  Headings</w:t>
      </w:r>
      <w:r>
        <w:rPr>
          <w:rFonts w:ascii="Times New Roman" w:cs="Times New Roman" w:eastAsia="Times New Roman" w:hAnsi="Times New Roman"/>
          <w:sz w:val="12"/>
          <w:szCs w:val="12"/>
          <w:color w:val="auto"/>
        </w:rPr>
        <w:t>. Headings to sections herein are for the convenience of the parties only, and are not intended to be or to affect the meaning or interpretation of this Agreement.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29.         </w:t>
      </w:r>
      <w:r>
        <w:rPr>
          <w:rFonts w:ascii="Times New Roman" w:cs="Times New Roman" w:eastAsia="Times New Roman" w:hAnsi="Times New Roman"/>
          <w:sz w:val="12"/>
          <w:szCs w:val="12"/>
          <w:u w:val="single" w:color="auto"/>
          <w:color w:val="auto"/>
        </w:rPr>
        <w:t>  Complete Agreement</w:t>
      </w:r>
      <w:r>
        <w:rPr>
          <w:rFonts w:ascii="Times New Roman" w:cs="Times New Roman" w:eastAsia="Times New Roman" w:hAnsi="Times New Roman"/>
          <w:sz w:val="12"/>
          <w:szCs w:val="12"/>
          <w:color w:val="auto"/>
        </w:rPr>
        <w:t>. Except as otherwise provided herein, this Agreement, including the Exhibits attached hereto, constitutes the entire agreement between the parties with respect to the matters referred to herein, and no other agreement, verbal or otherwise, shall be binding upon the parties hereto with respect to the subject matter herein.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30.         </w:t>
      </w:r>
      <w:r>
        <w:rPr>
          <w:rFonts w:ascii="Times New Roman" w:cs="Times New Roman" w:eastAsia="Times New Roman" w:hAnsi="Times New Roman"/>
          <w:sz w:val="12"/>
          <w:szCs w:val="12"/>
          <w:u w:val="single" w:color="auto"/>
          <w:color w:val="auto"/>
        </w:rPr>
        <w:t>  Counterparts</w:t>
      </w:r>
      <w:r>
        <w:rPr>
          <w:rFonts w:ascii="Times New Roman" w:cs="Times New Roman" w:eastAsia="Times New Roman" w:hAnsi="Times New Roman"/>
          <w:sz w:val="12"/>
          <w:szCs w:val="12"/>
          <w:color w:val="auto"/>
        </w:rPr>
        <w:t>. This Agreement may be executed in one or more counterparts, each of which shall be deemed an original and all of which, when taken together, shall constitute one original instrument.</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31.         </w:t>
      </w:r>
      <w:r>
        <w:rPr>
          <w:rFonts w:ascii="Times New Roman" w:cs="Times New Roman" w:eastAsia="Times New Roman" w:hAnsi="Times New Roman"/>
          <w:sz w:val="12"/>
          <w:szCs w:val="12"/>
          <w:u w:val="single" w:color="auto"/>
          <w:color w:val="auto"/>
        </w:rPr>
        <w:t>  No Third-Party Beneficiaries</w:t>
      </w:r>
      <w:r>
        <w:rPr>
          <w:rFonts w:ascii="Times New Roman" w:cs="Times New Roman" w:eastAsia="Times New Roman" w:hAnsi="Times New Roman"/>
          <w:sz w:val="12"/>
          <w:szCs w:val="12"/>
          <w:color w:val="auto"/>
        </w:rPr>
        <w:t>. Nothing contained in this Agreement, express or implied, is intended to confer upon any person or entity, other than the parties and any permitted successors and assigns hereto, any rights or remedies under or by reason of this Agreement, other than Sections 11 and 12 (which are intended to be for the benefit of the persons and entities covered thereby and may be enforced by such parties). The terms “successors” and “assigns” shall not include any members, shareholders or investors of the Client and no members, shareholders or investors of the Client shall have any rights or otherwise be a third party beneficiary hereunder.</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32.         </w:t>
      </w:r>
      <w:r>
        <w:rPr>
          <w:rFonts w:ascii="Times New Roman" w:cs="Times New Roman" w:eastAsia="Times New Roman" w:hAnsi="Times New Roman"/>
          <w:sz w:val="12"/>
          <w:szCs w:val="12"/>
          <w:u w:val="single" w:color="auto"/>
          <w:color w:val="auto"/>
        </w:rPr>
        <w:t>  Consent to Electronic Delivery</w:t>
      </w:r>
      <w:r>
        <w:rPr>
          <w:rFonts w:ascii="Times New Roman" w:cs="Times New Roman" w:eastAsia="Times New Roman" w:hAnsi="Times New Roman"/>
          <w:sz w:val="12"/>
          <w:szCs w:val="12"/>
          <w:color w:val="auto"/>
        </w:rPr>
        <w:t>. The Client hereby consents to the delivery of documents (including, but not limited to, privacy notices and periodic account statements) and communications hereunder by electronic mail in lieu of paper copies, at the e-mail address set forth on the signature page hereto (as may be updated by the Client from time to time). Such e-mail correspondence sent to the Client shall include either an attached copy of, or hyperlink to, any documents being transmitted thereby. Documents delivered by e-mail notification may be in HTML or standard PDF format, and delivery by such method shall constitute good and effective delivery of the documents hereunder. The Client agrees to promptly notify the Advisor of any changes to its e-mail address set forth herein, or in the event that the Client (i) is unable to receive or access e-mail correspondence or any document or document link included in any e-mail correspondence, or (ii) does not receive expected e-mail correspondence from the Advisor.</w:t>
      </w:r>
    </w:p>
    <w:p>
      <w:pPr>
        <w:spacing w:after="0" w:line="12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33.         </w:t>
      </w:r>
      <w:r>
        <w:rPr>
          <w:rFonts w:ascii="Times New Roman" w:cs="Times New Roman" w:eastAsia="Times New Roman" w:hAnsi="Times New Roman"/>
          <w:sz w:val="12"/>
          <w:szCs w:val="12"/>
          <w:u w:val="single" w:color="auto"/>
          <w:color w:val="auto"/>
        </w:rPr>
        <w:t>  No Strict Construction</w:t>
      </w:r>
      <w:r>
        <w:rPr>
          <w:rFonts w:ascii="Times New Roman" w:cs="Times New Roman" w:eastAsia="Times New Roman" w:hAnsi="Times New Roman"/>
          <w:sz w:val="12"/>
          <w:szCs w:val="12"/>
          <w:color w:val="auto"/>
        </w:rPr>
        <w:t>. The language used in this Agreement shall be deemed to be the language chosen by the parties to this Agreement to express their mutual intent, and no rule of strict construction shall be applied against any party to this Agreement.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34.         </w:t>
      </w:r>
      <w:r>
        <w:rPr>
          <w:rFonts w:ascii="Times New Roman" w:cs="Times New Roman" w:eastAsia="Times New Roman" w:hAnsi="Times New Roman"/>
          <w:sz w:val="12"/>
          <w:szCs w:val="12"/>
          <w:u w:val="single" w:color="auto"/>
          <w:color w:val="auto"/>
        </w:rPr>
        <w:t>  Material Non-Public Information</w:t>
      </w:r>
      <w:r>
        <w:rPr>
          <w:rFonts w:ascii="Times New Roman" w:cs="Times New Roman" w:eastAsia="Times New Roman" w:hAnsi="Times New Roman"/>
          <w:sz w:val="12"/>
          <w:szCs w:val="12"/>
          <w:color w:val="auto"/>
        </w:rPr>
        <w:t>. The Client shall not provide the Advisor with material non-public information about the Client or its financings/transactions. If material non-public information is provided inadvertently, the Advisor may suspend services as needed to implement remedial measures and is excused from performance without breach. Nothing herein imposes trading blackouts on Advisor for other clients or requires Advisor to seek or accept material non-public information.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0" w:name="page171"/>
    <w:bookmarkEnd w:id="170"/>
    <w:p>
      <w:pPr>
        <w:ind w:left="420"/>
        <w:spacing w:after="0"/>
        <w:rPr>
          <w:sz w:val="20"/>
          <w:szCs w:val="20"/>
          <w:color w:val="auto"/>
        </w:rPr>
      </w:pPr>
      <w:r>
        <w:rPr>
          <w:rFonts w:ascii="Times New Roman" w:cs="Times New Roman" w:eastAsia="Times New Roman" w:hAnsi="Times New Roman"/>
          <w:sz w:val="12"/>
          <w:szCs w:val="12"/>
          <w:color w:val="auto"/>
        </w:rPr>
        <w:t>35.          </w:t>
      </w:r>
      <w:r>
        <w:rPr>
          <w:rFonts w:ascii="Times New Roman" w:cs="Times New Roman" w:eastAsia="Times New Roman" w:hAnsi="Times New Roman"/>
          <w:sz w:val="12"/>
          <w:szCs w:val="12"/>
          <w:u w:val="single" w:color="auto"/>
          <w:color w:val="auto"/>
        </w:rPr>
        <w:t>  Form ADV</w:t>
      </w:r>
      <w:r>
        <w:rPr>
          <w:rFonts w:ascii="Times New Roman" w:cs="Times New Roman" w:eastAsia="Times New Roman" w:hAnsi="Times New Roman"/>
          <w:sz w:val="12"/>
          <w:szCs w:val="12"/>
          <w:color w:val="auto"/>
        </w:rPr>
        <w:t>. Client acknowledges receipt of the Advisor’s Form ADV.</w:t>
      </w:r>
    </w:p>
    <w:p>
      <w:pPr>
        <w:spacing w:after="0" w:line="1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36.         </w:t>
      </w:r>
      <w:r>
        <w:rPr>
          <w:rFonts w:ascii="Times New Roman" w:cs="Times New Roman" w:eastAsia="Times New Roman" w:hAnsi="Times New Roman"/>
          <w:sz w:val="12"/>
          <w:szCs w:val="12"/>
          <w:u w:val="single" w:color="auto"/>
          <w:color w:val="auto"/>
        </w:rPr>
        <w:t>  Specific Performance</w:t>
      </w:r>
      <w:r>
        <w:rPr>
          <w:rFonts w:ascii="Times New Roman" w:cs="Times New Roman" w:eastAsia="Times New Roman" w:hAnsi="Times New Roman"/>
          <w:sz w:val="12"/>
          <w:szCs w:val="12"/>
          <w:color w:val="auto"/>
        </w:rPr>
        <w:t>. All rights, remedies and powers of a Party are irrevocable and cumulative, and not alternative or exclusive, and shall be in addition to all other rights, remedies and powers given hereby or any laws now existing or hereafter enacted. Each Party acknowledges and agrees that if it breaches any obligations hereunder, the other Party may suffer immediate and irreparable harm for which monetary damages alone shall not be a sufficient remedy, and that in addition to all other remedies that the nonbreaching Party may have, the nonbreaching Party shall be entitled to seek injunctive relief, specific performance or any other form of relief in a court of competent jurisdiction, including, but not limited to, equitable relief, to remedy a breach or threatened breach hereof by the breaching Party and to enforce this Agreement, and the breaching Party hereby waives any and all defenses and objections it may have on grounds of jurisdiction and venue, including, but not limited to, lack of personal jurisdiction and improper venue, and waives any requirement for the securing or posting of any bond in connection with such remedy or to prove the inadequacy of monetary damages.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(Remainder of this page intentionally left blank. Signature page follows.)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this Trading Advisory Agreement has been executed for and on behalf of the undersigned as of the date first written above.</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HELIUS MEDICAL TECHNOLOGIES,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13"/>
                <w:szCs w:val="13"/>
                <w:color w:val="auto"/>
              </w:rPr>
            </w:pP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Jeffrey S. Mathiesen</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Treasurer and Secretary</w:t>
            </w:r>
          </w:p>
        </w:tc>
      </w:tr>
      <w:tr>
        <w:trPr>
          <w:trHeight w:val="288"/>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PANTERA CAPITAL MANAGEMENT LP</w:t>
            </w: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4"/>
                <w:szCs w:val="24"/>
                <w:color w:val="auto"/>
              </w:rPr>
            </w:pP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Matthew Gorham</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Authorized Signatory</w:t>
            </w: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2" w:name="page173"/>
    <w:bookmarkEnd w:id="172"/>
    <w:p>
      <w:pPr>
        <w:ind w:left="10568"/>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 xml:space="preserve">Helius </w:t>
      </w:r>
      <w:r>
        <w:rPr>
          <w:rFonts w:ascii="Times New Roman" w:cs="Times New Roman" w:eastAsia="Times New Roman" w:hAnsi="Times New Roman"/>
          <w:sz w:val="12"/>
          <w:szCs w:val="12"/>
          <w:b w:val="1"/>
          <w:bCs w:val="1"/>
          <w:color w:val="242424"/>
        </w:rPr>
        <w:t>(NASDAQ:HSDT)</w:t>
      </w:r>
      <w:r>
        <w:rPr>
          <w:rFonts w:ascii="Times New Roman" w:cs="Times New Roman" w:eastAsia="Times New Roman" w:hAnsi="Times New Roman"/>
          <w:sz w:val="12"/>
          <w:szCs w:val="12"/>
          <w:b w:val="1"/>
          <w:bCs w:val="1"/>
          <w:color w:val="auto"/>
        </w:rPr>
        <w:t>, in Partnership with Pantera Capital and Summer Capital</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Announces Over $500 Million in Funding to Launch SOL Treasury Company</w:t>
      </w:r>
    </w:p>
    <w:p>
      <w:pPr>
        <w:spacing w:after="0" w:line="135" w:lineRule="exact"/>
        <w:rPr>
          <w:sz w:val="20"/>
          <w:szCs w:val="20"/>
          <w:color w:val="auto"/>
        </w:rPr>
      </w:pPr>
    </w:p>
    <w:p>
      <w:pPr>
        <w:jc w:val="center"/>
        <w:ind w:right="-207"/>
        <w:spacing w:after="0"/>
        <w:rPr>
          <w:sz w:val="20"/>
          <w:szCs w:val="20"/>
          <w:color w:val="auto"/>
        </w:rPr>
      </w:pPr>
      <w:r>
        <w:rPr>
          <w:rFonts w:ascii="Times New Roman" w:cs="Times New Roman" w:eastAsia="Times New Roman" w:hAnsi="Times New Roman"/>
          <w:sz w:val="12"/>
          <w:szCs w:val="12"/>
          <w:b w:val="1"/>
          <w:bCs w:val="1"/>
          <w:i w:val="1"/>
          <w:iCs w:val="1"/>
          <w:color w:val="auto"/>
        </w:rPr>
        <w:t>Preeminent SOL-backed treasury vehicle - with potential to deliver over $1.25 billion - unlocks capital markets to accelerate Solana’s growth</w:t>
      </w:r>
    </w:p>
    <w:p>
      <w:pPr>
        <w:spacing w:after="0" w:line="152" w:lineRule="exact"/>
        <w:rPr>
          <w:sz w:val="20"/>
          <w:szCs w:val="20"/>
          <w:color w:val="auto"/>
        </w:rPr>
      </w:pPr>
    </w:p>
    <w:p>
      <w:pPr>
        <w:ind w:left="208" w:hanging="208"/>
        <w:spacing w:after="0" w:line="261" w:lineRule="auto"/>
        <w:tabs>
          <w:tab w:leader="none" w:pos="208" w:val="left"/>
        </w:tabs>
        <w:numPr>
          <w:ilvl w:val="0"/>
          <w:numId w:val="122"/>
        </w:numPr>
        <w:rPr>
          <w:rFonts w:ascii="Times New Roman" w:cs="Times New Roman" w:eastAsia="Times New Roman" w:hAnsi="Times New Roman"/>
          <w:sz w:val="12"/>
          <w:szCs w:val="12"/>
          <w:color w:val="242424"/>
        </w:rPr>
      </w:pPr>
      <w:r>
        <w:rPr>
          <w:rFonts w:ascii="Times New Roman" w:cs="Times New Roman" w:eastAsia="Times New Roman" w:hAnsi="Times New Roman"/>
          <w:sz w:val="12"/>
          <w:szCs w:val="12"/>
          <w:i w:val="1"/>
          <w:iCs w:val="1"/>
          <w:color w:val="auto"/>
        </w:rPr>
        <w:t>The offering was led by institutional and crypto-native investors such as Pantera Capital, Summer Capital, and other prominent backers including Big Brain Holdings, Avenir, SinoHope, FalconX, Arrington Capital, Animoca Brands, Aspen Digital, Borderless, Laser Digital, HashKey Capital, and Republic Digital</w:t>
      </w:r>
    </w:p>
    <w:p>
      <w:pPr>
        <w:ind w:left="208" w:hanging="208"/>
        <w:spacing w:after="0" w:line="260" w:lineRule="auto"/>
        <w:tabs>
          <w:tab w:leader="none" w:pos="208" w:val="left"/>
        </w:tabs>
        <w:numPr>
          <w:ilvl w:val="0"/>
          <w:numId w:val="122"/>
        </w:numPr>
        <w:rPr>
          <w:rFonts w:ascii="Times New Roman" w:cs="Times New Roman" w:eastAsia="Times New Roman" w:hAnsi="Times New Roman"/>
          <w:sz w:val="12"/>
          <w:szCs w:val="12"/>
          <w:color w:val="242424"/>
        </w:rPr>
      </w:pPr>
      <w:r>
        <w:rPr>
          <w:rFonts w:ascii="Times New Roman" w:cs="Times New Roman" w:eastAsia="Times New Roman" w:hAnsi="Times New Roman"/>
          <w:sz w:val="12"/>
          <w:szCs w:val="12"/>
          <w:i w:val="1"/>
          <w:iCs w:val="1"/>
          <w:color w:val="auto"/>
        </w:rPr>
        <w:t>The SOL treasury strategy will be led by incoming Director and Executive Chairman Joseph Chee (Founder and Chairman of Summer Capital and Former Head of Investment Banking, Asia at UBS), Board Observer Cosmo Jiang (General Partner at Pantera Capital) and advisor Dan Morehead (Founder and Managing Partner of Pantera Capital)</w:t>
      </w:r>
    </w:p>
    <w:p>
      <w:pPr>
        <w:spacing w:after="0" w:line="122"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Newtown, Pa. – September 15, 2025 Helius Medical Technologies, Inc. (Nasdaq: HSDT) (“Helius” or the “Company”) today announced the pricing of an oversubscribed private investment in public equity offering (the “Offering”) for the purchase and sale of common stock (and/or pre-funded warrants to purchase shares of common stock) at a purchase price of $6.881 and stapled warrants to purchase shares of common stock with an exercise price equal to $10.134 per stapled warrant. The stapled warrants will be exercisable for a period of three years from the date of issuance.</w:t>
      </w:r>
    </w:p>
    <w:p>
      <w:pPr>
        <w:spacing w:after="0" w:line="119"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 xml:space="preserve">The Offering is led by Pantera Capital, the first US institutional asset manager focused exclusively on blockchain and a pioneer in DATs, and Summer Capital, one of the earliest licensed fund managers in Asia to invest in crypto, with participation from a high-quality group of investors including </w:t>
      </w:r>
      <w:r>
        <w:rPr>
          <w:rFonts w:ascii="Times New Roman" w:cs="Times New Roman" w:eastAsia="Times New Roman" w:hAnsi="Times New Roman"/>
          <w:sz w:val="12"/>
          <w:szCs w:val="12"/>
          <w:i w:val="1"/>
          <w:iCs w:val="1"/>
          <w:color w:val="auto"/>
        </w:rPr>
        <w:t>Big Brain Holdings, Avenir, SinoHope, FalconX, Arrington Capital, Animoca Brands, Aspen Digital, Borderless, Laser Digital, HashKey Capital, and Republic Digital</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The closing of the Offering is expected to occur on or about September 18, 2025, subject to the satisfaction of customary closing conditions. The Company intends to use the net proceeds of the Offering to implement a digital asset treasury strategy and acquire SOL, the native cryptocurrency of the Solana blockchain. SOL will serve as the Company’s primary treasury reserve asset. Solana has historically been the fastest growing blockchain, leading the industry in transaction revenue and processing more than 3,500 transactions per second. The network is also the most widely adopted, averaging about 3.7 million daily active wallets and surpassing 23 billion transactions year to date. SOL is financially productive by design, offering a ~7% native staking yield, whereas assets like BTC are non-yield-bearing. The Company intends to leverage the native yield-generating properties of Solana’s architecture – and capture opportunities in DeFi and broader onchain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7804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81" w:right="299" w:bottom="1440" w:gutter="0" w:footer="0" w:header="0"/>
        </w:sectPr>
      </w:pPr>
    </w:p>
    <w:bookmarkStart w:id="173" w:name="page174"/>
    <w:bookmarkEnd w:id="173"/>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“We believe that Solana is a category-defining blockchain and the foundation on which a new financial system will be built,” said Dan Morehead, Founder and Managing Partner of Pantera Capital. “A productive treasury company, backing the industry’s most affordable, fastest, and most accessible network, stands to substantially increase institutional and retail access to the Solana ecosystem and help fuel its adoption around the world.”</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Following closing, the Company’s management team will combine decades of experience across global capital markets and digital assets, including from incoming Director and Executive Chairman, Joseph Chee (Founder and Chairman of Summer Capital and Former Head of Investment Banking, Asia at UBS), Board Observer Cosmo Jiang (General Partner at Pantera Capital) and Strategic Advisor Dan Morehead (Founder and Managing Partner of Pantera Capital).</w:t>
      </w:r>
    </w:p>
    <w:p>
      <w:pPr>
        <w:spacing w:after="0" w:line="11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“As a pioneer in the digital asset treasury space, having participated in the formation of the strategy at Twenty One Capital (CEP) with Tether, Softbank and Cantor, Bitmine (BMNR) with Tom Lee and Mozayyx as well as EightCo (OCTO) with Dan Ives and Sam Altman, we have built the expertise to set up the pre-eminent Solana treasury vehicle. There is a real opportunity to drive the flywheel of creating shareholder value that Michael Saylor has pioneered with Strategy (fka Microstrategy) by accelerating Solana adoption,” said Cosmo Jiang, General Partner at Pantera Capital.</w:t>
      </w:r>
    </w:p>
    <w:p>
      <w:pPr>
        <w:spacing w:after="0" w:line="11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 xml:space="preserve">“We are thrilled to join forces with a leadership team laser-focused on maximizing SOL per share by leveraging the most commercially viable blockchain for decentralized finance and consumer applications,” said Joseph Chee, Founder and Chairman of Summer Capital. “Our thesis is that all capital markets transactions, from tokenization to payments, are moving onto blockchain rails, and </w:t>
      </w:r>
      <w:r>
        <w:rPr>
          <w:rFonts w:ascii="Times New Roman" w:cs="Times New Roman" w:eastAsia="Times New Roman" w:hAnsi="Times New Roman"/>
          <w:sz w:val="12"/>
          <w:szCs w:val="12"/>
          <w:color w:val="242424"/>
        </w:rPr>
        <w:t>Helius</w:t>
      </w:r>
      <w:r>
        <w:rPr>
          <w:rFonts w:ascii="Times New Roman" w:cs="Times New Roman" w:eastAsia="Times New Roman" w:hAnsi="Times New Roman"/>
          <w:sz w:val="12"/>
          <w:szCs w:val="12"/>
          <w:color w:val="auto"/>
        </w:rPr>
        <w:t xml:space="preserve"> aims to bridge public markets with the Solana network, where we expect the majority of that activity to take place.”</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SOL Treasury Strategy and Institutional Roadmap</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Following closing, the Company expects to:</w:t>
      </w:r>
    </w:p>
    <w:p>
      <w:pPr>
        <w:spacing w:after="0" w:line="150" w:lineRule="exact"/>
        <w:rPr>
          <w:sz w:val="20"/>
          <w:szCs w:val="20"/>
          <w:color w:val="auto"/>
        </w:rPr>
      </w:pPr>
    </w:p>
    <w:p>
      <w:pPr>
        <w:ind w:left="208" w:hanging="208"/>
        <w:spacing w:after="0"/>
        <w:tabs>
          <w:tab w:leader="none" w:pos="208" w:val="left"/>
        </w:tabs>
        <w:numPr>
          <w:ilvl w:val="0"/>
          <w:numId w:val="123"/>
        </w:numPr>
        <w:rPr>
          <w:rFonts w:ascii="Times New Roman" w:cs="Times New Roman" w:eastAsia="Times New Roman" w:hAnsi="Times New Roman"/>
          <w:sz w:val="12"/>
          <w:szCs w:val="12"/>
          <w:color w:val="242424"/>
        </w:rPr>
      </w:pPr>
      <w:r>
        <w:rPr>
          <w:rFonts w:ascii="Times New Roman" w:cs="Times New Roman" w:eastAsia="Times New Roman" w:hAnsi="Times New Roman"/>
          <w:sz w:val="12"/>
          <w:szCs w:val="12"/>
          <w:color w:val="auto"/>
        </w:rPr>
        <w:t>Build an initial SOL position with plans to significantly scale holdings over the next 12–24 months via a best-in-class capital markets program incorporating ATM sales and other proven strategies.</w:t>
      </w:r>
    </w:p>
    <w:p>
      <w:pPr>
        <w:spacing w:after="0" w:line="16" w:lineRule="exact"/>
        <w:rPr>
          <w:rFonts w:ascii="Times New Roman" w:cs="Times New Roman" w:eastAsia="Times New Roman" w:hAnsi="Times New Roman"/>
          <w:sz w:val="12"/>
          <w:szCs w:val="12"/>
          <w:color w:val="242424"/>
        </w:rPr>
      </w:pPr>
    </w:p>
    <w:p>
      <w:pPr>
        <w:ind w:left="208" w:hanging="208"/>
        <w:spacing w:after="0"/>
        <w:tabs>
          <w:tab w:leader="none" w:pos="208" w:val="left"/>
        </w:tabs>
        <w:numPr>
          <w:ilvl w:val="0"/>
          <w:numId w:val="123"/>
        </w:numPr>
        <w:rPr>
          <w:rFonts w:ascii="Times New Roman" w:cs="Times New Roman" w:eastAsia="Times New Roman" w:hAnsi="Times New Roman"/>
          <w:sz w:val="12"/>
          <w:szCs w:val="12"/>
          <w:color w:val="242424"/>
        </w:rPr>
      </w:pPr>
      <w:r>
        <w:rPr>
          <w:rFonts w:ascii="Times New Roman" w:cs="Times New Roman" w:eastAsia="Times New Roman" w:hAnsi="Times New Roman"/>
          <w:sz w:val="12"/>
          <w:szCs w:val="12"/>
          <w:color w:val="auto"/>
        </w:rPr>
        <w:t>Evaluate staking, lending and other opportunities throughout the ecosystem to generate revenue from the SOL Treasury, while maintaining a conservative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7804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2"/>
          <w:szCs w:val="12"/>
          <w:color w:val="auto"/>
        </w:rPr>
        <w:t>Transaction Overview</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The Offering consists of over $500 million in proceeds from a private investment in a public equity transaction for the purchase and sale of common stock (and/or pre-funded warrants to purchase shares of common stock) and </w:t>
      </w:r>
      <w:r>
        <w:rPr>
          <w:rFonts w:ascii="Times New Roman" w:cs="Times New Roman" w:eastAsia="Times New Roman" w:hAnsi="Times New Roman"/>
          <w:sz w:val="12"/>
          <w:szCs w:val="12"/>
          <w:color w:val="242424"/>
        </w:rPr>
        <w:t>over 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42424"/>
        </w:rPr>
        <w:t xml:space="preserve">additional $750 million in </w:t>
      </w:r>
      <w:r>
        <w:rPr>
          <w:rFonts w:ascii="Times New Roman" w:cs="Times New Roman" w:eastAsia="Times New Roman" w:hAnsi="Times New Roman"/>
          <w:sz w:val="12"/>
          <w:szCs w:val="12"/>
          <w:color w:val="000000"/>
        </w:rPr>
        <w:t>stapled warrants to purchase shares of common stock</w:t>
      </w:r>
      <w:r>
        <w:rPr>
          <w:rFonts w:ascii="Times New Roman" w:cs="Times New Roman" w:eastAsia="Times New Roman" w:hAnsi="Times New Roman"/>
          <w:sz w:val="12"/>
          <w:szCs w:val="12"/>
          <w:color w:val="242424"/>
        </w:rPr>
        <w:t xml:space="preserve"> (assuming full exercise of the stapled warrants)</w:t>
      </w:r>
      <w:r>
        <w:rPr>
          <w:rFonts w:ascii="Times New Roman" w:cs="Times New Roman" w:eastAsia="Times New Roman" w:hAnsi="Times New Roman"/>
          <w:sz w:val="12"/>
          <w:szCs w:val="12"/>
          <w:color w:val="000000"/>
        </w:rPr>
        <w:t>. The stapled warrants will be exercisable for a period of three years from the date of issuance and have an</w:t>
      </w:r>
      <w:r>
        <w:rPr>
          <w:rFonts w:ascii="Times New Roman" w:cs="Times New Roman" w:eastAsia="Times New Roman" w:hAnsi="Times New Roman"/>
          <w:sz w:val="12"/>
          <w:szCs w:val="12"/>
          <w:color w:val="242424"/>
        </w:rPr>
        <w:t xml:space="preserve"> </w:t>
      </w:r>
      <w:r>
        <w:rPr>
          <w:rFonts w:ascii="Times New Roman" w:cs="Times New Roman" w:eastAsia="Times New Roman" w:hAnsi="Times New Roman"/>
          <w:sz w:val="12"/>
          <w:szCs w:val="12"/>
          <w:color w:val="000000"/>
        </w:rPr>
        <w:t>exercise price equal to $10.134 per stapled warrant. Investors that intend to fund their purchase amount with locked and/or unlocked SOL in the offering will be issued and sold pre-funded warrants and stapled warrants, which warrants will become exercisable immediately following the Company's receipt of stockholder approval. The Offering is expected to close on or around September 18, 2025, subject to the satisfaction of customary closing conditions.</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Upon closing, the Company intends to use the net proceeds from the Offering primarily to fund the acquisition of SOL in the open market and the establishment of the Company's SOL treasury operations, as well as for working capital and general corporate purposes.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Trading and Next Steps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common stock will continue to trade on the Nasdaq Capital Market under the ticker “</w:t>
      </w:r>
      <w:r>
        <w:rPr>
          <w:rFonts w:ascii="Times New Roman" w:cs="Times New Roman" w:eastAsia="Times New Roman" w:hAnsi="Times New Roman"/>
          <w:sz w:val="12"/>
          <w:szCs w:val="12"/>
          <w:color w:val="242424"/>
        </w:rPr>
        <w:t>HSDT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42424"/>
        </w:rPr>
        <w:t>through the closing of the Offering</w:t>
      </w:r>
      <w:r>
        <w:rPr>
          <w:rFonts w:ascii="Times New Roman" w:cs="Times New Roman" w:eastAsia="Times New Roman" w:hAnsi="Times New Roman"/>
          <w:sz w:val="12"/>
          <w:szCs w:val="12"/>
          <w:color w:val="auto"/>
        </w:rPr>
        <w:t>, with the updated treasury strategy effective immediately following the closing.</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will emphasize transparency and verification of holdings, strong engagement with the SOL ecosystem and community. Additional updates on the Offering, SOL acquisitions, treasury growth, relevant Stockholder Approvals and governance measures are expected in the coming weeks.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Advisors</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Clear Street served as the exclusive financial advisor and lead placement agent to the Company and Maxim Group LLC and Tiger Securities acted as co-placement agents to the Company. Honigman LLP served as counsel to the Company. Reed Smith LLP served as counsel to Pantera Capital. Cooley LLP served as counsel to Summer Capital. Winston &amp; Strawn LLP served as counsel to Clear Street.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Disclaimer:</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The information provided in this press release is intended for informational purposes only and does not constitute investment advice, endorsement, analysis, or recommendations with respect to any financial instruments, investments, or issuers. Investment in cryptocurrency and DeFi projects involves substantial risk, including the risk of complete loss. This press release does not take into account the investment objectives, financial situation, or specific needs of any particular person and each individual is urged to consult their legal and financial advisors before making any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7804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2"/>
          <w:szCs w:val="12"/>
          <w:color w:val="auto"/>
        </w:rPr>
        <w:t>Securities Disclaimer:</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offer and sale of the securities in the Offering, including the shares of common stock underlying the pre-funded warrants, are being made to institutional accredited investors in a transaction not involving a public offering pursuant to Section 4(a)(2) of the Securities Act of 1933, as amended (the "Securities Act") and/or Rule 506(b) of Regulation D promulgated thereunder, and have not been registered under the Securities Act or applicable state securities laws. Accordingly, the securities to be issued in the Offering and shares of common stock underlying the pre-funded warrants may not be offered or sold in the United States except pursuant to an effective registration statement with the Securities and Exchange Commission ("SEC") or an applicable exemption from the registration requirements of the Securities Act and such other applicable state securities laws.</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This press release shall not constitute an offer to sell or a solicitation of an offer to buy any of the securities described herein,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Helius Medical Technologies, Inc.</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Helius Medical Technologies is a leading neurotech company in the medical device field focused on neurologic deficits using orally applied technology platform that amplifies the brain’s ability to engage physiologic compensatory mechanisms and promote neuroplasticity, improving the lives of people dealing with neurologic diseases. The Company’s first commercial product is the Portable Neuromodulation Stimulator. For more information about the PoNS® or Helius Medical Technologies, visit </w:t>
      </w:r>
      <w:r>
        <w:rPr>
          <w:rFonts w:ascii="Times New Roman" w:cs="Times New Roman" w:eastAsia="Times New Roman" w:hAnsi="Times New Roman"/>
          <w:sz w:val="12"/>
          <w:szCs w:val="12"/>
          <w:u w:val="single" w:color="auto"/>
          <w:color w:val="auto"/>
        </w:rPr>
        <w:t>www.heliusmedical.com</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Pantera Capital Management LP</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Pantera Capital is the first institutional investment firm focused exclusively on bitcoin, other digital currencies, and companies in the blockchain tech ecosystem. Pantera launched the first cryptocurrency fund in the United States when bitcoin was at $65 /BTC in 2013. The firm subsequently launched the first exclusively-blockchain venture fund. In 2017, Pantera was the first firm to offer an early-stage token fund. Pantera Bitcoin Fund has returned 153,159% in twelve years and has returned billions to its investors. Pantera manages $5.2bn across three strategies – passive, hedge, and venture – exclusively focused on bitcoin, other digital currencies, and companies in the blockchain tech ecosystem.</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Demonstrating leadership in the Digital Asset Token (DAT) space, Pantera has invested in the first U.S. DATs (DFDV, CEP) and committed over $300 million to DAT investments, making it one of the most active investors in this area. The firm’s early and exclusive focus on blockchain has established significant credibility on Wall Street and among mainstream investors, bridging traditional finance with the emerging digital asset sector. Pantera’s largest active investment is in Solana, underscoring its strong, long-term conviction in the potential of this blockchain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7804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2"/>
          <w:szCs w:val="12"/>
          <w:b w:val="1"/>
          <w:bCs w:val="1"/>
          <w:color w:val="auto"/>
        </w:rPr>
        <w:t>About Summer Capital Limited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Summer Capital is a prominent investment management and advisory firm with operations spanning Hong Kong, mainland China, and Southeast Asia. The firm specializes in early-stage and growth-stage investments across “new economy” sectors such as fintech, blockchain infrastructure and applications, consumer technology, and healthcare. As a crypto pioneer in Asia, Summer Capital has been one of the earliest licensed fund managers in Asia and actively invests in crypto/blockchain sector since 2018. Most of the investment professionals at Summer Capital have extensive investment banking and/or capital markets experience which is relevant to building out DATs.</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Summer Capital leverages longstanding relationships to access historically under-allocated institutional capital in Asia, enhancing its capital distribution capabilities. In addition, the firm maintains a strong conviction in Solana, and will continue to strengthen the partnerships with the Solana Foundation.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Cautionary Note Regarding Forward-Looking Statements</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This press release contains statements that constitute “forward-looking statements” within the meaning of the U.S. federal securities laws. Forward-looking statements are statements other than historical facts and include, without limitation, statements regarding the potential for and amount of additional cash proceeds from warrant exercises, the anticipated closing date of the Offering, the anticipated use of proceeds from the announced Offering, </w:t>
      </w:r>
      <w:r>
        <w:rPr>
          <w:rFonts w:ascii="Times New Roman" w:cs="Times New Roman" w:eastAsia="Times New Roman" w:hAnsi="Times New Roman"/>
          <w:sz w:val="12"/>
          <w:szCs w:val="12"/>
          <w:color w:val="242424"/>
        </w:rPr>
        <w:t>future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42424"/>
        </w:rPr>
        <w:t xml:space="preserve">stockholder approvals, </w:t>
      </w:r>
      <w:r>
        <w:rPr>
          <w:rFonts w:ascii="Times New Roman" w:cs="Times New Roman" w:eastAsia="Times New Roman" w:hAnsi="Times New Roman"/>
          <w:sz w:val="12"/>
          <w:szCs w:val="12"/>
          <w:color w:val="000000"/>
        </w:rPr>
        <w:t>future announcements and priorities, expectations regarding management,</w:t>
      </w:r>
      <w:r>
        <w:rPr>
          <w:rFonts w:ascii="Times New Roman" w:cs="Times New Roman" w:eastAsia="Times New Roman" w:hAnsi="Times New Roman"/>
          <w:sz w:val="12"/>
          <w:szCs w:val="12"/>
          <w:color w:val="242424"/>
        </w:rPr>
        <w:t xml:space="preserve"> corporate governance, </w:t>
      </w:r>
      <w:r>
        <w:rPr>
          <w:rFonts w:ascii="Times New Roman" w:cs="Times New Roman" w:eastAsia="Times New Roman" w:hAnsi="Times New Roman"/>
          <w:sz w:val="12"/>
          <w:szCs w:val="12"/>
          <w:color w:val="000000"/>
        </w:rPr>
        <w:t>market position, business strategies, future financial and operating performance, and other projections or</w:t>
      </w:r>
      <w:r>
        <w:rPr>
          <w:rFonts w:ascii="Times New Roman" w:cs="Times New Roman" w:eastAsia="Times New Roman" w:hAnsi="Times New Roman"/>
          <w:sz w:val="12"/>
          <w:szCs w:val="12"/>
          <w:color w:val="242424"/>
        </w:rPr>
        <w:t xml:space="preserve"> </w:t>
      </w:r>
      <w:r>
        <w:rPr>
          <w:rFonts w:ascii="Times New Roman" w:cs="Times New Roman" w:eastAsia="Times New Roman" w:hAnsi="Times New Roman"/>
          <w:sz w:val="12"/>
          <w:szCs w:val="12"/>
          <w:color w:val="000000"/>
        </w:rPr>
        <w:t>statements of plans and objectives.</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 xml:space="preserve">These forward-looking statements are based on current expectations, estimates, assumptions, and projections, and involve known and unknown risks, uncertainties, and other factors—many of which are beyond the Company’s control —that may cause actual results, performance, or achievements to differ materially from those expressed or implied by such statements. Important factors that may affect actual results include, among others, the Company’s ability to execute its growth strategy; its ability to raise and deploy capital effectively; developments in technology and the competitive landscape; the market performance of SOL; and other risks and uncertainties described under “Risk Factors” in the Company’s Annual Report on Form 10-K filed with the Securities and Exchange Commission (the “SEC”) on March 25, 2025, and in other subsequent filings with the SEC. These filings are available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The Company undertakes no obligation to update or revise any forward-looking statements, whether as a result of new information, future events, or otherwise, except as required by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42424"/>
        </w:rPr>
        <w:t xml:space="preserve">Twitter/X: </w:t>
      </w:r>
      <w:r>
        <w:rPr>
          <w:rFonts w:ascii="Times New Roman" w:cs="Times New Roman" w:eastAsia="Times New Roman" w:hAnsi="Times New Roman"/>
          <w:sz w:val="12"/>
          <w:szCs w:val="12"/>
          <w:color w:val="242424"/>
        </w:rPr>
        <w:t>@HeliusHSDT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Website: </w:t>
      </w:r>
      <w:r>
        <w:rPr>
          <w:rFonts w:ascii="Times New Roman" w:cs="Times New Roman" w:eastAsia="Times New Roman" w:hAnsi="Times New Roman"/>
          <w:sz w:val="12"/>
          <w:szCs w:val="12"/>
          <w:color w:val="auto"/>
        </w:rPr>
        <w:t>https://www.helius.company/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Linkedin: </w:t>
      </w:r>
      <w:r>
        <w:rPr>
          <w:rFonts w:ascii="Times New Roman" w:cs="Times New Roman" w:eastAsia="Times New Roman" w:hAnsi="Times New Roman"/>
          <w:sz w:val="12"/>
          <w:szCs w:val="12"/>
          <w:color w:val="auto"/>
        </w:rPr>
        <w:t>https://www.linkedin.com/company/helius-solana-company/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Media Contacts:</w:t>
            </w:r>
          </w:p>
        </w:tc>
        <w:tc>
          <w:tcPr>
            <w:tcW w:w="3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840" w:type="dxa"/>
            <w:vAlign w:val="bottom"/>
          </w:tcPr>
          <w:p>
            <w:pPr>
              <w:spacing w:after="0"/>
              <w:rPr>
                <w:sz w:val="12"/>
                <w:szCs w:val="12"/>
                <w:color w:val="auto"/>
              </w:rPr>
            </w:pPr>
          </w:p>
        </w:tc>
      </w:tr>
      <w:tr>
        <w:trPr>
          <w:trHeight w:val="128"/>
        </w:trPr>
        <w:tc>
          <w:tcPr>
            <w:tcW w:w="25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Helius Medical Technologies, Inc.</w:t>
            </w:r>
          </w:p>
        </w:tc>
        <w:tc>
          <w:tcPr>
            <w:tcW w:w="3120" w:type="dxa"/>
            <w:vAlign w:val="bottom"/>
          </w:tcPr>
          <w:p>
            <w:pPr>
              <w:ind w:left="880"/>
              <w:spacing w:after="0" w:line="128" w:lineRule="exact"/>
              <w:rPr>
                <w:sz w:val="20"/>
                <w:szCs w:val="20"/>
                <w:color w:val="auto"/>
              </w:rPr>
            </w:pPr>
            <w:r>
              <w:rPr>
                <w:rFonts w:ascii="Times New Roman" w:cs="Times New Roman" w:eastAsia="Times New Roman" w:hAnsi="Times New Roman"/>
                <w:sz w:val="12"/>
                <w:szCs w:val="12"/>
                <w:color w:val="auto"/>
              </w:rPr>
              <w:t>Philip Trip Taylor</w:t>
            </w:r>
          </w:p>
        </w:tc>
        <w:tc>
          <w:tcPr>
            <w:tcW w:w="56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investorrelations@heliusmedical.com</w:t>
            </w:r>
          </w:p>
        </w:tc>
      </w:tr>
      <w:tr>
        <w:trPr>
          <w:trHeight w:val="151"/>
        </w:trPr>
        <w:tc>
          <w:tcPr>
            <w:tcW w:w="2520" w:type="dxa"/>
            <w:vAlign w:val="bottom"/>
          </w:tcPr>
          <w:p>
            <w:pPr>
              <w:spacing w:after="0"/>
              <w:rPr>
                <w:sz w:val="13"/>
                <w:szCs w:val="13"/>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Gilmartin Group</w:t>
            </w:r>
          </w:p>
        </w:tc>
        <w:tc>
          <w:tcPr>
            <w:tcW w:w="1820" w:type="dxa"/>
            <w:vAlign w:val="bottom"/>
            <w:tcBorders>
              <w:top w:val="single" w:sz="8" w:color="auto"/>
            </w:tcBorders>
          </w:tcPr>
          <w:p>
            <w:pPr>
              <w:spacing w:after="0"/>
              <w:rPr>
                <w:sz w:val="13"/>
                <w:szCs w:val="13"/>
                <w:color w:val="auto"/>
              </w:rPr>
            </w:pPr>
          </w:p>
        </w:tc>
        <w:tc>
          <w:tcPr>
            <w:tcW w:w="3840" w:type="dxa"/>
            <w:vAlign w:val="bottom"/>
          </w:tcPr>
          <w:p>
            <w:pPr>
              <w:spacing w:after="0"/>
              <w:rPr>
                <w:sz w:val="13"/>
                <w:szCs w:val="13"/>
                <w:color w:val="auto"/>
              </w:rPr>
            </w:pPr>
          </w:p>
        </w:tc>
      </w:tr>
      <w:tr>
        <w:trPr>
          <w:trHeight w:val="277"/>
        </w:trPr>
        <w:tc>
          <w:tcPr>
            <w:tcW w:w="2520" w:type="dxa"/>
            <w:vAlign w:val="bottom"/>
          </w:tcPr>
          <w:p>
            <w:pPr>
              <w:spacing w:after="0"/>
              <w:rPr>
                <w:sz w:val="20"/>
                <w:szCs w:val="20"/>
                <w:color w:val="auto"/>
              </w:rPr>
            </w:pPr>
            <w:r>
              <w:rPr>
                <w:rFonts w:ascii="Times New Roman" w:cs="Times New Roman" w:eastAsia="Times New Roman" w:hAnsi="Times New Roman"/>
                <w:sz w:val="12"/>
                <w:szCs w:val="12"/>
                <w:color w:val="auto"/>
              </w:rPr>
              <w:t>Pantera Capital Management LP</w:t>
            </w:r>
          </w:p>
        </w:tc>
        <w:tc>
          <w:tcPr>
            <w:tcW w:w="3120" w:type="dxa"/>
            <w:vAlign w:val="bottom"/>
          </w:tcPr>
          <w:p>
            <w:pPr>
              <w:spacing w:after="0"/>
              <w:rPr>
                <w:sz w:val="24"/>
                <w:szCs w:val="24"/>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ir@panteracapital.com</w:t>
            </w:r>
          </w:p>
        </w:tc>
      </w:tr>
      <w:tr>
        <w:trPr>
          <w:trHeight w:val="155"/>
        </w:trPr>
        <w:tc>
          <w:tcPr>
            <w:tcW w:w="25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press@panteracapital.com</w:t>
            </w:r>
          </w:p>
        </w:tc>
      </w:tr>
      <w:tr>
        <w:trPr>
          <w:trHeight w:val="288"/>
        </w:trPr>
        <w:tc>
          <w:tcPr>
            <w:tcW w:w="25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77" w:name="page178"/>
    <w:bookmarkEnd w:id="177"/>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9206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8680" cy="492061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434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8680" cy="4943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320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8680" cy="4932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Solana and Digital Asset Treasury Strategy</w:t>
      </w:r>
    </w:p>
    <w:p>
      <w:pPr>
        <w:spacing w:after="0" w:line="150" w:lineRule="exact"/>
        <w:rPr>
          <w:sz w:val="20"/>
          <w:szCs w:val="20"/>
          <w:color w:val="auto"/>
        </w:rPr>
      </w:pPr>
    </w:p>
    <w:p>
      <w:pPr>
        <w:jc w:val="center"/>
        <w:ind w:right="7000"/>
        <w:spacing w:after="0"/>
        <w:rPr>
          <w:sz w:val="20"/>
          <w:szCs w:val="20"/>
          <w:color w:val="auto"/>
        </w:rPr>
      </w:pPr>
      <w:r>
        <w:rPr>
          <w:rFonts w:ascii="Times New Roman" w:cs="Times New Roman" w:eastAsia="Times New Roman" w:hAnsi="Times New Roman"/>
          <w:sz w:val="11"/>
          <w:szCs w:val="11"/>
          <w:b w:val="1"/>
          <w:bCs w:val="1"/>
          <w:i w:val="1"/>
          <w:iCs w:val="1"/>
          <w:color w:val="auto"/>
        </w:rPr>
        <w:t>Our Solana strategy exposes us to various risks, including risks associated with Solana.</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Solana strategy exposes us to various risks, including the following:</w:t>
      </w:r>
    </w:p>
    <w:p>
      <w:pPr>
        <w:spacing w:after="0" w:line="148"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Solana is a highly volatile asset. </w:t>
      </w:r>
      <w:r>
        <w:rPr>
          <w:rFonts w:ascii="Times New Roman" w:cs="Times New Roman" w:eastAsia="Times New Roman" w:hAnsi="Times New Roman"/>
          <w:sz w:val="12"/>
          <w:szCs w:val="12"/>
          <w:color w:val="auto"/>
        </w:rPr>
        <w:t>Solana is a highly volatile asset that has traded below $140 per Solana and above $240 per Solana on the Coinbase exchange (a major U.S.-based crypto exchange) in the 12 months preceding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date of this Current Report on Form 8-K to which this exhibit is filed. The trading price of Solana significantly decreased during prior periods, and such declines may occur again in the future.</w:t>
      </w:r>
    </w:p>
    <w:p>
      <w:pPr>
        <w:spacing w:after="0" w:line="1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Solana does not pay interest or dividends. </w:t>
      </w:r>
      <w:r>
        <w:rPr>
          <w:rFonts w:ascii="Times New Roman" w:cs="Times New Roman" w:eastAsia="Times New Roman" w:hAnsi="Times New Roman"/>
          <w:sz w:val="12"/>
          <w:szCs w:val="12"/>
          <w:color w:val="auto"/>
        </w:rPr>
        <w:t>Solana does not pay interest or other returns and we can only generate cash from our Solana holdings if we sell our Solana or implement strategies to create income streams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otherwise generate cash by using out Solana holdings. Even if we pursue any such strategies, we may be unable to create income streams or otherwise generate cash from our Solana holdings, and any such strategies may subject us to additional risks.</w:t>
      </w:r>
    </w:p>
    <w:p>
      <w:pPr>
        <w:spacing w:after="0" w:line="117"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Our Solana holdings may significantly impact our financial results and the market price of our common stock. </w:t>
      </w:r>
      <w:r>
        <w:rPr>
          <w:rFonts w:ascii="Times New Roman" w:cs="Times New Roman" w:eastAsia="Times New Roman" w:hAnsi="Times New Roman"/>
          <w:sz w:val="12"/>
          <w:szCs w:val="12"/>
          <w:color w:val="auto"/>
        </w:rPr>
        <w:t>Our Solana holdings may significantly affect our financial results and if we increase our overall holdings of Solana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the future, may have an even greater impact on our financial results and the market price of our common stock.</w:t>
      </w:r>
    </w:p>
    <w:p>
      <w:pPr>
        <w:spacing w:after="0" w:line="107"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Our assets will be concentrated in Solana. </w:t>
      </w:r>
      <w:r>
        <w:rPr>
          <w:rFonts w:ascii="Times New Roman" w:cs="Times New Roman" w:eastAsia="Times New Roman" w:hAnsi="Times New Roman"/>
          <w:sz w:val="12"/>
          <w:szCs w:val="12"/>
          <w:color w:val="auto"/>
        </w:rPr>
        <w:t>The vast majority of our assets will be concentrated in our Solana holdings. The concentration of our assets in Solana may limit our ability to mitigate risk that could otherwise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achieved by holding a more diversified portfolio of treasury assets.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 xml:space="preserve">We intend to purchase Solana using primarily proceeds from equity and debt financing. </w:t>
      </w:r>
      <w:r>
        <w:rPr>
          <w:rFonts w:ascii="Times New Roman" w:cs="Times New Roman" w:eastAsia="Times New Roman" w:hAnsi="Times New Roman"/>
          <w:sz w:val="12"/>
          <w:szCs w:val="12"/>
          <w:color w:val="auto"/>
        </w:rPr>
        <w:t>Our ability to achieve the objectives of our treasury strategy depends in significant part on our ability to obtain equity and debt financing.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we are unable to obtain equity or debt financing on favorable terms or at all, we may not be able to successfully execute on our treasury strategy.</w:t>
      </w:r>
    </w:p>
    <w:p>
      <w:pPr>
        <w:spacing w:after="0" w:line="13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Our treasury strategy has not been tested over an extended period of time or under different market conditions. </w:t>
      </w:r>
      <w:r>
        <w:rPr>
          <w:rFonts w:ascii="Times New Roman" w:cs="Times New Roman" w:eastAsia="Times New Roman" w:hAnsi="Times New Roman"/>
          <w:sz w:val="12"/>
          <w:szCs w:val="12"/>
          <w:color w:val="auto"/>
        </w:rPr>
        <w:t>We will implement a treasury strategy following the closing of the private placement. We intend to continually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examine the risks and rewards of our strategy to acquire and hold Solana. This strategy has not been tested over an extended period of time or under different market conditions. For example, although we believe Solana, due to its fixed supply, has the potential to serve as a hedge against inflation in the long term, the short-term price of Solana has declined in recent periods during which the inflation rate increased. If Solana prices were to decrease or our Solana strategy otherwise proves unsuccessful, our financial condition, results of operations, and the market price of our common stock would be materially adversely impacted.</w:t>
      </w:r>
    </w:p>
    <w:p>
      <w:pPr>
        <w:spacing w:after="0" w:line="12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We will be subject to counterparty risks, including in particular risks relating to exchanges where we intend to purchase Solana and our custodians. </w:t>
      </w:r>
      <w:r>
        <w:rPr>
          <w:rFonts w:ascii="Times New Roman" w:cs="Times New Roman" w:eastAsia="Times New Roman" w:hAnsi="Times New Roman"/>
          <w:sz w:val="12"/>
          <w:szCs w:val="12"/>
          <w:color w:val="auto"/>
        </w:rPr>
        <w:t>Although we have implemented or intend to implement various measures that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are designed to mitigate our counterparty risks, including purchasing Solana through reputable U.S.-based third-party exchanges with industry standard policies and procedures and by storing substantially all of the Solana we will own in custody accounts at U.S.-based, institutional-grade custodians and negotiating contractual arrangements intended to establish that our property interest in custodially-held Solana is not subject to claims of our custodians’ creditors, applicable insolvency law is not fully developed with respect to the holding of digital assets in custodial accounts. If our custodially-held Solana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Solana, or delaying or hindering our access to our Solana holdings, and this may ultimately result in the loss of the value related to some or all of such Solana, which could have a material adverse effect on our financial condition as well as the market price of our listed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01" w:name="page202"/>
    <w:bookmarkEnd w:id="201"/>
    <w:p>
      <w:pPr>
        <w:jc w:val="both"/>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The broader digital assets industry is subject to counterparty risks, which could adversely impact the adoption rate, price, and use of Solana. </w:t>
      </w:r>
      <w:r>
        <w:rPr>
          <w:rFonts w:ascii="Times New Roman" w:cs="Times New Roman" w:eastAsia="Times New Roman" w:hAnsi="Times New Roman"/>
          <w:sz w:val="12"/>
          <w:szCs w:val="12"/>
          <w:color w:val="auto"/>
        </w:rPr>
        <w:t>A series of recent high-profile bankruptcies, closures, liquidations, regulatory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enforcement actions and other events relating to companies operating in the digital asset industry have highlighted the counterparty risks applicable to owning and transacting in digital assets. Although these bankruptcies, closures, liquidations and other events have not resulted in any loss or misappropriation of our Solana, nor have such events adversely impacted our access to our Solana, they have, in the short-term, likely negatively impacted the adoption rate and use of Solana. Additional bankruptcies, closures, liquidations, regulatory enforcement actions or other events involving participants in the digital assets industry in the future may further negatively impact the adoption rate, price, and use of Solana, limit the availability to us of financing collateralized by Solana, or create or expose additional counterparty risks.</w:t>
      </w:r>
    </w:p>
    <w:p>
      <w:pPr>
        <w:spacing w:after="0" w:line="12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spacing w:after="0" w:line="1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This will be the first digital asset treasury strategy for the Company and our historical financial statements do not reflect the potential variability in earnings that we may experience in the future relating to our treasury strategy and Solana holdings.</w:t>
      </w:r>
    </w:p>
    <w:p>
      <w:pPr>
        <w:spacing w:after="0" w:line="10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intend to implement our treasury strategy immediately. Because we are only beginning to enact our treasury strategy, our historical financial statements do not reflect the potential variability in earnings that we may experience in the future from holding or selling significant amounts of Solana. The price of Solana has historically been subject to dramatic price fluctuations and is highly volatile.</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Additionally, in the future we may expand our operations beyond the legacy PoNS system and the Solana treasury strategy to include other income streams and otherwise generate funds using our Solana holdings. At this time, we do not have any definitive agreements or plans in place to expand beyond acquiring and holding Solana. However, if we do expand such operations, additional risks related to such strategies and business, including counterparty risks, could arise.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Solana strategy exposes us to risk of non-performance by counterparties.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Solana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Solana, a loss of the opportunity to generate funds, or other losses.</w:t>
      </w:r>
    </w:p>
    <w:p>
      <w:pPr>
        <w:spacing w:after="0" w:line="11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primary counterparty risk with respect to our Solana is custodian performance obligations under the custody arrangements we have entered into. A series of relatively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among others, and the filing and subsequent settlement of a civil fraud lawsuit by the New York Attorney General against Genesis Global Capital, its parent company Digital Currency Group, Inc., and former partner Gemini Trust Company have highlighted the perceived and actual counterparty risk applicable to digital asset ownership and trading. Although these bankruptcies, closures and liquidations have not resulted in any loss or misappropriation of our Solana, nor have such events adversely impacted our access to our Solana,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While our custodians are subject to regulatory regimes intended to protect customers in the event of a custodial bankruptcy, receivership or similar insolvency proceeding, no assurance can be provided that our custodially-held Solana will not become part of the custodian’s insolvency estate if one or more of our custodians enters bankruptcy, receivership or similar insolvency proceedings. Additionally, if we pursue any strategies to create income streams or otherwise generate funds using our Solana holdings, we would become subject to additional counterparty risks. Any significant non-performance by counterparties, including in particular the custodians with which we custody substantially all of our Solana, could have a material adverse effect on our business, prospects, financial condition, and operating results.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regulatory developments related to crypto assets and crypto asset markets, which could adversely affect our business, financial condition, and results of operations.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Solana and other digital assets are relatively novel and the application of state and federal securities laws and other laws and regulations to digital assets is unclear in certain respects, it is possible that regulators in the United States or foreign countries may interpret or apply existing laws and regulations in a manner that adversely affects the price of Solana. The U.S. federal government, states, regulatory agencies, and foreign countries may also enact new laws and regulations, or pursue regulatory, legislative, enforcement or judicial actions, that could materially impact the price of Solana or the ability of individuals or institutions such as us to own or transfer Solana.</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If Solana is determined to constitute a security for purposes of the federal securities laws, the additional regulatory restrictions imposed by such a determination could adversely affect the market price of Solana and in turn adversely affect the market price of our common stock. Moreover, the risks of us engaging in a Solana treasury strategy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Solana strategy subjects us to enhanced regulatory oversight.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noted above, several spot Solana exchange-traded products (“</w:t>
      </w:r>
      <w:r>
        <w:rPr>
          <w:rFonts w:ascii="Times New Roman" w:cs="Times New Roman" w:eastAsia="Times New Roman" w:hAnsi="Times New Roman"/>
          <w:sz w:val="12"/>
          <w:szCs w:val="12"/>
          <w:u w:val="single" w:color="auto"/>
          <w:color w:val="auto"/>
        </w:rPr>
        <w:t>ETPs</w:t>
      </w:r>
      <w:r>
        <w:rPr>
          <w:rFonts w:ascii="Times New Roman" w:cs="Times New Roman" w:eastAsia="Times New Roman" w:hAnsi="Times New Roman"/>
          <w:sz w:val="12"/>
          <w:szCs w:val="12"/>
          <w:color w:val="auto"/>
        </w:rPr>
        <w:t>”) have received approval from the SEC to list their shares on a U.S. national securities exchange with continuous share creation and redemption at net asset value. Even though we are not, and do not function in the manner of, a spot Solana ETP, it is possible that we nevertheless could face regulatory scrutiny from the SEC or other federal or state agencies due to our Solana holdings.</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have implemented or intend to implement and maintain policies and procedures reasonably designed to promote compliance with applicable anti-money laundering and sanctions laws and regulations and take care to only acquire our Solana through entities subject to anti-money laundering regulation and related compliance rules in the United States, if we are found to have purchased any of our Solana from bad actors that have used Solana to launder money or persons subject to sanctions, we may be subject to regulatory proceedings and any further transactions or dealings in Solana by us may be restricted or prohibited.</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Although our Solana holdings do not currently serve as collateral securing any of our outstanding indebtedness as of the date hereof, we may incur indebtedness or enter into other financial instruments in the future that may be collateralized by our Solana holdings. We may also consider pursuing strategies to create income streams or otherwise generate funds using our Solana holdings. These types of Solana-related transactions are the subject of enhanced regulatory oversight. These and any other Solana-related transactions we may enter into, beyond simply acquiring and holding Solana, may subject us to additional regulatory compliance requirements and scrutiny, including under Federal and state money services regulations, money transmitter licensing requirements and various commodity and securities laws and regulations.</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Additional laws, guidance and policies may be issued by domestic and foreign regulators following the filing for Chapter 11 bankruptcy protection by FTX, one of the world’s largest cryptocurrency exchanges, in November 2022. While the financial and regulatory fallout from FTX’s collapse did not directly impact our business, financial condition or corporate assets, the FTX collapse may have increased regulatory focus on the digital assets industry. Increased enforcement activity and changes in the regulatory environment, including changing interpretations and the implementation of new or varying regulatory requirements by the government or any new legislation affecting Solana, as well as enforcement actions involving or impacting our trading venues, counterparties and custodians, may impose significant costs or significantly limit our ability to hold and transact in Solana.</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03" w:name="page204"/>
    <w:bookmarkEnd w:id="203"/>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addition, private actors that are wary of Solana or the regulatory concerns associated with Solana have in the past taken and may in the future take further actions that may have an adverse effect on our business or the market price of our listed securities.</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Regulatory change reclassifying Solana as a security could lead to our classification as an “investment company” under the Investment Company Act of 1940, as amended, and could adversely affect the market price of Solana and the market price of our common stock.</w:t>
      </w:r>
    </w:p>
    <w:p>
      <w:pPr>
        <w:spacing w:after="0" w:line="10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Under Sections 3(a)(1)(A) and (C) of the Investment Company Act of 1940, as amended (the “</w:t>
      </w:r>
      <w:r>
        <w:rPr>
          <w:rFonts w:ascii="Times New Roman" w:cs="Times New Roman" w:eastAsia="Times New Roman" w:hAnsi="Times New Roman"/>
          <w:sz w:val="12"/>
          <w:szCs w:val="12"/>
          <w:u w:val="single" w:color="auto"/>
          <w:color w:val="auto"/>
        </w:rPr>
        <w:t>1940 Act</w:t>
      </w:r>
      <w:r>
        <w:rPr>
          <w:rFonts w:ascii="Times New Roman" w:cs="Times New Roman" w:eastAsia="Times New Roman" w:hAnsi="Times New Roman"/>
          <w:sz w:val="12"/>
          <w:szCs w:val="12"/>
          <w:color w:val="auto"/>
        </w:rPr>
        <w: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 and are not registered as an “investment company” under the 1940 Act as of the date of this Current Report on Form 8-K.</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 significant portion of our assets will be concentrated in our Solana holdings. While senior SEC officials have not stated their view as to whether Solana is or is not a “security” for purposes of the federal securities laws, a contrary determination by the SEC, or a determination that our Solana is being offered and sold as a security, could lead to our classification as an “investment company” under the 1940 Act, if the portion of our assets consists of investments in Solanas exceeds 40% safe harbor limits prescribed in the 1940 Act, which would subject us to significant additional regulatory controls that could have a material adverse effect on our business and operations and our ability to execute our treasury strategy and may also require us to change the manner in which we conduct our business.</w:t>
      </w:r>
    </w:p>
    <w:p>
      <w:pPr>
        <w:spacing w:after="0" w:line="12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We monitor our assets and income for compliance under the 1940 Act and seek to conduct our business activities in a manner such that we do not fall within its definitions of “investment company” or that we qualify under one of the exemptions or exclusions provided by the 1940 Act and corresponding SEC regulations. Furthermore, if Solana is determined to constitute a security for purposes of the federal securities laws, we would take steps to reduce the percentage of Solanas that constitute investment assets under the 1940 Act. These steps may include, among others, selling Solanas that we might otherwise hold for the long term and deploying our cash in non-investment assets, and we may be forced to sell our Solanas at unattractive prices. We may also seek to acquire additional non-investment assets to maintain compliance with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being deemed to be an investment company in accordance with the safe harbor. If we were unsuccessful, and if Solana is determined to constitute a security for purposes of the federal securities laws, then we would have to register as an investment company, and the additional regulatory restrictions imposed by 1940 Act could adversely affect the market price of Solana and in turn adversely affect the market price of our common stock.</w:t>
      </w:r>
    </w:p>
    <w:p>
      <w:pPr>
        <w:spacing w:after="0" w:line="128"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In the future we may expand our business beyond the PoNS system and the treasury strategy to include other income streams and otherwise generate funds using our Solana holdings, including acquiring interests in other entities. At this time, we do not have any definitive agreements or plans in place to expand beyond acquiring and holding Solana. However, if we do acquire minority interests in other entities, this could lead to our classification as an “investment company”, which would subject us to additional regulatory controls and could have a material adverse impact on our results of operations.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2"/>
          <w:szCs w:val="12"/>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Treasury Reserve Policy or our Solana strategy, our use of leverage, the manner in which our Solana is custodied, our ability to engage in transactions with affiliated parties and our operating and investment activities generally are not subject to the extensive legal and regulatory requirements and prohibitions that apply to investment companies and investment advisers. Our board of directors has broad discretion over the investment, leverage and cash management policies it authorizes, whether in respect of our Solana holdings or other activities we may pursue, and has the power to change our current policies, including our strategy of acquiring and holding Solana.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lack of legal recourse and insurance for digital assets increases the risk of total loss in the event of theft or destruction.</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Digital assets that we acquire will not be insured against theft, loss or destruction. If an event occurs where we lose our digital assets, whether due to cyberattacks, fraud or other malicious activities, we may not have any viable legal recourse or ability to recover the lost assets. Unlike funds held in insured banking institutions, our digital assets are not protected by the Federal Deposit Insurance Corporation or the Securities Investor Protection Corporation. If our digital assets are lost under circumstances that render another party liable, there is no guarantee that the responsible party will have the financial resources to compensate us. As a result, we and our stockholders could face significant financial losses.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Digital asset lending arrangements may expose us to risks of borrower default, operational failures and cybersecurity threats</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Although we are not initially planning to lend our digital assets, from time to time, we may generate income through lending of digital assets, which carries significant risks. The volatility of such digital assets increases the likelihood that borrowers may default due to market downturns, liquidity crises, fraud or other financial distress. These lending transactions may be unsecured and so may be subordinated to secured debt of the borrower. If a borrower becomes insolvent, we may be unable to recover the loaned bitcoin, leading to substantial financial losses.</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Additionally, digital asset lending platforms are vulnerable to operational and cybersecurity risks. Technical failures, software bugs or system outages could disrupt lending activities, delay transactions or result in inaccurate record-keeping. Cybersecurity threats, including hacking, phishing and other malicious attacks, pose further risks, potentially leading to the loss, theft or misappropriation of our loaned bitcoin. A successful cyberattack or security breach could materially and adversely impact our financial position, reputation and ability to conduct future lending activities.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will be subject to significant competition in the growing digital asset industry and our business, operating results, and financial condition may be adversely affected if we are unable to compete effectively.</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Following the launch of our proposed digital asset treasury strategy, we will operate in a competitive environment and will compete against other companies and other entities with similar strategies, including companies with significant holdings in Solana and other digital assets, and our business, operating results, and financial condition may be adversely affected if we are unable to compete effectively.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Staking Solana may limit our liquidity and restrict our ability to access capital in a timely manner.</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As part of our digital asset treasury strategy, we may stake a portion of our Solana holdings with validators in order to earn staking rewards. Staked tokens are generally subject to “lock-up” or “unbonding” periods during which they cannot be transferred, traded, or otherwise used. Although such lock-up periods are intended to protect the stability of the protocol, they may materially reduce our immediate access to liquidity. If we need to liquidate our Solana holdings to meet operational requirements, satisfy obligations, or respond to adverse market conditions, the inability to rapidly access staked tokens could adversely affect our financial condition, results of operations, or cash flows. Furthermore, because staking rewards are paid in additional Solana tokens, rather than cash, our ability to convert those rewards into fiat currency may depend on prevailing market liquidity and trading volumes for Solana, which could be volatile or insufficient at times.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financial results and the market price of our common stock may be affected by the prices of Solana.</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part of our capital allocation strategy for assets that are not required to provide working capital for our ongoing operations, we have invested and will continue to invest in Solana tokens. The price of Solana has historically been subject to dramatic price fluctuations and is highly volatile. Moreover, digital assets, such as Solana, are relatively novel and the application of securities laws and other regulations to such assets is unclear in many respects. It is possible that regulators may interpret laws in a manner that adversely affects the liquidity or value of Solana.</w:t>
      </w:r>
    </w:p>
    <w:p>
      <w:pPr>
        <w:spacing w:after="0" w:line="119"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2"/>
          <w:szCs w:val="12"/>
          <w:color w:val="auto"/>
        </w:rPr>
        <w:t>Any decrease in the fair value of Solana below our carrying value for such assets could require us to incur a loss due to the decrease in fair market value, and such charge could be material to our financial results for the applicable reporting period, which may create significant volatility in our reported earnings. Any decrease in reported earnings or increased volatility of such earnings could have a material adverse effect on the market price of our common stock. In addition, the application of generally accepted accounting principles in the United States, with respect to Solana, may change in the future and could have a material adverse effect on our financial results and the market price of our common stock.</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addition, if investors view the value of our common stock as dependent upon or linked to the value or change in the value of our Solana holdings, the price of Solana may significantly influence the market price of our common stock. Additionally, if the price of Solana falls, and our common stock price falls as a result, then the Notes may not be converted and we may, in certain situations, need to repay them in cash. To the extent the value of the Notes exceeds the value of the Solana held as collateral, we may need to obtain additional financing, which might not be available on satisfactory terms or at all. Any deficiency could substantially exceed the value of our other assets and could be many multiples of our historical earnings.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Due to the unregulated nature and lack of transparency surrounding the operations of many Solana trading venues, Solana trading venues may experience greater fraud, security failures or regulatory or operational problems than trading venues for more established asset classes, which may result in a loss of confidence in Solana trading venues and adversely affect the value of our Solana.</w:t>
      </w:r>
    </w:p>
    <w:p>
      <w:pPr>
        <w:spacing w:after="0" w:line="10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Solana trading venues are relatively new and, in many cases, unregulated. Furthermore, there are many Solana trading venues which do not provide the public with significant information regarding their ownership structure, management teams, corporate practices and regulatory compliance. As a result, the marketplace may lose confidence in Solana trading venues, including prominent exchanges that handle a significant volume of Solana trading and/or are subject to regulatory oversight, in the event one or more Solana trading venues cease or pause for a prolonged period the trading of Solana or other digital assets, or experience fraud, significant volumes of withdrawal, security failures or operational problems.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05" w:name="page206"/>
    <w:bookmarkEnd w:id="205"/>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Solana market is significantly smaller than expected and that the United States makes up a significantly larger percentage of the Solana market than is commonly understood. Any actual or perceived wash trading in the Solana market, and any other fraudulent or manipulative acts and practices, could adversely affect the value of our Solana. Negative perception, a lack of stability in the broader Solana markets and the closure, temporary shutdown or operational disruption of Solana trading venues, lending institutions, institutional investors, institutional miners, custodians, or other major participants in the Solana ecosystem, due to fraud, business failure, cybersecurity events, government-mandated regulation, bankruptcy, or for any other reason, may result in a decline in confidence in Solana and the broader Solana ecosystem and greater volatility in the price of Solana. As the price of our listed securities is affected by the value of our Solana holdings, the failure of a major participant in the Solana ecosystem could have a material adverse effect on the market price of our listed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concentration of our Solana holdings enhances the risks inherent in our Solana strategy.</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have and intend to purchase Solana and increase our overall holdings of Solana in the future. The intended concentration of our Solana holdings limits the risk mitigation that we could achieve if we were to purchase a more diversified portfolio of treasury assets, and the absence of diversification enhances the risks inherent in our Solana strategy. The price of Solana experienced a significant decline in 2022, and any similar future significant declines in the price of Solana could have a more pronounced impact on our financial condition than if we used our cash to purchase a more diverse portfolio of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face risks relating to the use of third-party exchanges in connection with our Solana strategy.</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intend to use third-parties exchanges, which we believe are reputable, such as Kraken, Anchorage and Coinbase, to purchase Solana for our treasury. As part of our process in determining transactions with third-party exchanges, we search for reputable exchanges that have industry standard policies and procedures in place regarding data security and customer diligence related to anti-money laundering (“</w:t>
      </w:r>
      <w:r>
        <w:rPr>
          <w:rFonts w:ascii="Times New Roman" w:cs="Times New Roman" w:eastAsia="Times New Roman" w:hAnsi="Times New Roman"/>
          <w:sz w:val="12"/>
          <w:szCs w:val="12"/>
          <w:u w:val="single" w:color="auto"/>
          <w:color w:val="auto"/>
        </w:rPr>
        <w:t>AML</w:t>
      </w:r>
      <w:r>
        <w:rPr>
          <w:rFonts w:ascii="Times New Roman" w:cs="Times New Roman" w:eastAsia="Times New Roman" w:hAnsi="Times New Roman"/>
          <w:sz w:val="12"/>
          <w:szCs w:val="12"/>
          <w:color w:val="auto"/>
        </w:rPr>
        <w:t>”), Office of Foreign Assets Control (“</w:t>
      </w:r>
      <w:r>
        <w:rPr>
          <w:rFonts w:ascii="Times New Roman" w:cs="Times New Roman" w:eastAsia="Times New Roman" w:hAnsi="Times New Roman"/>
          <w:sz w:val="12"/>
          <w:szCs w:val="12"/>
          <w:u w:val="single" w:color="auto"/>
          <w:color w:val="auto"/>
        </w:rPr>
        <w:t>OFAC</w:t>
      </w:r>
      <w:r>
        <w:rPr>
          <w:rFonts w:ascii="Times New Roman" w:cs="Times New Roman" w:eastAsia="Times New Roman" w:hAnsi="Times New Roman"/>
          <w:sz w:val="12"/>
          <w:szCs w:val="12"/>
          <w:color w:val="auto"/>
        </w:rPr>
        <w:t>”) and know-your client (“</w:t>
      </w:r>
      <w:r>
        <w:rPr>
          <w:rFonts w:ascii="Times New Roman" w:cs="Times New Roman" w:eastAsia="Times New Roman" w:hAnsi="Times New Roman"/>
          <w:sz w:val="12"/>
          <w:szCs w:val="12"/>
          <w:u w:val="single" w:color="auto"/>
          <w:color w:val="auto"/>
        </w:rPr>
        <w:t>KYC</w:t>
      </w:r>
      <w:r>
        <w:rPr>
          <w:rFonts w:ascii="Times New Roman" w:cs="Times New Roman" w:eastAsia="Times New Roman" w:hAnsi="Times New Roman"/>
          <w:sz w:val="12"/>
          <w:szCs w:val="12"/>
          <w:color w:val="auto"/>
        </w:rPr>
        <w:t>”) rules and regulations. If any of these third-party exchanges no longer meet our standards or if there is a decrease in reputable third-party exchanges, we may need to find additional counterparties and enter into additional agreements that could be on less favorable terms, which could have a material adverse effect on our business, financial condition or the results of our operations.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face risks relating to the custody of our Solana tokens, including the loss or destruction of private keys required to access our Solana tokens and cyberattacks or other data loss relating to our Solana tokens, including smart contract related losses and vulnerabilities.</w:t>
      </w:r>
    </w:p>
    <w:p>
      <w:pPr>
        <w:spacing w:after="0" w:line="10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hold our Solana tokens with a single regulated custodian that has duties to safeguard our private keys. In light of the significant amount of Solana tokens we anticipate that we will hold, we may need to engage additional custodians to achieve a greater degree of diversification in the custody of our Solana tokens as the extent of potential risk of loss is dependent, in part, on the degree of diversification. However, multiple custodians may utilize similar wallet infrastructure, cloud service providers or software systems, which could increase systemic technology risk.</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If there is a decrease in the availability of digital asset custodians that we believe can safely custody our Solana tokens, for example, due to regulatory developments or enforcement actions that cause custodians to discontinue or limit their services in the United States, we may need to enter into agreements that are less favorable than our current agreements or take other measures to custody our Solana tokens, and our ability to seek a greater degree of diversification in the use of custodial services would be materially adversely affected. While we will conduct due diligence on our custodians and any smart contract platforms we may use, there can be no assurance that such diligence will uncover all risks, including operational deficiencies, hidden vulnerabilities or legal noncompliance.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06" w:name="page207"/>
    <w:bookmarkEnd w:id="206"/>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Currently, the insurance that covers losses of our Solana holdings may cover none or only a small fraction of the value of the entirety of our Solana holdings, and there can be no guarantee that such insurance will be maintained as part of the custodial services we have or that such coverage will cover losses with respect to our Solana. Moreover, our use of custodians exposes us to the risk that the Solana our custodians hold on our behalf could be subject to insolvency proceedings and we could be treated as a general unsecured creditor of the custodian, inhibiting our ability to exercise ownership rights with respect to such Solana. Any loss associated with such insolvency proceedings is unlikely to be covered by any insurance coverage we maintain related to our Solana. The legal framework governing digital asset ownership and rights in custodial or insolvency contexts remains uncertain and continues to evolve, which could result in unexpected losses, protracted recovery processes or adverse treatment in insolvency proceedings.</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Solana tokens are controllable only by the possessor of both the unique public key and private key(s) relating to the local or online digital wallet in which the Solana is held. While the Solana blockchain ledger requires a public key relating to a digital wallet to be published when used in a transaction, private keys must be safeguarded and kept private in order to prevent a third party from accessing the Solana held in such wallet. To the extent the private key(s) for a digital wallet are lost, destroyed, or otherwise compromised and no backup of the private key(s) is accessible, neither we nor our custodians will be able to access the Solana held in the related digital wallet. Furthermore, we cannot provide assurance that our digital wallets, nor the digital wallets of our custodians held on our behalf, will not be compromised as a result of a cyberattack. The Solana and blockchain ledger, as well as other digital assets and blockchain technologies, have been, and may in the future be, subject to security breaches, cyberattacks, or other malicious activities.</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As part of our treasury management strategy, we may engage in staking, restaking, or other permitted activities that involve the use of “smart contracts” or decentralized applications. The use of smart contracts or decentralized applications entails certain risks including risks stemming from the existence of an “admin key” or coding flaws that could be exploited, potentially allowing a bad actor to issue or otherwise compromise the smart contract or decentralized application, potentially leading to a loss of our Solana tokens. Like all software code, smart contracts are exposed to risk that the code contains a bug or other security vulnerability, which can lead to loss of assets that are held on or transacted through the contract or decentralized application. Smart contracts and decentralized applications may contain bugs, security vulnerabilities or poorly designed permission structures that could result in the irreversible loss of Solana tokens or other digital assets. Exploits, including those stemming from admin key misuse, admin key compromise, or protocol flaws, have occurred in the past and may occur in the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Solana holdings are and will be less liquid than our existing cash and cash equivalents and may not be able to serve as a source of liquidity for us to the same extent as cash and cash equivalents.</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Historically, the Solana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Solana at favorable prices or at all. For example, a number of Solana trading venues temporarily halted deposits and withdrawals in 2022, although the Coinbase exchange (a major U.S.-based crypto exchange) has, to date, not done so. As a result, our Solana holdings may not be able to serve as a source of liquidity for us to the same extent as cash and cash equivalents. Further, Solana we hold with our custodians and transact with our trade execution partners will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Solana or otherwise generate funds using our Solana holdings, including in particular during times of market instability or when the price of Solana has declined significantly. If we are unable to sell our Solana, enter into additional capital raising transactions, including capital raising transactions using Solana as collateral, or otherwise generate funds using our Solana holdings, or if we are forced to sell our Solana at a significant loss, in order to meet our working capital requirements, our business and financial condition could be negatively impacted.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07" w:name="page208"/>
    <w:bookmarkEnd w:id="207"/>
    <w:p>
      <w:pPr>
        <w:jc w:val="both"/>
        <w:ind w:left="8"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or our third-party service providers experience a security breach or cyberattack and unauthorized parties obtain access to our Solana, or if our private keys are lost or destroyed, or other similar circumstances or events occur, we may lose some or all of our Solana and our financial condition and results of operations could be materially adversely affected.</w:t>
      </w:r>
    </w:p>
    <w:p>
      <w:pPr>
        <w:spacing w:after="0" w:line="107"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Substantially all of the Solana we own is held in custody accounts at U.S.-based institutional-grade digital asset custodians. Security breaches and cyberattacks are of particular concern with respect to our Solana. Solana and other blockchain-based cryptocurrencies and the entities that provide services to participants in the Solana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spacing w:after="0" w:line="125" w:lineRule="exact"/>
        <w:rPr>
          <w:sz w:val="20"/>
          <w:szCs w:val="20"/>
          <w:color w:val="auto"/>
        </w:rPr>
      </w:pPr>
    </w:p>
    <w:p>
      <w:pPr>
        <w:ind w:left="208" w:hanging="208"/>
        <w:spacing w:after="0"/>
        <w:tabs>
          <w:tab w:leader="none" w:pos="208"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partial or total loss of our Solana in a manner that may not be covered by insurance or the liability provisions of the custody agreements with the custodians who hold our Solana;</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harm to our reputation and brand;</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improper disclosure of data and violations of applicable data privacy and other laws; or</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regulatory scrutiny, investigations, fines, penalties, and other legal, regulatory, contractual and financial exposure.</w:t>
      </w:r>
    </w:p>
    <w:p>
      <w:pPr>
        <w:spacing w:after="0" w:line="150"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Solana ecosystem or in the use of the Solana network to conduct financial transactions, which could negatively impact the market price of Solana and in turn negatively impact our financial condition and results of operations and the market price of our common stock.</w:t>
      </w:r>
    </w:p>
    <w:p>
      <w:pPr>
        <w:spacing w:after="0" w:line="119"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Attacks upon systems across a variety of industries, including industries related to Solana,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we expect that unauthorized parties will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The risk of cyberattacks could also be increased by cyberwarfare in connection with ongoing or future armed conflicts, including potential proliferation of malware into systems unrelated to such conflicts. Any future breach of our operations or those of others in the Solana industry, including third-party services on which we rely, could materially and adversely affect our financial condition and results of operations.</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We face other risks related to our Solana treasury reserve business model.</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Our Solana treasury reserve business model exposes us to various risks, including the following:</w:t>
      </w:r>
    </w:p>
    <w:p>
      <w:pPr>
        <w:spacing w:after="0" w:line="150" w:lineRule="exact"/>
        <w:rPr>
          <w:sz w:val="20"/>
          <w:szCs w:val="20"/>
          <w:color w:val="auto"/>
        </w:rPr>
      </w:pPr>
    </w:p>
    <w:p>
      <w:pPr>
        <w:ind w:left="648" w:hanging="216"/>
        <w:spacing w:after="0"/>
        <w:tabs>
          <w:tab w:leader="none" w:pos="648"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Solana and other digital assets are subject to significant legal, commercial, regulatory, and technical uncertainty, and our Solana strategy subjects us to enhanced regulatory oversight;</w:t>
      </w:r>
    </w:p>
    <w:p>
      <w:pPr>
        <w:spacing w:after="0" w:line="150"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changes could impact our ability to operate validators or receive rewards;</w:t>
      </w:r>
    </w:p>
    <w:p>
      <w:pPr>
        <w:spacing w:after="0" w:line="150"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scrutiny of the Company’s activities may increase, potentially limiting our operations;</w:t>
      </w:r>
    </w:p>
    <w:p>
      <w:pPr>
        <w:spacing w:after="0" w:line="294" w:lineRule="exact"/>
        <w:rPr>
          <w:rFonts w:ascii="Times New Roman" w:cs="Times New Roman" w:eastAsia="Times New Roman" w:hAnsi="Times New Roman"/>
          <w:sz w:val="12"/>
          <w:szCs w:val="12"/>
          <w:color w:val="auto"/>
        </w:rPr>
      </w:pPr>
    </w:p>
    <w:p>
      <w:pPr>
        <w:ind w:left="5628" w:hanging="71"/>
        <w:spacing w:after="0"/>
        <w:tabs>
          <w:tab w:leader="none" w:pos="5628"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08" w:name="page209"/>
    <w:bookmarkEnd w:id="208"/>
    <w:p>
      <w:pPr>
        <w:ind w:left="640" w:hanging="216"/>
        <w:spacing w:after="0"/>
        <w:tabs>
          <w:tab w:leader="none" w:pos="64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litigation risks exist related to smart contract vulnerabilities, validator operations, or our business activities;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uncertainty around Solana’s regulatory status may impact our ability to list on certain exchanges;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political administration may not guarantee a favorable regulatory environment for Solana;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regulatory focus on Layer-1 blockchains beyond Bitcoin and Ethereum could result in new compliance requirements.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foregoing factors could lead to disruption in the market for Solana, which could adversely affect the market price of Solana and in turn adversely affect the market price of our common stock.</w:t>
      </w:r>
    </w:p>
    <w:p>
      <w:pPr>
        <w:spacing w:after="0" w:line="3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0159"/>
      </w:cols>
      <w:pgMar w:left="300" w:top="6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1)"/>
      <w:numFmt w:val="lowerRoman"/>
      <w:start w:val="1"/>
    </w:lvl>
  </w:abstractNum>
  <w:abstractNum w:abstractNumId="2">
    <w:nsid w:val="5FF87E05"/>
    <w:multiLevelType w:val="hybridMultilevel"/>
    <w:lvl w:ilvl="0">
      <w:lvlJc w:val="left"/>
      <w:lvlText w:val="%1."/>
      <w:numFmt w:val="decimal"/>
      <w:start w:val="1"/>
    </w:lvl>
  </w:abstractNum>
  <w:abstractNum w:abstractNumId="3">
    <w:nsid w:val="2F305DEF"/>
    <w:multiLevelType w:val="hybridMultilevel"/>
    <w:lvl w:ilvl="0">
      <w:lvlJc w:val="left"/>
      <w:lvlText w:val="%1."/>
      <w:numFmt w:val="decimal"/>
      <w:start w:val="2"/>
    </w:lvl>
  </w:abstractNum>
  <w:abstractNum w:abstractNumId="4">
    <w:nsid w:val="25A70BF7"/>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
    <w:nsid w:val="1DBABF00"/>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6">
    <w:nsid w:val="4AD084E9"/>
    <w:multiLevelType w:val="hybridMultilevel"/>
    <w:lvl w:ilvl="0">
      <w:lvlJc w:val="left"/>
      <w:lvlText w:val="%1"/>
      <w:numFmt w:val="decimal"/>
      <w:start w:val="1"/>
    </w:lvl>
    <w:lvl w:ilvl="1">
      <w:lvlJc w:val="left"/>
      <w:lvlText w:val="(%2)"/>
      <w:numFmt w:val="lowerLetter"/>
      <w:start w:val="2"/>
    </w:lvl>
  </w:abstractNum>
  <w:abstractNum w:abstractNumId="7">
    <w:nsid w:val="1F48EAA1"/>
    <w:multiLevelType w:val="hybridMultilevel"/>
    <w:lvl w:ilvl="0">
      <w:lvlJc w:val="left"/>
      <w:lvlText w:val="%1."/>
      <w:numFmt w:val="decimal"/>
      <w:start w:val="6"/>
    </w:lvl>
    <w:lvl w:ilvl="1">
      <w:lvlJc w:val="left"/>
      <w:lvlText w:val="%2"/>
      <w:numFmt w:val="lowerLetter"/>
      <w:start w:val="1"/>
    </w:lvl>
  </w:abstractNum>
  <w:abstractNum w:abstractNumId="8">
    <w:nsid w:val="1381823A"/>
    <w:multiLevelType w:val="hybridMultilevel"/>
    <w:lvl w:ilvl="0">
      <w:lvlJc w:val="left"/>
      <w:lvlText w:val="%1."/>
      <w:numFmt w:val="decimal"/>
      <w:start w:val="9"/>
    </w:lvl>
    <w:lvl w:ilvl="1">
      <w:lvlJc w:val="left"/>
      <w:lvlText w:val="(%2)"/>
      <w:numFmt w:val="lowerLetter"/>
      <w:start w:val="1"/>
    </w:lvl>
  </w:abstractNum>
  <w:abstractNum w:abstractNumId="9">
    <w:nsid w:val="5DB70AE5"/>
    <w:multiLevelType w:val="hybridMultilevel"/>
    <w:lvl w:ilvl="0">
      <w:lvlJc w:val="left"/>
      <w:lvlText w:val="%1"/>
      <w:numFmt w:val="decimal"/>
      <w:start w:val="1"/>
    </w:lvl>
    <w:lvl w:ilvl="1">
      <w:lvlJc w:val="left"/>
      <w:lvlText w:val="(%2)"/>
      <w:numFmt w:val="lowerLetter"/>
      <w:start w:val="3"/>
    </w:lvl>
  </w:abstractNum>
  <w:abstractNum w:abstractNumId="10">
    <w:nsid w:val="100F8FCA"/>
    <w:multiLevelType w:val="hybridMultilevel"/>
    <w:lvl w:ilvl="0">
      <w:lvlJc w:val="left"/>
      <w:lvlText w:val="(%1)"/>
      <w:numFmt w:val="decimal"/>
      <w:start w:val="1"/>
    </w:lvl>
    <w:lvl w:ilvl="1">
      <w:lvlJc w:val="left"/>
      <w:lvlText w:val="%2"/>
      <w:numFmt w:val="lowerLetter"/>
      <w:start w:val="1"/>
    </w:lvl>
  </w:abstractNum>
  <w:abstractNum w:abstractNumId="11">
    <w:nsid w:val="6590700B"/>
    <w:multiLevelType w:val="hybridMultilevel"/>
    <w:lvl w:ilvl="0">
      <w:lvlJc w:val="left"/>
      <w:lvlText w:val="(%1)"/>
      <w:numFmt w:val="lowerLetter"/>
      <w:start w:val="5"/>
    </w:lvl>
  </w:abstractNum>
  <w:abstractNum w:abstractNumId="12">
    <w:nsid w:val="15014ACB"/>
    <w:multiLevelType w:val="hybridMultilevel"/>
    <w:lvl w:ilvl="0">
      <w:lvlJc w:val="left"/>
      <w:lvlText w:val="%1."/>
      <w:numFmt w:val="decimal"/>
      <w:start w:val="10"/>
    </w:lvl>
  </w:abstractNum>
  <w:abstractNum w:abstractNumId="13">
    <w:nsid w:val="5F5E7FD0"/>
    <w:multiLevelType w:val="hybridMultilevel"/>
    <w:lvl w:ilvl="0">
      <w:lvlJc w:val="left"/>
      <w:lvlText w:val="%1."/>
      <w:numFmt w:val="decimal"/>
      <w:start w:val="11"/>
    </w:lvl>
    <w:lvl w:ilvl="1">
      <w:lvlJc w:val="left"/>
      <w:lvlText w:val="(%2)"/>
      <w:numFmt w:val="lowerLetter"/>
      <w:start w:val="1"/>
    </w:lvl>
  </w:abstractNum>
  <w:abstractNum w:abstractNumId="14">
    <w:nsid w:val="98A3148"/>
    <w:multiLevelType w:val="hybridMultilevel"/>
    <w:lvl w:ilvl="0">
      <w:lvlJc w:val="left"/>
      <w:lvlText w:val="%1."/>
      <w:numFmt w:val="decimal"/>
      <w:start w:val="12"/>
    </w:lvl>
  </w:abstractNum>
  <w:abstractNum w:abstractNumId="15">
    <w:nsid w:val="799D0247"/>
    <w:multiLevelType w:val="hybridMultilevel"/>
    <w:lvl w:ilvl="0">
      <w:lvlJc w:val="left"/>
      <w:lvlText w:val="%1."/>
      <w:numFmt w:val="decimal"/>
      <w:start w:val="14"/>
    </w:lvl>
    <w:lvl w:ilvl="1">
      <w:lvlJc w:val="left"/>
      <w:lvlText w:val="(%2)"/>
      <w:numFmt w:val="lowerLetter"/>
      <w:start w:val="1"/>
    </w:lvl>
  </w:abstractNum>
  <w:abstractNum w:abstractNumId="16">
    <w:nsid w:val="6B94764"/>
    <w:multiLevelType w:val="hybridMultilevel"/>
    <w:lvl w:ilvl="0">
      <w:lvlJc w:val="left"/>
      <w:lvlText w:val="(%1)"/>
      <w:numFmt w:val="lowerLetter"/>
      <w:start w:val="2"/>
    </w:lvl>
  </w:abstractNum>
  <w:abstractNum w:abstractNumId="17">
    <w:nsid w:val="42C296BD"/>
    <w:multiLevelType w:val="hybridMultilevel"/>
    <w:lvl w:ilvl="0">
      <w:lvlJc w:val="left"/>
      <w:lvlText w:val="(%1)"/>
      <w:numFmt w:val="lowerLetter"/>
      <w:start w:val="8"/>
    </w:lvl>
  </w:abstractNum>
  <w:abstractNum w:abstractNumId="18">
    <w:nsid w:val="168E121F"/>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9">
    <w:nsid w:val="1EBA5D23"/>
    <w:multiLevelType w:val="hybridMultilevel"/>
    <w:lvl w:ilvl="0">
      <w:lvlJc w:val="left"/>
      <w:lvlText w:val="(%1)"/>
      <w:numFmt w:val="decimal"/>
      <w:start w:val="5"/>
    </w:lvl>
    <w:lvl w:ilvl="1">
      <w:lvlJc w:val="left"/>
      <w:lvlText w:val="☐"/>
      <w:numFmt w:val="bullet"/>
      <w:start w:val="1"/>
    </w:lvl>
  </w:abstractNum>
  <w:abstractNum w:abstractNumId="20">
    <w:nsid w:val="661E3F1E"/>
    <w:multiLevelType w:val="hybridMultilevel"/>
    <w:lvl w:ilvl="0">
      <w:lvlJc w:val="left"/>
      <w:lvlText w:val="%1."/>
      <w:numFmt w:val="decimal"/>
      <w:start w:val="1"/>
    </w:lvl>
  </w:abstractNum>
  <w:abstractNum w:abstractNumId="21">
    <w:nsid w:val="5DC79EA8"/>
    <w:multiLevelType w:val="hybridMultilevel"/>
    <w:lvl w:ilvl="0">
      <w:lvlJc w:val="left"/>
      <w:lvlText w:val="%1."/>
      <w:numFmt w:val="decimal"/>
      <w:start w:val="2"/>
    </w:lvl>
  </w:abstractNum>
  <w:abstractNum w:abstractNumId="22">
    <w:nsid w:val="540A471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3">
    <w:nsid w:val="7BD3EE7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4">
    <w:nsid w:val="51D9C564"/>
    <w:multiLevelType w:val="hybridMultilevel"/>
    <w:lvl w:ilvl="0">
      <w:lvlJc w:val="left"/>
      <w:lvlText w:val="%1"/>
      <w:numFmt w:val="decimal"/>
      <w:start w:val="1"/>
    </w:lvl>
    <w:lvl w:ilvl="1">
      <w:lvlJc w:val="left"/>
      <w:lvlText w:val="(%2)"/>
      <w:numFmt w:val="lowerLetter"/>
      <w:start w:val="2"/>
    </w:lvl>
  </w:abstractNum>
  <w:abstractNum w:abstractNumId="25">
    <w:nsid w:val="613EFDC5"/>
    <w:multiLevelType w:val="hybridMultilevel"/>
    <w:lvl w:ilvl="0">
      <w:lvlJc w:val="left"/>
      <w:lvlText w:val="%1."/>
      <w:numFmt w:val="decimal"/>
      <w:start w:val="6"/>
    </w:lvl>
    <w:lvl w:ilvl="1">
      <w:lvlJc w:val="left"/>
      <w:lvlText w:val="%2"/>
      <w:numFmt w:val="lowerLetter"/>
      <w:start w:val="1"/>
    </w:lvl>
  </w:abstractNum>
  <w:abstractNum w:abstractNumId="26">
    <w:nsid w:val="BF72B14"/>
    <w:multiLevelType w:val="hybridMultilevel"/>
    <w:lvl w:ilvl="0">
      <w:lvlJc w:val="left"/>
      <w:lvlText w:val="%1."/>
      <w:numFmt w:val="decimal"/>
      <w:start w:val="8"/>
    </w:lvl>
  </w:abstractNum>
  <w:abstractNum w:abstractNumId="27">
    <w:nsid w:val="11447B73"/>
    <w:multiLevelType w:val="hybridMultilevel"/>
    <w:lvl w:ilvl="0">
      <w:lvlJc w:val="left"/>
      <w:lvlText w:val="%1."/>
      <w:numFmt w:val="decimal"/>
      <w:start w:val="8"/>
    </w:lvl>
    <w:lvl w:ilvl="1">
      <w:lvlJc w:val="left"/>
      <w:lvlText w:val="(%2)"/>
      <w:numFmt w:val="lowerLetter"/>
      <w:start w:val="1"/>
    </w:lvl>
  </w:abstractNum>
  <w:abstractNum w:abstractNumId="28">
    <w:nsid w:val="42963E5A"/>
    <w:multiLevelType w:val="hybridMultilevel"/>
    <w:lvl w:ilvl="0">
      <w:lvlJc w:val="left"/>
      <w:lvlText w:val="%1"/>
      <w:numFmt w:val="decimal"/>
      <w:start w:val="1"/>
    </w:lvl>
    <w:lvl w:ilvl="1">
      <w:lvlJc w:val="left"/>
      <w:lvlText w:val="(%2)"/>
      <w:numFmt w:val="lowerLetter"/>
      <w:start w:val="3"/>
    </w:lvl>
  </w:abstractNum>
  <w:abstractNum w:abstractNumId="29">
    <w:nsid w:val="A0382C5"/>
    <w:multiLevelType w:val="hybridMultilevel"/>
    <w:lvl w:ilvl="0">
      <w:lvlJc w:val="left"/>
      <w:lvlText w:val="(%1)"/>
      <w:numFmt w:val="decimal"/>
      <w:start w:val="1"/>
    </w:lvl>
    <w:lvl w:ilvl="1">
      <w:lvlJc w:val="left"/>
      <w:lvlText w:val="%2"/>
      <w:numFmt w:val="lowerLetter"/>
      <w:start w:val="1"/>
    </w:lvl>
  </w:abstractNum>
  <w:abstractNum w:abstractNumId="30">
    <w:nsid w:val="8F2B15E"/>
    <w:multiLevelType w:val="hybridMultilevel"/>
    <w:lvl w:ilvl="0">
      <w:lvlJc w:val="left"/>
      <w:lvlText w:val="(%1)"/>
      <w:numFmt w:val="lowerLetter"/>
      <w:start w:val="5"/>
    </w:lvl>
  </w:abstractNum>
  <w:abstractNum w:abstractNumId="31">
    <w:nsid w:val="1A32234B"/>
    <w:multiLevelType w:val="hybridMultilevel"/>
    <w:lvl w:ilvl="0">
      <w:lvlJc w:val="left"/>
      <w:lvlText w:val="%1."/>
      <w:numFmt w:val="decimal"/>
      <w:start w:val="10"/>
    </w:lvl>
  </w:abstractNum>
  <w:abstractNum w:abstractNumId="32">
    <w:nsid w:val="3B0FD379"/>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33">
    <w:nsid w:val="68EB2F6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34">
    <w:nsid w:val="4962813B"/>
    <w:multiLevelType w:val="hybridMultilevel"/>
    <w:lvl w:ilvl="0">
      <w:lvlJc w:val="left"/>
      <w:lvlText w:val="%1."/>
      <w:numFmt w:val="decimal"/>
      <w:start w:val="12"/>
    </w:lvl>
  </w:abstractNum>
  <w:abstractNum w:abstractNumId="35">
    <w:nsid w:val="60B6DF70"/>
    <w:multiLevelType w:val="hybridMultilevel"/>
    <w:lvl w:ilvl="0">
      <w:lvlJc w:val="left"/>
      <w:lvlText w:val="%1."/>
      <w:numFmt w:val="decimal"/>
      <w:start w:val="14"/>
    </w:lvl>
    <w:lvl w:ilvl="1">
      <w:lvlJc w:val="left"/>
      <w:lvlText w:val="(%2)"/>
      <w:numFmt w:val="lowerLetter"/>
      <w:start w:val="1"/>
    </w:lvl>
  </w:abstractNum>
  <w:abstractNum w:abstractNumId="36">
    <w:nsid w:val="6A5EE64"/>
    <w:multiLevelType w:val="hybridMultilevel"/>
    <w:lvl w:ilvl="0">
      <w:lvlJc w:val="left"/>
      <w:lvlText w:val="(%1)"/>
      <w:numFmt w:val="lowerLetter"/>
      <w:start w:val="2"/>
    </w:lvl>
  </w:abstractNum>
  <w:abstractNum w:abstractNumId="37">
    <w:nsid w:val="14330624"/>
    <w:multiLevelType w:val="hybridMultilevel"/>
    <w:lvl w:ilvl="0">
      <w:lvlJc w:val="left"/>
      <w:lvlText w:val="(%1)"/>
      <w:numFmt w:val="lowerLetter"/>
      <w:start w:val="7"/>
    </w:lvl>
  </w:abstractNum>
  <w:abstractNum w:abstractNumId="38">
    <w:nsid w:val="7FFFCA11"/>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9">
    <w:nsid w:val="1A27709E"/>
    <w:multiLevelType w:val="hybridMultilevel"/>
    <w:lvl w:ilvl="0">
      <w:lvlJc w:val="left"/>
      <w:lvlText w:val="(%1)"/>
      <w:numFmt w:val="decimal"/>
      <w:start w:val="5"/>
    </w:lvl>
    <w:lvl w:ilvl="1">
      <w:lvlJc w:val="left"/>
      <w:lvlText w:val="☐"/>
      <w:numFmt w:val="bullet"/>
      <w:start w:val="1"/>
    </w:lvl>
  </w:abstractNum>
  <w:abstractNum w:abstractNumId="40">
    <w:nsid w:val="71EA1109"/>
    <w:multiLevelType w:val="hybridMultilevel"/>
    <w:lvl w:ilvl="0">
      <w:lvlJc w:val="left"/>
      <w:lvlText w:val="%1."/>
      <w:numFmt w:val="decimal"/>
      <w:start w:val="1"/>
    </w:lvl>
  </w:abstractNum>
  <w:abstractNum w:abstractNumId="41">
    <w:nsid w:val="100F59DC"/>
    <w:multiLevelType w:val="hybridMultilevel"/>
    <w:lvl w:ilvl="0">
      <w:lvlJc w:val="left"/>
      <w:lvlText w:val="%1."/>
      <w:numFmt w:val="decimal"/>
      <w:start w:val="3"/>
    </w:lvl>
  </w:abstractNum>
  <w:abstractNum w:abstractNumId="42">
    <w:nsid w:val="7FB7E0AA"/>
    <w:multiLevelType w:val="hybridMultilevel"/>
    <w:lvl w:ilvl="0">
      <w:lvlJc w:val="left"/>
      <w:lvlText w:val="(%1)"/>
      <w:numFmt w:val="lowerRoman"/>
      <w:start w:val="1"/>
    </w:lvl>
  </w:abstractNum>
  <w:abstractNum w:abstractNumId="43">
    <w:nsid w:val="6EB5BD4"/>
    <w:multiLevelType w:val="hybridMultilevel"/>
    <w:lvl w:ilvl="0">
      <w:lvlJc w:val="left"/>
      <w:lvlText w:val="%1."/>
      <w:numFmt w:val="decimal"/>
      <w:start w:val="4"/>
    </w:lvl>
  </w:abstractNum>
  <w:abstractNum w:abstractNumId="44">
    <w:nsid w:val="6F6DD9AC"/>
    <w:multiLevelType w:val="hybridMultilevel"/>
    <w:lvl w:ilvl="0">
      <w:lvlJc w:val="left"/>
      <w:lvlText w:val="(%1)"/>
      <w:numFmt w:val="lowerRoman"/>
      <w:start w:val="2"/>
    </w:lvl>
  </w:abstractNum>
  <w:abstractNum w:abstractNumId="45">
    <w:nsid w:val="94211F2"/>
    <w:multiLevelType w:val="hybridMultilevel"/>
    <w:lvl w:ilvl="0">
      <w:lvlJc w:val="left"/>
      <w:lvlText w:val="%1."/>
      <w:numFmt w:val="decimal"/>
      <w:start w:val="5"/>
    </w:lvl>
  </w:abstractNum>
  <w:abstractNum w:abstractNumId="46">
    <w:nsid w:val="885E1B"/>
    <w:multiLevelType w:val="hybridMultilevel"/>
    <w:lvl w:ilvl="0">
      <w:lvlJc w:val="left"/>
      <w:lvlText w:val="%1."/>
      <w:numFmt w:val="decimal"/>
      <w:start w:val="6"/>
    </w:lvl>
  </w:abstractNum>
  <w:abstractNum w:abstractNumId="47">
    <w:nsid w:val="76272110"/>
    <w:multiLevelType w:val="hybridMultilevel"/>
    <w:lvl w:ilvl="0">
      <w:lvlJc w:val="left"/>
      <w:lvlText w:val="(%1)"/>
      <w:numFmt w:val="decimal"/>
      <w:start w:val="30"/>
    </w:lvl>
  </w:abstractNum>
  <w:abstractNum w:abstractNumId="48">
    <w:nsid w:val="4C04A8AF"/>
    <w:multiLevelType w:val="hybridMultilevel"/>
    <w:lvl w:ilvl="0">
      <w:lvlJc w:val="left"/>
      <w:lvlText w:val="(%1)"/>
      <w:numFmt w:val="lowerLetter"/>
      <w:start w:val="3"/>
    </w:lvl>
    <w:lvl w:ilvl="1">
      <w:lvlJc w:val="left"/>
      <w:lvlText w:val="%2."/>
      <w:numFmt w:val="decimal"/>
      <w:start w:val="7"/>
    </w:lvl>
  </w:abstractNum>
  <w:abstractNum w:abstractNumId="49">
    <w:nsid w:val="1716703B"/>
    <w:multiLevelType w:val="hybridMultilevel"/>
    <w:lvl w:ilvl="0">
      <w:lvlJc w:val="left"/>
      <w:lvlText w:val="%1."/>
      <w:numFmt w:val="decimal"/>
      <w:start w:val="8"/>
    </w:lvl>
  </w:abstractNum>
  <w:abstractNum w:abstractNumId="50">
    <w:nsid w:val="14E17E33"/>
    <w:multiLevelType w:val="hybridMultilevel"/>
    <w:lvl w:ilvl="0">
      <w:lvlJc w:val="left"/>
      <w:lvlText w:val="%1."/>
      <w:numFmt w:val="decimal"/>
      <w:start w:val="9"/>
    </w:lvl>
  </w:abstractNum>
  <w:abstractNum w:abstractNumId="51">
    <w:nsid w:val="3222E7CD"/>
    <w:multiLevelType w:val="hybridMultilevel"/>
    <w:lvl w:ilvl="0">
      <w:lvlJc w:val="left"/>
      <w:lvlText w:val="(%1)"/>
      <w:numFmt w:val="lowerLetter"/>
      <w:start w:val="26"/>
    </w:lvl>
  </w:abstractNum>
  <w:abstractNum w:abstractNumId="52">
    <w:nsid w:val="74DE0EE3"/>
    <w:multiLevelType w:val="hybridMultilevel"/>
    <w:lvl w:ilvl="0">
      <w:lvlJc w:val="left"/>
      <w:lvlText w:val="%1."/>
      <w:numFmt w:val="decimal"/>
      <w:start w:val="1"/>
    </w:lvl>
  </w:abstractNum>
  <w:abstractNum w:abstractNumId="53">
    <w:nsid w:val="68EBC550"/>
    <w:multiLevelType w:val="hybridMultilevel"/>
    <w:lvl w:ilvl="0">
      <w:lvlJc w:val="left"/>
      <w:lvlText w:val="%1."/>
      <w:numFmt w:val="decimal"/>
      <w:start w:val="3"/>
    </w:lvl>
  </w:abstractNum>
  <w:abstractNum w:abstractNumId="54">
    <w:nsid w:val="2DF6D648"/>
    <w:multiLevelType w:val="hybridMultilevel"/>
    <w:lvl w:ilvl="0">
      <w:lvlJc w:val="left"/>
      <w:lvlText w:val="%1."/>
      <w:numFmt w:val="decimal"/>
      <w:start w:val="4"/>
    </w:lvl>
  </w:abstractNum>
  <w:abstractNum w:abstractNumId="55">
    <w:nsid w:val="46B7D447"/>
    <w:multiLevelType w:val="hybridMultilevel"/>
    <w:lvl w:ilvl="0">
      <w:lvlJc w:val="left"/>
      <w:lvlText w:val="(%1)"/>
      <w:numFmt w:val="lowerRoman"/>
      <w:start w:val="2"/>
    </w:lvl>
  </w:abstractNum>
  <w:abstractNum w:abstractNumId="56">
    <w:nsid w:val="4A2AC315"/>
    <w:multiLevelType w:val="hybridMultilevel"/>
    <w:lvl w:ilvl="0">
      <w:lvlJc w:val="left"/>
      <w:lvlText w:val="%1."/>
      <w:numFmt w:val="decimal"/>
      <w:start w:val="5"/>
    </w:lvl>
  </w:abstractNum>
  <w:abstractNum w:abstractNumId="57">
    <w:nsid w:val="39EE015C"/>
    <w:multiLevelType w:val="hybridMultilevel"/>
    <w:lvl w:ilvl="0">
      <w:lvlJc w:val="left"/>
      <w:lvlText w:val="%1."/>
      <w:numFmt w:val="decimal"/>
      <w:start w:val="6"/>
    </w:lvl>
  </w:abstractNum>
  <w:abstractNum w:abstractNumId="58">
    <w:nsid w:val="57FC4FBB"/>
    <w:multiLevelType w:val="hybridMultilevel"/>
    <w:lvl w:ilvl="0">
      <w:lvlJc w:val="left"/>
      <w:lvlText w:val="(%1)"/>
      <w:numFmt w:val="decimal"/>
      <w:start w:val="30"/>
    </w:lvl>
  </w:abstractNum>
  <w:abstractNum w:abstractNumId="59">
    <w:nsid w:val="CC1016F"/>
    <w:multiLevelType w:val="hybridMultilevel"/>
    <w:lvl w:ilvl="0">
      <w:lvlJc w:val="left"/>
      <w:lvlText w:val="(%1)"/>
      <w:numFmt w:val="lowerLetter"/>
      <w:start w:val="3"/>
    </w:lvl>
    <w:lvl w:ilvl="1">
      <w:lvlJc w:val="left"/>
      <w:lvlText w:val="%2."/>
      <w:numFmt w:val="decimal"/>
      <w:start w:val="7"/>
    </w:lvl>
  </w:abstractNum>
  <w:abstractNum w:abstractNumId="60">
    <w:nsid w:val="43F18422"/>
    <w:multiLevelType w:val="hybridMultilevel"/>
    <w:lvl w:ilvl="0">
      <w:lvlJc w:val="left"/>
      <w:lvlText w:val="%1."/>
      <w:numFmt w:val="decimal"/>
      <w:start w:val="8"/>
    </w:lvl>
  </w:abstractNum>
  <w:abstractNum w:abstractNumId="61">
    <w:nsid w:val="60EF0119"/>
    <w:multiLevelType w:val="hybridMultilevel"/>
    <w:lvl w:ilvl="0">
      <w:lvlJc w:val="left"/>
      <w:lvlText w:val="%1."/>
      <w:numFmt w:val="decimal"/>
      <w:start w:val="9"/>
    </w:lvl>
  </w:abstractNum>
  <w:abstractNum w:abstractNumId="62">
    <w:nsid w:val="26F324BA"/>
    <w:multiLevelType w:val="hybridMultilevel"/>
    <w:lvl w:ilvl="0">
      <w:lvlJc w:val="left"/>
      <w:lvlText w:val="(%1)"/>
      <w:numFmt w:val="lowerLetter"/>
      <w:start w:val="26"/>
    </w:lvl>
  </w:abstractNum>
  <w:abstractNum w:abstractNumId="63">
    <w:nsid w:val="7F01579B"/>
    <w:multiLevelType w:val="hybridMultilevel"/>
    <w:lvl w:ilvl="0">
      <w:lvlJc w:val="left"/>
      <w:lvlText w:val="(%1)"/>
      <w:numFmt w:val="upperLetter"/>
      <w:start w:val="1"/>
    </w:lvl>
  </w:abstractNum>
  <w:abstractNum w:abstractNumId="64">
    <w:nsid w:val="49DA307D"/>
    <w:multiLevelType w:val="hybridMultilevel"/>
    <w:lvl w:ilvl="0">
      <w:lvlJc w:val="left"/>
      <w:lvlText w:val="(%1)"/>
      <w:numFmt w:val="lowerLetter"/>
      <w:start w:val="4"/>
    </w:lvl>
  </w:abstractNum>
  <w:abstractNum w:abstractNumId="65">
    <w:nsid w:val="7055A5F5"/>
    <w:multiLevelType w:val="hybridMultilevel"/>
    <w:lvl w:ilvl="0">
      <w:lvlJc w:val="left"/>
      <w:lvlText w:val="%1)"/>
      <w:numFmt w:val="lowerLetter"/>
      <w:start w:val="5"/>
    </w:lvl>
  </w:abstractNum>
  <w:abstractNum w:abstractNumId="66">
    <w:nsid w:val="5FB8370B"/>
    <w:multiLevelType w:val="hybridMultilevel"/>
    <w:lvl w:ilvl="0">
      <w:lvlJc w:val="left"/>
      <w:lvlText w:val="☐"/>
      <w:numFmt w:val="bullet"/>
      <w:start w:val="1"/>
    </w:lvl>
    <w:lvl w:ilvl="1">
      <w:lvlJc w:val="left"/>
      <w:lvlText w:val="(%2)"/>
      <w:numFmt w:val="decimal"/>
      <w:start w:val="1"/>
    </w:lvl>
  </w:abstractNum>
  <w:abstractNum w:abstractNumId="67">
    <w:nsid w:val="50801EE1"/>
    <w:multiLevelType w:val="hybridMultilevel"/>
    <w:lvl w:ilvl="0">
      <w:lvlJc w:val="left"/>
      <w:lvlText w:val="☐"/>
      <w:numFmt w:val="bullet"/>
      <w:start w:val="1"/>
    </w:lvl>
    <w:lvl w:ilvl="1">
      <w:lvlJc w:val="left"/>
      <w:lvlText w:val="(%2)"/>
      <w:numFmt w:val="decimal"/>
      <w:start w:val="3"/>
    </w:lvl>
  </w:abstractNum>
  <w:abstractNum w:abstractNumId="68">
    <w:nsid w:val="488AC1A"/>
    <w:multiLevelType w:val="hybridMultilevel"/>
    <w:lvl w:ilvl="0">
      <w:lvlJc w:val="left"/>
      <w:lvlText w:val="(%1)"/>
      <w:numFmt w:val="decimal"/>
      <w:start w:val="4"/>
    </w:lvl>
  </w:abstractNum>
  <w:abstractNum w:abstractNumId="69">
    <w:nsid w:val="5FB8011C"/>
    <w:multiLevelType w:val="hybridMultilevel"/>
    <w:lvl w:ilvl="0">
      <w:lvlJc w:val="left"/>
      <w:lvlText w:val="(%1)"/>
      <w:numFmt w:val="lowerRoman"/>
      <w:start w:val="1"/>
    </w:lvl>
  </w:abstractNum>
  <w:abstractNum w:abstractNumId="70">
    <w:nsid w:val="6AA78F7F"/>
    <w:multiLevelType w:val="hybridMultilevel"/>
    <w:lvl w:ilvl="0">
      <w:lvlJc w:val="left"/>
      <w:lvlText w:val="(%1)"/>
      <w:numFmt w:val="lowerRoman"/>
      <w:start w:val="1"/>
    </w:lvl>
  </w:abstractNum>
  <w:abstractNum w:abstractNumId="71">
    <w:nsid w:val="7672BD23"/>
    <w:multiLevelType w:val="hybridMultilevel"/>
    <w:lvl w:ilvl="0">
      <w:lvlJc w:val="left"/>
      <w:lvlText w:val="(%1)"/>
      <w:numFmt w:val="lowerRoman"/>
      <w:start w:val="1"/>
    </w:lvl>
    <w:lvl w:ilvl="1">
      <w:lvlJc w:val="left"/>
      <w:lvlText w:val="-"/>
      <w:numFmt w:val="bullet"/>
      <w:start w:val="1"/>
    </w:lvl>
  </w:abstractNum>
  <w:abstractNum w:abstractNumId="72">
    <w:nsid w:val="6FC75AF8"/>
    <w:multiLevelType w:val="hybridMultilevel"/>
    <w:lvl w:ilvl="0">
      <w:lvlJc w:val="left"/>
      <w:lvlText w:val="(%1)"/>
      <w:numFmt w:val="lowerRoman"/>
      <w:start w:val="2"/>
    </w:lvl>
  </w:abstractNum>
  <w:abstractNum w:abstractNumId="73">
    <w:nsid w:val="6A5F7029"/>
    <w:multiLevelType w:val="hybridMultilevel"/>
    <w:lvl w:ilvl="0">
      <w:lvlJc w:val="left"/>
      <w:lvlText w:val="(%1)"/>
      <w:numFmt w:val="lowerRoman"/>
      <w:start w:val="2"/>
    </w:lvl>
  </w:abstractNum>
  <w:abstractNum w:abstractNumId="74">
    <w:nsid w:val="7D5E18F8"/>
    <w:multiLevelType w:val="hybridMultilevel"/>
    <w:lvl w:ilvl="0">
      <w:lvlJc w:val="left"/>
      <w:lvlText w:val="(%1)"/>
      <w:numFmt w:val="lowerLetter"/>
      <w:start w:val="26"/>
    </w:lvl>
  </w:abstractNum>
  <w:abstractNum w:abstractNumId="75">
    <w:nsid w:val="5F3534A4"/>
    <w:multiLevelType w:val="hybridMultilevel"/>
    <w:lvl w:ilvl="0">
      <w:lvlJc w:val="left"/>
      <w:lvlText w:val="(%1)"/>
      <w:numFmt w:val="decimal"/>
      <w:start w:val="2"/>
    </w:lvl>
  </w:abstractNum>
  <w:abstractNum w:abstractNumId="76">
    <w:nsid w:val="73A1821B"/>
    <w:multiLevelType w:val="hybridMultilevel"/>
    <w:lvl w:ilvl="0">
      <w:lvlJc w:val="left"/>
      <w:lvlText w:val="(%1)"/>
      <w:numFmt w:val="lowerRoman"/>
      <w:start w:val="3"/>
    </w:lvl>
  </w:abstractNum>
  <w:abstractNum w:abstractNumId="77">
    <w:nsid w:val="7DE67713"/>
    <w:multiLevelType w:val="hybridMultilevel"/>
    <w:lvl w:ilvl="0">
      <w:lvlJc w:val="left"/>
      <w:lvlText w:val="(%1)"/>
      <w:numFmt w:val="lowerRoman"/>
      <w:start w:val="2"/>
    </w:lvl>
  </w:abstractNum>
  <w:abstractNum w:abstractNumId="78">
    <w:nsid w:val="555C55B5"/>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79">
    <w:nsid w:val="3FA62ACA"/>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80">
    <w:nsid w:val="14FCE74E"/>
    <w:multiLevelType w:val="hybridMultilevel"/>
    <w:lvl w:ilvl="0">
      <w:lvlJc w:val="left"/>
      <w:lvlText w:val="(%1)"/>
      <w:numFmt w:val="lowerRoman"/>
      <w:start w:val="2"/>
    </w:lvl>
    <w:lvl w:ilvl="1">
      <w:lvlJc w:val="left"/>
      <w:lvlText w:val="(%2)"/>
      <w:numFmt w:val="decimal"/>
      <w:start w:val="1"/>
    </w:lvl>
  </w:abstractNum>
  <w:abstractNum w:abstractNumId="81">
    <w:nsid w:val="6A3DD3E8"/>
    <w:multiLevelType w:val="hybridMultilevel"/>
    <w:lvl w:ilvl="0">
      <w:lvlJc w:val="left"/>
      <w:lvlText w:val="(%1)"/>
      <w:numFmt w:val="decimal"/>
      <w:start w:val="2"/>
    </w:lvl>
  </w:abstractNum>
  <w:abstractNum w:abstractNumId="82">
    <w:nsid w:val="71C91298"/>
    <w:multiLevelType w:val="hybridMultilevel"/>
    <w:lvl w:ilvl="0">
      <w:lvlJc w:val="left"/>
      <w:lvlText w:val="(%1)"/>
      <w:numFmt w:val="decimal"/>
      <w:start w:val="4"/>
    </w:lvl>
  </w:abstractNum>
  <w:abstractNum w:abstractNumId="83">
    <w:nsid w:val="9DAF632"/>
    <w:multiLevelType w:val="hybridMultilevel"/>
    <w:lvl w:ilvl="0">
      <w:lvlJc w:val="left"/>
      <w:lvlText w:val="(%1)"/>
      <w:numFmt w:val="lowerRoman"/>
      <w:start w:val="3"/>
    </w:lvl>
    <w:lvl w:ilvl="1">
      <w:lvlJc w:val="left"/>
      <w:lvlText w:val="-"/>
      <w:numFmt w:val="bullet"/>
      <w:start w:val="1"/>
    </w:lvl>
  </w:abstractNum>
  <w:abstractNum w:abstractNumId="84">
    <w:nsid w:val="53299938"/>
    <w:multiLevelType w:val="hybridMultilevel"/>
    <w:lvl w:ilvl="0">
      <w:lvlJc w:val="left"/>
      <w:lvlText w:val="(%1)"/>
      <w:numFmt w:val="lowerRoman"/>
      <w:start w:val="7"/>
    </w:lvl>
  </w:abstractNum>
  <w:abstractNum w:abstractNumId="85">
    <w:nsid w:val="1FBFE8E0"/>
    <w:multiLevelType w:val="hybridMultilevel"/>
    <w:lvl w:ilvl="0">
      <w:lvlJc w:val="left"/>
      <w:lvlText w:val="(%1)"/>
      <w:numFmt w:val="decimal"/>
      <w:start w:val="5"/>
    </w:lvl>
    <w:lvl w:ilvl="1">
      <w:lvlJc w:val="left"/>
      <w:lvlText w:val="(%2)"/>
      <w:numFmt w:val="upperLetter"/>
      <w:start w:val="1"/>
    </w:lvl>
  </w:abstractNum>
  <w:abstractNum w:abstractNumId="86">
    <w:nsid w:val="5092CA79"/>
    <w:multiLevelType w:val="hybridMultilevel"/>
    <w:lvl w:ilvl="0">
      <w:lvlJc w:val="left"/>
      <w:lvlText w:val="(%1)"/>
      <w:numFmt w:val="upperLetter"/>
      <w:start w:val="1"/>
    </w:lvl>
    <w:lvl w:ilvl="1">
      <w:lvlJc w:val="left"/>
      <w:lvlText w:val="-"/>
      <w:numFmt w:val="bullet"/>
      <w:start w:val="1"/>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1)"/>
      <w:numFmt w:val="lowerLetter"/>
      <w:start w:val="2"/>
    </w:lvl>
  </w:abstractNum>
  <w:abstractNum w:abstractNumId="89">
    <w:nsid w:val="288F1A34"/>
    <w:multiLevelType w:val="hybridMultilevel"/>
    <w:lvl w:ilvl="0">
      <w:lvlJc w:val="left"/>
      <w:lvlText w:val="(%1)"/>
      <w:numFmt w:val="lowerRoman"/>
      <w:start w:val="1"/>
    </w:lvl>
  </w:abstractNum>
  <w:abstractNum w:abstractNumId="90">
    <w:nsid w:val="2A155DBC"/>
    <w:multiLevelType w:val="hybridMultilevel"/>
    <w:lvl w:ilvl="0">
      <w:lvlJc w:val="left"/>
      <w:lvlText w:val="(%1)"/>
      <w:numFmt w:val="lowerRoman"/>
      <w:start w:val="1"/>
    </w:lvl>
  </w:abstractNum>
  <w:abstractNum w:abstractNumId="91">
    <w:nsid w:val="1D9F6E5F"/>
    <w:multiLevelType w:val="hybridMultilevel"/>
    <w:lvl w:ilvl="0">
      <w:lvlJc w:val="left"/>
      <w:lvlText w:val="(%1)"/>
      <w:numFmt w:val="lowerRoman"/>
      <w:start w:val="1"/>
    </w:lvl>
    <w:lvl w:ilvl="1">
      <w:lvlJc w:val="left"/>
      <w:lvlText w:val="-"/>
      <w:numFmt w:val="bullet"/>
      <w:start w:val="1"/>
    </w:lvl>
  </w:abstractNum>
  <w:abstractNum w:abstractNumId="92">
    <w:nsid w:val="97E1B4E"/>
    <w:multiLevelType w:val="hybridMultilevel"/>
    <w:lvl w:ilvl="0">
      <w:lvlJc w:val="left"/>
      <w:lvlText w:val="(%1)"/>
      <w:numFmt w:val="lowerRoman"/>
      <w:start w:val="5"/>
    </w:lvl>
  </w:abstractNum>
  <w:abstractNum w:abstractNumId="93">
    <w:nsid w:val="51088277"/>
    <w:multiLevelType w:val="hybridMultilevel"/>
    <w:lvl w:ilvl="0">
      <w:lvlJc w:val="left"/>
      <w:lvlText w:val="(%1)"/>
      <w:numFmt w:val="lowerRoman"/>
      <w:start w:val="2"/>
    </w:lvl>
  </w:abstractNum>
  <w:abstractNum w:abstractNumId="94">
    <w:nsid w:val="1CA0C5FA"/>
    <w:multiLevelType w:val="hybridMultilevel"/>
    <w:lvl w:ilvl="0">
      <w:lvlJc w:val="left"/>
      <w:lvlText w:val="(%1)"/>
      <w:numFmt w:val="lowerRoman"/>
      <w:start w:val="2"/>
    </w:lvl>
  </w:abstractNum>
  <w:abstractNum w:abstractNumId="95">
    <w:nsid w:val="53584BCB"/>
    <w:multiLevelType w:val="hybridMultilevel"/>
    <w:lvl w:ilvl="0">
      <w:lvlJc w:val="left"/>
      <w:lvlText w:val="(%1)"/>
      <w:numFmt w:val="lowerRoman"/>
      <w:start w:val="3"/>
    </w:lvl>
  </w:abstractNum>
  <w:abstractNum w:abstractNumId="96">
    <w:nsid w:val="415E286C"/>
    <w:multiLevelType w:val="hybridMultilevel"/>
    <w:lvl w:ilvl="0">
      <w:lvlJc w:val="left"/>
      <w:lvlText w:val="(%1)"/>
      <w:numFmt w:val="lowerLetter"/>
      <w:start w:val="26"/>
    </w:lvl>
  </w:abstractNum>
  <w:abstractNum w:abstractNumId="97">
    <w:nsid w:val="7C58FD05"/>
    <w:multiLevelType w:val="hybridMultilevel"/>
    <w:lvl w:ilvl="0">
      <w:lvlJc w:val="left"/>
      <w:lvlText w:val="(%1)"/>
      <w:numFmt w:val="decimal"/>
      <w:start w:val="2"/>
    </w:lvl>
  </w:abstractNum>
  <w:abstractNum w:abstractNumId="98">
    <w:nsid w:val="23D86AAC"/>
    <w:multiLevelType w:val="hybridMultilevel"/>
    <w:lvl w:ilvl="0">
      <w:lvlJc w:val="left"/>
      <w:lvlText w:val="(%1)"/>
      <w:numFmt w:val="lowerRoman"/>
      <w:start w:val="3"/>
    </w:lvl>
    <w:lvl w:ilvl="1">
      <w:lvlJc w:val="left"/>
      <w:lvlText w:val="-"/>
      <w:numFmt w:val="bullet"/>
      <w:start w:val="1"/>
    </w:lvl>
  </w:abstractNum>
  <w:abstractNum w:abstractNumId="99">
    <w:nsid w:val="45E6D486"/>
    <w:multiLevelType w:val="hybridMultilevel"/>
    <w:lvl w:ilvl="0">
      <w:lvlJc w:val="left"/>
      <w:lvlText w:val="(%1)"/>
      <w:numFmt w:val="lowerRoman"/>
      <w:start w:val="2"/>
    </w:lvl>
  </w:abstractNum>
  <w:abstractNum w:abstractNumId="100">
    <w:nsid w:val="5C10FE21"/>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01">
    <w:nsid w:val="E7FFA2B"/>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102">
    <w:nsid w:val="3C5991AA"/>
    <w:multiLevelType w:val="hybridMultilevel"/>
    <w:lvl w:ilvl="0">
      <w:lvlJc w:val="left"/>
      <w:lvlText w:val="(%1)"/>
      <w:numFmt w:val="lowerRoman"/>
      <w:start w:val="3"/>
    </w:lvl>
    <w:lvl w:ilvl="1">
      <w:lvlJc w:val="left"/>
      <w:lvlText w:val="-"/>
      <w:numFmt w:val="bullet"/>
      <w:start w:val="1"/>
    </w:lvl>
  </w:abstractNum>
  <w:abstractNum w:abstractNumId="103">
    <w:nsid w:val="4BD8591A"/>
    <w:multiLevelType w:val="hybridMultilevel"/>
    <w:lvl w:ilvl="0">
      <w:lvlJc w:val="left"/>
      <w:lvlText w:val="(%1)"/>
      <w:numFmt w:val="lowerRoman"/>
      <w:start w:val="5"/>
    </w:lvl>
  </w:abstractNum>
  <w:abstractNum w:abstractNumId="104">
    <w:nsid w:val="78DF6A55"/>
    <w:multiLevelType w:val="hybridMultilevel"/>
    <w:lvl w:ilvl="0">
      <w:lvlJc w:val="left"/>
      <w:lvlText w:val="(%1)"/>
      <w:numFmt w:val="decimal"/>
      <w:start w:val="5"/>
    </w:lvl>
    <w:lvl w:ilvl="1">
      <w:lvlJc w:val="left"/>
      <w:lvlText w:val="(%2)"/>
      <w:numFmt w:val="upperLetter"/>
      <w:start w:val="1"/>
    </w:lvl>
  </w:abstractNum>
  <w:abstractNum w:abstractNumId="105">
    <w:nsid w:val="39B7AAA2"/>
    <w:multiLevelType w:val="hybridMultilevel"/>
    <w:lvl w:ilvl="0">
      <w:lvlJc w:val="left"/>
      <w:lvlText w:val="(%1)"/>
      <w:numFmt w:val="upperLetter"/>
      <w:start w:val="1"/>
    </w:lvl>
  </w:abstractNum>
  <w:abstractNum w:abstractNumId="106">
    <w:nsid w:val="2B0D8DBE"/>
    <w:multiLevelType w:val="hybridMultilevel"/>
    <w:lvl w:ilvl="0">
      <w:lvlJc w:val="left"/>
      <w:lvlText w:val="(%1)"/>
      <w:numFmt w:val="lowerLetter"/>
      <w:start w:val="1"/>
    </w:lvl>
  </w:abstractNum>
  <w:abstractNum w:abstractNumId="107">
    <w:nsid w:val="6C80EC70"/>
    <w:multiLevelType w:val="hybridMultilevel"/>
    <w:lvl w:ilvl="0">
      <w:lvlJc w:val="left"/>
      <w:lvlText w:val="(%1)"/>
      <w:numFmt w:val="lowerLetter"/>
      <w:start w:val="5"/>
    </w:lvl>
  </w:abstractNum>
  <w:abstractNum w:abstractNumId="108">
    <w:nsid w:val="379E21B5"/>
    <w:multiLevelType w:val="hybridMultilevel"/>
    <w:lvl w:ilvl="0">
      <w:lvlJc w:val="left"/>
      <w:lvlText w:val="(%1)"/>
      <w:numFmt w:val="lowerLetter"/>
      <w:start w:val="9"/>
    </w:lvl>
  </w:abstractNum>
  <w:abstractNum w:abstractNumId="109">
    <w:nsid w:val="69E373"/>
    <w:multiLevelType w:val="hybridMultilevel"/>
    <w:lvl w:ilvl="0">
      <w:lvlJc w:val="left"/>
      <w:lvlText w:val="(%1)"/>
      <w:numFmt w:val="decimal"/>
      <w:start w:val="10"/>
    </w:lvl>
  </w:abstractNum>
  <w:abstractNum w:abstractNumId="110">
    <w:nsid w:val="2C27173B"/>
    <w:multiLevelType w:val="hybridMultilevel"/>
    <w:lvl w:ilvl="0">
      <w:lvlJc w:val="left"/>
      <w:lvlText w:val="(%1)"/>
      <w:numFmt w:val="lowerLetter"/>
      <w:start w:val="1"/>
    </w:lvl>
  </w:abstractNum>
  <w:abstractNum w:abstractNumId="111">
    <w:nsid w:val="4C9B0904"/>
    <w:multiLevelType w:val="hybridMultilevel"/>
    <w:lvl w:ilvl="0">
      <w:lvlJc w:val="left"/>
      <w:lvlText w:val="(%1)"/>
      <w:numFmt w:val="lowerLetter"/>
      <w:start w:val="2"/>
    </w:lvl>
    <w:lvl w:ilvl="1">
      <w:lvlJc w:val="left"/>
      <w:lvlText w:val="%2."/>
      <w:numFmt w:val="lowerRoman"/>
      <w:start w:val="1"/>
    </w:lvl>
  </w:abstractNum>
  <w:abstractNum w:abstractNumId="112">
    <w:nsid w:val="6AA7B75C"/>
    <w:multiLevelType w:val="hybridMultilevel"/>
    <w:lvl w:ilvl="0">
      <w:lvlJc w:val="left"/>
      <w:lvlText w:val="(%1)"/>
      <w:numFmt w:val="decimal"/>
      <w:start w:val="15"/>
    </w:lvl>
  </w:abstractNum>
  <w:abstractNum w:abstractNumId="113">
    <w:nsid w:val="1DF029D3"/>
    <w:multiLevelType w:val="hybridMultilevel"/>
    <w:lvl w:ilvl="0">
      <w:lvlJc w:val="left"/>
      <w:lvlText w:val="(%1)"/>
      <w:numFmt w:val="lowerRoman"/>
      <w:start w:val="4"/>
    </w:lvl>
  </w:abstractNum>
  <w:abstractNum w:abstractNumId="114">
    <w:nsid w:val="5675FF36"/>
    <w:multiLevelType w:val="hybridMultilevel"/>
    <w:lvl w:ilvl="0">
      <w:lvlJc w:val="left"/>
      <w:lvlText w:val="(%1)"/>
      <w:numFmt w:val="lowerRoman"/>
      <w:start w:val="3"/>
    </w:lvl>
  </w:abstractNum>
  <w:abstractNum w:abstractNumId="115">
    <w:nsid w:val="3DD15094"/>
    <w:multiLevelType w:val="hybridMultilevel"/>
    <w:lvl w:ilvl="0">
      <w:lvlJc w:val="left"/>
      <w:lvlText w:val="(%1)"/>
      <w:numFmt w:val="lowerLetter"/>
      <w:start w:val="1"/>
    </w:lvl>
  </w:abstractNum>
  <w:abstractNum w:abstractNumId="116">
    <w:nsid w:val="3DB012B3"/>
    <w:multiLevelType w:val="hybridMultilevel"/>
    <w:lvl w:ilvl="0">
      <w:lvlJc w:val="left"/>
      <w:lvlText w:val="(%1)"/>
      <w:numFmt w:val="lowerLetter"/>
      <w:start w:val="2"/>
    </w:lvl>
  </w:abstractNum>
  <w:abstractNum w:abstractNumId="117">
    <w:nsid w:val="2708C9AF"/>
    <w:multiLevelType w:val="hybridMultilevel"/>
    <w:lvl w:ilvl="0">
      <w:lvlJc w:val="left"/>
      <w:lvlText w:val="(%1)"/>
      <w:numFmt w:val="lowerLetter"/>
      <w:start w:val="2"/>
    </w:lvl>
    <w:lvl w:ilvl="1">
      <w:lvlJc w:val="left"/>
      <w:lvlText w:val="(%2)"/>
      <w:numFmt w:val="lowerRoman"/>
      <w:start w:val="1"/>
    </w:lvl>
  </w:abstractNum>
  <w:abstractNum w:abstractNumId="118">
    <w:nsid w:val="5B25ACE2"/>
    <w:multiLevelType w:val="hybridMultilevel"/>
    <w:lvl w:ilvl="0">
      <w:lvlJc w:val="left"/>
      <w:lvlText w:val="(%1)"/>
      <w:numFmt w:val="lowerLetter"/>
      <w:start w:val="4"/>
    </w:lvl>
  </w:abstractNum>
  <w:abstractNum w:abstractNumId="119">
    <w:nsid w:val="175DFCF0"/>
    <w:multiLevelType w:val="hybridMultilevel"/>
    <w:lvl w:ilvl="0">
      <w:lvlJc w:val="left"/>
      <w:lvlText w:val="(%1)"/>
      <w:numFmt w:val="lowerRoman"/>
      <w:start w:val="1"/>
    </w:lvl>
  </w:abstractNum>
  <w:abstractNum w:abstractNumId="120">
    <w:nsid w:val="4F97E3E4"/>
    <w:multiLevelType w:val="hybridMultilevel"/>
    <w:lvl w:ilvl="0">
      <w:lvlJc w:val="left"/>
      <w:lvlText w:val="(%1)"/>
      <w:numFmt w:val="lowerRoman"/>
      <w:start w:val="4"/>
    </w:lvl>
  </w:abstractNum>
  <w:abstractNum w:abstractNumId="121">
    <w:nsid w:val="53B0A9E"/>
    <w:multiLevelType w:val="hybridMultilevel"/>
    <w:lvl w:ilvl="0">
      <w:lvlJc w:val="left"/>
      <w:lvlText w:val="●"/>
      <w:numFmt w:val="bullet"/>
      <w:start w:val="1"/>
    </w:lvl>
  </w:abstractNum>
  <w:abstractNum w:abstractNumId="122">
    <w:nsid w:val="34FD6B4F"/>
    <w:multiLevelType w:val="hybridMultilevel"/>
    <w:lvl w:ilvl="0">
      <w:lvlJc w:val="left"/>
      <w:lvlText w:val="●"/>
      <w:numFmt w:val="bullet"/>
      <w:start w:val="1"/>
    </w:lvl>
  </w:abstractNum>
  <w:abstractNum w:abstractNumId="123">
    <w:nsid w:val="5915FF32"/>
    <w:multiLevelType w:val="hybridMultilevel"/>
    <w:lvl w:ilvl="0">
      <w:lvlJc w:val="left"/>
      <w:lvlText w:val="·"/>
      <w:numFmt w:val="bullet"/>
      <w:start w:val="1"/>
    </w:lvl>
  </w:abstractNum>
  <w:abstractNum w:abstractNumId="124">
    <w:nsid w:val="56438D15"/>
    <w:multiLevelType w:val="hybridMultilevel"/>
    <w:lvl w:ilvl="0">
      <w:lvlJc w:val="left"/>
      <w:lvlText w:val="·"/>
      <w:numFmt w:val="bullet"/>
      <w:start w:val="1"/>
    </w:lvl>
    <w:lvl w:ilvl="1">
      <w:lvlJc w:val="left"/>
      <w:lvlText w:val="-"/>
      <w:numFmt w:val="bullet"/>
      <w:start w:val="1"/>
    </w:lvl>
  </w:abstractNum>
  <w:abstractNum w:abstractNumId="125">
    <w:nsid w:val="519E314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2025-09-15T07:45:16Z</dcterms:created>
  <dcterms:modified xsi:type="dcterms:W3CDTF">2025-09-15T07:45:16Z</dcterms:modified>
</cp:coreProperties>
</file>