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spacing w:after="0" w:line="31"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 Registration No. 333-290429</w:t>
      </w:r>
    </w:p>
    <w:p>
      <w:pPr>
        <w:spacing w:after="0" w:line="20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Prospectus dated March 31, 2026)</w:t>
      </w:r>
    </w:p>
    <w:p>
      <w:pPr>
        <w:spacing w:after="0" w:line="19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3,076,922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2154555</wp:posOffset>
            </wp:positionH>
            <wp:positionV relativeFrom="paragraph">
              <wp:posOffset>127000</wp:posOffset>
            </wp:positionV>
            <wp:extent cx="251142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238760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are offering to purchasers 3,076,922 shares of our Class A common stock, par value $0.001 per share, at a purchase price of $2.60 per share, in a registered direct offering.</w:t>
      </w:r>
    </w:p>
    <w:p>
      <w:pPr>
        <w:spacing w:after="0" w:line="94" w:lineRule="exact"/>
        <w:rPr>
          <w:sz w:val="24"/>
          <w:szCs w:val="24"/>
          <w:color w:val="auto"/>
        </w:rPr>
      </w:pPr>
    </w:p>
    <w:p>
      <w:pPr>
        <w:ind w:left="1260" w:right="479" w:firstLine="360"/>
        <w:spacing w:after="0" w:line="275"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(“Nasdaq”) under the symbol “HSDT.” On April 24, 2026, the last reported sale price of our Class A common stock on Nasdaq was $2.16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336550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both"/>
        <w:ind w:left="1260" w:right="6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Class A common stock involves a high degree of risk. See “Risk Factors”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of this prospectus supplement and in the documents incorporated by reference into this prospectus supplement and the accompanying prospectus.</w:t>
      </w:r>
    </w:p>
    <w:p>
      <w:pPr>
        <w:spacing w:after="0" w:line="107" w:lineRule="exact"/>
        <w:rPr>
          <w:sz w:val="24"/>
          <w:szCs w:val="24"/>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29" w:lineRule="exact"/>
        <w:rPr>
          <w:sz w:val="24"/>
          <w:szCs w:val="24"/>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20" w:type="dxa"/>
            <w:vAlign w:val="bottom"/>
            <w:gridSpan w:val="5"/>
          </w:tcPr>
          <w:p>
            <w:pPr>
              <w:ind w:left="13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Share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 Price  </w:t>
            </w:r>
            <w:r>
              <w:rPr>
                <w:rFonts w:ascii="Times New Roman" w:cs="Times New Roman" w:eastAsia="Times New Roman" w:hAnsi="Times New Roman"/>
                <w:sz w:val="24"/>
                <w:szCs w:val="24"/>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​​$7,999,997.20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Proceeds to Solana Company Before Expenses</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​$2.60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​​$7,999,997.20​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-351155</wp:posOffset>
            </wp:positionV>
            <wp:extent cx="4543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8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Delivery of shares of Class A common stock is expected to be made on or about April 28, 2026.</w:t>
      </w:r>
    </w:p>
    <w:p>
      <w:pPr>
        <w:spacing w:after="0" w:line="22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2656205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INFORMATION BY REFERENCE</w:t>
      </w:r>
    </w:p>
    <w:p>
      <w:pPr>
        <w:spacing w:after="0" w:line="2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right="1460"/>
        <w:spacing w:after="0" w:line="310"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S-iv</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ectPr>
          <w:pgSz w:w="11900" w:h="16838" w:orient="portrait"/>
          <w:cols w:equalWidth="0" w:num="2">
            <w:col w:w="8220" w:space="680"/>
            <w:col w:w="9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initially filed on September 22, 2025, as amended on March 31, 2026 and declared effective on April 8, 2026, are part of a registration statement on Form S-3 that we filed with the U.S. Securities and Exchange Commission (the “SEC”) under the Securities Act of 1933, as amended (the “Securities Act”), utilizing a “shelf” registration process or continuous offering of up to an aggregate offering price of $1,000,000,000. Under this shelf registration process, we may, from time to time, offer and sell in one or more offerings any securities described in the accompanying prospectus.</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securities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33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supplement, the accompanying prospectus or in any free writing prospectus that we have authorized for use in connection with this offering. We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their entirety before making your investment decision. You should also read and consider the information in the documents to which we have referred you in the sections titled “Where You Can Find Additional Information” and “Incorporation of Certain Information by Reference” in this prospectus supplement and in the accompanying prospectus.</w:t>
      </w:r>
    </w:p>
    <w:p>
      <w:pPr>
        <w:spacing w:after="0" w:line="32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supplement is a part or as exhibits to documents incorporated by reference herein, and you may obtain copies of those documents as described below under the headings “Where You Can Find Additional Information” and “Incorporation of Certain Information by Reference.”</w:t>
      </w:r>
    </w:p>
    <w:p>
      <w:pPr>
        <w:spacing w:after="0" w:line="11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securities only in jurisdictions in which offers and sales are permitted. The distribution of this prospectus supplement and the accompanying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2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supplement, the accompanying prospectus and the information incorporated by referenced herein or therein to (i) “Solana Company,” “the Company,” “we,” “us,” “our” and similar terms refer to Solana Company and its subsidiaries and (ii) “Class A common stock” refer to shares of Class A common stock of Solana Company, par value $0.001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 forward-looking statements that involve risks, uncertainties, including statements regarding the Company’s market, strategy, competition, capital needs, business plans and expectations. Any statements contained herein that are not statements of historical fact may be deemed to be forward-looking statements. In some cases, you can identify forward-looking statements by the words “may,” “will,” “should,” “could,” “anticipates,” “estimates,” “plans,” “projects,” “potential,” “continuing,” “ongoing,” “expects,” “believes,” “intends,” “targets,” “predicts,” “potential” or “continue”, the negative of these terms, or other comparable terminology.</w:t>
      </w:r>
    </w:p>
    <w:p>
      <w:pPr>
        <w:spacing w:after="0" w:line="33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Forward-looking statements are made, without limitation, in relation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our market awareness; our ability to compete effectively; our future expenses and cash flow; our ability to become profitable; our future financing arrangements; and any future stock price. While these forward-looking statements, and any assumptions upon which they are based, are made in good faith, based on information available to the Company as of the date hereof, and reflect the Company’s current judgement regarding its business plans, the Company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U.S.</w:t>
      </w:r>
    </w:p>
    <w:p>
      <w:pPr>
        <w:spacing w:after="0" w:line="11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Such forward-looking statements involve risks and uncertainties, known and unknown, including capital requirements to achieve the our business objectives, expected benefits and implementation of our digital asset treasury strategy, expected staking, yield and broader opportunities across the Solana ecosystem; our expected token treasury growth, the impact on the Company of global macroeconomic conditions including effects from supply chain constraints, including risks related to manufacturing delays, logistics challenges, labor shortages, disruptions in the banking system and financial markets, high levels of inflation and high interest rates on our ability to operate our business and access capital markets, the success of our business plan, our operating costs and use of cash, and our ability to achieve significant revenues and other factors discussed in the “Risk Factors” section of this prospectus supplement.</w:t>
      </w:r>
    </w:p>
    <w:p>
      <w:pPr>
        <w:spacing w:after="0" w:line="12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You should refer to the “Risk Factors” section of this prospectus supplement for a discussion of important factors that may cause our actual results to differ materially from those expressed or implied by our forward-looking statements.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prospectus supplement.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33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23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supplement. It does not contain all of the information you should consider before making an investment decision. Before you decide to invest in our Class A common stock, you should carefully read and consider the more detailed information included or incorporated by reference in this prospectus supplement, the accompanying prospectus and any free writing prospectus that we have authorized for use in connection with this offering, including the risk factors included or incorporated by reference herein and therein. You also should carefully read the other information incorporated by reference into this prospectus supplement and the accompanying prospectus, including our financial statements, other information and the exhibits to the registration statement of which this prospectus supplement and the accompanying prospectus are a part.</w:t>
      </w: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 listed digital asset treasury (“DAT”) dedicated to acquiring and holding Solana</w:t>
      </w:r>
    </w:p>
    <w:p>
      <w:pPr>
        <w:spacing w:after="0" w:line="27" w:lineRule="exact"/>
        <w:rPr>
          <w:sz w:val="20"/>
          <w:szCs w:val="20"/>
          <w:color w:val="auto"/>
        </w:rPr>
      </w:pPr>
    </w:p>
    <w:p>
      <w:pPr>
        <w:ind w:left="1280" w:right="639"/>
        <w:spacing w:after="0" w:line="255" w:lineRule="auto"/>
        <w:rPr>
          <w:sz w:val="20"/>
          <w:szCs w:val="20"/>
          <w:color w:val="auto"/>
        </w:rPr>
      </w:pPr>
      <w:r>
        <w:rPr>
          <w:rFonts w:ascii="Times New Roman" w:cs="Times New Roman" w:eastAsia="Times New Roman" w:hAnsi="Times New Roman"/>
          <w:sz w:val="18"/>
          <w:szCs w:val="18"/>
          <w:color w:val="auto"/>
        </w:rPr>
        <w:t>tokens (“SOL”). Solana Company’s DAT objective is to maximize SOL per share through strategic use of capital markets and onchain opportunities, offering public market investors direct exposure to Solana’s secular growth.</w:t>
      </w:r>
    </w:p>
    <w:p>
      <w:pPr>
        <w:spacing w:after="0" w:line="105"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Strategic digital asset reserves like SOL lay the groundwork for a future where global payments, credentialing, and personalized learning can be powered by decentralized infrastructure, enhancing how we grow our company. We believe that Solana represents a uniquely scalable, high-performance blockchain platform that aligns with our long-term vision of integrating innovative technologies into our services. By investing in and participating in the Solana ecosystem, we aim to both enhance our digital asset treasury strategy and create strategic optionality for product innovation in our core business.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Digital Asset Treasury</w:t>
      </w:r>
    </w:p>
    <w:p>
      <w:pPr>
        <w:spacing w:after="0" w:line="162" w:lineRule="exact"/>
        <w:rPr>
          <w:sz w:val="20"/>
          <w:szCs w:val="20"/>
          <w:color w:val="auto"/>
        </w:rPr>
      </w:pPr>
    </w:p>
    <w:p>
      <w:pPr>
        <w:ind w:left="1280" w:right="419" w:firstLine="360"/>
        <w:spacing w:after="0" w:line="256" w:lineRule="auto"/>
        <w:rPr>
          <w:sz w:val="20"/>
          <w:szCs w:val="20"/>
          <w:color w:val="auto"/>
        </w:rPr>
      </w:pPr>
      <w:r>
        <w:rPr>
          <w:rFonts w:ascii="Times New Roman" w:cs="Times New Roman" w:eastAsia="Times New Roman" w:hAnsi="Times New Roman"/>
          <w:sz w:val="18"/>
          <w:szCs w:val="18"/>
          <w:color w:val="auto"/>
        </w:rPr>
        <w:t>In September 2025, we adopted a digital asset treasury strategy centered on acquiring SOL and began repositioning a substantial portion of our balance sheet around that strategy. We expect the digital asset treasury strategy to be our principal strategic focus. Our assets are expected to remain concentrated primarily in SOL. Our objective is to increase long-term shareholder value by increasing the amount of SOL underlying each share, generating yield on treasury assets where appropriate, and using public-market financing and treasury tools in a disciplined manner to compound net asset value (“NAV”) over time.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Unlocked and Locked SOL</w:t>
      </w:r>
    </w:p>
    <w:p>
      <w:pPr>
        <w:spacing w:after="0" w:line="162" w:lineRule="exact"/>
        <w:rPr>
          <w:sz w:val="20"/>
          <w:szCs w:val="20"/>
          <w:color w:val="auto"/>
        </w:rPr>
      </w:pPr>
    </w:p>
    <w:p>
      <w:pPr>
        <w:ind w:left="1280" w:right="519" w:firstLine="360"/>
        <w:spacing w:after="0" w:line="254" w:lineRule="auto"/>
        <w:rPr>
          <w:sz w:val="20"/>
          <w:szCs w:val="20"/>
          <w:color w:val="auto"/>
        </w:rPr>
      </w:pPr>
      <w:r>
        <w:rPr>
          <w:rFonts w:ascii="Times New Roman" w:cs="Times New Roman" w:eastAsia="Times New Roman" w:hAnsi="Times New Roman"/>
          <w:sz w:val="18"/>
          <w:szCs w:val="18"/>
          <w:color w:val="auto"/>
        </w:rPr>
        <w:t>We hold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lock-up (“Locked SOL”). Locked SOL tokens held in custodial controlled omnibus or segregated custodial accounts are subject to contractual and onchain restrictions (“Smart Contracts”) that limit our ability to withdraw, transfer, or otherwise direct the use of the tokens until the time-based unlock conditions are met. The Locked SOL are subject to relatively even monthly unlocks through January 2028. We continue to benefit from staking rewards earned on Locked SOL.</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799" w:firstLine="360"/>
        <w:spacing w:after="0" w:line="261" w:lineRule="auto"/>
        <w:rPr>
          <w:sz w:val="20"/>
          <w:szCs w:val="20"/>
          <w:color w:val="auto"/>
        </w:rPr>
      </w:pPr>
      <w:r>
        <w:rPr>
          <w:rFonts w:ascii="Times New Roman" w:cs="Times New Roman" w:eastAsia="Times New Roman" w:hAnsi="Times New Roman"/>
          <w:sz w:val="18"/>
          <w:szCs w:val="18"/>
          <w:color w:val="auto"/>
        </w:rPr>
        <w:t>We were originally incorporated in British Columbia, Canada on March 13, 2014 under the British Columbia Business Corporations Act (the “BCBCA”), as “0996445 B.C. Ltd.” On May 23, 2014,</w:t>
      </w: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 On September 29, 2025, we changed our name to “Solana Company.” Our principal executive offices are located at 642 Newtown Yardley Road, Suite 100, Newtown, PA 18940 and our telephone number is (215) 944-6100. We maintain a corporate website at www.solanacompany.co. We are not including the information on our website as a part of, nor incorporating it by reference into this prospectus or the registration statement of which it forms a part.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Class A common stock held by non-affiliates is less than $250.0 million measured on the last business day of our second fiscal quarter or our annual revenue is less than $100.0 million during the most recently completed fiscal year and the market value of our Class A common stock held by non-affiliates is less than $700.0 million measured on the last business day of our second fiscal quarter. Accordingly, we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what you might receive from other public reporting companies in which you hold equity interests.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54"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Nasdaq Capital Market</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3,076,922 shares of our Class A common stock</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58,038,030 shares of our Class A common stock</w:t>
      </w:r>
    </w:p>
    <w:p>
      <w:pPr>
        <w:spacing w:after="0" w:line="117" w:lineRule="exact"/>
        <w:rPr>
          <w:sz w:val="20"/>
          <w:szCs w:val="20"/>
          <w:color w:val="auto"/>
        </w:rPr>
      </w:pPr>
    </w:p>
    <w:p>
      <w:pPr>
        <w:ind w:right="919"/>
        <w:spacing w:after="0" w:line="266"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$7.9 million after deducting estimated offering expenses payable by us.</w:t>
      </w:r>
    </w:p>
    <w:p>
      <w:pPr>
        <w:spacing w:after="0" w:line="108" w:lineRule="exact"/>
        <w:rPr>
          <w:sz w:val="20"/>
          <w:szCs w:val="20"/>
          <w:color w:val="auto"/>
        </w:rPr>
      </w:pPr>
    </w:p>
    <w:p>
      <w:pPr>
        <w:jc w:val="both"/>
        <w:ind w:right="419"/>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together with our existing cash and cash equivalents, for accumulating SOL, working capital and general corporate purposes, business expansion and other strategic initiatives.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on page S-5 of this prospectus supplement</w:t>
      </w:r>
    </w:p>
    <w:p>
      <w:pPr>
        <w:spacing w:after="0" w:line="117" w:lineRule="exact"/>
        <w:rPr>
          <w:sz w:val="20"/>
          <w:szCs w:val="20"/>
          <w:color w:val="auto"/>
        </w:rPr>
      </w:pPr>
    </w:p>
    <w:p>
      <w:pPr>
        <w:ind w:right="519"/>
        <w:spacing w:after="0" w:line="259" w:lineRule="auto"/>
        <w:rPr>
          <w:sz w:val="20"/>
          <w:szCs w:val="20"/>
          <w:color w:val="auto"/>
        </w:rPr>
      </w:pPr>
      <w:r>
        <w:rPr>
          <w:rFonts w:ascii="Times New Roman" w:cs="Times New Roman" w:eastAsia="Times New Roman" w:hAnsi="Times New Roman"/>
          <w:sz w:val="18"/>
          <w:szCs w:val="18"/>
          <w:color w:val="auto"/>
        </w:rPr>
        <w:t>Investing in our Class A common stock involves significant risks. See the disclosure under the heading “Risk Factors” on page S-4 in this prospectus supplement and under similar headings in other documents incorporated by reference into this prospectus supplement.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“HSDT”</w:t>
      </w:r>
    </w:p>
    <w:p>
      <w:pPr>
        <w:spacing w:after="0" w:line="144" w:lineRule="exact"/>
        <w:rPr>
          <w:sz w:val="20"/>
          <w:szCs w:val="20"/>
          <w:color w:val="auto"/>
        </w:rPr>
      </w:pPr>
    </w:p>
    <w:p>
      <w:pPr>
        <w:sectPr>
          <w:pgSz w:w="11900" w:h="16838" w:orient="portrait"/>
          <w:cols w:equalWidth="0" w:num="2">
            <w:col w:w="3860" w:space="440"/>
            <w:col w:w="5579"/>
          </w:cols>
          <w:pgMar w:left="580" w:top="97" w:right="1440" w:bottom="1440" w:gutter="0" w:footer="0" w:header="0"/>
          <w:type w:val="continuous"/>
        </w:sectPr>
      </w:pPr>
    </w:p>
    <w:p>
      <w:pPr>
        <w:ind w:left="1280" w:right="53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that will be outstanding after this offering is based on 54,961,108 shares of Class A common stock outstanding as of March 31, 2026, and excludes:</w:t>
      </w:r>
    </w:p>
    <w:p>
      <w:pPr>
        <w:spacing w:after="0" w:line="54" w:lineRule="exact"/>
        <w:rPr>
          <w:sz w:val="20"/>
          <w:szCs w:val="20"/>
          <w:color w:val="auto"/>
        </w:rPr>
      </w:pPr>
    </w:p>
    <w:p>
      <w:pPr>
        <w:ind w:left="1820" w:hanging="182"/>
        <w:spacing w:after="0"/>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1,603,971 shares of Class A common stock reserved as treasury shares;</w:t>
      </w:r>
    </w:p>
    <w:p>
      <w:pPr>
        <w:spacing w:after="0" w:line="117"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101,510,912 shares of Class A common stock issuable upon the exercise of outstanding warrants (including common warrants, preferred warrants, pre-funded warrants, and advisory warrants);</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shares of Class A common stock issuable pursuant to outstanding awards granted under our 2018 Omnibus Incentive Plan;</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shares of Class A common stock issuable pursuant to outstanding awards granted under our 2021 Inducement Plan; and</w:t>
      </w:r>
    </w:p>
    <w:p>
      <w:pPr>
        <w:spacing w:after="0" w:line="53"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1,339,742 shares of Class A common stock issuable pursuant to outstanding awards granted under our 2022 Equity Incentive Plan.</w:t>
      </w:r>
    </w:p>
    <w:p>
      <w:pPr>
        <w:spacing w:after="0" w:line="94" w:lineRule="exact"/>
        <w:rPr>
          <w:sz w:val="20"/>
          <w:szCs w:val="20"/>
          <w:color w:val="auto"/>
        </w:rPr>
      </w:pPr>
    </w:p>
    <w:p>
      <w:pPr>
        <w:ind w:left="1280" w:right="59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and the accompanying prospectus assumes no exercise of the outstanding warrants referred to above and no exercise, vesting and settlement of the outstanding awards referred to above.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Investment in the shares of Class A common stock offered pursuant to this prospectus supplement and the accompanying prospectus involves risks. You should carefully consider the risk factors described below, as well as the risk factors described under the caption “Risk Factors” in our most recent Annual Report on Form 10-K, and the other information contained or incorporated by reference in this prospectus supplement and the accompanying prospectus, including our financial statements and the related notes, as may be updated by our subsequent filings under the Exchange Act, and in any free writing prospectus that we have authorized for use in connection with this offering before acquiring shares of our Class A common stock. Our business, financial condition, results of operations or prospects could be materially adversely affected by any of these risks. The trading price of our Class A common stock could decline due to any of these risks, and you may lose all or part of your investment.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may not use the proceeds effectively.</w:t>
      </w:r>
    </w:p>
    <w:p>
      <w:pPr>
        <w:spacing w:after="0" w:line="9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we receive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Class A common stock. Our failure to apply these funds effectively could have a material adverse effect on our business, financial condition and results of operations, delay the development of our product candidates and cause the price of our Class A common stock to decline. See the section titled “Use of Proceeds” below.</w:t>
      </w:r>
    </w:p>
    <w:p>
      <w:pPr>
        <w:spacing w:after="0" w:line="400"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Class A common stock, and any return to investors is expected to come, if at all, only from potential increases in the price of our Class A common stock.</w:t>
      </w:r>
    </w:p>
    <w:p>
      <w:pPr>
        <w:spacing w:after="0" w:line="7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you should not rely on an investment in our Class A common stock to provide dividend income. We currently intend to retain all of our future earnings, if any, to finance the growth and development of our business and do not anticipate declaring or paying any cash dividends for the foreseeable future. As a result, capital appreciation, if any, of our Class A common stock will be your sole source of gain for the foreseeable future.</w:t>
      </w:r>
    </w:p>
    <w:p>
      <w:pPr>
        <w:spacing w:after="0" w:line="179" w:lineRule="exact"/>
        <w:rPr>
          <w:sz w:val="20"/>
          <w:szCs w:val="20"/>
          <w:color w:val="auto"/>
        </w:rPr>
      </w:pPr>
    </w:p>
    <w:p>
      <w:pPr>
        <w:ind w:left="126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Future sales of our Class A common stock in the public market, or the perception that such sales could occur, could cause the market price of our Class A common stock to drop significantly, even if our business is doing well.</w:t>
      </w:r>
    </w:p>
    <w:p>
      <w:pPr>
        <w:spacing w:after="0" w:line="6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or other equity-related securities in the public market could occur at any time. These sales, or the perception in the market that the holders of a large number of shares intend to sell shares, could reduce the market price of our Class A common stock or cause it to be highly volatile and impair our ability to raise capital through the sale of additional equity securities. We cannot predict the effect that future sales of Class A common stock or other equity-related securities would have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$7.9 million, after deducting estimated offering expenses payable by us.</w:t>
      </w:r>
    </w:p>
    <w:p>
      <w:pPr>
        <w:spacing w:after="0" w:line="9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currently intend to use any net proceeds from the sale of the securities under this prospectus supplement for for accumulating SOL, working capital and general corporate purposes, business expansion and other strategic initiatives. We will retain broad discretion over the use of the net proceeds from the sale of the securities offered hereby. Pending any specific application, we may initially invest funds in short-term marketable securities.</w:t>
      </w:r>
    </w:p>
    <w:p>
      <w:pPr>
        <w:spacing w:after="0" w:line="10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on our current plans and business conditions, which could change in the future as our plans and business conditions evolve. We may find it necessary or advisable to use the net proceeds for other purposes, and we will have broad discretion in the application of net proceeds. Pending their use as described above, we may initially invest the net proceeds from this offering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are selling 3,076,922 shares of our Class A common stock at an offering price of $2.60 per share of Class A common stock under this prospectus supplement directly to certain purchasers. We expect to receive net proceeds from this offering of approximately $7.9 million after deducting estimated offering expenses payable by us.</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closing of this offering is subject to customary closing conditions. We expect that the sale of the shares of our Class A common stock will be completed on or around the date indicated on the cover page of this prospectus supplement. The shares of Class A common stock will be issued separately.</w:t>
      </w:r>
    </w:p>
    <w:p>
      <w:pPr>
        <w:spacing w:after="0" w:line="95"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No underwriters or agents were engaged by us for this transaction. We have entered into a securities purchase agreement directly with the purchasers in connection with this offering. The securities purchase agreement contains certain representations, warranties and covenants for the benefit of the parties to the securities purchase agreement.</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offered by this prospectus supplement will be sold pursuant to a securities purchase agreement between us and the purchasers purchasing shares of our Class A common stock in this offering. For the complete terms of the securities purchase agreement, you should refer to the form of securities purchase agreement which will be filed as an exhibit to the Current Report on Form 8-K to be filed with the SEC in connection with this offering, and which is incorporated by reference into the registration statement of which this prospectus supplement is part.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Our transfer agent and the registrar is Equiniti Trust Company, LLC, 6201 15th Avenue, Brooklyn, New York 11219; Telephone: 800-937-5449.</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“HSDT.” On April 24, 2026, the last reported sale price of our Class A common stock on the Nasdaq Capital Market was $2.16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Cooley LLP, New York, New York, which has acted as our counsel in connection with this offering, will pass upon the validity of the shares of Class A common stock offered hereby.</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79" w:firstLine="3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Solana Company as of and for the year ended December 31, 2025, included in the </w:t>
      </w:r>
      <w:hyperlink r:id="rId39">
        <w:r>
          <w:rPr>
            <w:rFonts w:ascii="Times New Roman" w:cs="Times New Roman" w:eastAsia="Times New Roman" w:hAnsi="Times New Roman"/>
            <w:sz w:val="18"/>
            <w:szCs w:val="18"/>
            <w:u w:val="single" w:color="auto"/>
            <w:color w:val="0000EE"/>
          </w:rPr>
          <w:t>Annual Report on Form 10-K for the year ended December 31, 2025</w:t>
        </w:r>
      </w:hyperlink>
      <w:r>
        <w:rPr>
          <w:rFonts w:ascii="Times New Roman" w:cs="Times New Roman" w:eastAsia="Times New Roman" w:hAnsi="Times New Roman"/>
          <w:sz w:val="18"/>
          <w:szCs w:val="18"/>
          <w:color w:val="auto"/>
        </w:rPr>
        <w:t>, incorporated by reference in this preliminary prospectus and registration statement, have been so incorporated in reliance on the report of CBIZ CPAs P.C., an independent registered public accounting firm, as stated in its report thereon and are included in reliance upon such report and upon the authority of such firm as experts in accounting and auditing.</w:t>
      </w:r>
    </w:p>
    <w:p>
      <w:pPr>
        <w:spacing w:after="0" w:line="323"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2024, and for the year then ended, incorporated by reference in this prospectus and in the registration statement have been so incorporated in reliance on the reports of Baker Tilly US, LLP, an independent registered public accounting firm, incorporated herein by reference, given on the authority of said firm as experts in auditing and accounting.</w:t>
      </w:r>
    </w:p>
    <w:p>
      <w:pPr>
        <w:spacing w:after="0" w:line="17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is a part of a registration statement on Form S-3 that we have filed with the SEC under the Securities Act. This prospectus supplement, which constitutes a part of the registration statement, does not contain all of the information set forth in the registration statement and the exhibits and schedules filed as part of the registration statement. For further information with respect to us and our securities, we refer you to the registration statement, including the exhibits filed as a part of the registration statement. Statements contained in this prospectus supplement concerning the contents of any contract or any other document are not necessarily complete. If a contract or document has been filed as an exhibit to the registration statement, we refer you to the copy of the contract or document that has been filed. Each statement in this prospectus supplement relating to a contract or document filed as an exhibit is qualified in all respects by the filed exhibit. The SEC maintains a website (www.sec.gov) that contains reports, proxy and information statements and other information regarding issuers, like us, that file electronically with the SEC.</w:t>
      </w:r>
    </w:p>
    <w:p>
      <w:pPr>
        <w:spacing w:after="0" w:line="34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informational requirements of the Exchange Act, and, in accordance with the Exchange Act, file annual, quarterly and current reports, proxy and information statements and other information with the SEC. These reports, proxy statements and other information will be available for review on the website of the SEC referred to above. We also maintain a corporate website at www.solanacompany.co. You may access our Annual Reports on Form 10-K, Quarterly Reports on</w:t>
      </w:r>
    </w:p>
    <w:p>
      <w:pPr>
        <w:spacing w:after="0" w:line="3"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color w:val="auto"/>
        </w:rPr>
        <w:t>Form 10-Q and Current Reports on Form 8-K and amendments to those reports filed or furnished pursuant to Sections 13(a) or 15(d) of the Exchange Act with the SEC, free of charge, at our corporate website as soon as reasonably practicable after such material is electronically filed with, or furnished to, the SEC. The information contained on, or that can be accessed through, our website shall not be deemed incorporated into and is not part of this prospectus or the registration statement of which it is a part,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it, which means that we can disclose important information to you by referring you to those documents. The information incorporated by reference is considered to be part of this prospectus supplement and the accompany prospectus. Any statement contained in a document incorporated or considered to be incorporated by reference in this prospectus supplement and the accompanying prospectus will be considered to be modified or superseded for purposes of this prospectus supplement and the accompanying prospectus to the extent a statement contained in this prospectus supplement and the accompanying prospectus or in any other subsequently filed document that is or is deemed to be incorporated by reference in this prospectus supplement and accompanying prospectus modifies or supersedes such statement. We incorporate by reference in this prospectus supplement, the accompanying prospectus and the registration statement of which this prospectus supplement and the accompanying prospectus are a part the following information (other than, in each case, documents or information deemed to have been furnished and not filed in accordance with SEC rules, including any information furnished pursuant to Item 2.02 or Item 7.01 of Form 8-K or related exhibits furnished pursuant to Item 9.01 of Form 8-K):</w:t>
      </w:r>
    </w:p>
    <w:p>
      <w:pPr>
        <w:spacing w:after="0" w:line="305" w:lineRule="exact"/>
        <w:rPr>
          <w:sz w:val="20"/>
          <w:szCs w:val="20"/>
          <w:color w:val="auto"/>
        </w:rPr>
      </w:pPr>
    </w:p>
    <w:p>
      <w:pPr>
        <w:ind w:left="1800" w:right="619" w:hanging="180"/>
        <w:spacing w:after="0" w:line="282" w:lineRule="auto"/>
        <w:tabs>
          <w:tab w:leader="none" w:pos="1800" w:val="left"/>
        </w:tabs>
        <w:numPr>
          <w:ilvl w:val="0"/>
          <w:numId w:val="2"/>
        </w:numPr>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u w:val="single" w:color="auto"/>
            <w:color w:val="0000EE"/>
          </w:rPr>
          <w:t>Our Annual Report on Form 10-K for the fiscal year ended December 31, 2025, filed with the SEC</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on March 31,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539" w:hanging="180"/>
        <w:spacing w:after="0" w:line="282" w:lineRule="auto"/>
        <w:tabs>
          <w:tab w:leader="none" w:pos="1800" w:val="left"/>
        </w:tabs>
        <w:numPr>
          <w:ilvl w:val="0"/>
          <w:numId w:val="2"/>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April 24, 2026</w:t>
        </w:r>
      </w:hyperlink>
      <w:hyperlink r:id="rId41">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EE"/>
        </w:rPr>
      </w:pPr>
    </w:p>
    <w:p>
      <w:pPr>
        <w:ind w:left="1800" w:right="49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in </w:t>
      </w:r>
      <w:hyperlink r:id="rId43">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2025, filed with the SEC on March 31, 2025, and including any further amendment or report filed or to be filed for the purpose of updating such description.</w:t>
      </w:r>
    </w:p>
    <w:p>
      <w:pPr>
        <w:spacing w:after="0" w:line="108" w:lineRule="exact"/>
        <w:rPr>
          <w:rFonts w:ascii="Times New Roman" w:cs="Times New Roman" w:eastAsia="Times New Roman" w:hAnsi="Times New Roman"/>
          <w:sz w:val="18"/>
          <w:szCs w:val="18"/>
          <w:color w:val="0000EE"/>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accompanying prospectus and deemed to be part of this prospectus supplement and accompanying prospectus from the date of the filing of such reports and documents.</w:t>
      </w:r>
    </w:p>
    <w:p>
      <w:pPr>
        <w:spacing w:after="0" w:line="102" w:lineRule="exact"/>
        <w:rPr>
          <w:rFonts w:ascii="Times New Roman" w:cs="Times New Roman" w:eastAsia="Times New Roman" w:hAnsi="Times New Roman"/>
          <w:sz w:val="18"/>
          <w:szCs w:val="18"/>
          <w:color w:val="0000EE"/>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supplement and accompanying prospectus from the SEC through the SEC’s website at the address provided above. You also may request a copy of any document incorporated by reference in this prospectus supplement and accompanying prospectus (excluding any exhibits to those documents, unless the exhibit is specifically incorporated by reference in this document), at no cost, by writing or telephoning us at the following address and phone number: Solana Company, 642 Newtown Yardley Road, Suite 100, Newtown, Pennsylvania 18940, Attn: Chief Financial Officer or by telephone at (215) 944-6100.</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83" w:lineRule="exact"/>
        <w:rPr>
          <w:rFonts w:ascii="Times New Roman" w:cs="Times New Roman" w:eastAsia="Times New Roman" w:hAnsi="Times New Roman"/>
          <w:sz w:val="18"/>
          <w:szCs w:val="18"/>
          <w:color w:val="0000EE"/>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SUBJECT TO COMPLETION, DATED MARCH 31, 2026</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127000</wp:posOffset>
            </wp:positionV>
            <wp:extent cx="2511425"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5114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32"/>
          <w:szCs w:val="32"/>
          <w:b w:val="1"/>
          <w:bCs w:val="1"/>
          <w:color w:val="auto"/>
        </w:rPr>
        <w:t>Solana Company</w:t>
      </w:r>
    </w:p>
    <w:p>
      <w:pPr>
        <w:spacing w:after="0" w:line="2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56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Warrants</w:t>
      </w: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$1,000,000,000 of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10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Investing in our Class A common stock involves significant risks. Before making an investment decision, you should review carefully the risks and uncertainties described under the heading “Risk Factors” beginning on page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of this prospectus and any applicable prospectus supplement and in any related free writing prospectus we have authorized for use in connection with a specific offering, and the risk factors that are incorporated by reference into this prospectus from our filings made with the Securities and Exchange Commission (the “SEC”). Our Class A common stock is listed on the Nasdaq Capital Market (“Nasdaq”) under the symbol “HSDT.” On March 30, 2026, the last reported sale price of our Class A common stock on Nasdaq was $1.86 per share.</w:t>
      </w:r>
    </w:p>
    <w:p>
      <w:pPr>
        <w:spacing w:after="0" w:line="333" w:lineRule="exact"/>
        <w:rPr>
          <w:sz w:val="20"/>
          <w:szCs w:val="20"/>
          <w:color w:val="auto"/>
        </w:rPr>
      </w:pPr>
    </w:p>
    <w:p>
      <w:pPr>
        <w:ind w:left="1260" w:right="4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109220</wp:posOffset>
            </wp:positionV>
            <wp:extent cx="123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The date of this prospectus is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1050290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GLOBAL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248920</wp:posOffset>
            </wp:positionV>
            <wp:extent cx="1234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20" w:space="700"/>
            <w:col w:w="95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(the “SEC”) under the Securities Act of 1933, as amended (the “Securities Act”), using a “shelf” registration process. By using a shelf registration statement, we may offer and sell securities from time to time and in one or more offerings as described in this prospectus of up to an aggregate offering price of $1,000,000,000.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346"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4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When we refer to “Solana,” “we,” “our,” “us” and the “Company” in this prospectus, we mean Solana Company and its wholly owned subsidiaries, unless otherwise specified.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 forward-looking statements that involve risks, uncertainties, including statements regarding the Company’s market, strategy, competition, capital needs, business plans and expectations. Any statements contained herein that are not statements of historical fact may be deemed to be forward-looking statements. In some cases, you can identify forward-looking statements by the words “may,” “will,” “should,” “could,” “anticipates,” “estimates,” “plans,” “projects,” “potential,” “continuing,” “ongoing,” “expects,” “believes,” “intends,” “targets,” “predicts,” “potential” or “continue”, the negative of these terms, or other comparable terminology. Forward-looking statements are made, without limitation, in relation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expected enrollment, developments and future plans regarding regulatory entities; receipt of prescriptions and progress of commercialization of the Portable Neuromodulation Stimulator (“PoNS”) device in the United States; our ability to receive adequate reimbursement coverage under Medicare, Medicaid or under other insurance plans, clinical development plans, product development activities, plans for U.S. Food and Drug Administration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and any future stock price. While these forward-looking statements, and any assumptions upon which they are based, are made in good faith, based on information available to the Company as of the date hereof, and reflect the Company’s current judgement regarding its business plans, the Company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We are a listed digital asset treasury (“DAT”) dedicated to acquiring and holding Solana tokens (“SOL”). Solana Company’s DAT objective is to maximize SOL per share through strategic use of capital markets and onchain opportunities, offering public market investors direct exposure to Solana’s secular growth.</w:t>
      </w:r>
    </w:p>
    <w:p>
      <w:pPr>
        <w:spacing w:after="0" w:line="33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Strategic digital asset reserves like SOL lay the groundwork for a future where global payments, credentialing, and personalized learning can be powered by decentralized infrastructure, enhancing how we grow our company. We believe that Solana represents a uniquely scalable, high-performance blockchain platform that aligns with our long-term vision of integrating innovative technologies into our services. By investing in and participating in the Solana ecosystem, we aim to both enhance our digital asset treasury strategy and create strategic optionality for product innovation in our core business.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also, to a lesser extent, a neurotechnology company focused on neurological wellness.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Digital Asset Treasury</w:t>
      </w:r>
    </w:p>
    <w:p>
      <w:pPr>
        <w:spacing w:after="0" w:line="16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September 2025, we adopted a digital asset treasury strategy centered on acquiring SOL and began repositioning a substantial portion of our balance sheet around that strategy. We expect the digital asset treasury strategy to be our principal strategic focus. Our assets are expected to remain concentrated primarily in SOL. Our objective is to increase long-term shareholder value by increasing the amount of SOL underlying each share, generating yield on treasury assets where appropriate, and using public-market financing and treasury tools in a disciplined manner to compound net asset value (“NAV”) over time.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Unlocked and Locked SOL</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hold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lock-up (“Locked SOL”). Locked SOL tokens held in custodial controlled omnibus or segregated custodial accounts are subject to contractual and onchain restrictions (“Smart Contracts”) that limit our ability to withdraw, transfer, or otherwise direct the use of the tokens until specified unlock conditions are met. The Locked SOL are subject to relatively even monthly unlocks through January 2028. We continue to benefit from staking rewards earned on Locked SOL.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were originally incorporated in British Columbia, Canada on March 13, 2014 under the British Columbia Business Corporations Act (the “BCBCA”), as “0996445 B.C. Ltd.” 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 On September 29, 2025, we changed our name to “Solana Company.” Our principal executive offices are located at 642 Newtown Yardley Road, Suite 100, Newtown, PA 18940 and our telephone number is (215) 944-6100. We maintain a corporate website at www.solanacompany.co. We are not including the information on our website as a part of, nor incorporating it by reference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sections entitled “Special Note Regarding Forward-Looking Statements” included in this prospectus and “Forward-Looking Information”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securities under this prospectus for general corporate purposes, including working capital and capital expenditures. We will set forth in the applicable prospectus supplement our intended use for the net proceeds received by us for our sale of securities under this prospectus. We will not receive the net proceeds of any sales by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as amended (the “Certificate of Incorporation”) and Third Amended and Restated Bylaws (the “Amended and Restated Bylaws”) are summaries. You should also refer to the Certificate of Incorporation and the Amended and Restated Bylaws, which are filed as exhibits to the registration statement of which this prospectus is a part.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800,000,000 shares of Class A common stock and 10,000,000 shares of preferred stock, par value $0.001 per share, all of which shares of preferred stock are currently undesignated. Our board of directors may establish the rights and preferences of the preferred stock from time to time.</w:t>
      </w:r>
    </w:p>
    <w:p>
      <w:pPr>
        <w:spacing w:after="0" w:line="11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As of March 27, 2026, there were 55,034,047 shares of Class A common stock outstanding and no outstanding shares of preferred stock.</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Each holder of our Class A common stock is entitled to one vote for each share on all matters submitted to a vote of the stockholders, including the election of directors. Our stockholders do not have cumulative voting rights. The holders of a majority of the voting power of the shares present in person, by remote communication, if applicable, or represented by proxy duly authorized at the meeting and entitled to vote on the subject matter shall be the act of the stockholders. Directors shall be elected by a plurality of the votes of the shares present in person, by remote communication, if applicable, or represented by proxy duly authorized at the meeting and entitled to vote on the election of directors. The stockholders also shall have power to adopt, amend or repeal our Amended and Restated Bylaws; provided, however, that, in addition to any vote of the holders of any class or series of stock of the corporation required by law or by the Certificate of Incorporation, such action by stockholders shall require the affirmative vote of the holders of at least sixty- six and two- thirds percent (66- 2/3%) of the voting power of all of the then-outstanding shares of the capital stock of the Company entitled to vote generally in the election of directors, voting together as a single class.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Class A common stock are entitled to receive ratably those dividends, if any, as may be declared from time to time by the board of directors out of legally available funds.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Class A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Holders of our Class A common stock have no preemptive, conversion or subscription rights and there are no redemption or sinking fund provisions applicable to the Class A common stock. The rights, preferences and privileges of the holders of our Class A common stock are subject to, and may be adversely affected by, the rights of the holders of shares of any series of preferred stock that we may designate in the future.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has the authority under our Certificate of Incorporation, without further action by our stockholders, to issue up to 10,000,000 shares of preferred stock in one or more series, to</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Class A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Class A common stock and the voting and other rights of the holders of our Class A common stock. It is not possible to state the actual effect of the issuance of any shares of preferred stock on the rights of holders of Class A common stock until the board of directors determines the specific rights attached to that preferred stock.</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As of March 27, 2026, there were (i) warrants to purchase 619 shares of the Company’s Class A common stock issued and outstanding at a weighted average price of $6.888 per share, (ii) pre-funded warrants to purchase 20,166,021 shares of the Company’s Class A common stock issued and outstanding at a weighted average price of $0.001 per share, (iii) stapled warrants to purchase 73,941,196 shares of the Company’s Class A common stock issued and outstanding at an exercise price of $10.134 per share,</w:t>
      </w:r>
    </w:p>
    <w:p>
      <w:pPr>
        <w:spacing w:after="0" w:line="3" w:lineRule="exact"/>
        <w:rPr>
          <w:sz w:val="20"/>
          <w:szCs w:val="20"/>
          <w:color w:val="auto"/>
        </w:rPr>
      </w:pPr>
    </w:p>
    <w:p>
      <w:pPr>
        <w:ind w:left="1260" w:right="519"/>
        <w:spacing w:after="0"/>
        <w:tabs>
          <w:tab w:leader="none" w:pos="15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 warrants to purchase 7,394,119 shares of the Company’s Class A common stock issued and outstanding at a price of $0.001 per share, (v) Series A warrants to purchase up to 485 shares of the Company’s Class A common stock at an exercise price of $1,687.50 per share, (vi) Series C warrants to purchase up to 4,969 shares of the Company’s Class A common stock and Series D warrants to purchase up to 3,312 shares of the Company’s Class A common stock at an exercise price of $563.25 and</w:t>
      </w:r>
    </w:p>
    <w:p>
      <w:pPr>
        <w:spacing w:after="0" w:line="2" w:lineRule="exact"/>
        <w:rPr>
          <w:rFonts w:ascii="Times New Roman" w:cs="Times New Roman" w:eastAsia="Times New Roman" w:hAnsi="Times New Roman"/>
          <w:sz w:val="18"/>
          <w:szCs w:val="18"/>
          <w:color w:val="auto"/>
        </w:rPr>
      </w:pPr>
    </w:p>
    <w:p>
      <w:pPr>
        <w:ind w:left="1260" w:right="899"/>
        <w:spacing w:after="0" w:line="245" w:lineRule="auto"/>
        <w:tabs>
          <w:tab w:leader="none" w:pos="1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inducement warrants to purchase up to 190 shares of the Company’s Class A common stock at an exercise price of $1,856.25 per share.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Delaware Anti-Takeover Law and Certain Certificate of Incorporation and By-law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82" w:lineRule="exact"/>
        <w:rPr>
          <w:sz w:val="20"/>
          <w:szCs w:val="20"/>
          <w:color w:val="auto"/>
        </w:rPr>
      </w:pPr>
    </w:p>
    <w:p>
      <w:pPr>
        <w:ind w:left="1800" w:right="5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right="12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consolidation involving the corporation or any direct or indirect majority-owned subsidiary of the corporation and the interested stockholder;</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 (in one transaction or a series of transactions);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8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81"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all stockholder actions must be effected at a duly called meeting of stockholders and eliminate the right of stockholders to act by written consent without a meeting. Our Amended and Restated Bylaws also provide that only our chairperson of the board of directors, Chief Executive Officer or the board of directors pursuant to a resolution adopted by a majority of the total number of authorized directors may call a special meeting of stockholders.</w:t>
      </w:r>
    </w:p>
    <w:p>
      <w:pPr>
        <w:spacing w:after="0" w:line="10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At any meeting of stockholders for the election of directors at which a quorum is present, the election will be determined by a plurality of the votes cast by the stockholders entitled to vote at the election.</w:t>
      </w:r>
    </w:p>
    <w:p>
      <w:pPr>
        <w:spacing w:after="0" w:line="336"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Our Certificate of Incorporation and the Amended and Restated Bylaws provide that the stockholders cannot amend many of the provisions described above except by a vote of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or more of our outstanding capital stock of the Company. As described above, our Certificate of Incorporation gives our board of directors the authority, without further action by our stockholders, to issue up to 10,000,000 shares of preferred stock in one or more series.</w:t>
      </w:r>
    </w:p>
    <w:p>
      <w:pPr>
        <w:spacing w:after="0" w:line="13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2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Provisions Applicable to Certain Legal Actions</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Delaware General Corporation Law, our Certificate of Incorporation or our Second Amended and Restated Bylaws;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provision does not apply to suits brought to enforce a duty or liability created by the Exchange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w:t>
      </w:r>
    </w:p>
    <w:p>
      <w:pPr>
        <w:spacing w:after="0" w:line="12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Pursuant to the terms of those certain subscription agreements, dated September 15, 2025, we agreed to register any shares issued to each subscriber. As of October 17, 2025, subscribers beneficially owned 38,049,663 shares of Class A common stock, pre-funded warrants to purchase 36,261,239 shares of Class A common stock, and stapled warrants to purchase 81,335,315 shares of Class A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Class A common stock is listed on the Nasdaq under the symbol “HSDT”.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Our transfer agent and the registrar is Equiniti Trust Company, LLC, 6201 15th Avenue, Brooklyn, New York 11219; Telephone: 800-937-5449.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“Solana,” “we,” “our” or “us” refer to Solana Company excluding our subsidiaries, unless expressly stated or the context otherwise requires.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material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0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Certificated Debt Securities. </w:t>
      </w:r>
      <w:r>
        <w:rPr>
          <w:rFonts w:ascii="Times New Roman" w:cs="Times New Roman" w:eastAsia="Times New Roman" w:hAnsi="Times New Roman"/>
          <w:sz w:val="18"/>
          <w:szCs w:val="18"/>
          <w:color w:val="auto"/>
        </w:rPr>
        <w:t>You may transfer or exchange certificated debt securities at any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24"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5"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8" w:lineRule="exact"/>
        <w:rPr>
          <w:sz w:val="20"/>
          <w:szCs w:val="20"/>
          <w:color w:val="auto"/>
        </w:rPr>
      </w:pPr>
    </w:p>
    <w:p>
      <w:pPr>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Solana) is a corporation, partnership, trust or other entity organized and validly existing under the laws of any U.S. domestic jurisdiction and expressly assumes our obligations on the debt securities and under the indenture; and</w:t>
      </w:r>
    </w:p>
    <w:p>
      <w:pPr>
        <w:spacing w:after="0" w:line="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“Event of Default” means with respect to any series of debt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any of the following:</w:t>
      </w:r>
    </w:p>
    <w:p>
      <w:pPr>
        <w:spacing w:after="0" w:line="119" w:lineRule="exact"/>
        <w:rPr>
          <w:sz w:val="20"/>
          <w:szCs w:val="20"/>
          <w:color w:val="auto"/>
        </w:rPr>
      </w:pPr>
    </w:p>
    <w:p>
      <w:pPr>
        <w:ind w:left="1800" w:right="51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Solana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Solana;</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4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95" w:lineRule="exact"/>
        <w:rPr>
          <w:sz w:val="20"/>
          <w:szCs w:val="20"/>
          <w:color w:val="auto"/>
        </w:rPr>
      </w:pPr>
    </w:p>
    <w:p>
      <w:pPr>
        <w:ind w:left="1800" w:right="5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with which the warrants are issued and the number of warrants issued with each security;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common stock will be separately transferable;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exercise of a warrant and the price at which those shares may be purchased;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72" w:lineRule="exact"/>
        <w:rPr>
          <w:sz w:val="20"/>
          <w:szCs w:val="20"/>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the securities constituting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debt securities, common stock, preferred stock or warrants constituting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and its respective book-entry systems has been obtained from sources that we believe to be reliable, but we do not take responsibility for this information. This information has been provided solely as a matter of convenience. The rules and procedures of DTC are solely within the control of DTC and could change at any time. Neither we nor the trustee nor any agent of ours or of the trustee has any control over those entities and none of us takes any responsibility for their activities. You are urged to contact DTC, or its respective participants directly to discuss those matters. In addition, although we expect that DTC will perform the foregoing procedures, it is not under any obligation to perform or continue to perform such procedures and such procedures may be discontinued at any time. Neither we nor any agent of ours will have any responsibility for the performance or nonperformance by DTC or its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72"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68" w:lineRule="exact"/>
        <w:rPr>
          <w:sz w:val="20"/>
          <w:szCs w:val="20"/>
          <w:color w:val="auto"/>
        </w:rPr>
      </w:pPr>
    </w:p>
    <w:p>
      <w:pPr>
        <w:ind w:left="1800" w:right="4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any other securities exchange or quotation or trading service on which such securities may be listed, quoted or traded at the time of sale; and/or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Nasdaq or such other securities exchanges or quotation or trading services.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15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8"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4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3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16"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9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Cooley LLP, New York, New York will pass upon certain legal matters relating to the issuance and sale of the securities offered hereby on behalf of Solana Company. Additional legal matters may be passed upon for us or any underwriters, dealers or agents, by counsel that we will name in the applicable prospectus supplement.</w:t>
      </w:r>
    </w:p>
    <w:p>
      <w:pPr>
        <w:spacing w:after="0" w:line="3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consolidated financial statements of Solana Company as of and for the year ended December 31, 2025, included in the Annual Report on Form 10-K for the year ended December 31, 2025, incorporated by reference in this preliminary prospectus and registration statement, have been so incorporated in reliance on the report of CBIZ CPAs P.C., an independent registered public accounting firm, as stated in its report thereon and are included in reliance upon such report and upon the authority of such firm as experts in accounting and auditing.</w:t>
      </w:r>
    </w:p>
    <w:p>
      <w:pPr>
        <w:spacing w:after="0" w:line="325"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2024, and for the year then ended, incorporated by reference in this prospectus and in the registration statement have been so incorporated in reliance on the reports of Baker Tilly US, LLP, an independent registered public accounting firm, incorporated herein by reference, given on the authority of said firm as experts in auditing and accounting.</w:t>
      </w:r>
    </w:p>
    <w:p>
      <w:pPr>
        <w:spacing w:after="0" w:line="17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0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website address is www.solanacompany.co. The information on our website, however, is not, and should not be deemed to be, a part of this prospectus.</w:t>
      </w:r>
    </w:p>
    <w:p>
      <w:pPr>
        <w:spacing w:after="0" w:line="67"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applicable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incorporate by reference in this prospectus (i) the documents listed below, and (ii) all documents that we file with the SEC under Section 13(a), 13(c), 14 or 15(d) of the Exchange Act after the date of this prospectus and prior to the termination of the offering under this prospectus; provided, however, that we are not incorporating, in each case, any documents or information deemed to have been furnished and not filed in accordance with SEC rules (including Items 2.02 and 7.01 of Form 8-K):</w:t>
      </w:r>
    </w:p>
    <w:p>
      <w:pPr>
        <w:spacing w:after="0" w:line="69" w:lineRule="exact"/>
        <w:rPr>
          <w:sz w:val="20"/>
          <w:szCs w:val="20"/>
          <w:color w:val="auto"/>
        </w:rPr>
      </w:pPr>
    </w:p>
    <w:p>
      <w:pPr>
        <w:ind w:left="1800" w:right="6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80">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81">
        <w:r>
          <w:rPr>
            <w:rFonts w:ascii="Times New Roman" w:cs="Times New Roman" w:eastAsia="Times New Roman" w:hAnsi="Times New Roman"/>
            <w:sz w:val="18"/>
            <w:szCs w:val="18"/>
            <w:u w:val="single" w:color="auto"/>
            <w:color w:val="0000EE"/>
          </w:rPr>
          <w:t>February 20, 2026</w:t>
        </w:r>
      </w:hyperlink>
      <w:r>
        <w:rPr>
          <w:rFonts w:ascii="Times New Roman" w:cs="Times New Roman" w:eastAsia="Times New Roman" w:hAnsi="Times New Roman"/>
          <w:sz w:val="18"/>
          <w:szCs w:val="18"/>
          <w:color w:val="auto"/>
        </w:rPr>
        <w:t>; and</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in </w:t>
      </w:r>
      <w:hyperlink r:id="rId83">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2025, filed with the SEC on March 31, 2026, and including any further amendment or report filed or to be filed for the purpose of updating such description.</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1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supplement. You may make a request for copies of these filings, and any exhibits we have specifically incorporated by reference as an exhibit in this prospectus, at no cost by writing or by telephone. Requests should be directed to: Solana Company, Attn: Chief Financial Officer, 642 Newtown Yardley Road, Suite 100, Newtown, PA 18940, or via e-mail at ir@solanacompany.co. Our phone number is (215) 944-6104. You also may access these filings on our website at https://www.solanacompany.co/.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 We have included our website address in this prospectus solely as an inactive textual reference.</w:t>
      </w:r>
    </w:p>
    <w:p>
      <w:pPr>
        <w:spacing w:after="0" w:line="32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in any accompanying prospectus supplement, or in any free writing prospectus filed by us with the SEC. We have not authorized anyone to provide you with different or additional information. We are not offering to sell or soliciting any offer to buy any securities in any jurisdiction where the offer or sale is not permitted. You should not assume that the information in this prospectus or in any document incorporated by reference is accurate as of any date other than the date on the front cover of the applicable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3,076,922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864235</wp:posOffset>
            </wp:positionV>
            <wp:extent cx="2511425" cy="386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5114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967105</wp:posOffset>
            </wp:positionV>
            <wp:extent cx="1234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219075</wp:posOffset>
            </wp:positionV>
            <wp:extent cx="1234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1597025</wp:posOffset>
            </wp:positionV>
            <wp:extent cx="5212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Roman"/>
      <w:start w:val="4"/>
    </w:lvl>
  </w:abstractNum>
  <w:abstractNum w:abstractNumId="3">
    <w:nsid w:val="41A7C4C9"/>
    <w:multiLevelType w:val="hybridMultilevel"/>
    <w:lvl w:ilvl="0">
      <w:lvlJc w:val="left"/>
      <w:lvlText w:val="(%1)"/>
      <w:numFmt w:val="lowerRoman"/>
      <w:start w:val="7"/>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e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2"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jpe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39" Type="http://schemas.openxmlformats.org/officeDocument/2006/relationships/hyperlink" Target="https://www.sec.gov/ix?doc=/Archives/edgar/data/1610853/000110465926037194/hsdt-20251231x10k.htm" TargetMode="External"/><Relationship Id="rId41" Type="http://schemas.openxmlformats.org/officeDocument/2006/relationships/hyperlink" Target="https://www.sec.gov/ix?doc=/Archives/edgar/data/1610853/000110465926042666/hsdt-20260408x8k.htm" TargetMode="External"/><Relationship Id="rId42" Type="http://schemas.openxmlformats.org/officeDocument/2006/relationships/hyperlink" Target="https://www.sec.gov/ix?doc=/Archives/edgar/data/1610853/000110465926048625/hsdt-20260422x8k.htm" TargetMode="External"/><Relationship Id="rId43" Type="http://schemas.openxmlformats.org/officeDocument/2006/relationships/hyperlink" Target="https://www.sec.gov/Archives/edgar/data/1610853/000110465926037194/hsdt-20251231xex4d3.htm" TargetMode="External"/><Relationship Id="rId80" Type="http://schemas.openxmlformats.org/officeDocument/2006/relationships/hyperlink" Target="http://www.sec.gov/ix?doc=/Archives/edgar/data/1610853/000110465926037194/hsdt-20251231x10k.htm" TargetMode="External"/><Relationship Id="rId81" Type="http://schemas.openxmlformats.org/officeDocument/2006/relationships/hyperlink" Target="https://www.sec.gov/ix?doc=/Archives/edgar/data/1610853/000110465926018212/hsdt-20260220x8k.htm" TargetMode="External"/><Relationship Id="rId83" Type="http://schemas.openxmlformats.org/officeDocument/2006/relationships/hyperlink" Target="http://www.sec.gov/Archives/edgar/data/1610853/000110465926037194/hsdt-20251231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2026-04-27T07:45:49Z</dcterms:created>
  <dcterms:modified xsi:type="dcterms:W3CDTF">2026-04-27T07:45:49Z</dcterms:modified>
</cp:coreProperties>
</file>