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225425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108585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4"/>
          <w:szCs w:val="24"/>
          <w:color w:val="auto"/>
        </w:rPr>
      </w:pPr>
    </w:p>
    <w:p>
      <w:pPr>
        <w:ind w:left="840" w:right="380" w:hanging="832"/>
        <w:spacing w:after="0" w:line="256" w:lineRule="auto"/>
        <w:tabs>
          <w:tab w:leader="none" w:pos="8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0" w:lineRule="exact"/>
        <w:rPr>
          <w:sz w:val="24"/>
          <w:szCs w:val="24"/>
          <w:color w:val="auto"/>
        </w:rPr>
      </w:pPr>
    </w:p>
    <w:p>
      <w:pPr>
        <w:spacing w:after="0" w:line="21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840" w:right="360" w:hanging="832"/>
        <w:spacing w:after="0" w:line="256" w:lineRule="auto"/>
        <w:tabs>
          <w:tab w:leader="none" w:pos="8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111760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9"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u w:val="single" w:color="auto"/>
          <w:color w:val="auto"/>
        </w:rPr>
        <w:t>HELIUS MEDICAL TECHNOLOGIES,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90170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5" w:lineRule="exact"/>
        <w:rPr>
          <w:sz w:val="24"/>
          <w:szCs w:val="24"/>
          <w:color w:val="auto"/>
        </w:rPr>
      </w:pPr>
    </w:p>
    <w:tbl>
      <w:tblPr>
        <w:tblLayout w:type="fixed"/>
        <w:tblInd w:w="1580" w:type="dxa"/>
        <w:tblCellMar>
          <w:top w:w="0" w:type="dxa"/>
          <w:left w:w="0" w:type="dxa"/>
          <w:bottom w:w="0" w:type="dxa"/>
          <w:right w:w="0" w:type="dxa"/>
        </w:tblCellMar>
      </w:tblPr>
      <w:tr>
        <w:trPr>
          <w:trHeight w:val="186"/>
        </w:trPr>
        <w:tc>
          <w:tcPr>
            <w:tcW w:w="436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Delaware</w:t>
            </w:r>
          </w:p>
        </w:tc>
        <w:tc>
          <w:tcPr>
            <w:tcW w:w="3120" w:type="dxa"/>
            <w:vAlign w:val="bottom"/>
          </w:tcPr>
          <w:p>
            <w:pPr>
              <w:jc w:val="right"/>
              <w:ind w:right="148"/>
              <w:spacing w:after="0"/>
              <w:rPr>
                <w:sz w:val="20"/>
                <w:szCs w:val="20"/>
                <w:color w:val="auto"/>
              </w:rPr>
            </w:pPr>
            <w:r>
              <w:rPr>
                <w:rFonts w:ascii="Arial" w:cs="Arial" w:eastAsia="Arial" w:hAnsi="Arial"/>
                <w:sz w:val="14"/>
                <w:szCs w:val="14"/>
                <w:b w:val="1"/>
                <w:bCs w:val="1"/>
                <w:color w:val="auto"/>
              </w:rPr>
              <w:t>36-4787690</w:t>
            </w:r>
          </w:p>
        </w:tc>
        <w:tc>
          <w:tcPr>
            <w:tcW w:w="0" w:type="dxa"/>
            <w:vAlign w:val="bottom"/>
          </w:tcPr>
          <w:p>
            <w:pPr>
              <w:spacing w:after="0"/>
              <w:rPr>
                <w:sz w:val="1"/>
                <w:szCs w:val="1"/>
                <w:color w:val="auto"/>
              </w:rPr>
            </w:pPr>
          </w:p>
        </w:tc>
      </w:tr>
      <w:tr>
        <w:trPr>
          <w:trHeight w:val="259"/>
        </w:trPr>
        <w:tc>
          <w:tcPr>
            <w:tcW w:w="4360" w:type="dxa"/>
            <w:vAlign w:val="bottom"/>
          </w:tcPr>
          <w:p>
            <w:pPr>
              <w:jc w:val="center"/>
              <w:ind w:right="1928"/>
              <w:spacing w:after="0"/>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360" w:type="dxa"/>
            <w:vAlign w:val="bottom"/>
          </w:tcPr>
          <w:p>
            <w:pPr>
              <w:jc w:val="center"/>
              <w:ind w:right="1928"/>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9"/>
        </w:trPr>
        <w:tc>
          <w:tcPr>
            <w:tcW w:w="4360" w:type="dxa"/>
            <w:vAlign w:val="bottom"/>
          </w:tcPr>
          <w:p>
            <w:pPr>
              <w:jc w:val="center"/>
              <w:ind w:right="1908"/>
              <w:spacing w:after="0"/>
              <w:rPr>
                <w:sz w:val="20"/>
                <w:szCs w:val="20"/>
                <w:color w:val="auto"/>
              </w:rPr>
            </w:pPr>
            <w:r>
              <w:rPr>
                <w:rFonts w:ascii="Arial" w:cs="Arial" w:eastAsia="Arial" w:hAnsi="Arial"/>
                <w:sz w:val="14"/>
                <w:szCs w:val="14"/>
                <w:b w:val="1"/>
                <w:bCs w:val="1"/>
                <w:color w:val="auto"/>
                <w:w w:val="93"/>
              </w:rPr>
              <w:t>642 Newtown Yardley Road, Suite 100</w:t>
            </w:r>
          </w:p>
        </w:tc>
        <w:tc>
          <w:tcPr>
            <w:tcW w:w="3120" w:type="dxa"/>
            <w:vAlign w:val="bottom"/>
          </w:tcPr>
          <w:p>
            <w:pPr>
              <w:jc w:val="right"/>
              <w:ind w:right="308"/>
              <w:spacing w:after="0"/>
              <w:rPr>
                <w:sz w:val="20"/>
                <w:szCs w:val="20"/>
                <w:color w:val="auto"/>
              </w:rPr>
            </w:pPr>
            <w:r>
              <w:rPr>
                <w:rFonts w:ascii="Arial" w:cs="Arial" w:eastAsia="Arial" w:hAnsi="Arial"/>
                <w:sz w:val="14"/>
                <w:szCs w:val="14"/>
                <w:b w:val="1"/>
                <w:bCs w:val="1"/>
                <w:color w:val="auto"/>
              </w:rPr>
              <w:t>18940</w:t>
            </w:r>
          </w:p>
        </w:tc>
        <w:tc>
          <w:tcPr>
            <w:tcW w:w="0" w:type="dxa"/>
            <w:vAlign w:val="bottom"/>
          </w:tcPr>
          <w:p>
            <w:pPr>
              <w:spacing w:after="0"/>
              <w:rPr>
                <w:sz w:val="1"/>
                <w:szCs w:val="1"/>
                <w:color w:val="auto"/>
              </w:rPr>
            </w:pPr>
          </w:p>
        </w:tc>
      </w:tr>
      <w:tr>
        <w:trPr>
          <w:trHeight w:val="148"/>
        </w:trPr>
        <w:tc>
          <w:tcPr>
            <w:tcW w:w="4360" w:type="dxa"/>
            <w:vAlign w:val="bottom"/>
          </w:tcPr>
          <w:p>
            <w:pPr>
              <w:jc w:val="center"/>
              <w:ind w:right="1908"/>
              <w:spacing w:after="0" w:line="149" w:lineRule="exact"/>
              <w:rPr>
                <w:sz w:val="20"/>
                <w:szCs w:val="20"/>
                <w:color w:val="auto"/>
              </w:rPr>
            </w:pPr>
            <w:r>
              <w:rPr>
                <w:rFonts w:ascii="Arial" w:cs="Arial" w:eastAsia="Arial" w:hAnsi="Arial"/>
                <w:sz w:val="14"/>
                <w:szCs w:val="14"/>
                <w:b w:val="1"/>
                <w:bCs w:val="1"/>
                <w:color w:val="auto"/>
                <w:w w:val="91"/>
              </w:rPr>
              <w:t>Newtown, Pennsylvania</w:t>
            </w:r>
          </w:p>
        </w:tc>
        <w:tc>
          <w:tcPr>
            <w:tcW w:w="3120" w:type="dxa"/>
            <w:vAlign w:val="bottom"/>
            <w:vMerge w:val="restart"/>
          </w:tcPr>
          <w:p>
            <w:pPr>
              <w:jc w:val="center"/>
              <w:ind w:left="190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86"/>
        </w:trPr>
        <w:tc>
          <w:tcPr>
            <w:tcW w:w="4360" w:type="dxa"/>
            <w:vAlign w:val="bottom"/>
          </w:tcPr>
          <w:p>
            <w:pPr>
              <w:jc w:val="center"/>
              <w:ind w:right="19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9" w:lineRule="exact"/>
        <w:rPr>
          <w:sz w:val="24"/>
          <w:szCs w:val="24"/>
          <w:color w:val="auto"/>
        </w:rPr>
      </w:pPr>
    </w:p>
    <w:p>
      <w:pPr>
        <w:ind w:left="5520" w:hanging="346"/>
        <w:spacing w:after="0"/>
        <w:tabs>
          <w:tab w:leader="none" w:pos="5520" w:val="left"/>
        </w:tabs>
        <w:numPr>
          <w:ilvl w:val="0"/>
          <w:numId w:val="3"/>
        </w:numPr>
        <w:rPr>
          <w:rFonts w:ascii="Arial" w:cs="Arial" w:eastAsia="Arial" w:hAnsi="Arial"/>
          <w:sz w:val="14"/>
          <w:szCs w:val="14"/>
          <w:b w:val="1"/>
          <w:bCs w:val="1"/>
          <w:u w:val="single" w:color="auto"/>
          <w:color w:val="auto"/>
        </w:rPr>
      </w:pPr>
      <w:r>
        <w:rPr>
          <w:rFonts w:ascii="Arial" w:cs="Arial" w:eastAsia="Arial" w:hAnsi="Arial"/>
          <w:sz w:val="14"/>
          <w:szCs w:val="14"/>
          <w:b w:val="1"/>
          <w:bCs w:val="1"/>
          <w:color w:val="auto"/>
        </w:rPr>
        <w:t>944-6100</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81915</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48"/>
        </w:trPr>
        <w:tc>
          <w:tcPr>
            <w:tcW w:w="428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5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Class A Common Stock, $0.001 par value per share</w:t>
            </w:r>
          </w:p>
        </w:tc>
        <w:tc>
          <w:tcPr>
            <w:tcW w:w="1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7"/>
              </w:rPr>
              <w:t>HSDT</w:t>
            </w:r>
          </w:p>
        </w:tc>
        <w:tc>
          <w:tcPr>
            <w:tcW w:w="100" w:type="dxa"/>
            <w:vAlign w:val="bottom"/>
            <w:vMerge w:val="continue"/>
          </w:tcPr>
          <w:p>
            <w:pPr>
              <w:spacing w:after="0"/>
              <w:rPr>
                <w:sz w:val="19"/>
                <w:szCs w:val="19"/>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232" w:lineRule="exact"/>
        <w:rPr>
          <w:sz w:val="24"/>
          <w:szCs w:val="24"/>
          <w:color w:val="auto"/>
        </w:rPr>
      </w:pPr>
    </w:p>
    <w:p>
      <w:pPr>
        <w:jc w:val="both"/>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1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98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98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181" w:lineRule="exact"/>
        <w:rPr>
          <w:sz w:val="24"/>
          <w:szCs w:val="24"/>
          <w:color w:val="auto"/>
        </w:rPr>
      </w:pPr>
    </w:p>
    <w:p>
      <w:pPr>
        <w:ind w:right="6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76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6, 2021, the registrant had 2,317,772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1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460" w:type="dxa"/>
            <w:vAlign w:val="bottom"/>
          </w:tcPr>
          <w:p>
            <w:pPr>
              <w:spacing w:after="0"/>
              <w:rPr>
                <w:sz w:val="20"/>
                <w:szCs w:val="20"/>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18"/>
          </w:tcPr>
          <w:p>
            <w:pPr>
              <w:spacing w:after="0"/>
              <w:rPr>
                <w:sz w:val="20"/>
                <w:szCs w:val="20"/>
                <w:color w:val="auto"/>
              </w:rPr>
            </w:pPr>
            <w:r>
              <w:rPr>
                <w:rFonts w:ascii="Arial" w:cs="Arial" w:eastAsia="Arial" w:hAnsi="Arial"/>
                <w:sz w:val="18"/>
                <w:szCs w:val="18"/>
                <w:color w:val="auto"/>
              </w:rPr>
              <w:t>Condensed Consolidated Financial Statements</w:t>
            </w:r>
          </w:p>
        </w:tc>
        <w:tc>
          <w:tcPr>
            <w:tcW w:w="46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June 30, 2021 and December 31, 2020</w:t>
              </w:r>
            </w:hyperlink>
          </w:p>
        </w:tc>
        <w:tc>
          <w:tcPr>
            <w:tcW w:w="282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Loss for the three and six months ended June 30,</w:t>
              </w:r>
            </w:hyperlink>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2021 and 2020</w:t>
              </w:r>
            </w:hyperlink>
          </w:p>
        </w:tc>
        <w:tc>
          <w:tcPr>
            <w:tcW w:w="846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r>
      <w:tr>
        <w:trPr>
          <w:trHeight w:val="317"/>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Stockholders’ Equity for the three and six months ended June 30, 2021 and 2020</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six months ended June 30, 2021 and 2020</w:t>
              </w:r>
            </w:hyperlink>
          </w:p>
        </w:tc>
        <w:tc>
          <w:tcPr>
            <w:tcW w:w="1380" w:type="dxa"/>
            <w:vAlign w:val="bottom"/>
            <w:tcBorders>
              <w:top w:val="single" w:sz="8" w:color="0000EE"/>
            </w:tcBorders>
          </w:tcPr>
          <w:p>
            <w:pPr>
              <w:spacing w:after="0"/>
              <w:rPr>
                <w:sz w:val="24"/>
                <w:szCs w:val="24"/>
                <w:color w:val="auto"/>
              </w:rPr>
            </w:pPr>
          </w:p>
        </w:tc>
        <w:tc>
          <w:tcPr>
            <w:tcW w:w="28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1"/>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30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540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800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832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76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7"/>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542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74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00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76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02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3"/>
        </w:trPr>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12"/>
          </w:tcPr>
          <w:p>
            <w:pPr>
              <w:ind w:left="456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7,425</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 net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10,717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912</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Preferred stock, $0.001 par value; 10,000,000 shares authorized; no shares issued and outstanding as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June 30, 2021 and December 31, 2020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w w:val="92"/>
              </w:rPr>
              <w:t>Class A common stock, $0.001 par value; 150,000,000 shares authorized; 2,317,772 and 1,484,362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shares issued and outstanding as of June 30, 2021 and December 31, 2020,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(128,246)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(118,903)</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10,717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450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w:t>
      </w:r>
      <w:r>
        <w:rPr>
          <w:rFonts w:ascii="Arial" w:cs="Arial" w:eastAsia="Arial" w:hAnsi="Arial"/>
          <w:sz w:val="18"/>
          <w:szCs w:val="18"/>
          <w:color w:val="auto"/>
        </w:rPr>
        <w:t>(Amounts in thousands except shares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5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Fee revenue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Cost of product sales</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8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w:t>
            </w:r>
          </w:p>
        </w:tc>
        <w:tc>
          <w:tcPr>
            <w:tcW w:w="8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(3,616)</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(2.58)</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(7.85)</w:t>
            </w: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2,317,389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1,160,661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2,179,878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1,033,692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2,317,389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1,160,661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2,179,878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1,033,692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1080"/>
        <w:spacing w:after="0" w:line="25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Three Months Ended June 30, 2021 and 2020 </w:t>
      </w:r>
      <w:r>
        <w:rPr>
          <w:rFonts w:ascii="Arial" w:cs="Arial" w:eastAsia="Arial" w:hAnsi="Arial"/>
          <w:sz w:val="18"/>
          <w:szCs w:val="18"/>
          <w:color w:val="auto"/>
        </w:rPr>
        <w:t>(Except share data, amounts in thousands)</w:t>
      </w:r>
    </w:p>
    <w:tbl>
      <w:tblPr>
        <w:tblLayout w:type="fixed"/>
        <w:tblInd w:w="580" w:type="dxa"/>
        <w:tblCellMar>
          <w:top w:w="0" w:type="dxa"/>
          <w:left w:w="0" w:type="dxa"/>
          <w:bottom w:w="0" w:type="dxa"/>
          <w:right w:w="0" w:type="dxa"/>
        </w:tblCellMar>
      </w:tblPr>
      <w:tr>
        <w:trPr>
          <w:trHeight w:val="140"/>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060" w:type="dxa"/>
            <w:vAlign w:val="bottom"/>
            <w:gridSpan w:val="3"/>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9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1,086,902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115,004</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(109,530)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w w:val="96"/>
              </w:rPr>
              <w:t>Proceeds from the issuance of common stock from</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At-the-Market program</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202,072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1,288,974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119,807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 (112,891)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24"/>
                <w:szCs w:val="24"/>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9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2021</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2,311,868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135,388</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(122,265)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stock options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 as part of compensation</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5,337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2021</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2,317,772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138,023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 (128,246)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50" w:lineRule="exact"/>
        <w:rPr>
          <w:sz w:val="20"/>
          <w:szCs w:val="20"/>
          <w:color w:val="auto"/>
        </w:rPr>
      </w:pPr>
    </w:p>
    <w:p>
      <w:pPr>
        <w:ind w:right="130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Six Months Ended June 30, 2021 and 2020 </w:t>
      </w:r>
      <w:r>
        <w:rPr>
          <w:rFonts w:ascii="Arial" w:cs="Arial" w:eastAsia="Arial" w:hAnsi="Arial"/>
          <w:sz w:val="18"/>
          <w:szCs w:val="18"/>
          <w:color w:val="auto"/>
        </w:rPr>
        <w:t>(Except share data, amounts in thousands)</w:t>
      </w:r>
    </w:p>
    <w:tbl>
      <w:tblPr>
        <w:tblLayout w:type="fixed"/>
        <w:tblInd w:w="580" w:type="dxa"/>
        <w:tblCellMar>
          <w:top w:w="0" w:type="dxa"/>
          <w:left w:w="0" w:type="dxa"/>
          <w:bottom w:w="0" w:type="dxa"/>
          <w:right w:w="0" w:type="dxa"/>
        </w:tblCellMar>
      </w:tblPr>
      <w:tr>
        <w:trPr>
          <w:trHeight w:val="13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10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877,672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111,509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(104,773)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w w:val="95"/>
              </w:rPr>
              <w:t>Proceeds from the issuance of common stock from</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At-the-Market program</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232,526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w w:val="95"/>
              </w:rPr>
              <w:t>Proceeds from issuance of common stock from the</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March 2020 Offering</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178,776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Warrant issuance from the March 2020 Offering</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1,288,974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119,807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(112,891)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100" w:type="dxa"/>
            <w:vAlign w:val="bottom"/>
          </w:tcPr>
          <w:p>
            <w:pPr>
              <w:spacing w:after="0"/>
              <w:rPr>
                <w:sz w:val="24"/>
                <w:szCs w:val="24"/>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1,484,362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123,872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(1,099)</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(118,903)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w w:val="95"/>
              </w:rPr>
              <w:t>Proceeds from the issuance of common stock from</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the February 2021 Offering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744,936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w w:val="96"/>
              </w:rPr>
              <w:t>Warrant issuance from the February 2021 Offering</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warrants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81,895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restricted stock units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Issuance of shares as part of compensation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(9,343)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b w:val="1"/>
                <w:bCs w:val="1"/>
                <w:color w:val="auto"/>
              </w:rPr>
              <w:t>Balance as of June 30, 2021</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2,317,772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(1,412)</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 (128,246)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(9,343)</w:t>
            </w:r>
          </w:p>
        </w:tc>
        <w:tc>
          <w:tcPr>
            <w:tcW w:w="64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Unrealized foreign exchange (gain) loss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Amortization expense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(Recovery of) provision for doubtful accounts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Non-cash lease expense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 impairment</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Loss from disposal of property and equipment</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lease modification</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(6,690)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4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Proceeds from the exercise of warrants and stock options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Paycheck Protection Program Loan</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Repayment of Paycheck Protection Program Loan</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10,834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beginning of period</w:t>
            </w:r>
          </w:p>
        </w:tc>
        <w:tc>
          <w:tcPr>
            <w:tcW w:w="12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end of period</w:t>
            </w:r>
          </w:p>
        </w:tc>
        <w:tc>
          <w:tcPr>
            <w:tcW w:w="1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7,425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1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 included in accounts payable and accrued liabilities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Helius Medical Technologies, Inc. (the “Company”), is a neurotech company focused on neurological wellness. The Company’s purpose is to develop, license or acquire unique and non-invasive technologies targeted at reducing symptoms of neurological disease or trauma.</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first product, known as the Portable Neuromodulation Stimulator (“PoNS</w:t>
      </w:r>
      <w:r>
        <w:rPr>
          <w:rFonts w:ascii="Arial" w:cs="Arial" w:eastAsia="Arial" w:hAnsi="Arial"/>
          <w:sz w:val="14"/>
          <w:szCs w:val="14"/>
          <w:color w:val="auto"/>
        </w:rPr>
        <w:t>TM</w:t>
      </w:r>
      <w:r>
        <w:rPr>
          <w:rFonts w:ascii="Arial" w:cs="Arial" w:eastAsia="Arial" w:hAnsi="Arial"/>
          <w:sz w:val="17"/>
          <w:szCs w:val="17"/>
          <w:color w:val="auto"/>
        </w:rPr>
        <w:t>”), is an innovative non-surgical medical device, inclusive of a controller and mouthpiece, which delivers mild electrical stimulation to the surface of the tongue to provide treatment of gait deficit and is indicated for use in the United States as a short term treatment of gait deficit due to mild-to-moderate symptoms from multiple sclerosis (“MS”), and is to be used as an adjunct to a supervised therapeutic exercise program in patients 22 years of age and over by prescription only. It is not expected to be commercially available in the United States until the first quarter of 2022. The PoNS device is authorized for sale in Canada as a class II, non-implantable, medical device intended as a short term treatment (14 weeks) of gait deficit due to mild and moderate symptoms from MS, and chronic balance deficit due to mild-to-moderate traumatic brain injury (“mmTBI”) and is to be used in conjunction with physical therapy (“PoNS Treatment</w:t>
      </w:r>
      <w:r>
        <w:rPr>
          <w:rFonts w:ascii="Arial" w:cs="Arial" w:eastAsia="Arial" w:hAnsi="Arial"/>
          <w:sz w:val="14"/>
          <w:szCs w:val="14"/>
          <w:color w:val="auto"/>
        </w:rPr>
        <w:t>TM</w:t>
      </w:r>
      <w:r>
        <w:rPr>
          <w:rFonts w:ascii="Arial" w:cs="Arial" w:eastAsia="Arial" w:hAnsi="Arial"/>
          <w:sz w:val="17"/>
          <w:szCs w:val="17"/>
          <w:color w:val="auto"/>
        </w:rPr>
        <w:t>”). It has been commercially available in Canada since March 2019. The PoNS device is an investigational medical device in the European Union (“EU”), and Australia (“AUS”). It is under premarket review by the AUS Therapeutic Goods Administration.</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was incorporated in British Columbia, Canada on March 13, 2014. On May 28, 2014, the Company was reincorporated from British Columbia to the State of Wyoming, and on July 20, 2018, it was reincorporated from the State of Wyoming to the State of Delaware. The Company is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December 31, 2020, the Company completed a 1-for-35 reverse stock split of its common stock. </w:t>
      </w:r>
      <w:r>
        <w:rPr>
          <w:rFonts w:ascii="Arial" w:cs="Arial" w:eastAsia="Arial" w:hAnsi="Arial"/>
          <w:sz w:val="18"/>
          <w:szCs w:val="18"/>
          <w:color w:val="000000"/>
        </w:rPr>
        <w:t>All share and per</w:t>
      </w:r>
      <w:r>
        <w:rPr>
          <w:rFonts w:ascii="Arial" w:cs="Arial" w:eastAsia="Arial" w:hAnsi="Arial"/>
          <w:sz w:val="18"/>
          <w:szCs w:val="18"/>
          <w:color w:val="231F20"/>
        </w:rPr>
        <w:t xml:space="preserve"> </w:t>
      </w:r>
      <w:r>
        <w:rPr>
          <w:rFonts w:ascii="Arial" w:cs="Arial" w:eastAsia="Arial" w:hAnsi="Arial"/>
          <w:sz w:val="18"/>
          <w:szCs w:val="18"/>
          <w:color w:val="000000"/>
        </w:rPr>
        <w:t>share amounts in this Quarterly Report have been reflected on a post-split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2021, the Company had cash of $7.4 million. For the six months ended June 30, 2021, the Company had an operating loss of $9.7 million, and as of June 30, 2021, its accumulated deficit was $128.2 million. For the six months ended June 30, 2021, the Company had $0.2 million of revenue from the commercial sale of products or services.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COVID-19, such as travel bans and restrictions, quarantines, shelter in place orders, and business shutdowns. The COVID-19 pandemic initially led to the closure of PoNS Authorized clinic locations across Canada. While all clinics have re-opened, they are all currently operating at reduced capacity, and patients have been and may continue to be less willing to return to these clinics, impacting our commercial activities and our customer engagement efforts. In addition, the resurgence of COVID-19 cases across Canada in the fourth quarter of 2020 and first half of 2021 has led to further restrictions on clinic activities. However, the rate of vaccination has increased throughout all provinces during the end of the second quarter of 2021. Moreover, the Company’s ability to conduct its ongoing clinical experience programs and clinical trials in Canada has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been and may be impaired due to trial participants’ attendance being adversely affected by COVID-19. In addition, the COVID-19 pandemic has and may continue to cause delays in the Company’s suppliers’ ability to ship materials that the Company relies upon, and 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the COVID-19 pandemic impacts the Company’s ability to complete the necessary pre-commercialization activities, the Company’s commercial launch in the U.S. could be impeded or delayed. 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future business, operations or the global economy as a whole.</w:t>
      </w:r>
    </w:p>
    <w:p>
      <w:pPr>
        <w:spacing w:after="0" w:line="275" w:lineRule="exact"/>
        <w:rPr>
          <w:sz w:val="20"/>
          <w:szCs w:val="20"/>
          <w:color w:val="auto"/>
        </w:rPr>
      </w:pPr>
    </w:p>
    <w:p>
      <w:pPr>
        <w:ind w:right="6220" w:firstLine="8"/>
        <w:spacing w:after="0" w:line="378"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2020, included in its Annual Report on Form 10-K that was filed with the Securities and Exchange Commission on March 10, 2021. The information furnished in the consolidated condensed financial statements include all adjustments (consisting of only normal, recurring adjustments), considered necessary to present fairly the results of operations, financial position and cash flows of the Company. The Company’s reporting currency is the U.S. Dollar (“USD$”).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allowance required judgment by Company management. As of June 30, 2021, the Company’s accounts receivable of $51 thousand, is net of an allowance for doubtful accounts of $0.4 million and is the result of revenue from product sales. As of December 31, 2020, the Company’s accounts receivable of $0.1 million, is net of an allowance for doubtful accounts of $0.4 million and is the result of revenue from product sales.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receivables as of June 30, 2021 and December 31, 2020 included refunds from research and development (“R&amp;D”) tax credits of $1 thousand and $1 thousand, respectively, and Goods and Services Tax (“GST”) and Quebec Sales Tax (“QST”) refunds of $0.2 million and $0.1 million, respectively, related to the Company’s Canadian expenditures. As of December 31, 2020, there was also a receivable from rent deposits of $18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No inventory markdowns to net realizable value were recorded during the three and six months ended June 30, 2021, respectively. Inventory markdowns to net realizable value of $0 and $2 thousand were recorded during the three and six months ended June 30, 2020,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inventory consisted of the following (amounts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June 30, 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Inventory reserve</w:t>
            </w: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FF0FC"/>
            </w:tcBorders>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inventory, net of reserve</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for the Company’s furniture and fixtures is 7 years. Equipment has an estimated useful life of 15 years, while computer software and hardware has an estimated useful life of 3 to 5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property and equipment consisted of the following (amounts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200" w:type="dxa"/>
            <w:vAlign w:val="bottom"/>
          </w:tcPr>
          <w:p>
            <w:pPr>
              <w:jc w:val="right"/>
              <w:ind w:right="179"/>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Leasehold improvement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20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Equipment</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 and hardware</w:t>
            </w:r>
          </w:p>
        </w:tc>
        <w:tc>
          <w:tcPr>
            <w:tcW w:w="12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(259)</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was $28 thousand and $29 thousand for the three months ended June 30, 2021 and 2020, respectively. Depreciation expense was $56 thousand and $67 thousand for the six months ended June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June 30, 2021 is the result of the Heuro acquisition completed in October 2019.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The ongoing effects of the COVID-19 pandemic was considered a triggering event for testing whether goodwill is impaired at June 30, 2021. As a result of the Company’s quantitative assessment, the Company determined that the estimated fair value of the reporting unit exceeded the carrying value of the reporting unit. Therefore, the Company concluded that goodwill was not impaired as of any of the aforementioned periods. The Company will continue to monitor the impacts of the COVID-19 pandemic in future periods.</w:t>
      </w:r>
    </w:p>
    <w:p>
      <w:pPr>
        <w:sectPr>
          <w:pgSz w:w="11900" w:h="16838" w:orient="portrait"/>
          <w:cols w:equalWidth="0" w:num="1">
            <w:col w:w="11240"/>
          </w:cols>
          <w:pgMar w:left="320" w:top="557"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activity for the period ended June 30, 2021 for goodwill:</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Carrying amount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Carrying amount at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30"/>
        </w:trPr>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557" w:right="339" w:bottom="1440" w:gutter="0" w:footer="0" w:header="0"/>
          <w:type w:val="continuous"/>
        </w:sectPr>
      </w:pPr>
    </w:p>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$49 thousand and $0.1 million during the three and six months ended June 30, 2021, respectively. Amortization expense related to intangible assets was $0.1 million and $0.2 million during the three and six months ended June 30, 2020. During the six months ended June 30, 2020, the Company incurred an intangible asset impairment loss of $0.2 million related to the customer relationships, all of which was incurred during the first quarter of 2020, which is included in selling, general and administrative expenses in the accompanying condensed consolidated statement of operations and comprehensive loss. During the six months ended June 30, 2021, the Company wrote-off $0.2 million of fully amortized customer relationships, all of which occurred during the first quarter of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2021 and December 31, 2020 consist of the following:</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As of June 30, 2021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rPr>
              <w:t>As of December 31, 2020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Useful</w:t>
            </w:r>
          </w:p>
        </w:tc>
        <w:tc>
          <w:tcPr>
            <w:tcW w:w="140" w:type="dxa"/>
            <w:vAlign w:val="bottom"/>
          </w:tcPr>
          <w:p>
            <w:pPr>
              <w:spacing w:after="0"/>
              <w:rPr>
                <w:sz w:val="11"/>
                <w:szCs w:val="11"/>
                <w:color w:val="auto"/>
              </w:rPr>
            </w:pPr>
          </w:p>
        </w:tc>
        <w:tc>
          <w:tcPr>
            <w:tcW w:w="82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1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1"/>
                <w:szCs w:val="11"/>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 (1)</w:t>
            </w: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1.25</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5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(228)</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Acquired proprietary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software</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5 years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Reacquired rights</w:t>
            </w: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Internally developed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software</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3 years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680" w:firstLine="345"/>
        <w:spacing w:after="0" w:line="508"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six months ended June 30, 2021, the Company wrote off $0.2 million of fully amortized customer relationships. Amortization expense is anticipated to be as follows in future years:</w:t>
      </w:r>
    </w:p>
    <w:tbl>
      <w:tblPr>
        <w:tblLayout w:type="fixed"/>
        <w:tblInd w:w="580" w:type="dxa"/>
        <w:tblCellMar>
          <w:top w:w="0" w:type="dxa"/>
          <w:left w:w="0" w:type="dxa"/>
          <w:bottom w:w="0" w:type="dxa"/>
          <w:right w:w="0" w:type="dxa"/>
        </w:tblCellMar>
      </w:tblPr>
      <w:tr>
        <w:trPr>
          <w:trHeight w:val="211"/>
        </w:trPr>
        <w:tc>
          <w:tcPr>
            <w:tcW w:w="8860" w:type="dxa"/>
            <w:vAlign w:val="bottom"/>
            <w:gridSpan w:val="2"/>
            <w:shd w:val="clear" w:color="auto" w:fill="CFF0FC"/>
          </w:tcPr>
          <w:p>
            <w:pPr>
              <w:spacing w:after="0" w:line="190" w:lineRule="exact"/>
              <w:rPr>
                <w:sz w:val="20"/>
                <w:szCs w:val="20"/>
                <w:color w:val="auto"/>
              </w:rPr>
            </w:pPr>
            <w:r>
              <w:rPr>
                <w:rFonts w:ascii="Arial" w:cs="Arial" w:eastAsia="Arial" w:hAnsi="Arial"/>
                <w:sz w:val="18"/>
                <w:szCs w:val="18"/>
                <w:b w:val="1"/>
                <w:bCs w:val="1"/>
                <w:color w:val="auto"/>
              </w:rPr>
              <w:t>For the Year Ending December 31,</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 (remaining 6 months)</w:t>
            </w:r>
          </w:p>
        </w:tc>
        <w:tc>
          <w:tcPr>
            <w:tcW w:w="6200" w:type="dxa"/>
            <w:vAlign w:val="bottom"/>
            <w:tcBorders>
              <w:top w:val="single" w:sz="8" w:color="CFF0FC"/>
            </w:tcBorders>
          </w:tcPr>
          <w:p>
            <w:pPr>
              <w:spacing w:after="0"/>
              <w:rPr>
                <w:sz w:val="19"/>
                <w:szCs w:val="19"/>
                <w:color w:val="auto"/>
              </w:rPr>
            </w:pPr>
          </w:p>
        </w:tc>
        <w:tc>
          <w:tcPr>
            <w:tcW w:w="480" w:type="dxa"/>
            <w:vAlign w:val="bottom"/>
            <w:tcBorders>
              <w:top w:val="single" w:sz="8" w:color="CFF0FC"/>
            </w:tcBorders>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FF0FC"/>
            </w:tcBorders>
          </w:tcPr>
          <w:p>
            <w:pPr>
              <w:spacing w:after="0"/>
              <w:rPr>
                <w:sz w:val="19"/>
                <w:szCs w:val="19"/>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2023</w:t>
            </w:r>
          </w:p>
        </w:tc>
        <w:tc>
          <w:tcPr>
            <w:tcW w:w="6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29"/>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accounts for its leases under ASU No.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does not record an operating lease right of use (“ROU”) asset and corresponding lease liability for leases with an initial term of twelve months or less and recognizes lease expense for these leases as incurred over the lease term. The Company had only one operating lease, which was for its headquarters office in Newtown, Pennsylvania upon the adoption date. As of June 30, 2021, the Company has not entered into any additional lease arrangements, but did modify the existing lease arrangement in the second quarter of 2020 and again in the first quarter of 2021.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(see Note 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loss as foreign exchange gain (loss).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gain (loss), as a component of comprehensive loss, within the condensed consolidated statements of operations and comprehensive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 Compensation cost is not adjusted for estimated forfeitures, but instead is adjusted upon an actual forfeiture of a stock option.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the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19" w:lineRule="exact"/>
        <w:rPr>
          <w:sz w:val="20"/>
          <w:szCs w:val="20"/>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transaction price, after consideration of variability and constraints, if any, that is allocated to the respective performance obligation when the performance obligation is satisfied.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Product sales are derived from the sale of the PoNS device to clinics.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is accounted for as a fulfillment cost and are included in cost of sales. For the three and six months ended June 30, 2020, the Company recorded $0.1 million and $0.3 million, respectively, in product sales. As of June 30, 2020, the control of 11 of the 55 PoNS devices included as consideration in the Heuro acquisition had been transferred resulting in revenue of $0.1 million being recognized which is included in the aforementioned $0.3 million in product sales for the six months ended June 30, 2020. For the three and six months ended June 30, 2021, the Company recorded $63 thousand and $0.1 million, respectively, in product sales. There were no PoNS devices, included as consideration in the Heuro acquisition, transferred during the six months ended June 30, 2021. As of June 30, 2021, there were 34 devices remaining to be transferred. The fair value of the remaining devices is recorded as deferred revenue of $0.3 million on the condensed consolidated balance sheet. The returns during the three and six months ended June 30, 2021 were the result of warranty returns for defective products. These returns were insignificant and any future replacements are expected to be insignificant.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2020, the Company recognized $0 and $9 thousand, respectively, of fee revenue related to engaging new neuroplasticity clinics to provide the PoNS Treatment. These agreements were terminated in the second quarter of 2020. As a result, during the three and six months ended June 30, 2021, the Company did not recognize any fee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Heuro acquisition, the Company entered into a Clinical Research and Co-Promotion Agreement with HTC (the “Co-Promotion Agreement”). The Co-Promotion Agreement had a fair value of CAD$360 thousand at the time of acquisition and a ten-year term. License revenue is recognized ratably over the ten-year term of the Co-Promotion Agreement as the performance obligation is met. During the three and six months ended June 30, 2021, the Company recognized revenues of $8 thousand and $15 thousand, respectively, in license fees associated with the Co-Promotion Agreement. Revenue not yet recognized of $0.2 million is recorded as deferred revenue on the condensed consolidated balance sheet as of June 30, 2021. During the three and six months ended June 30, 2020, the Company recognized revenues of $7 thousand and $13 thousand, respectively, in license fees associated with the Co-Promotion Agreement.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the Company had no contract assets or liabilities on its condensed consolidated balance sheets related to the supply agreements with each clinic.</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 of product sales includes the cost to manufacture the PoNS device, inventory markdowns to net realizable value, royalty expenses, freight charges, customs duties, wages and salaries of employees involved in the management of the supply chain and logistics of fulfilling the Company’s sales orders.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adopted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that the CARES Act may have on our business. The CARES Act has not had a material impact on our accounting for income taxes.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December 31, 2020, the Company’s derivative financial instruments accounted for in accordance with ASC 815 were comprised of warrants issued in connection with both public and/or private securities offerings. Upon settlement of a derivative financial instrument, the instrument is re-measured at the settlement date and the fair value of the underlying instrument is reclassified to equity.</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last of the warrants accounted for in accordance with ASC 815 expired in April 2021 and as such, as of June 30, 2021, the Company does not hold any derivative financial instruments accounted for in accordance with ASC 815.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and operating lease ROU asset approximate their fair values due to the immediate or short-term nature of these instruments.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December 31, 2020 and the roll forward of the Company’s derivative financial instruments. The Company’s derivative financial instruments were comprised of warrants classified as liabilities. The fair value of the derivative financial instruments as of December 31, 2020 was zero. The warrants classified as liabilities expired in April 2021 and as such, as of June 30, 2021, the Company does not hold any derivative financial instructions accounted for in accordance with ASC 815.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levels for any of the periods presented.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six months ended June 30, 2020 of $0.2 million, all of which was incurred during the first quarter of 2020.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 As of June 30, 2021, the Company’s customer relationship intangible asset had been fully amortized and written off.</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basic and diluted loss per share for the periods noted below is as follows (amounts in thousands except shares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and Diluted</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(5,981)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(3,361)</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(9,343)</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(8,118)</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2,317,389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1,160,661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2,179,878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1,033,692</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 incremental common stock equivalents, consisting of outstanding stock options, warrants and restricted stock units, were included in calculating diluted loss per share because such inclusion would be anti-dilutive due to the Company’s losses for the three and six months ended June 30, 2021 and 2020. Common stock equivalents excluded from the computation of diluted weighted average shares outstanding were 1,233,230 and 388,344 for the three months ended June 30, 2021 and 2020, respectively. Common stock equivalents excluded from the computation of diluted weighted average shares outstanding were 1,233,230 and 388,344 for the six months ended June 30, 2021 and 2020,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meeting the definition of an SEC filer, excluding entities eligible to be a Smaller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2020, FASB issued ASU 2020-06, </w:t>
      </w:r>
      <w:r>
        <w:rPr>
          <w:rFonts w:ascii="Arial" w:cs="Arial" w:eastAsia="Arial" w:hAnsi="Arial"/>
          <w:sz w:val="17"/>
          <w:szCs w:val="17"/>
          <w:i w:val="1"/>
          <w:iCs w:val="1"/>
          <w:color w:val="auto"/>
        </w:rPr>
        <w:t>Debt with Conversion and Other Options (Subtopic 470-20) and 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Own Equity (Subtopic 815-40)</w:t>
      </w:r>
      <w:r>
        <w:rPr>
          <w:rFonts w:ascii="Arial" w:cs="Arial" w:eastAsia="Arial" w:hAnsi="Arial"/>
          <w:sz w:val="17"/>
          <w:szCs w:val="17"/>
          <w:color w:val="auto"/>
        </w:rPr>
        <w:t>, which simplifies accounting for convertible instruments by removing major separation models required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GAAP. The ASU removes certain settlement conditions that are required for equity contracts to qualify for the derivative scope exception and it also simplifies the diluted earnings per share calculation in certain areas. The guidance is effective for interim and annual periods beginning after December 15, 2021. Early adoption is permitted, but no earlier than fiscal years beginning after December 15,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93" w:lineRule="auto"/>
        <w:rPr>
          <w:sz w:val="20"/>
          <w:szCs w:val="20"/>
          <w:color w:val="auto"/>
        </w:rPr>
      </w:pPr>
      <w:r>
        <w:rPr>
          <w:rFonts w:ascii="Arial" w:cs="Arial" w:eastAsia="Arial" w:hAnsi="Arial"/>
          <w:sz w:val="16"/>
          <w:szCs w:val="16"/>
          <w:color w:val="auto"/>
        </w:rPr>
        <w:t>2020, including interim periods within those fiscal years. FASB has specified that an entity should adopt the guidance as of the beginning of its annual fiscal year. The guidance is to be applied using either a full retrospective or modified retrospective method. In applying the full retrospective method, the cumulative effect of the accounting change should be recognized as an adjustment to the opening balance of retained earnings in the first comparative period presented. In applying the modified retrospective method, the cumulative effect of the accounting change should be recognized as an adjustment to the opening balance of retained earnings at the date of adoption. The Company early adopted ASU 2020-06 effective January 1, 2021 under the modified retrospective approach. The adoption of this guidance did not have a material impact on the Company’s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AND WARRANTS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authorized capital stock pursuant to its Delaware charter consists of 150,000,000 authorized shares of Class A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 dividends have been declared since inception of the Company through June 30, 2021.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13, 2018, the Company issued 61,197 shares of its common stock and warrants to purchase 61,197 shares of the Company’s common stock in an underwritten public offering at a price of $261.45 per share and accompanying warrant. On April 24, 2018, the Company closed on the sale of an additional 9,179 shares of its common stock and warrants to purchase 9,179 shares of the Company’s common stock pursuant to the exercise of the underwriters’ over-allotment option (collectively the “April 2018 Offering”). The Company received net proceeds of $16.3 million from the April 2018 Offering. The fair value of these warrants at issuance was approximately $7.4 million.</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Each warrant issued in connection with the April 2018 Offering entitled the holder to acquire one additional share of common stock at an exercise price of CAD$428.75 per share on or before April 10, 2021. Pursuant to the guidance of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determined that warrants issued in connection with the April 2018 Offering should be accounted for as liabilities as the ability to maintain an effective registration was outside of the Company’s control and that it might be required to settle the exercise of the warrants in cash and because the exercise prices of these warrants were in a currency other than the Company’s functional currency. Consequently, the Company determined the fair value of each warrant issuance using the Black-Scholes option pricing model, with the remainder of the proceeds allocated to the common shares. As of June 30, 2021, 2,025 warrants had been exercised, all during 2018, for gross proceeds of CAD$0.9 million. The remaining 68,351 warrants expired in April 2021.</w:t>
      </w:r>
    </w:p>
    <w:p>
      <w:pPr>
        <w:spacing w:after="0" w:line="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summarizes the weighted average assumptions used in estimating the fair value of the warrants issued in the April 2018 Offering using the Black-Scholes option pricing model as of the date of the initial closing of the offering and the date of the closing of the over-allotment option.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April 24, 2018</w:t>
            </w: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April 13, 2018</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CAD$ 376.60</w:t>
            </w:r>
          </w:p>
        </w:tc>
        <w:tc>
          <w:tcPr>
            <w:tcW w:w="3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CAD$ 344.75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Exercise price</w:t>
            </w:r>
          </w:p>
        </w:tc>
        <w:tc>
          <w:tcPr>
            <w:tcW w:w="1920" w:type="dxa"/>
            <w:vAlign w:val="bottom"/>
            <w:gridSpan w:val="2"/>
          </w:tcPr>
          <w:p>
            <w:pPr>
              <w:jc w:val="right"/>
              <w:ind w:right="380"/>
              <w:spacing w:after="0"/>
              <w:rPr>
                <w:sz w:val="20"/>
                <w:szCs w:val="20"/>
                <w:color w:val="auto"/>
              </w:rPr>
            </w:pPr>
            <w:r>
              <w:rPr>
                <w:rFonts w:ascii="Arial" w:cs="Arial" w:eastAsia="Arial" w:hAnsi="Arial"/>
                <w:sz w:val="18"/>
                <w:szCs w:val="18"/>
                <w:color w:val="auto"/>
              </w:rPr>
              <w:t>CAD$ 428.75</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CAD$ 428.75</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9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3.00 years</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 years</w:t>
            </w: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Expected volatility</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64.49%</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64.20%</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2.02%</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Dividend rate</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27, 2020, the Company filed a Form S-3 shelf registration under the Securities Act which was declared effective by the SEC on February 6, 2020 (the “2020 Shelf”). In conjunction with the 2020 Shelf, on January 27, 2020, the Company entered into an At The Market Offering Agreement (the “2020 ATM”) with H.C. Wainwright &amp; Co., LLC (“Wainwright”) under which the Company may offer and sell, from time to time at its sole discretion, to or through Wainwright, acting as agent and/or principal, shares of its common stock having an aggregate offering price of up to $11.34 million, which, in March 2020, was subsequently reduced to $9.15 million, including the shares previously sold under the 2020 ATM. For the six months ended June 30, 2020, under the 2020 ATM, the Company sold and issued 232,526 shares of its common stock with an aggregated market value of $5.0 million at an average price of $21.68 per share and paid Wainwright a sales commission of approximately $181 thousand related to those shares. The Company terminated the 2020 ATM effective November 25, 2020.</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20, 2020, the Company, in a registered direct offering, issued an aggregate of 178,776 shares of its common stock at a price of $12.25 per share. Additionally, the Company issued unregistered warrants in a concurrent private placement to purchase up to 178,776 shares of its common stock at an exercise price of $16.10 per share. Gross proceeds from the offering (the “March 2020 Offering”) were approximately $2.2 million. The underwriting discounts and commissions and offering expenses of $0.3 million were recorded to share issuance costs.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Each warrant issued in connection with the March 2020 Offering entitles the holder to acquire one additional share of common stock at an exercise price of $16.10 per share, which became exercisable on September 20, 2020 and will expire on March 20, 2025. Pursuant to the guidance of ASC 480 </w:t>
      </w: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and ASC 815</w:t>
      </w:r>
      <w:r>
        <w:rPr>
          <w:rFonts w:ascii="Arial" w:cs="Arial" w:eastAsia="Arial" w:hAnsi="Arial"/>
          <w:sz w:val="17"/>
          <w:szCs w:val="17"/>
          <w:i w:val="1"/>
          <w:iCs w:val="1"/>
          <w:color w:val="auto"/>
        </w:rPr>
        <w:t xml:space="preserve"> Derivatives and Hedging</w:t>
      </w:r>
      <w:r>
        <w:rPr>
          <w:rFonts w:ascii="Arial" w:cs="Arial" w:eastAsia="Arial" w:hAnsi="Arial"/>
          <w:sz w:val="17"/>
          <w:szCs w:val="17"/>
          <w:color w:val="auto"/>
        </w:rPr>
        <w:t>, the Company has determined that warrants issued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connection with the March 2020 Offering should be classified as equity as partial cash settlement under certain circumstances and provisions related to market volatility did not preclude equity classification. The relative fair value of these warrants at issuance was approximately $0.8 million and was included in additional paid-in capital. As of June 30, 2021, 81,633 warrants had been exercised, all during the first quarter of 2021, for gross proceeds of $1.3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20, 2020</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Exercise price</w:t>
            </w:r>
          </w:p>
        </w:tc>
        <w:tc>
          <w:tcPr>
            <w:tcW w:w="3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5.50 years</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82.41%</w:t>
            </w: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0.52%</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26, 2020, the Company issued units consisting of one share and a warrant to purchase 0.50 shares of common stock, with an aggregate issuance of 187,646 shares of common stock and warrants to purchase an aggregate of 93,817 shares of common stock at a purchase price of $18.20 per unit, resulting in gross proceeds of approximately $3.4 million, excluding the proceeds, if any, that the Company may receive in the future from the exercise of the warrants (the “October 2020 Offering”). The Company incurred $0.3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October 2020 Offering on the same terms and conditions as all other purchasers, except that they paid $18.354 per unit and their warrants have an exercise price of $16.1665 per share.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securities purchase agreement for the October 2020 Offering, if the Company issues any shares of common stock or common stock equivalents for cash consideration, indebtedness or a combination thereof, with certain exceptions, within twelve months of the closing of the October 2020 Offering, each purchaser who subscribed for at least $250,000 has the right to participate in up to such purchaser’s pro rata portion of 30% of the such subsequent financing on the same terms, conditions and price provided for in the subsequent financing.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guidance of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October 2020 Offering should be classified as equity as partial cash settlement under certain circumstances did not preclude equity classification. The relative fair value of these warrants at issuance was approximately $0.6 million and was included in additional paid-in capital.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October 2020 Offering using the Black-Scholes option pricing model as of the date of the closing of the offering on October 26, 2020.</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October 26, 2020</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Exercise price</w:t>
            </w:r>
          </w:p>
        </w:tc>
        <w:tc>
          <w:tcPr>
            <w:tcW w:w="3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80.91%</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 2021, in an underwritten public offering (the “February 2021 Offering”), the Company issued 744,936 shares of common stock and warrants to purchase up to an aggregate of 372,468 shares of common stock at a purchase price of $14.82 per unit, consisting of one share and a warrant to purchase 0.50 shares of common stock. The warrants have an initial exercise price of $16.302 per share and are exercisable for a period of five years from the date of issuance. The Company also issued warrants to the underwriter to purchase 29,797 shares of common stock, with an exercise price of $18.525 per share. Net proceeds from the February 2021 Offering after underwriter’s discounts and commission and offering expenses paid by us were approximately $9.6 million. Affiliates of an officer and director participated in the February 2021 Offering on the same terms and conditions as all other purchasers.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Pursuant to the guidance of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February 2021 Offering should be classified as equity as partial cash settlement under certain circumstances and provisions related to market volatility did not preclude equity classification. The relative fair value of these warrants at issuance was approximately $2.6 million and was included in additional paid-in capital. As of June 30, 2021, 262 warrants had been exercised, all during the second quarter of 2021, for gross proceeds of $4 thousand.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February 2021 Offering using the Black-Scholes option pricing model as of the date of the closing of the offering on February 1, 2021.</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February 1, 2021</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Exercise price</w:t>
            </w:r>
          </w:p>
        </w:tc>
        <w:tc>
          <w:tcPr>
            <w:tcW w:w="3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5.00 years</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75.02%</w:t>
            </w: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0.42%</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warrants accounted for as liabilities and recorded as derivative financial instruments on the Company’s condensed consolidated balance sheets for the six months ended June 30, 2021 and 2020 (amounts in thousands):</w:t>
      </w:r>
    </w:p>
    <w:p>
      <w:pPr>
        <w:spacing w:after="0" w:line="39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1040" w:type="dxa"/>
            <w:vAlign w:val="bottom"/>
            <w:gridSpan w:val="2"/>
          </w:tcPr>
          <w:p>
            <w:pPr>
              <w:jc w:val="right"/>
              <w:ind w:right="6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beginning of period</w:t>
            </w:r>
          </w:p>
        </w:tc>
        <w:tc>
          <w:tcPr>
            <w:tcW w:w="8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Exercise of warrants</w:t>
            </w: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Change in fair value of warrants during the period</w:t>
            </w: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end of period</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their expiration in April 2021, these warrants were classified as derivative financial instruments in the Company’s condensed consolidated balance sheet as of December 31, 2020 and were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loss. The fair value of the warrants continued to be classified as a liability until they were exercised or expired. No warrants were included in the table for 2021 as all warrants classified as liabilities were underwater prior to expiring in April 2021. As of June 30, 2021, there are no warrants outstanding classified as derivative financial instruments.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all warrants classified as derivative financial instruments outstanding as of December 31, 2020 were estimated using the Black-Scholes option pricing model with the following weighted average assumptions: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December 31, 2020</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CAD$ 17.15</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Exercise price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CAD$ 428.75</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0.27 years</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64.48%</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0.06%</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Dividend rate</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8140" w:type="dxa"/>
            <w:vAlign w:val="bottom"/>
            <w:gridSpan w:val="7"/>
          </w:tcPr>
          <w:p>
            <w:pPr>
              <w:jc w:val="right"/>
              <w:ind w:right="420"/>
              <w:spacing w:after="0"/>
              <w:rPr>
                <w:sz w:val="20"/>
                <w:szCs w:val="20"/>
                <w:color w:val="auto"/>
              </w:rPr>
            </w:pPr>
            <w:r>
              <w:rPr>
                <w:rFonts w:ascii="Arial" w:cs="Arial" w:eastAsia="Arial" w:hAnsi="Arial"/>
                <w:sz w:val="18"/>
                <w:szCs w:val="18"/>
                <w:color w:val="auto"/>
                <w:w w:val="91"/>
              </w:rPr>
              <w:t>The following is a summary of the Company’s warrant activity during the six months ended June 30, 2021: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3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Number of Warrants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ind w:left="4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Exercise Price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CAD</w:t>
            </w:r>
          </w:p>
        </w:tc>
        <w:tc>
          <w:tcPr>
            <w:tcW w:w="100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CAD$</w:t>
            </w: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68,351</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273,554</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428.75</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402,265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(68,351)</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428.75</w:t>
            </w:r>
          </w:p>
        </w:tc>
        <w:tc>
          <w:tcPr>
            <w:tcW w:w="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(81,895)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Outstanding as of June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593,924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bottom w:val="single" w:sz="8" w:color="CFF0FC"/>
              <w:right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warrants outstanding and exercisable as of June 30, 2021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jc w:val="right"/>
              <w:ind w:right="632"/>
              <w:spacing w:after="0"/>
              <w:rPr>
                <w:sz w:val="20"/>
                <w:szCs w:val="20"/>
                <w:color w:val="auto"/>
              </w:rPr>
            </w:pPr>
            <w:r>
              <w:rPr>
                <w:rFonts w:ascii="Arial" w:cs="Arial" w:eastAsia="Arial" w:hAnsi="Arial"/>
                <w:sz w:val="14"/>
                <w:szCs w:val="14"/>
                <w:b w:val="1"/>
                <w:bCs w:val="1"/>
                <w:color w:val="auto"/>
              </w:rPr>
              <w:t>Number of Warrants Outstanding</w:t>
            </w:r>
          </w:p>
        </w:tc>
        <w:tc>
          <w:tcPr>
            <w:tcW w:w="320" w:type="dxa"/>
            <w:vAlign w:val="bottom"/>
          </w:tcPr>
          <w:p>
            <w:pPr>
              <w:spacing w:after="0"/>
              <w:rPr>
                <w:sz w:val="14"/>
                <w:szCs w:val="1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223"/>
        </w:trPr>
        <w:tc>
          <w:tcPr>
            <w:tcW w:w="3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97,143</w:t>
            </w:r>
          </w:p>
        </w:tc>
        <w:tc>
          <w:tcPr>
            <w:tcW w:w="32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USD$16.10</w:t>
            </w:r>
          </w:p>
        </w:tc>
        <w:tc>
          <w:tcPr>
            <w:tcW w:w="20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March 20, 2025</w:t>
            </w:r>
          </w:p>
        </w:tc>
        <w:tc>
          <w:tcPr>
            <w:tcW w:w="0" w:type="dxa"/>
            <w:vAlign w:val="bottom"/>
          </w:tcPr>
          <w:p>
            <w:pPr>
              <w:spacing w:after="0"/>
              <w:rPr>
                <w:sz w:val="1"/>
                <w:szCs w:val="1"/>
                <w:color w:val="auto"/>
              </w:rPr>
            </w:pPr>
          </w:p>
        </w:tc>
      </w:tr>
      <w:tr>
        <w:trPr>
          <w:trHeight w:val="230"/>
        </w:trPr>
        <w:tc>
          <w:tcPr>
            <w:tcW w:w="3520" w:type="dxa"/>
            <w:vAlign w:val="bottom"/>
          </w:tcPr>
          <w:p>
            <w:pPr>
              <w:jc w:val="right"/>
              <w:spacing w:after="0"/>
              <w:rPr>
                <w:sz w:val="20"/>
                <w:szCs w:val="20"/>
                <w:color w:val="auto"/>
              </w:rPr>
            </w:pPr>
            <w:r>
              <w:rPr>
                <w:rFonts w:ascii="Arial" w:cs="Arial" w:eastAsia="Arial" w:hAnsi="Arial"/>
                <w:sz w:val="18"/>
                <w:szCs w:val="18"/>
                <w:color w:val="auto"/>
              </w:rPr>
              <w:t>17,431</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USD$16.1665</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October 26, 2023</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76,386</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0"/>
              </w:rPr>
              <w:t>USD$15.82</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October 26, 2023</w:t>
            </w:r>
          </w:p>
        </w:tc>
        <w:tc>
          <w:tcPr>
            <w:tcW w:w="0" w:type="dxa"/>
            <w:vAlign w:val="bottom"/>
          </w:tcPr>
          <w:p>
            <w:pPr>
              <w:spacing w:after="0"/>
              <w:rPr>
                <w:sz w:val="1"/>
                <w:szCs w:val="1"/>
                <w:color w:val="auto"/>
              </w:rPr>
            </w:pPr>
          </w:p>
        </w:tc>
      </w:tr>
      <w:tr>
        <w:trPr>
          <w:trHeight w:val="230"/>
        </w:trPr>
        <w:tc>
          <w:tcPr>
            <w:tcW w:w="3520" w:type="dxa"/>
            <w:vAlign w:val="bottom"/>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USD$19.775</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October 26, 2023</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372,206</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3"/>
              </w:rPr>
              <w:t>USD$16.302</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February 1, 2026</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29,797</w:t>
            </w:r>
          </w:p>
        </w:tc>
        <w:tc>
          <w:tcPr>
            <w:tcW w:w="320" w:type="dxa"/>
            <w:vAlign w:val="bottom"/>
            <w:tcBorders>
              <w:bottom w:val="single" w:sz="8" w:color="CFF0FC"/>
            </w:tcBorders>
          </w:tcPr>
          <w:p>
            <w:pPr>
              <w:spacing w:after="0"/>
              <w:rPr>
                <w:sz w:val="19"/>
                <w:szCs w:val="19"/>
                <w:color w:val="auto"/>
              </w:rPr>
            </w:pPr>
          </w:p>
        </w:tc>
        <w:tc>
          <w:tcPr>
            <w:tcW w:w="3800" w:type="dxa"/>
            <w:vAlign w:val="bottom"/>
            <w:tcBorders>
              <w:bottom w:val="single" w:sz="8" w:color="CFF0FC"/>
            </w:tcBorders>
            <w:gridSpan w:val="2"/>
          </w:tcPr>
          <w:p>
            <w:pPr>
              <w:jc w:val="center"/>
              <w:ind w:right="200"/>
              <w:spacing w:after="0"/>
              <w:rPr>
                <w:sz w:val="20"/>
                <w:szCs w:val="20"/>
                <w:color w:val="auto"/>
              </w:rPr>
            </w:pPr>
            <w:r>
              <w:rPr>
                <w:rFonts w:ascii="Arial" w:cs="Arial" w:eastAsia="Arial" w:hAnsi="Arial"/>
                <w:sz w:val="18"/>
                <w:szCs w:val="18"/>
                <w:color w:val="auto"/>
                <w:w w:val="93"/>
              </w:rPr>
              <w:t>USD$18.525</w:t>
            </w:r>
          </w:p>
        </w:tc>
        <w:tc>
          <w:tcPr>
            <w:tcW w:w="36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February 1, 2026</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593,924</w:t>
            </w:r>
          </w:p>
        </w:tc>
        <w:tc>
          <w:tcPr>
            <w:tcW w:w="32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920" w:type="dxa"/>
            <w:vAlign w:val="bottom"/>
            <w:gridSpan w:val="2"/>
            <w:vMerge w:val="restart"/>
          </w:tcPr>
          <w:p>
            <w:pPr>
              <w:jc w:val="center"/>
              <w:ind w:left="210"/>
              <w:spacing w:after="0"/>
              <w:rPr>
                <w:sz w:val="20"/>
                <w:szCs w:val="20"/>
                <w:color w:val="auto"/>
              </w:rPr>
            </w:pPr>
            <w:r>
              <w:rPr>
                <w:rFonts w:ascii="Arial" w:cs="Arial" w:eastAsia="Arial" w:hAnsi="Arial"/>
                <w:sz w:val="18"/>
                <w:szCs w:val="18"/>
                <w:color w:val="auto"/>
                <w:w w:val="89"/>
              </w:rPr>
              <w:t>18</w:t>
            </w: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20" w:type="dxa"/>
            <w:vAlign w:val="bottom"/>
          </w:tcPr>
          <w:p>
            <w:pPr>
              <w:spacing w:after="0"/>
              <w:rPr>
                <w:sz w:val="24"/>
                <w:szCs w:val="24"/>
                <w:color w:val="auto"/>
              </w:rPr>
            </w:pPr>
          </w:p>
        </w:tc>
        <w:tc>
          <w:tcPr>
            <w:tcW w:w="3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122" w:gutter="0" w:footer="0" w:header="0"/>
        </w:sectPr>
      </w:pPr>
    </w:p>
    <w:bookmarkStart w:id="18" w:name="page19"/>
    <w:bookmarkEnd w:id="18"/>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STOCK-BASED PAYMENTS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15, 2018, the Company’s Board of Directors authorized and approved the adoption of the 2018 Omnibus Incentive Plan, (as amended, the “2018 Plan”), which was effective upon approval by the stockholders of the Company on June 28, 2018 and under which an aggregate of 153,031 shares could be issued. This share reserve was the sum of 85,714 new shares, plus the 67,317 shares that remained available for issuance at the time of approval under the Company’s 2016 Omnibus Incentive Plan (the “2016 Plan”), the predecessor incentive plan at the time of the adoption of the 2018 Plan. On April 20, 2021, the Company’s Board of Directors authorized and approved an amendment, which was effective upon approval by the stockholders of the Company on May 25, 2021, authorizing an additional 565,000 shares to be issued under the 2018 Plan. Pursuant to the terms of the 2018 Plan, the Company is authorized to grant stock options, as well as awards of stock appreciation rights, restricted stock, unrestricted shares, restricted stock units (“RSUs”),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there was an aggregate of 127,328 shares of common stock remaining available for grant under the Company’s 2018 Plan.</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the Company issued 532,068 stock options to employees and directors of which 5,500 were forfeited. The Company issued no stock options to consultants during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six months ended June 30,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Stock Options</w:t>
            </w: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113,558</w:t>
            </w: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b w:val="1"/>
                <w:bCs w:val="1"/>
                <w:color w:val="auto"/>
              </w:rPr>
              <w:t>7.75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159.33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532,068</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Forfeited/Cancelled</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(14,396)</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June 30,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631,016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b w:val="1"/>
                <w:bCs w:val="1"/>
                <w:color w:val="auto"/>
              </w:rPr>
              <w:t>9.47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June 30, 2021</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252,920</w:t>
            </w: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8.97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b w:val="1"/>
          <w:bCs w:val="1"/>
          <w:i w:val="1"/>
          <w:iCs w:val="1"/>
          <w:color w:val="auto"/>
        </w:rPr>
        <w:t>Employee and Director Stock Options</w:t>
      </w:r>
      <w:r>
        <w:rPr>
          <w:sz w:val="20"/>
          <w:szCs w:val="20"/>
          <w:color w:val="auto"/>
        </w:rPr>
        <w:tab/>
      </w:r>
      <w:r>
        <w:rPr>
          <w:rFonts w:ascii="Arial" w:cs="Arial" w:eastAsia="Arial" w:hAnsi="Arial"/>
          <w:sz w:val="16"/>
          <w:szCs w:val="16"/>
          <w:color w:val="auto"/>
        </w:rPr>
        <w:t>As of June 30, 2021, the unrecognized</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compensation cost related to non-vested time-based stock options outstanding for employees and directors, was $3.9 million which will be recognized over a weighted-average remaining vesting period of approximately 3.5 years. As of June 30, 2021, the unrecognized compensation cost related to performance-based stock options for employees was $1.2 million. Recognition of compensation expense for performance-based stock options will commence at the time it is determined to be probable that the performance conditions will be met. Compensation cost is not adjusted for estimated forfeitures, but instead is adjusted upon an actual forfeiture of a stock option.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grant date fair value of employee and director stock options granted for the six months ended June 30, 2021 was $11.27 per option and the grant date fair values of these stock options were estimated using the Black-Scholes option pricing model using the following weighted average assumptions:</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71"/>
        </w:trPr>
        <w:tc>
          <w:tcPr>
            <w:tcW w:w="5140" w:type="dxa"/>
            <w:vAlign w:val="bottom"/>
            <w:tcBorders>
              <w:bottom w:val="single" w:sz="8" w:color="CFF0FC"/>
            </w:tcBorders>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36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Exercise price</w:t>
            </w:r>
          </w:p>
        </w:tc>
        <w:tc>
          <w:tcPr>
            <w:tcW w:w="40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3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7.17 years</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Expected volatility</w:t>
            </w:r>
          </w:p>
        </w:tc>
        <w:tc>
          <w:tcPr>
            <w:tcW w:w="3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85.99%</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Dividend rate</w:t>
            </w:r>
          </w:p>
        </w:tc>
        <w:tc>
          <w:tcPr>
            <w:tcW w:w="3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unrecognized compensation cost related to non-vested stock options outstanding for non-employees was $13 thousand which will be recognized over a weighted-average remaining vesting period of approximately 0.3 years. Compensation cost is not adjusted for estimated forfeitures, but instead is adjusted upon an actual forfeiture of a stock option.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fourth quarter of 2019, certain members of the Company’s executive management team elected to receive RSUs in lieu of cash compensation under the 2018 Plan that vest upon issuance. The fair value of the RSUs was based on the closing price of the Company’s common stock on the day of the grant. Subsequent to the March 31, 2021 pay period, no members of the Company’s executive management team continued to elect to receive RSUs in lieu of cash compensation.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2021, the Company granted 2,668 RSUs to an officer of the Company under the 2018 Plan that were scheduled to vest on October 2, 2021. The fair value of the RSUs is based on the closing price of the Company’s common stock on the day of the grant.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2021, the Company granted 5,622 RSUs to the Company’s Board of Directors pursuant to the Non-Employee Director Compensation Policy which will vest in twelve monthly installments on the last day of each month. The fair value of the RSUs is based on the closing price of the Company’s common stock on the day of the grant.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RSU award activity for the six months ended June 30, 2021:</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7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 RSUs</w:t>
            </w: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9,150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Settled</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(1,028)</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Outstanding as of June 30, 2021</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April 1, 2021, the Company granted 5,337 shares of unrestricted Class A Common Stock to an officer of the Company under the 2018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Stock-based compensation expense is classified in the Company’s condensed consolidated statements of operations and comprehensive loss as follows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8"/>
            <w:vMerge w:val="restart"/>
          </w:tcPr>
          <w:p>
            <w:pPr>
              <w:jc w:val="right"/>
              <w:ind w:right="240"/>
              <w:spacing w:after="0"/>
              <w:rPr>
                <w:sz w:val="20"/>
                <w:szCs w:val="20"/>
                <w:color w:val="auto"/>
              </w:rPr>
            </w:pPr>
            <w:r>
              <w:rPr>
                <w:rFonts w:ascii="Arial" w:cs="Arial" w:eastAsia="Arial" w:hAnsi="Arial"/>
                <w:sz w:val="14"/>
                <w:szCs w:val="14"/>
                <w:b w:val="1"/>
                <w:bCs w:val="1"/>
                <w:color w:val="auto"/>
                <w:w w:val="92"/>
              </w:rPr>
              <w:t>Six Months Ended June 30,</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8"/>
            <w:vMerge w:val="continue"/>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right"/>
              <w:ind w:right="30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Borders>
              <w:bottom w:val="single" w:sz="8" w:color="CFF0FC"/>
            </w:tcBorders>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2,629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729</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3,156</w:t>
            </w: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1,571</w:t>
            </w:r>
          </w:p>
        </w:tc>
        <w:tc>
          <w:tcPr>
            <w:tcW w:w="80" w:type="dxa"/>
            <w:vAlign w:val="bottom"/>
            <w:tcBorders>
              <w:bottom w:val="single" w:sz="8" w:color="CFF0FC"/>
            </w:tcBorders>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ACCRUED EXPENSES</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760" w:type="dxa"/>
            <w:vAlign w:val="bottom"/>
            <w:gridSpan w:val="2"/>
          </w:tcPr>
          <w:p>
            <w:pPr>
              <w:ind w:left="480"/>
              <w:spacing w:after="0"/>
              <w:rPr>
                <w:sz w:val="20"/>
                <w:szCs w:val="20"/>
                <w:color w:val="auto"/>
              </w:rPr>
            </w:pPr>
            <w:r>
              <w:rPr>
                <w:rFonts w:ascii="Arial" w:cs="Arial" w:eastAsia="Arial" w:hAnsi="Arial"/>
                <w:sz w:val="18"/>
                <w:szCs w:val="18"/>
                <w:color w:val="auto"/>
                <w:w w:val="95"/>
              </w:rPr>
              <w:t>Accrued expenses consisted of the following (amounts in thousands):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Employees benefits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w w:val="94"/>
              </w:rPr>
              <w:t>June 30, 2021</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130"/>
              <w:spacing w:after="0" w:line="155" w:lineRule="exact"/>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457</w:t>
            </w:r>
          </w:p>
        </w:tc>
        <w:tc>
          <w:tcPr>
            <w:tcW w:w="320" w:type="dxa"/>
            <w:vAlign w:val="bottom"/>
            <w:gridSpan w:val="2"/>
          </w:tcPr>
          <w:p>
            <w:pPr>
              <w:spacing w:after="0"/>
              <w:rPr>
                <w:sz w:val="19"/>
                <w:szCs w:val="19"/>
                <w:color w:val="auto"/>
              </w:rPr>
            </w:pPr>
          </w:p>
        </w:tc>
        <w:tc>
          <w:tcPr>
            <w:tcW w:w="460" w:type="dxa"/>
            <w:vAlign w:val="bottom"/>
          </w:tcPr>
          <w:p>
            <w:pPr>
              <w:jc w:val="right"/>
              <w:ind w:right="342"/>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107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Legal fees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144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Royalty fees</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139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873</w:t>
            </w:r>
          </w:p>
        </w:tc>
        <w:tc>
          <w:tcPr>
            <w:tcW w:w="320" w:type="dxa"/>
            <w:vAlign w:val="bottom"/>
            <w:gridSpan w:val="2"/>
          </w:tcPr>
          <w:p>
            <w:pPr>
              <w:spacing w:after="0"/>
              <w:rPr>
                <w:sz w:val="19"/>
                <w:szCs w:val="19"/>
                <w:color w:val="auto"/>
              </w:rPr>
            </w:pPr>
          </w:p>
        </w:tc>
        <w:tc>
          <w:tcPr>
            <w:tcW w:w="460" w:type="dxa"/>
            <w:vAlign w:val="bottom"/>
          </w:tcPr>
          <w:p>
            <w:pPr>
              <w:jc w:val="right"/>
              <w:ind w:right="342"/>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21" w:lineRule="exact"/>
        <w:rPr>
          <w:sz w:val="20"/>
          <w:szCs w:val="20"/>
          <w:color w:val="auto"/>
        </w:rPr>
      </w:pPr>
    </w:p>
    <w:p>
      <w:pPr>
        <w:jc w:val="both"/>
        <w:ind w:left="480" w:hanging="472"/>
        <w:spacing w:after="0" w:line="279"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January 22, 2013, the Company entered into a license agreement with Advanced NeuroRehabilitation, LLC (“ANR”) for an exclusive right to ANR’s patent pending technology, claims and knowhow. In addition to the issuance of 91,628 shares of common stock to ANR, the Company agreed to pay a 4% royalty on net revenue on the sales of devices covered by the patent-pending technology and services related to the therapy or use of devices covered by the patent-pending technology. For the three and six months ended June 30, 2021,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jc w:val="both"/>
        <w:ind w:left="480"/>
        <w:spacing w:after="0" w:line="286" w:lineRule="auto"/>
        <w:rPr>
          <w:sz w:val="20"/>
          <w:szCs w:val="20"/>
          <w:color w:val="auto"/>
        </w:rPr>
      </w:pPr>
      <w:r>
        <w:rPr>
          <w:rFonts w:ascii="Arial" w:cs="Arial" w:eastAsia="Arial" w:hAnsi="Arial"/>
          <w:sz w:val="17"/>
          <w:szCs w:val="17"/>
          <w:color w:val="auto"/>
        </w:rPr>
        <w:t>recorded approximately $3 thousand and $6 thousand, respectively, in royalty expenses in its condensed consolidated statement of operations and comprehensive loss. For the three and six months ended June 30, 2020, the Company recorded approximately $5 thousand and $10 thousand, respectively, in royalty expenses in its condensed consolidated statement of operations and comprehensive loss.</w:t>
      </w:r>
    </w:p>
    <w:p>
      <w:pPr>
        <w:spacing w:after="0" w:line="57" w:lineRule="exact"/>
        <w:rPr>
          <w:sz w:val="20"/>
          <w:szCs w:val="20"/>
          <w:color w:val="auto"/>
        </w:rPr>
      </w:pPr>
    </w:p>
    <w:p>
      <w:pPr>
        <w:jc w:val="both"/>
        <w:ind w:left="480" w:hanging="472"/>
        <w:spacing w:after="0" w:line="287"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March 2017, the Company entered into a lease for office space in Newtown, Pennsylvania. The initial term of the lease was from July 1, 2017 through December 31, 2022, with an option to extend until 2027. In July 2017, the Company amended the contract to commence the lease on July 17, 2017 through January 16, 2023, with an option to extend until January 2028. Lease extension options were not included in the lease term as it</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was not reasonably certain that the Company would elect to utilize the option to extend. Monthly rent plus utilities were approximately $20 thousand</w:t>
      </w:r>
    </w:p>
    <w:p>
      <w:pPr>
        <w:spacing w:after="0" w:line="32" w:lineRule="exact"/>
        <w:rPr>
          <w:sz w:val="20"/>
          <w:szCs w:val="20"/>
          <w:color w:val="auto"/>
        </w:rPr>
      </w:pPr>
    </w:p>
    <w:p>
      <w:pPr>
        <w:jc w:val="both"/>
        <w:ind w:left="480"/>
        <w:spacing w:after="0" w:line="281" w:lineRule="auto"/>
        <w:rPr>
          <w:sz w:val="20"/>
          <w:szCs w:val="20"/>
          <w:color w:val="auto"/>
        </w:rPr>
      </w:pPr>
      <w:r>
        <w:rPr>
          <w:rFonts w:ascii="Arial" w:cs="Arial" w:eastAsia="Arial" w:hAnsi="Arial"/>
          <w:sz w:val="16"/>
          <w:szCs w:val="16"/>
          <w:color w:val="auto"/>
        </w:rPr>
        <w:t>per month beginning in January 2018 with a 3% annual increase. In May 2020, the Company terminated its lease and entered into a new lease (the “Lease Amendment”) for a smaller footprint of the current office space in Newtown, Pennsylvania. Lease payments under the original contract will be made through December 2020. The Lease Amendment was determined to be a partial termination that qualified as a change of accounting of the existing lease and not a separate contract. As such, the ROU assets and operating lease liabilities were remeasured using an incremental borrowing rate at the date of modification. The carrying value of the ROU asset decreased on a basis proportionate to the partial termination by approximately $0.4 million and the related lease liability decreased by approximately $0.4 million. The Company recorded a gain of approximately $0.1 million resulting from the difference between the reduction in the lease liability and the proportionate reduction of the ROU asset. This amount was recorded as a component of other income in the condensed consolidated statement of operations and comprehensive loss during the second</w:t>
      </w:r>
    </w:p>
    <w:p>
      <w:pPr>
        <w:spacing w:after="0" w:line="5" w:lineRule="exact"/>
        <w:rPr>
          <w:sz w:val="20"/>
          <w:szCs w:val="20"/>
          <w:color w:val="auto"/>
        </w:rPr>
      </w:pPr>
    </w:p>
    <w:p>
      <w:pPr>
        <w:jc w:val="both"/>
        <w:ind w:left="480"/>
        <w:spacing w:after="0" w:line="252" w:lineRule="auto"/>
        <w:rPr>
          <w:sz w:val="20"/>
          <w:szCs w:val="20"/>
          <w:color w:val="auto"/>
        </w:rPr>
      </w:pPr>
      <w:r>
        <w:rPr>
          <w:rFonts w:ascii="Arial" w:cs="Arial" w:eastAsia="Arial" w:hAnsi="Arial"/>
          <w:sz w:val="18"/>
          <w:szCs w:val="18"/>
          <w:color w:val="auto"/>
        </w:rPr>
        <w:t>quarter of 2020. The initial lease term of the Lease Amendment was from July 1, 2020 through June 30, 2021, with options to extend for successive six month periods. Two lease extension options were included in the lease term as it was reasonably certain that the Company would elect to utilize the option to extend for this period of time. Monthly rent plus utilities is approximately $5 thousand per month beginning in January 2021 with a 3% annual increase. In January 2021, the lease term of the Lease Amendment was amended to go through September 30, 2021, with options to extend monthly thereafter. No other amendments were made. The Company’s assessment of the lease term it would elect to utilize has not changed.</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June 30, 2021 (amounts in thousands).</w:t>
      </w:r>
    </w:p>
    <w:p>
      <w:pPr>
        <w:spacing w:after="0" w:line="167"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For the Six Months Ended June 30,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w w:val="92"/>
              </w:rPr>
              <w:t>Future minimum lease payments under non-cancellable lease as of June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5"/>
          </w:tcPr>
          <w:p>
            <w:pPr>
              <w:spacing w:after="0"/>
              <w:rPr>
                <w:sz w:val="20"/>
                <w:szCs w:val="20"/>
                <w:color w:val="auto"/>
              </w:rPr>
            </w:pPr>
            <w:r>
              <w:rPr>
                <w:rFonts w:ascii="Arial" w:cs="Arial" w:eastAsia="Arial" w:hAnsi="Arial"/>
                <w:sz w:val="18"/>
                <w:szCs w:val="18"/>
                <w:color w:val="auto"/>
              </w:rPr>
              <w:t>30, 2021 were as follows: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For the Period Ending December 31,</w:t>
            </w:r>
          </w:p>
        </w:tc>
        <w:tc>
          <w:tcPr>
            <w:tcW w:w="2580" w:type="dxa"/>
            <w:vAlign w:val="bottom"/>
            <w:tcBorders>
              <w:bottom w:val="single" w:sz="8" w:color="CFF0FC"/>
            </w:tcBorders>
            <w:gridSpan w:val="2"/>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2021 (remaining six months)</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 liability</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Borders>
              <w:top w:val="single" w:sz="8" w:color="CFF0FC"/>
            </w:tcBorders>
            <w:gridSpan w:val="4"/>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Reported as of June 30, 2021</w:t>
            </w:r>
          </w:p>
        </w:tc>
        <w:tc>
          <w:tcPr>
            <w:tcW w:w="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Current operating lease liability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Non-current operating lease liability</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80" w:hanging="472"/>
        <w:spacing w:after="0" w:line="25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On June 1, 2020, HMI extended the existing manufacturing agreement with Key Tronic for a second three year term from December 29, 2020 until December 31, 2023. As of June 30, 2021, the Company did not have any outstanding commitments to Key Tronic to complete the Company’s forecasts for the procurement of materials necessary for the delivery of PoNS devices.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RELATED PARTY TRANSACTIONS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the Company paid approximately $0 and $5 thousand, respectively, in consulting fees to a director of the Company. No consulting fees were paid to this director during the three and six months ended June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 officer of the Company and affiliates of an officer and director subscribed for units in the Company’s October 2020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Affiliates of an officer and director participated in the February 2021 Offering.</w:t>
      </w:r>
    </w:p>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Inducement Plan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 2021, the Company adopted the Helius Medical Technologies, Inc. 2021 Inducement Plan (the “Inducement Plan”), pursuant to which the Company reserved 100,000 shares of its Class A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Inducement Plan was approved by the Company’s Board of Directors without stockholder approval pursuant to Rule 5635(c)(4) of the Nasdaq Listing Rules.</w:t>
      </w:r>
    </w:p>
    <w:p>
      <w:pPr>
        <w:spacing w:after="0" w:line="8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Inducement Plan permits the grant of non-statutory stock options, stock appreciation rights, restricted stock, restricted stock units, performance stock and cash awards, and other share</w:t>
      </w:r>
      <w:r>
        <w:rPr>
          <w:rFonts w:ascii="MS PGothic" w:cs="MS PGothic" w:eastAsia="MS PGothic" w:hAnsi="MS PGothic"/>
          <w:sz w:val="18"/>
          <w:szCs w:val="18"/>
          <w:color w:val="auto"/>
        </w:rPr>
        <w:t>‑</w:t>
      </w:r>
      <w:r>
        <w:rPr>
          <w:rFonts w:ascii="Arial" w:cs="Arial" w:eastAsia="Arial" w:hAnsi="Arial"/>
          <w:sz w:val="18"/>
          <w:szCs w:val="18"/>
          <w:color w:val="auto"/>
        </w:rPr>
        <w:t>based awards.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Executive Officer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26, 2021, the Company reported that the employment of Joyce LaViscount, Chief Operating Officer of the Company ended on July 20, 2021. As of August 12, 2021, terms of the separation have not been finalized.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2020, and the related Management’s Discussion and Analysis of Financial Condition and Results of Operations, both of which are contained in the our Annual Report on Form 10-K for the year ended December 31, 2020 filed with the Securities and Exchange Commission, or the SEC, on March 10, 2021, or our 2020 Annual Report. All financial information is stated in U.S. dollars unless otherwise specified. Our condensed consolidated financial statements are prepared in accordance with accounting principles generally accepted in the United States, or U.S. GAAP.</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including statements regarding our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operating plans, sufficiency of cash, availability of funds and operating costs. Such forward-looking statements involve risks and uncertainties, known and unknown, including risks and uncertainties relating to the COVID-19 pandemic, including its impact on the Company, the success of our business plan, availability of funds, our ability to maintain and enforce our intellectual property rights, government regulations, our operating costs and use of cash, and our ability to achieve significant revenues and other factors discussed in the section entitled “Item 1A. Risk Factors” in this Quarterly Report on Form 10-Q and in our 2020 Annual Report and those described from time to time in our future reports filed with the SEC. While these forward-looking statements, and any assumptions upon which they are based, are made in good faith, based on information available to us as of the date hereof, and reflect our current judgment regarding our business plans, we cannot guarantee future results, events, levels of activity, performance or achievement and our actual results will almost always vary, sometimes materially, from any estimates, predictions, projections, assumptions or other future performance suggested herein. We do not intend, and undertake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first product, known as the Portable Neuromodulation Stimulator (PoNS</w:t>
      </w:r>
      <w:r>
        <w:rPr>
          <w:rFonts w:ascii="Arial" w:cs="Arial" w:eastAsia="Arial" w:hAnsi="Arial"/>
          <w:sz w:val="14"/>
          <w:szCs w:val="14"/>
          <w:color w:val="auto"/>
        </w:rPr>
        <w:t>TM</w:t>
      </w:r>
      <w:r>
        <w:rPr>
          <w:rFonts w:ascii="Arial" w:cs="Arial" w:eastAsia="Arial" w:hAnsi="Arial"/>
          <w:sz w:val="17"/>
          <w:szCs w:val="17"/>
          <w:color w:val="auto"/>
        </w:rPr>
        <w:t>), is an innovative non-surgical medical device, inclusive of a controller and mouthpiece, which delivers mild electrical stimulation to the surface of the tongue to provide treatment of gait deficit and is indicated for use in the United States as a short term treatment of gait deficit due to mild-to-moderate symptoms for multiple sclerosis (MS) and is to be used as an adjunct to a supervised therapeutic exercise program in patients 22 years of age and over by prescription only. It is not expected to be commercially available in the United States until the first quarter of 2022. The PoNS device is authorized for sale in Canada as a class II, non-implantable medical device intended as a short term treatment (14 weeks) of gait deficit due to mild and moderate symptoms from MS and chronic balance deficit due to mild-to-moderate traumatic brain injury (mmTBI) and is to be used in conjunction with physical therapy (PoNS Treatment</w:t>
      </w:r>
      <w:r>
        <w:rPr>
          <w:rFonts w:ascii="Arial" w:cs="Arial" w:eastAsia="Arial" w:hAnsi="Arial"/>
          <w:sz w:val="14"/>
          <w:szCs w:val="14"/>
          <w:color w:val="auto"/>
        </w:rPr>
        <w:t>TM</w:t>
      </w:r>
      <w:r>
        <w:rPr>
          <w:rFonts w:ascii="Arial" w:cs="Arial" w:eastAsia="Arial" w:hAnsi="Arial"/>
          <w:sz w:val="17"/>
          <w:szCs w:val="17"/>
          <w:color w:val="auto"/>
        </w:rPr>
        <w:t>). It has been commercially available in Canada since March 2019. The PoNS device is an investigational medical device in the European Union (EU), and Australia (AUS). The device is currently under premarket review by the AUS Therapeutic Goods Administration.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chronic balance deficit due to mmTBI.</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May 7, 2020 we received Breakthrough Designation for the PoNS™ device as a potential treatment for gait deficit due to symptoms of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26, 2021, we received marketing authorization from the FDA for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14, 2021, the Centers for Medicare &amp; Medicaid Services, or CMS, issued the final rule (CMS-3372-F), 42 C.F.R. § 405.603 on the new Medicare coverage pathway referred to as Medicare Coverage of Innovative Technology, or MCIT, for FDA-designated breakthrough medical devices. The MCIT rule will provide national Medicare coverage as early as the same day as FDA market authorization for breakthrough devices and coverage would last for four years. To be eligible for coverage through MCIT, the breakthrough device must be used for the FDA approved or cleared indication(s) for use. Manufacturers will be able to opt in to MCIT and choose a start date for coverage anytime within two years from the date of FDA market authorization, but coverage will only be valid for four years from market authorization regardless of opt in date. At the end of the four year period, manufacturers are expected to have obtained coding for the specific product which can then be used as the reimbursement pathway for commercial payers. CMS announced MCIT was delayed from becoming effective March 15, 2021 to May 15, 2021 with an additional comment period during that time. On May 14, 2021, CMS announced it further delayed the effective date of the final rule until December 15, 2021 to provide CMS an opportunity to determine appropriate next steps. We are evaluating the recent announcement and its implications for our reimbursement strategy. We are still working to understand current Medicare requirements and policies for coverage, coding, and payment of durable medical equipment and assess how the PoNS device may be treated with respect to coding, coverage, and reimbursement under the Medicare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chronic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de novo classification and clearance will be significantly increased if we incorporate the FDA’s pre-submission feedback into this next trial design.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 including stroke, cerebral palsy, Parkinson’s disease, baby boomers balance, and neurological wellness, as well as label expansion for our existing indications.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will reconsider submitting to the EU when conditions stabilize.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We are currently awaiting action from TGA on our application.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Commercialization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MS and mmTBI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to the PoNS Treatment in Canada.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March 2019 marked the commercialization of our PoNS Treatment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Following in-depth market analysis and field intelligence, our Canadian commercial team began an expansion plan to increase the number of authorized PoNS clinics. During the year ended December 31, 2020, we authorized 24 new clinical locations to have 31 clinic locations as of December 31, 2020. As of June 30, 2021, we have 33 authorized PoNS clinic locations across Canada. In addition to continuing to increase the number of clinic locations, we have shifted our focus to driving patient throughput to these 33 clinics. Sales performance in Canada continues to be impacted by the COVID-19 pandemic due to space restrictions that the provincial governments have imposed as well as the risk tolerance of patients and therapists.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collaboration with the Toronto Rehabilitation Institute (part of University Health Network), we are continuing our clinical experience program, the results of which we look to publish in 2021.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refine our go-to-market pricing model based on market feedback. Our modified pricing approach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treatment and drive market awareness which we expect to result in an increase in the volume of units sold, which was seen in the second half of 2020. We intend to keep the promotional pricing in place at least through the end of the third quarter of 2021.</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value dossiers for mmTBI and MS that were created in mid-2020 to fully demonstrate in both scientific and financial terms, the merits of PoNS Treatment for claimants are now being implemented along with submissions from clinics on behalf of their patients. The dossiers are provided to our clinics across Canada to submit as part of treatment plans with reimbursement applications to the payer community. Our reimbursement strategy for mmTBI is focused initially on the auto accident insurance and workers’ compensation market as well as long-term disability cases. Our reimbursement strategy for MS is focused on commercial insurers/extended health benefits.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Pre-Commercialization Efforts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on March 26, 2021, we received marketing authorization from the FDA for the PoNS device. The PoNS device is indicated for use as a short term treatment of gait deficit due to mild-to-moderate symptoms of MS and is to be used as an adjunct to a supervised therapeutic exercise program in patients 22 years of age and over by prescription only. Despite the marketing authorization, the PoNS device is not currently commercially available in the United States, and we expect it will not be commercially available until the first quarter of 2022.</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pre-commercial phase, we are working on the development of our commercial strategy focused on working with CMS on attaining four years of Medicare coverage under the MCIT pathway for PoNS as a Breakthrough Designated Device, attaining distribution licenses and beginning to build relationships with key large neurorehabilitation centers, which focus on treatment of MS patients. We continue to generate data on outcomes of the PoNS Treatment generated from treatment of patients in Canada and ensuring that our scientific data is presented at many of the key national and international neurology and neuromodulation meetings. We believe this scientific dissemination may begin to pave the way to establishing the PoNS Treatment as the standard of care for the treatment of MS-related gait deficit.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commercialize the PoNS Treatment in the United States, we plan to target specific Key Opinion Leaders (neurologists and physiatrists) and their associated neurorehabilitation centers (physical therapists). PoNS certified neurorehabilitation centers will be trained to deliver the PoNS Treatment. Importantly, this focused strategy will also allow us to inspect whether we are generating patient outcomes similar to those seen in our clinical trials. To further develop and implement the PoNS commercialization strategy, we have hired a Vice President of Sales and Marketing and have identified the initial launch areas within the US.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planning to pursue Medicare coverage for PoNS under the CMS voluntary MCIT program within the Durable Medical Equipment, or DME, benefit category. While there are no currently applicable Healthcare Common Procedure Coding System, or HCPCS, codes to describe the PoNS system or Mouthpiece, our expectation is that we will use miscellaneous codes – E1399 (Miscellaneous durable medical equipment) and A9999 (Miscellaneous DME supply or accessory, not otherwise specified) until specific HCPCS codes are created. We intend to apply for unique HCPCS codes in the next application cycle, which is a nine month process from application until coding would be effective. We also intend to provide broad access and reimbursement for the PoNS Treatment over time through Commercial insurers. At launch, prior to the initiation of CMS or broad payer coverage, we anticipate the primary source of sales will be self-pay patients. We will support the cost of the PoNS Treatment by collaborating with third parties to provide self-pay patients with financing options as well as working with advocacy groups and charitable organizations to help self-pay patients access our technology. In general, we anticipate at least a 24-month window to obtain broad coverage and reimbursement among government and private payers. We plan to work in parallel with non-traditional payers, such as WC, auto insurance and the military, by engaging with them and providing them with relevant health economic and return-to-work data obtained through our Canadian commercial experience.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during the second quarter of 2021 limited operations to 25% capacity, with capacity as low as 15% in Ontario. Some patients have begun to return to these clinics for treatment, but patients have been and may continue to be less willing to return to the clinics due to COVID-19, impacting our commercial activities and our customer engagement efforts. This is especially true in the first half of 2021, as cases of COVID-19 increased significantly in Canada and additional restrictions, shelter in place orders, and business shutdowns were imposed. The rate of vaccination has increased throughout all provinces during the end of the second quarter of 2021 facilitating the lifting of some of the previously imposed restrictions.</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expanded our services to include remote training and treatment, but the long-term viability of these remote programs is still being assessed. Additionally, current and planned clinical experience programs and clinical trials in Canada have experienced or could experience delays in the programs as trial participant attendance has generally decreased as a result of the pandemic, and clinics and clinical research sites have experienced delays and difficulties in recruiting and re-hiring clinical site staff. As noted above, prior to the COVID-19 pandemic, our expectation was that we would move forward with the launch of our TBI-002 trial and we had estimated that enrollment would begin in April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2020 with the completion of the trial and submission to the FDA in the second quarter of 2021. However, the launch of the TBI-002 trial has been suspended and we are evaluating our options for funding and timing to commence the trial or potentially look at other indications.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our product development activities.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the COVID-19 pandemic impacts our ability to complete necessary pre-commercialization activities, our commercial launch in the U.S. could be impeded or delayed. The extent to which the COVID-19 pandemic will continue to impact our business, results of operations and financial condition will depend on future developments, which are highly uncertain and cannot be predicted. We do not know yet the full extent of the impact of COVID-19 on our business, operations or the global economy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 Agreement and Co-Promotion Agreement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transferred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forgiveness of the CAD$750,000 receivable from the September 2018 strategic alliance agreement and (4) the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Share Purchase Agreement, on October 30, 2019, we entered into a Clinical Research and Co-Promotion Agreement with HTC, or the Co-Promotion Agreement, whereby each company agreed to promote the sales of the PoNS Treatment and the NeuroCatch</w:t>
      </w:r>
      <w:r>
        <w:rPr>
          <w:rFonts w:ascii="Arial" w:cs="Arial" w:eastAsia="Arial" w:hAnsi="Arial"/>
          <w:sz w:val="13"/>
          <w:szCs w:val="13"/>
          <w:color w:val="auto"/>
        </w:rPr>
        <w:t>TM</w:t>
      </w:r>
      <w:r>
        <w:rPr>
          <w:rFonts w:ascii="Arial" w:cs="Arial" w:eastAsia="Arial" w:hAnsi="Arial"/>
          <w:sz w:val="16"/>
          <w:szCs w:val="16"/>
          <w:color w:val="auto"/>
        </w:rPr>
        <w:t xml:space="preserve"> device throughout Canada. The co-promotion provisions within the Co-Promotion Agreement terminated on December 31, 2020, although the Co-Promotion Agreement remains in effect.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the Three Months Ended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June 30, 2021 and 2020 (amounts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7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Cost of product sales</w:t>
            </w:r>
          </w:p>
        </w:tc>
        <w:tc>
          <w:tcPr>
            <w:tcW w:w="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gain</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months ended June 30, 2021, we recognized revenue of $71 thousand, of which $63 thousand was generated through product sales of our PoNS device in Canada pursuant to our executed supply agreements with neuroplasticity clinics in Canada and $8 thousand was generated from license fee revenue related to our Co-Promotion Agreement with HTC. For the three months ended June 30, 2020 we recognized revenue of $133 thousand, of which $126 thousand was generated through product sales of our PoNS device in Canada pursuant to our executed supply agreements with neuroplasticity clinics in Canada and $7 thousand was generated from license fee revenue related to our Co-Promotion Agreement with HTC. The decrease year-over-year in revenue generated through product sales of our PoNS device in Canada is the result of lower clinic capacity in 2021 as a result of the COVID-19 pandemic combined with the impact of price changes focused on reducing the need for clinics and patients to pay large, upfront costs at the start of treatment.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three months ended June 30, 2021, we incurred $67 thousand in cost of sales. For the three months ended June 30, 2020, we incurred $64 thousand in cost of sales.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Research and development, or R&amp;D, expenses were $1.4 million for the three months ended June 30, 2021 compared to $1.3 million for the three months ended June 30, 2020, an increase of $0.1 million. The increase was primarily attributable to a $0.1 million increase in product development expenses.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or SG&amp;A, expenses were $4.7 million for the three months ended June 30, 2021 compared to $2.4 million for the three months ended June 30, 2020, an increase of approximately $2.3 million. The increase was primarily due to a $2.0 million increase in our stock-based compensation expense, as well as a $0.3 million increase in legal and professional fees. Approximately $1.0 million of the increase in stock-based compensation expense related to the one-time fully vested stock option grant to our then Interim President and Chief Executive Officer in recognition of his service since August 2020 and election to take no additional compensation and continue to be compensated as a non-employee director of the Company while serving in that capacity. The remaining $1.0 million increase in stock-based compensation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as well as a $0.1 million increase in salaries and wages, were both primarily the result of the addition of key management and sales executives in the second quarter of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three months ended June 30, 2021, amortization expense was $49 thousand. For the three months ended June 30, 2020, amortization expense was $0.1 million. The decrease is primarily the result of the customer relationships becoming fully amortized during the first quarter of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no change in fair value of derivative financial instruments for the three months ended June 30, 2021 because the warrants that qualified as derivatives required to be accounted for in accordance with ASC 815 (requiring the re-measurement of fair value at each balance sheet date) expired in April 2021 and had been valueless during the period. This compared to a loss of $1 thousand for the three months ended June 30, 2020.</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our derivative financial instruments for the three months ended June 30, 2020 was primarily attributable to the change in our stock price, volatility and the number of derivative financial instruments being measured during the period. The change in the fair value of derivative financial instruments is a non-cash item.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Foreign exchange gain was $0.2 million for the three months ended June 30, 2021, compared to a gain of $0.3 million for the three months ended June 30, 2020. This was primarily due to fluctuations in the foreign exchange rate as it relates to the amount of Canadian dollars held at the end of each reporting period.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 (amounts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16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1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7,898</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gain (loss)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1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(9,343)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(8,118)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80" w:type="dxa"/>
            <w:vAlign w:val="bottom"/>
            <w:vMerge w:val="restart"/>
          </w:tcPr>
          <w:p>
            <w:pPr>
              <w:jc w:val="right"/>
              <w:ind w:right="73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six months ended June 30, 2021, we recognized revenue of $0.2 million, of which $0.1 million was generated through product sales of our PoNS device in Canada pursuant to our executed supply agreements with neuroplasticity clinics in Canada and $15 thousand was generated from license fee revenue related to our Co-Promotion Agreement with HTC. For the six months ended June 30, 2020, we recognized revenue of $0.3 million, of which $0.3 million was generated through product sales of our PoNS device in Canada pursuant to our executed supply agreements with neuroplasticity clinics in Canada, $9 thousand was generated from fee revenue related to engaging new PoNS authorized clinics and $13 thousand was generated from license fee revenue related to our Co-Promotion Agreement with HTC. The decrease year-over-year in revenue generated through product sales of our PoNS device in Canada is the result of the COVID-19 pandemic negatively impacting our product sales beginning in March 2020 and the impact of price changes focused on reducing the need for clinics and patients to pay large, upfront costs at the start of treatment.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six months ended June 30, 2021, we incurred $0.1 million in cost of sales. For the six months ended June 30, 2020, we incurred $0.2 million in cost of sales.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Research and development, or R&amp;D, expenses were $2.7 million for the six months ended June 30, 2021, compared to $2.4 million for the six months ended June 30, 2020, an increase of $0.3 million. The increase was primarily attributable to a $0.4 million increase in product development expenses, partially offset by a $0.1 million decrease in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Selling, general and administrative, or SG&amp;A, expenses were $6.9 million for the six months ended June 30, 2021, compared to $5.3 million for the six months ended June 30, 2020, a increase of approximately $1.6 million. The increase was primarily due to a $1.7 million increase in our stock-based compensation expense and a $0.2 million increase in salaries and wages, both resulting primarily from the addition of key management and sales executives in the second quarter of 2021. Approximately $1.0 million of the stock-based compensation expense during the six months ended June 30, 2021 related to the one-time fully vested stock option grant to our then Interim President and Chief Executive Officer in recognition of his service since August 2020 and election to take no additional compensation and continue to be compensated as a non-employee director of the Company while serving in that capacity. These increases were partially offset by a $0.3 million decrease in other operating expenses primarily as a result of the $0.2 million impairment of customer relationship intangible assets in the first quarter of 2020.</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six months ended June 30, 2021, amortization expense was $0.1 million. For the six months ended June 30, 2020, amortization expense was $0.2 million. The decrease is primarily the result of the customer relationships becoming fully amortized during the first quarter of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There was no change in fair value of derivative financial instruments for the six months ended June 30, 2021 because the warrants that qualified as derivatives required to be accounted for in accordance with ASC 815 (requiring the re-measurement of fair value at each balance sheet date) expired in April 2021 and had been valueless during the period. This compared to a gain of $3 thousand for the six months ended June 30, 2020.</w:t>
      </w: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our derivative financial instruments for the six months ended June 30, 2020 was primarily attributable to the change in our stock price, volatility and the number of derivative financial instruments being measured during the period. The change in the fair value of derivative financial instruments is a non-cash item.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Foreign exchange gain was $0.3 million for the six months ended June 30, 2021, compared to a loss of $0.5 million for the six months ended June 30, 2020. This was primarily due to fluctuations in the foreign exchange rate as it relates to the amount of Canadian dollars held at the end of each reporting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2021 and 2020 (amounts in thousands):</w:t>
      </w:r>
    </w:p>
    <w:p>
      <w:pPr>
        <w:spacing w:after="0" w:line="311"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(195)</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six months ended June 30, 2021 was $6.7 million. This was comprised of net loss of $9.3 million, unrealized foreign exchange gains of $0.3 million, recovery of doubtful accounts of $11 thousand and $361 thousand net cash used resulting from changes in operating assets and liabilities, partially offset by certain adjustments for non-cash items of $3.3 million comprised mainly of stock-based compensation of $3.2 million and depreciation and amortization of $0.2 million.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during the six months ended June 30, 2020 was $7.0 million. This was comprised of net loss of $8.1 million and $1.5 million net cash used resulting from changes in operating assets and liabilities, partially offset by certain adjustments for non-cash items of $2.7 million comprised mainly of stock-based compensation of $1.6 million, unrealized foreign exchange losses of $0.4 million, depreciation and amortization of $0.3 million, impairment loss on intangible assets of $0.2 million, provision for doubtful accounts of $0.2 million, loss on disposal of office furniture of $0.1 million and gain on lease modification of $0.1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2021 was $21 thousand, which was primarily related to the purchase of equipment.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during the six months ended June 30, 2020 was $51 thousand, which was primarily related to the sale of office furniture.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cash provided by financing activities during the six months ended June 30, 2021 was $10.8 million, which consisted of proceeds from the issuance of common stock from the February 2021 Offering, net of share issuance costs, and proceeds from the exercise of warrants and stock options.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2020 was $6.7 million, which consisted of proceeds from the issuance of common stock from the 2020 ATM and March 2020 Offering, net of share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 options and warrants. From June 2014 through June 30, 2021, we raised approximately $118.9 million in gross proceeds from various public and private offerings of our common stock as well as the exercise of stock options and warrants.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have limited working capital and liquid assets. The following table summarizes our cash and working capital (which we define as current assets less current liabilities excluding derivative financial instruments) as of June 30, 2021 and December 31, 2020 (amounts in thousands):</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16"/>
              <w:spacing w:after="0"/>
              <w:rPr>
                <w:sz w:val="20"/>
                <w:szCs w:val="20"/>
                <w:color w:val="auto"/>
              </w:rPr>
            </w:pPr>
            <w:r>
              <w:rPr>
                <w:rFonts w:ascii="Arial" w:cs="Arial" w:eastAsia="Arial" w:hAnsi="Arial"/>
                <w:sz w:val="14"/>
                <w:szCs w:val="14"/>
                <w:b w:val="1"/>
                <w:bCs w:val="1"/>
                <w:color w:val="auto"/>
                <w:w w:val="94"/>
              </w:rPr>
              <w:t>June 30, 2021</w:t>
            </w:r>
          </w:p>
        </w:tc>
        <w:tc>
          <w:tcPr>
            <w:tcW w:w="2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7,425</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Working capital</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6,848</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20"/>
                <w:szCs w:val="20"/>
                <w:color w:val="auto"/>
              </w:rPr>
            </w:pPr>
          </w:p>
        </w:tc>
      </w:tr>
    </w:tbl>
    <w:p>
      <w:pPr>
        <w:spacing w:after="0" w:line="24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While we have started generating revenue from the commercial sale of our PoNS device in Canada, we expect to incur significant losses until any such time as our revenue exceeds our expenses and will require additional funding. Based on our cash burn rate during the first six months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spacing w:after="0" w:line="270" w:lineRule="auto"/>
        <w:rPr>
          <w:sz w:val="20"/>
          <w:szCs w:val="20"/>
          <w:color w:val="auto"/>
        </w:rPr>
      </w:pPr>
      <w:r>
        <w:rPr>
          <w:rFonts w:ascii="Arial" w:cs="Arial" w:eastAsia="Arial" w:hAnsi="Arial"/>
          <w:sz w:val="17"/>
          <w:szCs w:val="17"/>
          <w:color w:val="auto"/>
        </w:rPr>
        <w:t>2021, our existing capital resources would be sufficient to fund our operations into the first quarter of 2022. However, in light of the receipt of marketing authorization from the FDA for the PoNS device in March 2021, we expect our expenses to increase throughout the remainder of 2021 in connection with our pre-commercialization activities, particularly as we invest in marketing and distribution capabilities, make improvements to our manufacturing process and product design, and add additional personnel. We also expect our expenses to increase if and as we decide to launch the TBI-002 trial or conduct other trials of the PoNS device without nondilutive funding, or if and as we decide to pursue further regulatory approvals, or maintain, expand and protect our intellectual property portfolio.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raise additional capital may be adversely impacted by global economic conditions and the recent disruptions to, and volatility in, the credit and financial markets in the United States and worldwide resulting from the ongoing COVID-19 pandemic.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and estimates are described in Item 7 “Management’s Discussion and Analysis of Financial Condition and Results of Operations — Critical Accounting Policies and Estimates” of our 2020 Annual Report. There have been no changes in critical accounting policies in the current year from those described in our 2020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Note 2 “Summary of Significant Accounting Policies” to our unaudited condensed consolidated financial statements under Part I, Item 1, “Condensed Consolidated Financial Statements” is incorporated herein by reference.</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for the updated risk factors set forth immediately below, our risk factors have not changed materially from those risk factors previously disclosed in our 2020 Annual Report. You should carefully consider the risk factors discussed below and in Part I, “Item 1A. Risk Factors” in our 2020 Annual Report. The risks described below and in our 2020 Annual Report are not the only risks facing us. Additional risks and uncertainties not currently known to us or that we currently deem to be immaterial also may materially and adversely affect our business, financial condition and/or operating results.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materially and adversely impact, our business, financial condition and results of operations.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during the second quarter of 2021 limited operations to 25% capacity, with capacity as low as 15% in Ontario. Some patients have begun to return to these clinics for treatment, but patients have been and may continue to be less willing to return to the clinics due to COVID-19, impacting our commercial activities and our customer engagement efforts. This is especially true in the first half of 2021, as cases of COVID-19 increased significantly in Canada and additional restrictions, shelter in place orders, and business shutdowns were imposed. However, the rate of vaccination has increased throughout all provinces during the end of the second quarter of 2021 facilitating the lifting of some of the previously imposed restrictions.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expanded our services to include remote training and treatment, but the long-term viability of these remote programs is still being assessed. Additionally, current and planned clinical experience programs and clinical trials in Canada have experienced or could experience delays in the programs as trial participant attendance has generally decreased as a result of the pandemic, and clinics and clinical research sites have experienced delays and difficulties in recruiting and re-hiring clinical site staff.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suspended and we are evaluating our options and timing for funding and timing to commence the trial or potentially look at other indications.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our product development activities.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the COVID-19 pandemic continues, we may experience additional disruptions that could severely impact our business, including:</w:t>
      </w:r>
    </w:p>
    <w:p>
      <w:pPr>
        <w:spacing w:after="0" w:line="225" w:lineRule="exact"/>
        <w:rPr>
          <w:sz w:val="20"/>
          <w:szCs w:val="20"/>
          <w:color w:val="auto"/>
        </w:rPr>
      </w:pPr>
    </w:p>
    <w:p>
      <w:pPr>
        <w:ind w:left="680" w:hanging="335"/>
        <w:spacing w:after="0" w:line="258"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may require us to change the way PoNS Authorized clinic locations operate or our clinical experience programs or clinical trials are conducted and may result in unexpected costs;</w:t>
      </w:r>
    </w:p>
    <w:p>
      <w:pPr>
        <w:spacing w:after="0" w:line="1" w:lineRule="exact"/>
        <w:rPr>
          <w:rFonts w:ascii="Arial" w:cs="Arial" w:eastAsia="Arial" w:hAnsi="Arial"/>
          <w:sz w:val="18"/>
          <w:szCs w:val="18"/>
          <w:color w:val="auto"/>
        </w:rPr>
      </w:pPr>
    </w:p>
    <w:p>
      <w:pPr>
        <w:ind w:left="680" w:hanging="335"/>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patients may be unable, or continue to be unwilling, to visit or return to our PoNS Authorized clinic locations;</w:t>
      </w:r>
    </w:p>
    <w:p>
      <w:pPr>
        <w:spacing w:after="0" w:line="9" w:lineRule="exact"/>
        <w:rPr>
          <w:rFonts w:ascii="Arial" w:cs="Arial" w:eastAsia="Arial" w:hAnsi="Arial"/>
          <w:sz w:val="18"/>
          <w:szCs w:val="18"/>
          <w:color w:val="auto"/>
        </w:rPr>
      </w:pPr>
    </w:p>
    <w:p>
      <w:pPr>
        <w:ind w:left="680" w:hanging="335"/>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Necessary interactions with local regulators, ethics committees and other important agencies and contractors may be delayed due to limitations in employee resources or forced furlough of government employees;</w:t>
      </w:r>
    </w:p>
    <w:p>
      <w:pPr>
        <w:ind w:left="680" w:right="20" w:hanging="335"/>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our interactions with the FDA may be delayed due to absenteeism by federal employees or the diversion of their efforts and attention to approval of other therapeutics or other activities related to COVID-19;</w:t>
      </w:r>
    </w:p>
    <w:p>
      <w:pPr>
        <w:ind w:left="680" w:hanging="335"/>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complete necessary pre-commercialization activities may be impeded, which could delay our commercial launch in the U.S.;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680" w:hanging="335"/>
        <w:spacing w:after="0" w:line="258"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Healthcare resources may be diverted away from PoNS Authorized clinic locations, our clinical experience programs and the conduct of clinical trials;</w:t>
      </w:r>
    </w:p>
    <w:p>
      <w:pPr>
        <w:spacing w:after="0" w:line="1"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delays in receiving approval from local regulatory authorities to initiate future clinical trials; and</w:t>
      </w:r>
    </w:p>
    <w:p>
      <w:pPr>
        <w:spacing w:after="0" w:line="9" w:lineRule="exact"/>
        <w:rPr>
          <w:rFonts w:ascii="Arial" w:cs="Arial" w:eastAsia="Arial" w:hAnsi="Arial"/>
          <w:sz w:val="18"/>
          <w:szCs w:val="18"/>
          <w:color w:val="auto"/>
        </w:rPr>
      </w:pPr>
    </w:p>
    <w:p>
      <w:pPr>
        <w:ind w:left="680" w:hanging="335"/>
        <w:spacing w:after="0" w:line="26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key clinical trial activities may be delayed, such as clinical trial site monitoring, due to limitation on travel imposed or recommended by federal or state governments, employers and others.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risks specifically described above, the COVID-19 pandemic has exacerbated and precipitated the other risks described in our 2020 Annual Report, and may continue to do so. The extent to which the COVID-19 pandemic will continue to impact the our business, results of operations and financial condition will depend on future developments, which are highly uncertain and cannot be predicted. We do not know yet the full extent of the impact of COVID-19 on our business, operations or the global economy as a whole.</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i w:val="1"/>
          <w:iCs w:val="1"/>
          <w:color w:val="auto"/>
        </w:rPr>
        <w:t>Our independent registered public accounting firm has included an explanatory paragraph relating to our ability to continue as a going concern in its report on our audited financial statements. We may be unable to operate without the threat of liquidation for the foreseeable future.</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our management’s assessment, our report from our independent registered public accounting firm for the fiscal year ended December 31, 2020 includes an explanatory paragraph stating that our recurring losses from operations and net capital deficiency raise substantial doubt about our ability to continue as a going concern. We will require additional funding and,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Based on our cash burn rate during the first six months of 2021, our existing capital resources would be sufficient to fund our operations into the first quarter of 2022. However, in light of the receipt of marketing authorization from the FDA for the PoNS device in March 2021, we expect our expenses to increase throughout the remainder of 2021 in connection with our pre-commercialization activities, particularly as we invest in marketing and distribution capabilities, make improvements to our manufacturing process and product design, and add additional personnel. We also expect our expenses to increase if and as we decide to launch the TBI-002 trial or conduct other trials of the PoNS device without nondilutive funding, or if and as we decide to pursue further regulatory approvals, or maintain, expand and protect our intellectual property portfolio.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2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16"/>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9860" w:type="dxa"/>
            <w:vAlign w:val="bottom"/>
            <w:tcBorders>
              <w:bottom w:val="single" w:sz="8" w:color="0000EE"/>
            </w:tcBorders>
            <w:gridSpan w:val="16"/>
          </w:tcPr>
          <w:p>
            <w:pPr>
              <w:spacing w:after="0" w:line="190" w:lineRule="exact"/>
              <w:rPr>
                <w:rFonts w:ascii="Arial" w:cs="Arial" w:eastAsia="Arial" w:hAnsi="Arial"/>
                <w:sz w:val="18"/>
                <w:szCs w:val="18"/>
                <w:color w:val="0000EE"/>
                <w:w w:val="94"/>
              </w:rPr>
            </w:pPr>
            <w:hyperlink r:id="rId56">
              <w:r>
                <w:rPr>
                  <w:rFonts w:ascii="Arial" w:cs="Arial" w:eastAsia="Arial" w:hAnsi="Arial"/>
                  <w:sz w:val="18"/>
                  <w:szCs w:val="18"/>
                  <w:color w:val="0000EE"/>
                  <w:w w:val="94"/>
                </w:rPr>
                <w:t>Certificate of Conversion filed with the Delaware Secretary of State on July 18, 2018 (incorporated by reference to Exhibit 3.1 to the</w:t>
              </w:r>
            </w:hyperlink>
          </w:p>
        </w:tc>
      </w:tr>
      <w:tr>
        <w:trPr>
          <w:trHeight w:val="196"/>
        </w:trPr>
        <w:tc>
          <w:tcPr>
            <w:tcW w:w="116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Form 10-Q filed August 9, 2018)</w:t>
              </w:r>
            </w:hyperlink>
          </w:p>
        </w:tc>
      </w:tr>
      <w:tr>
        <w:trPr>
          <w:trHeight w:val="20"/>
        </w:trPr>
        <w:tc>
          <w:tcPr>
            <w:tcW w:w="1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Certificate of Incorporation, as corrected (incorporated by reference to Exhibit 3.1 to the Form 8-K filed October 30, 2018)</w:t>
              </w:r>
            </w:hyperlink>
          </w:p>
        </w:tc>
        <w:tc>
          <w:tcPr>
            <w:tcW w:w="1000" w:type="dxa"/>
            <w:vAlign w:val="bottom"/>
            <w:gridSpan w:val="3"/>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58">
              <w:r>
                <w:rPr>
                  <w:rFonts w:ascii="Arial" w:cs="Arial" w:eastAsia="Arial" w:hAnsi="Arial"/>
                  <w:sz w:val="18"/>
                  <w:szCs w:val="18"/>
                  <w:color w:val="0000EE"/>
                  <w:w w:val="94"/>
                </w:rPr>
                <w:t>Certificate of Amendment to Certificate of Incorporation (incorporated by reference to Exhibit 3.1 to the Form 8-K filed on December</w:t>
              </w:r>
            </w:hyperlink>
          </w:p>
        </w:tc>
      </w:tr>
      <w:tr>
        <w:trPr>
          <w:trHeight w:val="196"/>
        </w:trPr>
        <w:tc>
          <w:tcPr>
            <w:tcW w:w="116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8">
              <w:r>
                <w:rPr>
                  <w:rFonts w:ascii="Arial" w:cs="Arial" w:eastAsia="Arial" w:hAnsi="Arial"/>
                  <w:sz w:val="18"/>
                  <w:szCs w:val="18"/>
                  <w:color w:val="0000EE"/>
                  <w:w w:val="86"/>
                </w:rPr>
                <w:t>31, 2020)</w:t>
              </w:r>
            </w:hyperlink>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9860" w:type="dxa"/>
            <w:vAlign w:val="bottom"/>
            <w:gridSpan w:val="16"/>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Bylaws as amended and restated (incorporated by reference to Exhibit 3.3 to the Form 10-Q filed August 9, 2018)</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2018 Omnibus Incentive Plan Form of Stock Grant Notice and Award Agreement (incorporated by reference to Exhibit 10.1 to the Form</w:t>
              </w:r>
            </w:hyperlink>
          </w:p>
        </w:tc>
      </w:tr>
      <w:tr>
        <w:trPr>
          <w:trHeight w:val="196"/>
        </w:trPr>
        <w:tc>
          <w:tcPr>
            <w:tcW w:w="1160" w:type="dxa"/>
            <w:vAlign w:val="bottom"/>
          </w:tcPr>
          <w:p>
            <w:pPr>
              <w:spacing w:after="0"/>
              <w:rPr>
                <w:sz w:val="17"/>
                <w:szCs w:val="17"/>
                <w:color w:val="auto"/>
              </w:rPr>
            </w:pP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60">
              <w:r>
                <w:rPr>
                  <w:rFonts w:ascii="Arial" w:cs="Arial" w:eastAsia="Arial" w:hAnsi="Arial"/>
                  <w:sz w:val="18"/>
                  <w:szCs w:val="18"/>
                  <w:color w:val="0000EE"/>
                  <w:w w:val="95"/>
                </w:rPr>
                <w:t>8-K filed April 7, 2021)</w:t>
              </w:r>
            </w:hyperlink>
          </w:p>
        </w:tc>
        <w:tc>
          <w:tcPr>
            <w:tcW w:w="8140" w:type="dxa"/>
            <w:vAlign w:val="bottom"/>
            <w:gridSpan w:val="12"/>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Second Amendment to Employment Agreement between Helius Medical Technologies, Inc. and Joyce LaViscount dated April 1, 2021</w:t>
              </w:r>
            </w:hyperlink>
          </w:p>
        </w:tc>
      </w:tr>
      <w:tr>
        <w:trPr>
          <w:trHeight w:val="196"/>
        </w:trPr>
        <w:tc>
          <w:tcPr>
            <w:tcW w:w="1160" w:type="dxa"/>
            <w:vAlign w:val="bottom"/>
          </w:tcPr>
          <w:p>
            <w:pPr>
              <w:spacing w:after="0"/>
              <w:rPr>
                <w:sz w:val="17"/>
                <w:szCs w:val="17"/>
                <w:color w:val="auto"/>
              </w:rPr>
            </w:pPr>
          </w:p>
        </w:tc>
        <w:tc>
          <w:tcPr>
            <w:tcW w:w="56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(incorporated by reference to Exhibit 10.2 to the Form 8-K filed April 7, 2021)</w:t>
              </w:r>
            </w:hyperlink>
          </w:p>
        </w:tc>
        <w:tc>
          <w:tcPr>
            <w:tcW w:w="4180" w:type="dxa"/>
            <w:vAlign w:val="bottom"/>
            <w:gridSpan w:val="7"/>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91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Non-employee Director Compensation Policy (incorporated by reference to Exhibit 10.7 to the Form 10-Q filed May 17, 2021)</w:t>
              </w:r>
            </w:hyperlink>
          </w:p>
        </w:tc>
        <w:tc>
          <w:tcPr>
            <w:tcW w:w="700" w:type="dxa"/>
            <w:vAlign w:val="bottom"/>
            <w:gridSpan w:val="2"/>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Amendment to the Helius Medical Technologies, Inc. 2018 Omnibus Incentive Plan, effective May 25, 2021 (incorporated by reference</w:t>
              </w:r>
            </w:hyperlink>
          </w:p>
        </w:tc>
      </w:tr>
      <w:tr>
        <w:trPr>
          <w:trHeight w:val="196"/>
        </w:trPr>
        <w:tc>
          <w:tcPr>
            <w:tcW w:w="116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to Exhibit 10.1 to the Form 8-K filed May 27, 2021)</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64">
              <w:r>
                <w:rPr>
                  <w:rFonts w:ascii="Arial" w:cs="Arial" w:eastAsia="Arial" w:hAnsi="Arial"/>
                  <w:sz w:val="18"/>
                  <w:szCs w:val="18"/>
                  <w:color w:val="0000EE"/>
                  <w:w w:val="96"/>
                </w:rPr>
                <w:t>2018 Omnibus Incentive Plan Form of Option Grant Agreement (incorporated by reference to Exhibit 10.3 to the Form 10-Q filed</w:t>
              </w:r>
            </w:hyperlink>
          </w:p>
        </w:tc>
      </w:tr>
      <w:tr>
        <w:trPr>
          <w:trHeight w:val="196"/>
        </w:trPr>
        <w:tc>
          <w:tcPr>
            <w:tcW w:w="116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November 8, 2018)</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65">
              <w:r>
                <w:rPr>
                  <w:rFonts w:ascii="Arial" w:cs="Arial" w:eastAsia="Arial" w:hAnsi="Arial"/>
                  <w:sz w:val="18"/>
                  <w:szCs w:val="18"/>
                  <w:color w:val="0000EE"/>
                  <w:w w:val="97"/>
                </w:rPr>
                <w:t>Employment Agreement by and between Helius Medical Technologies, Inc. and Dane C. Andreeff effective as of June 14, 2021</w:t>
              </w:r>
            </w:hyperlink>
          </w:p>
        </w:tc>
      </w:tr>
      <w:tr>
        <w:trPr>
          <w:trHeight w:val="196"/>
        </w:trPr>
        <w:tc>
          <w:tcPr>
            <w:tcW w:w="116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(incorporated by reference to Exhibit 10.1 to the Form 8-K filed June 15, 2021)</w:t>
              </w:r>
            </w:hyperlink>
          </w:p>
        </w:tc>
        <w:tc>
          <w:tcPr>
            <w:tcW w:w="4140" w:type="dxa"/>
            <w:vAlign w:val="bottom"/>
            <w:gridSpan w:val="6"/>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66">
              <w:r>
                <w:rPr>
                  <w:rFonts w:ascii="Arial" w:cs="Arial" w:eastAsia="Arial" w:hAnsi="Arial"/>
                  <w:sz w:val="18"/>
                  <w:szCs w:val="18"/>
                  <w:color w:val="0000EE"/>
                  <w:w w:val="94"/>
                </w:rPr>
                <w:t>Employment Agreement by and between Helius Medical Technologies, Inc. and Jeffrey S. Mathiesen effective as of June 14, 2021</w:t>
              </w:r>
            </w:hyperlink>
          </w:p>
        </w:tc>
      </w:tr>
      <w:tr>
        <w:trPr>
          <w:trHeight w:val="196"/>
        </w:trPr>
        <w:tc>
          <w:tcPr>
            <w:tcW w:w="116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(incorporated by reference to Exhibit 10.2 to the Form 8-K filed June 15, 2021)</w:t>
              </w:r>
            </w:hyperlink>
          </w:p>
        </w:tc>
        <w:tc>
          <w:tcPr>
            <w:tcW w:w="4140" w:type="dxa"/>
            <w:vAlign w:val="bottom"/>
            <w:gridSpan w:val="6"/>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67">
              <w:r>
                <w:rPr>
                  <w:rFonts w:ascii="Arial" w:cs="Arial" w:eastAsia="Arial" w:hAnsi="Arial"/>
                  <w:sz w:val="18"/>
                  <w:szCs w:val="18"/>
                  <w:color w:val="0000EE"/>
                  <w:w w:val="93"/>
                </w:rPr>
                <w:t>2018 Omnibus Incentive Plan Form of Option Agreement – Initial Grants to Dane C. Andreeff and Jeffrey S. Mathiesen (incorporated</w:t>
              </w:r>
            </w:hyperlink>
          </w:p>
        </w:tc>
      </w:tr>
      <w:tr>
        <w:trPr>
          <w:trHeight w:val="196"/>
        </w:trPr>
        <w:tc>
          <w:tcPr>
            <w:tcW w:w="116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by reference to Exhibit 10.3 to the Form 8-K filed June 15, 2021)</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96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Helius Medical Technologies, Inc. 2021 Inducement Plan (incorporated by reference to Exhibit 4.5 to the Form S-8 filed July 7, 2021)</w:t>
              </w:r>
            </w:hyperlink>
          </w:p>
        </w:tc>
        <w:tc>
          <w:tcPr>
            <w:tcW w:w="20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69">
              <w:r>
                <w:rPr>
                  <w:rFonts w:ascii="Arial" w:cs="Arial" w:eastAsia="Arial" w:hAnsi="Arial"/>
                  <w:sz w:val="18"/>
                  <w:szCs w:val="18"/>
                  <w:color w:val="0000EE"/>
                  <w:w w:val="96"/>
                </w:rPr>
                <w:t>Form of Stock Option Grant Notice, Option Agreement and Notice of Exercise under the Helius Medical Technologies, Inc. 2021</w:t>
              </w:r>
            </w:hyperlink>
          </w:p>
        </w:tc>
      </w:tr>
      <w:tr>
        <w:trPr>
          <w:trHeight w:val="196"/>
        </w:trPr>
        <w:tc>
          <w:tcPr>
            <w:tcW w:w="1160" w:type="dxa"/>
            <w:vAlign w:val="bottom"/>
          </w:tcPr>
          <w:p>
            <w:pPr>
              <w:spacing w:after="0"/>
              <w:rPr>
                <w:sz w:val="17"/>
                <w:szCs w:val="17"/>
                <w:color w:val="auto"/>
              </w:rPr>
            </w:pPr>
          </w:p>
        </w:tc>
        <w:tc>
          <w:tcPr>
            <w:tcW w:w="67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Inducement Plan (incorporated by reference to Exhibit 4.6 to the Form S-8 filed July 7, 2021)</w:t>
              </w:r>
            </w:hyperlink>
          </w:p>
        </w:tc>
        <w:tc>
          <w:tcPr>
            <w:tcW w:w="3120" w:type="dxa"/>
            <w:vAlign w:val="bottom"/>
            <w:gridSpan w:val="5"/>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Certification of Chief Executive Officer pursuant to Rule 13a-14(a) and Rule 15d-14(a), as adopted pursuant to Section 302 of the</w:t>
              </w:r>
            </w:hyperlink>
          </w:p>
        </w:tc>
      </w:tr>
      <w:tr>
        <w:trPr>
          <w:trHeight w:val="196"/>
        </w:trPr>
        <w:tc>
          <w:tcPr>
            <w:tcW w:w="116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Certification of Chief Financial Officer pursuant to Rule 13a-14(a) and Rule 15d-14(a), as adopted pursuant to Section302 of the</w:t>
              </w:r>
            </w:hyperlink>
          </w:p>
        </w:tc>
      </w:tr>
      <w:tr>
        <w:trPr>
          <w:trHeight w:val="196"/>
        </w:trPr>
        <w:tc>
          <w:tcPr>
            <w:tcW w:w="116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Act of 2002</w:t>
              </w:r>
            </w:hyperlink>
          </w:p>
        </w:tc>
        <w:tc>
          <w:tcPr>
            <w:tcW w:w="9000" w:type="dxa"/>
            <w:vAlign w:val="bottom"/>
            <w:gridSpan w:val="14"/>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Certification of Chief Financial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Act of 2002</w:t>
              </w:r>
            </w:hyperlink>
          </w:p>
        </w:tc>
        <w:tc>
          <w:tcPr>
            <w:tcW w:w="9000" w:type="dxa"/>
            <w:vAlign w:val="bottom"/>
            <w:gridSpan w:val="14"/>
          </w:tcPr>
          <w:p>
            <w:pPr>
              <w:spacing w:after="0"/>
              <w:rPr>
                <w:sz w:val="17"/>
                <w:szCs w:val="17"/>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ind w:left="1200" w:hanging="1152"/>
        <w:spacing w:after="0"/>
        <w:tabs>
          <w:tab w:leader="none" w:pos="12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Coverage Page Interactive Data File (formatted as Inline XBRL and contained in Exhibit 101).</w:t>
      </w:r>
    </w:p>
    <w:p>
      <w:pPr>
        <w:spacing w:after="0" w:line="210" w:lineRule="exact"/>
        <w:rPr>
          <w:rFonts w:ascii="Arial" w:cs="Arial" w:eastAsia="Arial" w:hAnsi="Arial"/>
          <w:sz w:val="18"/>
          <w:szCs w:val="18"/>
          <w:color w:val="auto"/>
        </w:rPr>
      </w:pPr>
    </w:p>
    <w:p>
      <w:pPr>
        <w:ind w:left="140" w:hanging="132"/>
        <w:spacing w:after="0"/>
        <w:tabs>
          <w:tab w:leader="none" w:pos="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35" w:lineRule="exact"/>
        <w:rPr>
          <w:sz w:val="20"/>
          <w:szCs w:val="20"/>
          <w:color w:val="auto"/>
        </w:rPr>
      </w:pPr>
    </w:p>
    <w:p>
      <w:pPr>
        <w:jc w:val="both"/>
        <w:ind w:firstLine="8"/>
        <w:spacing w:after="0" w:line="263"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308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12, 2021</w:t>
            </w:r>
          </w:p>
        </w:tc>
        <w:tc>
          <w:tcPr>
            <w:tcW w:w="7600" w:type="dxa"/>
            <w:vAlign w:val="bottom"/>
            <w:gridSpan w:val="2"/>
          </w:tcPr>
          <w:p>
            <w:pPr>
              <w:ind w:left="3080"/>
              <w:spacing w:after="0"/>
              <w:rPr>
                <w:sz w:val="20"/>
                <w:szCs w:val="20"/>
                <w:color w:val="auto"/>
              </w:rPr>
            </w:pPr>
            <w:r>
              <w:rPr>
                <w:rFonts w:ascii="Arial" w:cs="Arial" w:eastAsia="Arial" w:hAnsi="Arial"/>
                <w:sz w:val="18"/>
                <w:szCs w:val="18"/>
                <w:color w:val="auto"/>
              </w:rPr>
              <w:t>By: /s/ Dane C. Andreeff</w:t>
            </w:r>
          </w:p>
        </w:tc>
      </w:tr>
      <w:tr>
        <w:trPr>
          <w:trHeight w:val="195"/>
        </w:trPr>
        <w:tc>
          <w:tcPr>
            <w:tcW w:w="36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36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a Director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12, 2021</w:t>
            </w:r>
          </w:p>
        </w:tc>
        <w:tc>
          <w:tcPr>
            <w:tcW w:w="7600" w:type="dxa"/>
            <w:vAlign w:val="bottom"/>
            <w:gridSpan w:val="2"/>
          </w:tcPr>
          <w:p>
            <w:pPr>
              <w:ind w:left="3080"/>
              <w:spacing w:after="0"/>
              <w:rPr>
                <w:sz w:val="20"/>
                <w:szCs w:val="20"/>
                <w:color w:val="auto"/>
              </w:rPr>
            </w:pPr>
            <w:r>
              <w:rPr>
                <w:rFonts w:ascii="Arial" w:cs="Arial" w:eastAsia="Arial" w:hAnsi="Arial"/>
                <w:sz w:val="18"/>
                <w:szCs w:val="18"/>
                <w:color w:val="auto"/>
              </w:rPr>
              <w:t>By: /s/ Jeffrey S. Mathiesen</w:t>
            </w:r>
          </w:p>
        </w:tc>
      </w:tr>
      <w:tr>
        <w:trPr>
          <w:trHeight w:val="195"/>
        </w:trPr>
        <w:tc>
          <w:tcPr>
            <w:tcW w:w="36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S. Mathiesen</w:t>
            </w:r>
          </w:p>
        </w:tc>
      </w:tr>
      <w:tr>
        <w:trPr>
          <w:trHeight w:val="216"/>
        </w:trPr>
        <w:tc>
          <w:tcPr>
            <w:tcW w:w="36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Financial Officer and Treasurer</w:t>
            </w:r>
          </w:p>
        </w:tc>
      </w:tr>
      <w:tr>
        <w:trPr>
          <w:trHeight w:val="216"/>
        </w:trPr>
        <w:tc>
          <w:tcPr>
            <w:tcW w:w="36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Financial</w:t>
            </w:r>
          </w:p>
        </w:tc>
      </w:tr>
      <w:tr>
        <w:trPr>
          <w:trHeight w:val="230"/>
        </w:trPr>
        <w:tc>
          <w:tcPr>
            <w:tcW w:w="36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Officer and Principal Accounting Officer)</w:t>
            </w:r>
          </w:p>
        </w:tc>
      </w:tr>
      <w:tr>
        <w:trPr>
          <w:trHeight w:val="878"/>
        </w:trPr>
        <w:tc>
          <w:tcPr>
            <w:tcW w:w="3640" w:type="dxa"/>
            <w:vAlign w:val="bottom"/>
          </w:tcPr>
          <w:p>
            <w:pPr>
              <w:spacing w:after="0"/>
              <w:rPr>
                <w:sz w:val="24"/>
                <w:szCs w:val="24"/>
                <w:color w:val="auto"/>
              </w:rPr>
            </w:pPr>
          </w:p>
        </w:tc>
        <w:tc>
          <w:tcPr>
            <w:tcW w:w="3380" w:type="dxa"/>
            <w:vAlign w:val="bottom"/>
          </w:tcPr>
          <w:p>
            <w:pPr>
              <w:jc w:val="right"/>
              <w:ind w:right="1210"/>
              <w:spacing w:after="0"/>
              <w:rPr>
                <w:sz w:val="20"/>
                <w:szCs w:val="20"/>
                <w:color w:val="auto"/>
              </w:rPr>
            </w:pPr>
            <w:r>
              <w:rPr>
                <w:rFonts w:ascii="Arial" w:cs="Arial" w:eastAsia="Arial" w:hAnsi="Arial"/>
                <w:sz w:val="18"/>
                <w:szCs w:val="18"/>
                <w:color w:val="auto"/>
              </w:rPr>
              <w:t>36</w:t>
            </w:r>
          </w:p>
        </w:tc>
        <w:tc>
          <w:tcPr>
            <w:tcW w:w="4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Dane C. Andreeff, certify that:</w:t>
      </w:r>
    </w:p>
    <w:p>
      <w:pPr>
        <w:spacing w:after="0" w:line="225" w:lineRule="exact"/>
        <w:rPr>
          <w:sz w:val="20"/>
          <w:szCs w:val="20"/>
          <w:color w:val="auto"/>
        </w:rPr>
      </w:pPr>
    </w:p>
    <w:p>
      <w:pPr>
        <w:ind w:left="680" w:hanging="19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18"/>
                <w:szCs w:val="18"/>
                <w:color w:val="auto"/>
              </w:rPr>
              <w:t>Date: August 12, 2021</w:t>
            </w:r>
          </w:p>
        </w:tc>
        <w:tc>
          <w:tcPr>
            <w:tcW w:w="3280" w:type="dxa"/>
            <w:vAlign w:val="bottom"/>
          </w:tcPr>
          <w:p>
            <w:pPr>
              <w:spacing w:after="0"/>
              <w:rPr>
                <w:sz w:val="22"/>
                <w:szCs w:val="22"/>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222"/>
        </w:trPr>
        <w:tc>
          <w:tcPr>
            <w:tcW w:w="34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Dane C. Andreeff</w:t>
            </w:r>
          </w:p>
        </w:tc>
      </w:tr>
      <w:tr>
        <w:trPr>
          <w:trHeight w:val="230"/>
        </w:trPr>
        <w:tc>
          <w:tcPr>
            <w:tcW w:w="3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480" w:type="dxa"/>
            <w:vAlign w:val="bottom"/>
          </w:tcPr>
          <w:p>
            <w:pPr>
              <w:spacing w:after="0"/>
              <w:rPr>
                <w:sz w:val="21"/>
                <w:szCs w:val="21"/>
                <w:color w:val="auto"/>
              </w:rPr>
            </w:pPr>
          </w:p>
        </w:tc>
        <w:tc>
          <w:tcPr>
            <w:tcW w:w="7760" w:type="dxa"/>
            <w:vAlign w:val="bottom"/>
            <w:gridSpan w:val="2"/>
          </w:tcPr>
          <w:p>
            <w:pPr>
              <w:ind w:left="18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S. Mathiesen, certify that:</w:t>
      </w:r>
    </w:p>
    <w:p>
      <w:pPr>
        <w:spacing w:after="0" w:line="225" w:lineRule="exact"/>
        <w:rPr>
          <w:sz w:val="20"/>
          <w:szCs w:val="20"/>
          <w:color w:val="auto"/>
        </w:rPr>
      </w:pPr>
    </w:p>
    <w:p>
      <w:pPr>
        <w:ind w:left="680" w:hanging="19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August 12,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155"/>
        </w:trPr>
        <w:tc>
          <w:tcPr>
            <w:tcW w:w="676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Arial" w:cs="Arial" w:eastAsia="Arial" w:hAnsi="Arial"/>
                <w:sz w:val="17"/>
                <w:szCs w:val="17"/>
                <w:color w:val="auto"/>
              </w:rPr>
              <w:t>Jeffrey S. Mathiesen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JUNE 30, 2021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Executive Officer of Helius Medical Technologies, Inc., a Delaware corporation (the “Company”). I am delivering this certificate in connection with the Form 10-Q of the Company for the quarter ended June 30, 2021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12,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ectPr>
          <w:pgSz w:w="11900" w:h="16838" w:orient="portrait"/>
          <w:cols w:equalWidth="0" w:num="1">
            <w:col w:w="11240"/>
          </w:cols>
          <w:pgMar w:left="320" w:top="35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FINANCIAL OFFICER HELIUS MEDICAL TECHNOLOGIES, INC. FORM 10-Q FOR THE QUARTER ENDED JUNE 30, 2021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Financial Officer of Helius Medical Technologies, Inc., a Delaware corporation (the “Company”). I am delivering this certificate in connection with the Form 10-Q of the Company for the quarter ended June 30, 2021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12,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Jeffrey S. Mathiesen</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15"/>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lvl w:ilvl="1">
      <w:lvlJc w:val="left"/>
      <w:lvlText w:val="%2"/>
      <w:numFmt w:val="decimal"/>
      <w:start w:val="104"/>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0" Type="http://schemas.openxmlformats.org/officeDocument/2006/relationships/image" Target="media/image49.png"/><Relationship Id="rId56" Type="http://schemas.openxmlformats.org/officeDocument/2006/relationships/hyperlink" Target="http://www.sec.gov/Archives/edgar/data/1610853/000156459018020736/hsdt-ex31_66.htm" TargetMode="External"/><Relationship Id="rId57" Type="http://schemas.openxmlformats.org/officeDocument/2006/relationships/hyperlink" Target="http://www.sec.gov/Archives/edgar/data/0001610853/000119312518312155/d646047dex31.htm" TargetMode="External"/><Relationship Id="rId58" Type="http://schemas.openxmlformats.org/officeDocument/2006/relationships/hyperlink" Target="http://www.sec.gov/Archives/edgar/data/1610853/000156459020058917/hsdt-ex31_7.htm" TargetMode="External"/><Relationship Id="rId59" Type="http://schemas.openxmlformats.org/officeDocument/2006/relationships/hyperlink" Target="http://www.sec.gov/Archives/edgar/data/0001610853/000156459018020736/hsdt-ex33_68.htm" TargetMode="External"/><Relationship Id="rId60" Type="http://schemas.openxmlformats.org/officeDocument/2006/relationships/hyperlink" Target="http://www.sec.gov/Archives/edgar/data/1610853/000156459021018009/hsdt-ex101_8.htm" TargetMode="External"/><Relationship Id="rId61" Type="http://schemas.openxmlformats.org/officeDocument/2006/relationships/hyperlink" Target="http://www.sec.gov/Archives/edgar/data/1610853/000156459021018009/hsdt-ex102_7.htm" TargetMode="External"/><Relationship Id="rId62" Type="http://schemas.openxmlformats.org/officeDocument/2006/relationships/hyperlink" Target="http://www.sec.gov/Archives/edgar/data/1610853/000156459021028404/hsdt-ex107_84.htm" TargetMode="External"/><Relationship Id="rId63" Type="http://schemas.openxmlformats.org/officeDocument/2006/relationships/hyperlink" Target="http://www.sec.gov/Archives/edgar/data/1610853/000156459021030425/hsdt-ex101_8.htm" TargetMode="External"/><Relationship Id="rId64" Type="http://schemas.openxmlformats.org/officeDocument/2006/relationships/hyperlink" Target="http://www.sec.gov/Archives/edgar/data/1610853/000156459018028537/hsdt-ex103_18.htm" TargetMode="External"/><Relationship Id="rId65" Type="http://schemas.openxmlformats.org/officeDocument/2006/relationships/hyperlink" Target="http://www.sec.gov/Archives/edgar/data/1610853/000156459021032871/hsdt-ex101_9.htm" TargetMode="External"/><Relationship Id="rId66" Type="http://schemas.openxmlformats.org/officeDocument/2006/relationships/hyperlink" Target="http://www.sec.gov/Archives/edgar/data/1610853/000156459021032871/hsdt-ex102_8.htm" TargetMode="External"/><Relationship Id="rId67" Type="http://schemas.openxmlformats.org/officeDocument/2006/relationships/hyperlink" Target="http://www.sec.gov/Archives/edgar/data/1610853/000156459021032871/hsdt-ex103_7.htm" TargetMode="External"/><Relationship Id="rId68" Type="http://schemas.openxmlformats.org/officeDocument/2006/relationships/hyperlink" Target="http://www.sec.gov/Archives/edgar/data/1610853/000119312521209963/d164802dex45.htm" TargetMode="External"/><Relationship Id="rId69" Type="http://schemas.openxmlformats.org/officeDocument/2006/relationships/hyperlink" Target="http://www.sec.gov/Archives/edgar/data/1610853/000119312521209963/d164802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2021-08-12T15:28:16Z</dcterms:created>
  <dcterms:modified xsi:type="dcterms:W3CDTF">2021-08-12T15:28:16Z</dcterms:modified>
</cp:coreProperties>
</file>