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12" w:lineRule="exact"/>
        <w:rPr>
          <w:sz w:val="24"/>
          <w:szCs w:val="24"/>
          <w:color w:val="auto"/>
        </w:rPr>
      </w:pPr>
    </w:p>
    <w:p>
      <w:pPr>
        <w:ind w:left="700" w:right="439" w:hanging="641"/>
        <w:spacing w:after="0"/>
        <w:tabs>
          <w:tab w:leader="none" w:pos="700" w:val="left"/>
        </w:tabs>
        <w:numPr>
          <w:ilvl w:val="0"/>
          <w:numId w:val="1"/>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6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12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700" w:right="439" w:hanging="641"/>
        <w:spacing w:after="0"/>
        <w:tabs>
          <w:tab w:leader="none" w:pos="70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001-38445</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HELIUS MEDICAL TECHNOLOGIES,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77470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77" w:lineRule="exact"/>
        <w:rPr>
          <w:sz w:val="24"/>
          <w:szCs w:val="24"/>
          <w:color w:val="auto"/>
        </w:rPr>
      </w:pPr>
    </w:p>
    <w:tbl>
      <w:tblPr>
        <w:tblLayout w:type="fixed"/>
        <w:tblInd w:w="1180" w:type="dxa"/>
        <w:tblCellMar>
          <w:top w:w="0" w:type="dxa"/>
          <w:left w:w="0" w:type="dxa"/>
          <w:bottom w:w="0" w:type="dxa"/>
          <w:right w:w="0" w:type="dxa"/>
        </w:tblCellMar>
      </w:tblPr>
      <w:tr>
        <w:trPr>
          <w:trHeight w:val="166"/>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36-4787690</w:t>
            </w:r>
          </w:p>
        </w:tc>
      </w:tr>
      <w:tr>
        <w:trPr>
          <w:trHeight w:val="239"/>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9"/>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6"/>
              </w:rPr>
              <w:t>642 Newtown Yardley Road, Suite 100</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18940</w:t>
            </w:r>
          </w:p>
        </w:tc>
      </w:tr>
      <w:tr>
        <w:trPr>
          <w:trHeight w:val="135"/>
        </w:trPr>
        <w:tc>
          <w:tcPr>
            <w:tcW w:w="4920" w:type="dxa"/>
            <w:vAlign w:val="bottom"/>
          </w:tcPr>
          <w:p>
            <w:pPr>
              <w:jc w:val="center"/>
              <w:ind w:right="27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Newtown, Pennsylvania</w:t>
            </w:r>
          </w:p>
        </w:tc>
        <w:tc>
          <w:tcPr>
            <w:tcW w:w="1160" w:type="dxa"/>
            <w:vAlign w:val="bottom"/>
          </w:tcPr>
          <w:p>
            <w:pPr>
              <w:spacing w:after="0"/>
              <w:rPr>
                <w:sz w:val="11"/>
                <w:szCs w:val="11"/>
                <w:color w:val="auto"/>
              </w:rPr>
            </w:pPr>
          </w:p>
        </w:tc>
      </w:tr>
      <w:tr>
        <w:trPr>
          <w:trHeight w:val="180"/>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98"/>
        </w:trPr>
        <w:tc>
          <w:tcPr>
            <w:tcW w:w="492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rPr>
              <w:t>(215) 944-6100</w:t>
            </w:r>
          </w:p>
        </w:tc>
        <w:tc>
          <w:tcPr>
            <w:tcW w:w="1160" w:type="dxa"/>
            <w:vAlign w:val="bottom"/>
          </w:tcPr>
          <w:p>
            <w:pPr>
              <w:spacing w:after="0"/>
              <w:rPr>
                <w:sz w:val="17"/>
                <w:szCs w:val="17"/>
                <w:color w:val="auto"/>
              </w:rPr>
            </w:pPr>
          </w:p>
        </w:tc>
      </w:tr>
      <w:tr>
        <w:trPr>
          <w:trHeight w:val="166"/>
        </w:trPr>
        <w:tc>
          <w:tcPr>
            <w:tcW w:w="4920" w:type="dxa"/>
            <w:vAlign w:val="bottom"/>
          </w:tcPr>
          <w:p>
            <w:pPr>
              <w:jc w:val="center"/>
              <w:ind w:left="165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160" w:type="dxa"/>
            <w:vAlign w:val="bottom"/>
          </w:tcPr>
          <w:p>
            <w:pPr>
              <w:spacing w:after="0"/>
              <w:rPr>
                <w:sz w:val="14"/>
                <w:szCs w:val="14"/>
                <w:color w:val="auto"/>
              </w:rPr>
            </w:pPr>
          </w:p>
        </w:tc>
      </w:tr>
    </w:tbl>
    <w:p>
      <w:pPr>
        <w:spacing w:after="0" w:line="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2"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HSDT</w:t>
            </w:r>
          </w:p>
        </w:tc>
        <w:tc>
          <w:tcPr>
            <w:tcW w:w="24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5" w:lineRule="exact"/>
        <w:rPr>
          <w:sz w:val="24"/>
          <w:szCs w:val="24"/>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120" w:val="left"/>
          <w:tab w:leader="none" w:pos="2680" w:val="left"/>
        </w:tabs>
        <w:rPr>
          <w:sz w:val="20"/>
          <w:szCs w:val="20"/>
          <w:color w:val="auto"/>
        </w:rPr>
      </w:pPr>
      <w:r>
        <w:rPr>
          <w:rFonts w:ascii="Times New Roman" w:cs="Times New Roman" w:eastAsia="Times New Roman" w:hAnsi="Times New Roman"/>
          <w:sz w:val="14"/>
          <w:szCs w:val="14"/>
          <w:color w:val="auto"/>
        </w:rPr>
        <w:t>requirements for the past 90 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173" w:lineRule="exact"/>
        <w:rPr>
          <w:sz w:val="24"/>
          <w:szCs w:val="24"/>
          <w:color w:val="auto"/>
        </w:r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right="1399"/>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7, 2024, the registrant had 3,728,172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478790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67310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101600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60" w:type="dxa"/>
            <w:vAlign w:val="bottom"/>
            <w:gridSpan w:val="3"/>
          </w:tcPr>
          <w:p>
            <w:pPr>
              <w:spacing w:after="0"/>
              <w:rPr>
                <w:sz w:val="17"/>
                <w:szCs w:val="17"/>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38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 as of September 30, 2024 and December 31, 2023</w:t>
            </w:r>
          </w:p>
        </w:tc>
        <w:tc>
          <w:tcPr>
            <w:tcW w:w="38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nine months ended September 30, 2024 and 2023</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 for the three and nine months</w:t>
            </w:r>
          </w:p>
        </w:tc>
        <w:tc>
          <w:tcPr>
            <w:tcW w:w="40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September 30, 2024 and 2023</w:t>
            </w:r>
          </w:p>
        </w:tc>
        <w:tc>
          <w:tcPr>
            <w:tcW w:w="51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w:t>
            </w:r>
          </w:p>
        </w:tc>
        <w:tc>
          <w:tcPr>
            <w:tcW w:w="3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2024 and 2023</w:t>
            </w:r>
          </w:p>
        </w:tc>
        <w:tc>
          <w:tcPr>
            <w:tcW w:w="6440" w:type="dxa"/>
            <w:vAlign w:val="bottom"/>
            <w:tcBorders>
              <w:top w:val="single" w:sz="8" w:color="0000EE"/>
            </w:tcBorders>
            <w:gridSpan w:val="14"/>
          </w:tcPr>
          <w:p>
            <w:pPr>
              <w:spacing w:after="0"/>
              <w:rPr>
                <w:sz w:val="17"/>
                <w:szCs w:val="17"/>
                <w:color w:val="auto"/>
              </w:rPr>
            </w:pPr>
          </w:p>
        </w:tc>
        <w:tc>
          <w:tcPr>
            <w:tcW w:w="2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9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00" w:type="dxa"/>
            <w:vAlign w:val="bottom"/>
            <w:tcBorders>
              <w:left w:val="single" w:sz="8" w:color="0000EE"/>
            </w:tcBorders>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200" w:type="dxa"/>
            <w:vAlign w:val="bottom"/>
            <w:gridSpan w:val="2"/>
          </w:tcPr>
          <w:p>
            <w:pPr>
              <w:spacing w:after="0"/>
              <w:rPr>
                <w:sz w:val="24"/>
                <w:szCs w:val="24"/>
                <w:color w:val="auto"/>
              </w:rPr>
            </w:pPr>
          </w:p>
        </w:tc>
        <w:tc>
          <w:tcPr>
            <w:tcW w:w="14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3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98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44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1.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04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1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9"/>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r>
      <w:tr>
        <w:trPr>
          <w:trHeight w:val="197"/>
        </w:trPr>
        <w:tc>
          <w:tcPr>
            <w:tcW w:w="6040" w:type="dxa"/>
            <w:vAlign w:val="bottom"/>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1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8"/>
        </w:trPr>
        <w:tc>
          <w:tcPr>
            <w:tcW w:w="60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150,000,000 shares authorized;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3,646,121 and 714,590 shares issued and outstanding as of September 30, 2024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162,979</w:t>
            </w: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(159,957)</w:t>
            </w: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10"/>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10"/>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223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w:t>
      </w:r>
      <w:r>
        <w:rPr>
          <w:rFonts w:ascii="Times New Roman" w:cs="Times New Roman" w:eastAsia="Times New Roman" w:hAnsi="Times New Roman"/>
          <w:sz w:val="18"/>
          <w:szCs w:val="18"/>
          <w:color w:val="auto"/>
        </w:rPr>
        <w:t>(in thousands, except share and per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3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asset impairment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(5.49)</w:t>
            </w:r>
          </w:p>
        </w:tc>
        <w:tc>
          <w:tcPr>
            <w:tcW w:w="1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2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1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common shares</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3,740,625</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667,809</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2,363,718</w:t>
            </w:r>
          </w:p>
        </w:tc>
        <w:tc>
          <w:tcPr>
            <w:tcW w:w="2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0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3,740,625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667,809</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2,363,718</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573,950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345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w:t>
      </w:r>
      <w:r>
        <w:rPr>
          <w:rFonts w:ascii="Times New Roman" w:cs="Times New Roman" w:eastAsia="Times New Roman" w:hAnsi="Times New Roman"/>
          <w:sz w:val="18"/>
          <w:szCs w:val="18"/>
          <w:color w:val="auto"/>
        </w:rPr>
        <w:t>(in thousands, except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700" w:type="dxa"/>
            <w:vAlign w:val="bottom"/>
            <w:gridSpan w:val="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80" w:type="dxa"/>
            <w:vAlign w:val="bottom"/>
          </w:tcPr>
          <w:p>
            <w:pPr>
              <w:spacing w:after="0"/>
              <w:rPr>
                <w:sz w:val="15"/>
                <w:szCs w:val="15"/>
                <w:color w:val="auto"/>
              </w:rPr>
            </w:pPr>
          </w:p>
        </w:tc>
        <w:tc>
          <w:tcPr>
            <w:tcW w:w="1700" w:type="dxa"/>
            <w:vAlign w:val="bottom"/>
            <w:tcBorders>
              <w:bottom w:val="single" w:sz="8" w:color="auto"/>
            </w:tcBorders>
            <w:gridSpan w:val="7"/>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1, 2024</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3,198,196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$ 170,666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447,925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3,646,121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$ 171,993</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(167,771)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 1, 2023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565,358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$ 160,470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198"/>
        </w:trPr>
        <w:tc>
          <w:tcPr>
            <w:tcW w:w="31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$ 162,391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345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w:t>
      </w:r>
      <w:r>
        <w:rPr>
          <w:rFonts w:ascii="Times New Roman" w:cs="Times New Roman" w:eastAsia="Times New Roman" w:hAnsi="Times New Roman"/>
          <w:sz w:val="18"/>
          <w:szCs w:val="18"/>
          <w:color w:val="auto"/>
        </w:rPr>
        <w:t>(in thousands, except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920" w:type="dxa"/>
            <w:vAlign w:val="bottom"/>
            <w:gridSpan w:val="9"/>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920" w:type="dxa"/>
            <w:vAlign w:val="bottom"/>
            <w:gridSpan w:val="9"/>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714,590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853,200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warrants in public offering</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1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2,076,103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0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3,646,121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564,094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159,645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687,799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419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Cash Flows </w:t>
      </w: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3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asset impairment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(reversal of) inventory reserve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66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5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r>
      <w:tr>
        <w:trPr>
          <w:trHeight w:val="196"/>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warrant liability reclassified to equity on exercise of warrants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offering costs reclassified to equity upon public offering</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proceeds due from transfer agent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of Helius Medical Technologies, Inc. (together with its wholly owned subsidiaries the “Company”) have been prepared in accordance with the rules and regulations of the Securities and Exchange Commission ("SEC") and should be read in conjunction with the audited consolidated financial statements and notes included in the Company’s Annual Report on Form 10-K for the year ended December 31, 2023 that was filed with the Securities and Exchange Commission on March 28, 2024 (“2023 10-K”). Certain information and footnote disclosures normally included in financial statements prepared in accordance with generally accepted accounting principles in the United States of America ("GAAP") have been condensed or omitted.</w:t>
      </w:r>
    </w:p>
    <w:p>
      <w:pPr>
        <w:spacing w:after="0" w:line="18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from those described in the 2023 Form 10-K. Certain prior period amounts have been reclassified to conform to the current period presentation.</w:t>
      </w:r>
    </w:p>
    <w:p>
      <w:pPr>
        <w:spacing w:after="0" w:line="162"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in the financial statements. Actual results could differ from those estimates.</w:t>
      </w:r>
    </w:p>
    <w:p>
      <w:pPr>
        <w:spacing w:after="0" w:line="14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reflect all adjustments necessary for a fair statement of the results for the interim periods presented. All such adjustments, unless otherwise noted herein, are of a normal, recurring nature. The results of operations for the interim periods are not necessarily indicative of the results of operations to be expected for the full year.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on May 24, 2023, our stockholders voted to approve a reverse stock split of our outstanding Class A common stock (“Common Stock”) at a ratio in the range of 1-for-10 to 1-for-80 to be determined at the discretion of the Company’s Board of Directors (the “Board”). On August 11, 2023, the Board approved a 1-for-50 reverse stock split of the Company’s issued and outstanding Common Stock (the “Reverse Stock Split”). Refer to Note 6 for additional information.</w:t>
      </w:r>
    </w:p>
    <w:p>
      <w:pPr>
        <w:spacing w:after="0" w:line="183"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All issued and outstanding Common Stock and per share amounts contained in the financial statements have been retroactively adjusted to reflect this Reverse Stock Split for all periods presented. In addition, a proportionate adjustment was made to the per share exercise price and the number of shares issuable upon the exercise of all outstanding stock options, restricted stock units and warrants to purchase shares of Common Stock. In accordance with the terms of the warrant agreement for the public warrants described further in Note 6, the exercise price for these warrants was reset to the volume-weighted average price for the five days following the Reverse Stock Split. A proportionate adjustment was also made to the number of shares reserved for issuance pursuant to the Company’s equity incentive compensation plans to reflect the Reverse Stock Split. Any fraction of a share of Common Stock that was created as a result of the Reverse Stock Split was rounded down to the next whole share and stockholders received cash settlement equal to the market value of the fractional share, determined by multiplying such fraction by the closing sales price of the Company’s Common Stock as reported on Nasdaq on the last trading day before the Reverse Stock Split effective date. The authorized shares and par value of the Common Stock and preferred stock were not adjusted as a result of the Reverse Stock Split.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 Uncertainty</w:t>
      </w:r>
    </w:p>
    <w:p>
      <w:pPr>
        <w:spacing w:after="0" w:line="22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As of September 30, 2024, the Company had cash and cash equivalents of $3.5 million. For the nine months ended September 30, 2024, the Company had an operating loss of $10.8 million, and as of September 30, 2024, its accumulated deficit was $167.8 million. For the nine months ended September 30, 2024, the Company had $0.3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factors indicate substantial doubt about the Company’s ability to continue as a going concern within one year after the date the consolidated financial statements are filed. The Company’s Unaudited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68"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Economic Conditions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Generally, worldwide economic conditions remain uncertain, particularly due to the conflict between Russia and Ukraine, as well as in the Middle East between Israel and Hamas, disruptions in the banking system and financial markets and increased inflation. The general economic and capital market conditions both in the United States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Changes in economic conditions, supply chain constraints, logistics challenges, labor shortages, the effects of conflicts in Ukraine and the Middle East, disruptions in the banking system and financial markets, high levels of inflation and an increase in interest rates have increased costs and have had and may continue to have a negative impact on the Company’s business. Although the Company has taken and may continue to take measures to mitigate these impacts, if these measures are not effective, the Company’s business, financial condition, results of operations, and liquidity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b w:val="1"/>
          <w:bCs w:val="1"/>
          <w:color w:val="212529"/>
        </w:rPr>
        <w:t>RECENT ACCOUNTING PRONOUNCEMENTS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2024 Form 10-K and interim periods thereafter. The Company is currently evaluating the ASU to determine its impact on the Company's disclosures.</w:t>
      </w:r>
    </w:p>
    <w:p>
      <w:pPr>
        <w:spacing w:after="0" w:line="18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guidance requires expanded annual disclosures including the standardization and disaggregation of income tax rate reconciliation categories and the amount of income taxes paid by jurisdiction. The guidance is effective for the Company’s fiscal 2025 Form 10-K. The Company is currently evaluating the ASU to determine its impact on the Company’s disclosures.</w:t>
      </w:r>
    </w:p>
    <w:p>
      <w:pPr>
        <w:spacing w:after="0" w:line="183"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SEC adopted rules under SEC Release No. 33-11275, </w:t>
      </w:r>
      <w:r>
        <w:rPr>
          <w:rFonts w:ascii="Times New Roman" w:cs="Times New Roman" w:eastAsia="Times New Roman" w:hAnsi="Times New Roman"/>
          <w:sz w:val="18"/>
          <w:szCs w:val="18"/>
          <w:i w:val="1"/>
          <w:iCs w:val="1"/>
          <w:color w:val="auto"/>
        </w:rPr>
        <w:t>The Enhancement and Standardization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Climate-Related Disclosures for Investors</w:t>
      </w:r>
      <w:r>
        <w:rPr>
          <w:rFonts w:ascii="Times New Roman" w:cs="Times New Roman" w:eastAsia="Times New Roman" w:hAnsi="Times New Roman"/>
          <w:sz w:val="18"/>
          <w:szCs w:val="18"/>
          <w:color w:val="auto"/>
        </w:rPr>
        <w:t>, which requires the disclosure of material Scope 1 and Scope 2 greenhouse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and other climate-related topics in annual reports and registration statements. For non-accelerated filers and smaller reporting companies, disclosure requirements will begin phasing in for fiscal years beginning on or after January 1, 2027, subject to legal challenges and the SEC's voluntary stay of the disclosure requirements. The Company is currently evaluating the impact these rules will have on its consolidated financial statements and related disclosures.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Statement—Reporting Comprehensive Income—Expense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guidance requires interim and annual disclosures of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income statement expense line items. The guidance is effective for the Company's fiscal 2027 Form 10-K and interim periods thereafter. The Company is currently evaluating the ASU to determine its impact on the Company's disclosures.</w:t>
      </w:r>
    </w:p>
    <w:p>
      <w:pPr>
        <w:spacing w:after="0" w:line="183"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Components of selected captions in the unaudited condensed consolidated balance sheets consisted of the following: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Accounts receivable from product sales are net of allowance for credit losses. The allowance for credit losses was $0 as of both September 30, 2024 and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 net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gross</w:t>
            </w:r>
          </w:p>
        </w:tc>
        <w:tc>
          <w:tcPr>
            <w:tcW w:w="1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reserve</w:t>
            </w:r>
          </w:p>
        </w:tc>
        <w:tc>
          <w:tcPr>
            <w:tcW w:w="1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1340" w:type="dxa"/>
            <w:vAlign w:val="bottom"/>
            <w:tcBorders>
              <w:top w:val="single" w:sz="8" w:color="auto"/>
              <w:bottom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0"/>
        </w:trPr>
        <w:tc>
          <w:tcPr>
            <w:tcW w:w="5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nine months ended September 30, 2024, $2 thousand of inventory was written off to the inventory reserve.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 (in thousands)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related</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 (in thousands)</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payable</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 benefits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Exclusive Distribution Agreement</w:t>
      </w:r>
    </w:p>
    <w:p>
      <w:pPr>
        <w:spacing w:after="0" w:line="227"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Pursuant to an Exclusive Distribution Agreement with Health Tech Connex Inc. (“HTC”) (“Exclusivity Agreement”) entered into on March 3, 2023, subject to certain terms and conditions, the Company granted to HTC the exclusive right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to provide PoNS Therapy in the Fraser Valley and Vancouver metro regions of British Columbia. HTC will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value of CAD$273 thousand, which is represented by the unamortized up-front payment under the former Co-Promotion Agreement. The initial term of the Exclusivity Agreement expires on December 31, 2027, and is renewable by HTC for one additional five-year term upon sixty days’ written notice to the Company.</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Deferred revenue as of both September 30, 2024 and December 31, 2023 is comprised of the remaining unamortized amount under the Exclusivity Agreement. Revenue recognized is included in Other revenue in the Unaudited Condensed Consolidated Statements of Operations and Comprehensive Loss.</w:t>
      </w:r>
    </w:p>
    <w:p>
      <w:pPr>
        <w:spacing w:after="0" w:line="172"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for office space with lease terms expiring in March 2025. The lease does not contain any options to extend. Operating lease costs for the three and nine months ended September 30, 2024 and 2023 were $11 thousand and $31 thousand, $14 thousand and $41 thousand, respectively.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2024 were as follows (in thousands):</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7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7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7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financial instruments for which the fair market value of such instruments may differ from amounts reflected on a historical cost basis. As of September 30, 2024 and December 31, 2023, financial instruments of the Company consist of cash equivalents, which were comprised of deposits of excess cash in an unrestricted money market savings account and a money market mutual fund. The carrying value of cash equivalents generally approximates fair value due to their short-term nature.</w:t>
      </w:r>
    </w:p>
    <w:p>
      <w:pPr>
        <w:spacing w:after="0" w:line="183"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The Company’s derivative liability as of September 30, 2024 and December 31, 2023 is comprised of warrants issued in connection with the registered public offering completed in August 2022 (“August 2022 Public Offering”) discussed in more detail in Note 8 to our Consolidated Financial Statements included our 2023 10-K. The derivative liability is classified as Level 3 within the fair value hierarchy and is required to be recorded at fair value on a recurring basis. See Note 6 for further information on the fair value of the derivative liability.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majority of the Company’s non-financial instruments, which include intangible assets, lease assets, inventories and property and equipment, are not required to be carried at fair value on a recurring basis. However, if certain triggering events occur (or at least annually for indefinite-lived intangible assets), a non-financial instrument is required to be evaluated for impairment. If the Company determines that the non-financial instrument is impaired, the Company would be required to write down the non-financial instrument to its fair value.</w:t>
      </w:r>
    </w:p>
    <w:p>
      <w:pPr>
        <w:spacing w:after="0" w:line="193"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PREFERRED STOCK AND WARRANTS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9, 2024, the Company closed on a registered public offering consisting of 704,999 shares of Common Stock (the “2024 Public Offering”), pre-funded warrants to purchase 2,147,222 shares of Common Stock (the “Pre-funded Warrants”) and accompanying Series A Warrants to purchase up to 2,852,221 shares of its Common Stock (“Series A Warrants”) and Series B Warrants to purchase up to 2,852,221 shares of its Common Stock (“Series B Warrants”, and together with the Series A Warrants, the “2024 Public Warrants”). The 2024 Public Offering price per share of Common Stock and accompanying Series A Warrants and Series B Warrants was $2.25, the public offering price per Pre-funded Warrant and accompanying Series A and Series B warrant was $2.249. The Pre-funded Warrants have an exercise price of $0.001 per share and 1,076,445 were exercised on the closing date. Net proceeds from the 2024 Public Offering, after deducting placement agent fees and expenses and other offering costs, were approximately $5.5 million.</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2024 Public Warrants have an exercise price of $2.25 per share and are exercisable upon issuance. The Series A Warrants will expire five years following the date of issuance and the Series B Warrants will expire twelve months following the date of issuance. The Pre-funded Warrants are exercisable upon issuance and may be exercised at any time until the Pre-funded Warrants are exercised in full.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June 23, 2023, the Company entered into a Sales Agreement (the “Sales Agreement”) with Roth Capital Partners, LLC (“Roth”) to create an at-the-market offering program (“ATM”) under which the Company may offer and sell shares with an aggregate offering price of up to $2.0 million. Roth is entitled to a fixed commission rate equal to up to 3% of the gross proceeds pursuant to the Sales Agreement. As of September 30, 2024, 201,211 shares have been sold under the ATM generating net proceeds of $1.8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On March 23, 2023, the Board of Directors declared a dividend of one one-thousandth of a share of Series B Preferred Stock (“Series B Preferred Stock”) for each outstanding share of Common Stock held of record on April 3, 2023. The value of the Series B Preferred Stock issued in connection with the stock dividend was immaterial.</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outstanding shares of Series B Preferred Stock voted together with the outstanding shares of the Company’s Common Stock, as a single class, exclusively with respect to a proposal giving the Board of Directors the authority, as it determines appropriate, to implement a reverse stock split within twelve months following the approval of such proposal by the Company’s stockholders as well as any proposal to adjourn any meeting of stockholders called for the purpose of voting on the foregoing matters.</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Each share of Series B Preferred Stock entitled the holder to 1,000,000 votes per share and each fraction of a share of Series B Preferred Stock had a ratable number of votes. The holder of Series B Preferred Stock, as such, are not entitled to receive dividends.</w:t>
      </w:r>
    </w:p>
    <w:p>
      <w:pPr>
        <w:spacing w:after="0" w:line="1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At the annual meeting of stockholders of the Company held on May 24, 2023, the Company’s stockholders approved an amendment to the Company’s Certificate of Incorporation to effect a reverse stock split of its outstanding Common Stock. All shares of Series B Preferred Stock that did not vote in person or by proxy were redeemed in whole by the Company. Shares of Series B Preferred Stock that did vote in person or by proxy will need to request redemption from</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Company at a rate of $0.001 per share in cash. As of September 30, 2024, no shareholders of Series B Preferred Stock have requested such redemption.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Company issued warrants to purchase an aggregate of 720,000 shares of Common Stock (“2022 Warrants”) in connection with the August 2022 Public Offering, as more fully described in Note 8 to our Consolidated Financial Statements included our 2023 10-K. The 2022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 Accordingly, the 2022 Warrants are being accounted for as a derivative liability instrument. As a result of the Company’s Reverse Stock Split on August 16, 2023, refer to Note 1, the exercise price on the 2022 Warrants was reset to $6.9135 per share based on the volume-weighted average price (“VWAP”) for the five stock trading days immediately following the Reverse Stock Split. On May 9, 2024, in connection with the 2024 Public Offering, the exercise price of the 2022 Warrants was again reset to $1.6163 per share based on the VWAP for the five stock trading days immediately following the announcement of the 2024 Public Offering.</w:t>
      </w:r>
    </w:p>
    <w:p>
      <w:pPr>
        <w:spacing w:after="0" w:line="192"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The fair value of the 2022 Warrants as of September 30, 2024 and December 31, 2023 was determined using both a Monte Carlo simulation model, which uses multiple input variables to determine the probability of the occurrence of a price reset or a fundamental transaction and the Black-Scholes option pricing model. The following table includes the share price and the inputs used to estimate the fair value of the warrants: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36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5"/>
                <w:szCs w:val="15"/>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360" w:type="dxa"/>
            <w:vAlign w:val="bottom"/>
            <w:shd w:val="clear" w:color="auto" w:fill="CCEEFF"/>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80" w:type="dxa"/>
            <w:vAlign w:val="bottom"/>
            <w:shd w:val="clear" w:color="auto" w:fill="CCEEFF"/>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term (in years)</w:t>
            </w:r>
          </w:p>
        </w:tc>
        <w:tc>
          <w:tcPr>
            <w:tcW w:w="1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91.90 %</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84.10 %</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3.59 %</w:t>
            </w:r>
          </w:p>
        </w:tc>
        <w:tc>
          <w:tcPr>
            <w:tcW w:w="28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3.96 %</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19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2022 Warrants as of September 30, 2024 and December 31, 2023 was $0.2 million and $3.3 million, respectively. The change in the fair value of the derivative liability was recognized as a component of nonoperating income (expense) in the Company’s Unaudited Condensed Consolidated Statements of Operations and Comprehensive Loss. 2022 Warrants were exercised to purchase of 23,400 shares of Common Stock at $6.9135 per share for $162 thousand in net proceeds and no 2022 Warrants were cancelled during the nine months ended September 30, 2024. The portion of the derivative liability relating to the exercised warrants of $101 thousand was reclassified into stockholders’ equity based on the fair value on the date of reclassification. The remaining outstanding 2022 Warrants to purchase 603,690 shares of Common Stock are classified as a derivative liability as of September 30, 2024, are exercisable upon issuance and will expire five years following the date of issuance.</w:t>
      </w:r>
    </w:p>
    <w:p>
      <w:pPr>
        <w:spacing w:after="0" w:line="188"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Company has outstanding equity-classified warrants to purchase 5,951,466 shares of Common Stock at a weighted average exercise price of $3.59, with expiration dates ranging from March 2025 to May 2029. The weighted average exercise price includes 94,444 Pre-funded Warrants with a nominal exercise price of $0.001 outstanding as of September 30, 2024. The weighted average exercise price excluding the outstanding Pre-funded Warrants is $3.65. During the nine months ended September 30, 2024, 2,052,778 equity-classified warrants were exercised for which 2,052,703 equity-classified warrants were settled as the result of the cashless exercise provision.</w:t>
      </w:r>
    </w:p>
    <w:p>
      <w:pPr>
        <w:spacing w:after="0" w:line="183"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may issue stock-based compensation awards under the Helius Medical Technologies, Inc. 2022 Equity Incentive Plan (as amended, the “2022 Plan”) or the Helius Medical Technologies, Inc. 2021 Inducement Plan (as amended, the “Inducement Plan”), as described more fully in the 2023 10-K. On January 1, 2023, pursuant to the automatic increase provision of the 2022 Plan, the number of shares authorized for issuance increased from 264,319 to 319,941. On May 30, 2024, the Board adopted a First Amendment (the “Amendment”) to the 2022 Plan. On June 27,</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2024, at the annual meeting of stockholders, the stockholders of the Company approved the Amendment. Pursuant to the terms and conditions of the Amendment, the 2022 Plan was amended to increase the aggregate number of shares of Common Stock that may be issued under the 2022 Plan to 2,089,000 new shares with an automatic increase on January 1st of each year by an amount equal to 5% of the Fully Diluted Shares (as defined in the 2022 Plan) as of the last day of the preceding calendar year. On July 2, 2024, the Company approved an amendment to the Inducement Plan pursuant to which, the Inducement Plan was amended to increase the aggregate number of shares of Common Stock that may be issued under the Inducement Plan to 150,000 new shares. As of September 30, 2024, the remaining shares available for grant were 17,155 under the 2022 Plan and 123,910 under the Inducement Plan.</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granted 1,832,500 stock options out of the 2022 Plan and 23,500 stock options out of the Inducement Plan at a weighted average exercise price of $0.96 per share. The options vest over one to four years and expire ten years after the grant date.</w:t>
      </w:r>
    </w:p>
    <w:p>
      <w:pPr>
        <w:spacing w:after="0" w:line="1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grant date fair values of the stock options were estimated using the Black-Scholes option pricing model using the following weighted average assumptions: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76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28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3"/>
                <w:szCs w:val="13"/>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128.73 %</w:t>
            </w:r>
          </w:p>
        </w:tc>
        <w:tc>
          <w:tcPr>
            <w:tcW w:w="280" w:type="dxa"/>
            <w:vAlign w:val="bottom"/>
          </w:tcPr>
          <w:p>
            <w:pPr>
              <w:spacing w:after="0"/>
              <w:rPr>
                <w:sz w:val="18"/>
                <w:szCs w:val="18"/>
                <w:color w:val="auto"/>
              </w:rPr>
            </w:pP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75.26 %</w:t>
            </w:r>
          </w:p>
        </w:tc>
        <w:tc>
          <w:tcPr>
            <w:tcW w:w="180" w:type="dxa"/>
            <w:vAlign w:val="bottom"/>
          </w:tcPr>
          <w:p>
            <w:pPr>
              <w:spacing w:after="0"/>
              <w:rPr>
                <w:sz w:val="18"/>
                <w:szCs w:val="18"/>
                <w:color w:val="auto"/>
              </w:rPr>
            </w:pPr>
          </w:p>
        </w:tc>
        <w:tc>
          <w:tcPr>
            <w:tcW w:w="1300" w:type="dxa"/>
            <w:vAlign w:val="bottom"/>
            <w:gridSpan w:val="2"/>
          </w:tcPr>
          <w:p>
            <w:pPr>
              <w:jc w:val="right"/>
              <w:ind w:right="50"/>
              <w:spacing w:after="0" w:line="216" w:lineRule="exact"/>
              <w:rPr>
                <w:sz w:val="20"/>
                <w:szCs w:val="20"/>
                <w:color w:val="auto"/>
              </w:rPr>
            </w:pPr>
            <w:r>
              <w:rPr>
                <w:rFonts w:ascii="Times New Roman" w:cs="Times New Roman" w:eastAsia="Times New Roman" w:hAnsi="Times New Roman"/>
                <w:sz w:val="18"/>
                <w:szCs w:val="18"/>
                <w:color w:val="auto"/>
              </w:rPr>
              <w:t xml:space="preserve">128.73 </w:t>
            </w: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79.43 %</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shd w:val="clear" w:color="auto" w:fill="CCEEFF"/>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300" w:type="dxa"/>
            <w:vAlign w:val="bottom"/>
            <w:gridSpan w:val="2"/>
          </w:tcPr>
          <w:p>
            <w:pPr>
              <w:jc w:val="right"/>
              <w:ind w:right="30"/>
              <w:spacing w:after="0" w:line="216" w:lineRule="exact"/>
              <w:rPr>
                <w:sz w:val="20"/>
                <w:szCs w:val="20"/>
                <w:color w:val="auto"/>
              </w:rPr>
            </w:pPr>
            <w:r>
              <w:rPr>
                <w:rFonts w:ascii="Times New Roman" w:cs="Times New Roman" w:eastAsia="Times New Roman" w:hAnsi="Times New Roman"/>
                <w:sz w:val="18"/>
                <w:szCs w:val="18"/>
                <w:color w:val="auto"/>
              </w:rPr>
              <w:t xml:space="preserve">0.00 </w:t>
            </w: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90"/>
              <w:spacing w:after="0" w:line="216" w:lineRule="exact"/>
              <w:rPr>
                <w:sz w:val="20"/>
                <w:szCs w:val="20"/>
                <w:color w:val="auto"/>
              </w:rPr>
            </w:pPr>
            <w:r>
              <w:rPr>
                <w:rFonts w:ascii="Times New Roman" w:cs="Times New Roman" w:eastAsia="Times New Roman" w:hAnsi="Times New Roman"/>
                <w:sz w:val="18"/>
                <w:szCs w:val="18"/>
                <w:color w:val="auto"/>
              </w:rPr>
              <w:t xml:space="preserve">0.00 </w:t>
            </w: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50"/>
              <w:spacing w:after="0" w:line="216" w:lineRule="exact"/>
              <w:rPr>
                <w:sz w:val="20"/>
                <w:szCs w:val="20"/>
                <w:color w:val="auto"/>
              </w:rPr>
            </w:pPr>
            <w:r>
              <w:rPr>
                <w:rFonts w:ascii="Times New Roman" w:cs="Times New Roman" w:eastAsia="Times New Roman" w:hAnsi="Times New Roman"/>
                <w:sz w:val="18"/>
                <w:szCs w:val="18"/>
                <w:color w:val="auto"/>
              </w:rPr>
              <w:t xml:space="preserve">0.00 </w:t>
            </w: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restricted stock units granted during the nine months ended September 30, 2024.</w:t>
      </w:r>
    </w:p>
    <w:p>
      <w:pPr>
        <w:spacing w:after="0" w:line="225"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an aggregate of 2,097,935 stock options outstanding with a weighted average exercise price of $9.75 per share and no unvested restricted stock units outstanding.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r>
      <w:tr>
        <w:trPr>
          <w:trHeight w:val="142"/>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9"/>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0"/>
        </w:trPr>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As of September 30, 2024, the total remaining unrecognized compensation expense related to nonvested stock options and restricted stock units was $1.9 million which will be amortized over the weighted-average remaining requisite service period of 0.8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LOSS PER SHARE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computation of basic and diluted loss per share (in thousands, except share and per share information):</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2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 available to common stockholders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basic</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outstanding — basic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3,740,625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99"/>
              </w:rPr>
              <w:t>667,809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2,363,718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per share - basic</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Net loss available to common stockholders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diluted </w:t>
            </w:r>
            <w:r>
              <w:rPr>
                <w:rFonts w:ascii="Times New Roman" w:cs="Times New Roman" w:eastAsia="Times New Roman" w:hAnsi="Times New Roman"/>
                <w:sz w:val="21"/>
                <w:szCs w:val="21"/>
                <w:color w:val="auto"/>
                <w:vertAlign w:val="superscript"/>
              </w:rPr>
              <w:t>(2)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outstanding — diluted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9"/>
              </w:rPr>
              <w:t>667,809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2,363,718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per share — diluted</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119" w:hanging="317"/>
        <w:spacing w:after="0" w:line="247" w:lineRule="auto"/>
        <w:tabs>
          <w:tab w:leader="none" w:pos="8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May 2024 in connection with the 2024 Public Offering the Company issued and sold Pre-funded Warrants exercisable for an aggregate of 2,147,222 shares of Common Stock. The total price of the Pre-funded Warrants is $2.25 per share, $2.249 of which was pre-funded and paid to the Company upon issuance of the Pre-funded Warrants. The exercise price of the Pre-funded Warrants is $0.001 per share. The Pre-funded Warrants are immediately exercisable and do not expire. As of September 30, 2024, 1,604,778 Pre-funded Warrants were exercised and 94,444 Pre-funded Warrants remained outstanding. As the remaining shares underlying the Pre-funded Warrants are exercisable for nominal consideration of $0.001 per share, 94,444 in common shares underlying the unexercised Pre-funded Warrants were considered outstanding for purposes of the calculation of loss per share for the three and nine months ended September 30, 2024. Refer to Note 6 for additional information about the 2024 Public Offering and the Pre-funded Warrants.</w:t>
      </w:r>
    </w:p>
    <w:p>
      <w:pPr>
        <w:spacing w:after="0" w:line="179" w:lineRule="exact"/>
        <w:rPr>
          <w:rFonts w:ascii="Times New Roman" w:cs="Times New Roman" w:eastAsia="Times New Roman" w:hAnsi="Times New Roman"/>
          <w:sz w:val="22"/>
          <w:szCs w:val="22"/>
          <w:color w:val="auto"/>
          <w:vertAlign w:val="superscript"/>
        </w:rPr>
      </w:pPr>
    </w:p>
    <w:p>
      <w:pPr>
        <w:ind w:left="880" w:hanging="317"/>
        <w:spacing w:after="0"/>
        <w:tabs>
          <w:tab w:leader="none" w:pos="8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For the nine months ended September 30, 2024 and 2023, no adjustment was made to the numerator.</w:t>
      </w:r>
    </w:p>
    <w:p>
      <w:pPr>
        <w:spacing w:after="0" w:line="198"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8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60" w:type="dxa"/>
            <w:vAlign w:val="bottom"/>
          </w:tcPr>
          <w:p>
            <w:pPr>
              <w:spacing w:after="0"/>
              <w:rPr>
                <w:sz w:val="15"/>
                <w:szCs w:val="15"/>
                <w:color w:val="auto"/>
              </w:rPr>
            </w:pPr>
          </w:p>
        </w:tc>
        <w:tc>
          <w:tcPr>
            <w:tcW w:w="1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3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2,097,935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2,097,935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245,972</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16"/>
        </w:trPr>
        <w:tc>
          <w:tcPr>
            <w:tcW w:w="5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638,943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6,460,712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731,853</w:t>
            </w:r>
          </w:p>
        </w:tc>
      </w:tr>
    </w:tbl>
    <w:p>
      <w:pPr>
        <w:spacing w:after="0" w:line="9" w:lineRule="exact"/>
        <w:rPr>
          <w:sz w:val="20"/>
          <w:szCs w:val="20"/>
          <w:color w:val="auto"/>
        </w:rPr>
      </w:pPr>
    </w:p>
    <w:p>
      <w:pPr>
        <w:ind w:left="880" w:right="79" w:hanging="317"/>
        <w:spacing w:after="0" w:line="234" w:lineRule="auto"/>
        <w:tabs>
          <w:tab w:leader="none" w:pos="880" w:val="left"/>
        </w:tabs>
        <w:numPr>
          <w:ilvl w:val="1"/>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Anti-dilutive warrants include the 2022 Warrants, Series A Warrants, Series B Warrants and other equity classified warrants that are out-of-the-money.</w:t>
      </w:r>
    </w:p>
    <w:p>
      <w:pPr>
        <w:spacing w:after="0" w:line="200" w:lineRule="exact"/>
        <w:rPr>
          <w:rFonts w:ascii="Times New Roman" w:cs="Times New Roman" w:eastAsia="Times New Roman" w:hAnsi="Times New Roman"/>
          <w:sz w:val="22"/>
          <w:szCs w:val="22"/>
          <w:color w:val="auto"/>
          <w:vertAlign w:val="superscript"/>
        </w:rPr>
      </w:pPr>
    </w:p>
    <w:p>
      <w:pPr>
        <w:spacing w:after="0" w:line="238" w:lineRule="exact"/>
        <w:rPr>
          <w:rFonts w:ascii="Times New Roman" w:cs="Times New Roman" w:eastAsia="Times New Roman" w:hAnsi="Times New Roman"/>
          <w:sz w:val="22"/>
          <w:szCs w:val="22"/>
          <w:color w:val="auto"/>
          <w:vertAlign w:val="superscript"/>
        </w:rPr>
      </w:pPr>
    </w:p>
    <w:p>
      <w:pPr>
        <w:ind w:left="360" w:hanging="310"/>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 is obligated under a license agreement with Advanced NeuroRehabilitation, LLC to pay a 4% royalty on net revenue collected from the sale of devices covered by the patent-pending technology. During the three and nine months ended September 30, 2024 and 2023, the Company recorded royalty expense from the sale of devices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approximately $1 thousand and $13 thousand, $5 thousand and $19 thousand, respectively, in its Unaudited Condensed Consolidated Statements of Operations and Comprehensive Loss.</w:t>
      </w:r>
    </w:p>
    <w:p>
      <w:pPr>
        <w:spacing w:after="0" w:line="158" w:lineRule="exact"/>
        <w:rPr>
          <w:sz w:val="20"/>
          <w:szCs w:val="20"/>
          <w:color w:val="auto"/>
        </w:rPr>
      </w:pPr>
    </w:p>
    <w:p>
      <w:pPr>
        <w:ind w:left="460" w:hanging="410"/>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ENTERPRISE-WIDE DISCLOSURES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discrete financial information is available that is evaluated regularly by the chief operating decision maker (“CODM”) in deciding how to allocate resources and in assessing performance. Our CODM is the Chief Executive Officer. The Company operates and manages its business within one operating and reportable segment related to the sale of PoNS devices directly to patients in the United States and to clinics in Canada.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 area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2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 sales, net</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0"/>
        </w:trPr>
        <w:tc>
          <w:tcPr>
            <w:tcW w:w="3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Seven and two customers accounted for 100% and 75% of net product sales for the three and nine months ended September 30, 2024, respectively, and two customers accounted for 91% and 57% of net product sales for the three and nine months ended September 30, 2023, respectively. Three customers accounted for 98% of accounts receivable, net as of September 30, 2024 and a single customer accounted for 83% of accounts receivable, net as of December 31,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 w:hanging="390"/>
        <w:spacing w:after="0"/>
        <w:tabs>
          <w:tab w:leader="none" w:pos="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 IMPAIRMENT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the Company identified an impairment indicator associated with its property and equipment and performed interim impairment tests on the long-lived tangible assets as a result of the planned change of the Company’s contract manufacturing partner. The interim impairment tests were performed using estimated market prices. The Company determined that the fair value of certain long-lived tangible assets were lower than the related book values. Additionally, for certain long-lived tangible assets, it was more likely than not that those long-lived assets would be disposed significantly before the end of their previously estimated useful lives. As a result, impairment charges of $159 thousand were recorded in the third quarter of 2023 on its long-lived 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color w:val="auto"/>
        </w:rPr>
        <w:t>Unless otherwise specified or the context otherwise requires, references to “we,” “us,” “our,” “Helius” or “Company” mean Helius Medical Technologies, Inc. and its wholly owned operating subsidiaries, Helius Medical, Inc. and Helius Medical Technologies (Canada), Inc. The interim financial statements and this Management’s Discussion and Analysis of Financial Condition and Results of Operations should be read in conjunction with the financial statements and notes thereto for</w:t>
      </w:r>
    </w:p>
    <w:p>
      <w:pPr>
        <w:spacing w:after="0" w:line="3"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7"/>
          <w:szCs w:val="17"/>
          <w:color w:val="auto"/>
        </w:rPr>
        <w:t>the year ended December 31, 2023, and the related Management’s Discussion and Analysis of Financial Condition and Results of Operations, both of which are contained in our Annual Report on Form 10-K for the year ended December 31, 2023 filed with the Securities and Exchange Commission (“SEC”) on March 28, 2024 (the “2023 10-K”). All financial information is stated in U.S. dollars unless otherwise specified. Our Unaudited Condensed Consolidated Financial Statements are prepared in accordance with accounting principles generally accepted in the United States (“U.S. GAAP”).</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including statements regarding the Company’s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the Company’s future growth and operational progress including the Company’s plan to request that the Centers for Medicare &amp; Medicaid Services (“CMS”) revisit its final and proposed pricing for the mouthpiece and PoNS controller, expected enrollment, receipt of prescriptions and progress of commercialization of the PoNS device in the U.S., the impacts of the current global macroeconomic environment on the Company, the issuance by the CMS of rules regarding coverage of emerging technologies, clinical development plans, product development activities, the safety and effectiveness of the Company’s product, the manufacturing plans for the Company’s product, sufficiency of cash and availability of funds and operating costs and our ability to continue as a going concern and future liquidity. Such forward-looking statements involve risks and uncertainties, known and unknown, including capital requirements to achieve the Company’s business objectives, the impact on the Company of global macroeconomic conditions including effects from supply chain constraints, logistics challenges, labor shortages, disruptions in the banking system and financial markets, high levels of inflation and increased interest rates on the Company’s ability to operate its business and access capital markets, the success of the Company’s business plan, including the Company’s ability to secure contracts with rehabilitation clinics, obtain national Medicare coverage at an acceptable rate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the Company’s ability to maintain and enforce its intellectual property rights, clinical trials and the clinical development process, the product development process, the regulatory submission review and approval process, the Company’s operating costs and use of cash, and the Company’s ability to achieve significant revenues and other factors discussed in the section entitled “Item 1A. Risk Factors” in our 2023 10-K and those described from time to time in the Company’s future reports filed with the SEC. While these forward-looking statements, and any assumptions upon which they are based, are made in good faith, based on information available to the Company as of the date hereof, and reflect the Company’s current judgment regarding its business plans, Helius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200"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its unaudited condensed consolidated financial statements and related notes appearing elsewhere in this Quarterly Report on Form 10-Q.</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are a neurotechnology company focused on neurological wellness. Our purpose is to develop, license or acquire non-implantable technologies targeted at reducing symptoms of neurological disease or trauma.</w:t>
      </w:r>
    </w:p>
    <w:p>
      <w:pPr>
        <w:spacing w:after="0" w:line="154"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Our product, known as the Portable Neuromodulation Stimulator, or PoNS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is an innovative non-implantable medical device, inclusive of a controller and mouthpiece, which delivers mild electrical stimulation to the surface of the tongue to provide treatment of gait deficit and chronic balance deficit. PoNS Therapy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Presently, PoNS Therapy is not covered by CMS or reimbursed under contract by any third-party payers in the U.S. We are pursuing commercial insurance coverage and Medicare reimbursement for PoNS within the Durable Medical Equipment benefit category. On February 29, 2024, CMS assigned HCPCS Level II codes to the PoNS controller and PoNS mouthpiece, effective April 1, 2024. On May 2, 2024, CMS published a proposed fee schedule payment rates for the PoNS controller and PoNS mouthpiece to be discussed at CMS' bi-annual Healthcare Common Procedure Coding System (“HCPCS”) public meeting to be held on May 29, 2024. For the PoNS Controller (HCPCS Code A4593), CMS preliminarily set pricing by mapping reimbursement to existing code E0745, (Neuromuscular stimulator, electronic shock unit), resulting in a capped fee of $1,206.53. For the PoNS Mouthpiece (HCPCS code A4594), CMS based pricing on the previously offered, temporary, cash pay price of $4,500, resulting in a total capped payment of $3,075.53.</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subsequently provided CMS additional information to support reimbursement economics and presented that information at the public meeting with CMS on May 29, 2024 for consideration by CMS for determination of the final reimbursement amount for each of the PoNS controller and mouthpiece.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October 7, 2024, CMS posted the final payment rate for the PoNS Mouthpiece (HCPCS code A4594) at $2,963.30, which will be effective January 1, 2025 and deferred final national determination of the payment rate for the PoNS Controller (HCPCS Code A4593) to the next payment cycle. The Company has requested to meet with CMS prior to PoNS Mouthpiece pricing taking effect on January 1, 2025 to request that they revisit the starting point for the gap filling process to more appropriately use the market pricing established through negotiation with the VA and an insurance carrier.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8, 2024, CMS published the preliminary rate for the PoNS Controller (HCPCS Code A4593) at the capped total payment of $519.80, based on its view that the product is comparable to devices reported with HCPCS code E0730 (transcutaneous electrical nerve stimulation (TENS) device, four or more leads, for multiple nerve stimulation) to be effective April 1, 2025. The Company is scheduled to discuss the preliminary decision regarding the PoNS Controller at the HCPCS public meeting on November 8, 2024 where it plans to present the differences between the PoNS Controller from TENS devices. The Company will request that CMS set pricing for the PoNS Controller using the gap filling methodology that works off the government contract and insurance.</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August 9, 2024, we received written notice (the “Notification Letter”) from The Nasdaq Stock Market LLC (“Nasdaq”) notifying us that the Company was not in compliance with the minimum bid price requirements set forth in Nasdaq Listing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Rule 5550(a)(2) for continued listing on the Nasdaq Capital Market. Nasdaq Listing Rule 5550(a)(2) requires listed securities maintain a minimum closing bid price of $1.00 per share, and Nasdaq Listing Rule 5810(c)(3)(A) provides that a failure to meet the minimum closing bid price requirement exists if the deficiency continues for a period of 30 consecutive business days. Based on the closing bid price of the Company’s Class A common stock (“Common Stock”) for the 30 consecutive business days prior to the date of the Notification Letter, the Company did not meet the minimum closing bid price requirement. To regain compliance, the closing bid price of the Company’s Common Stock must be at least $1.00 per share for a minimum of 10 consecutive business days at any time prior to February 5, 2025. There can be no assurance that we will be able to regain compliance with the minimum bid price requirement and other Nasdaq listing criteria. If we fail to meet the applicable continued listing requirements for the Nasdaq Capital Market, Nasdaq may delist our Common Stock. If such delisting should occur, it would likely have a negative effect on the price of our Common Stock and would impair an investor’s ability to sell or purchase our Common Stock when desired.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 Additionally, Nasdaq rules allow an expedited delisting of securities of companies that have had one or more reverse stock splits with a cumulative ratio of one for 250 or more shares over the prior two-year period. Under these rules, if a company falls out of compliance with the $1.00 minimum bid price after completing reverse stock splits over the immediately preceding two years that cumulatively result in a ratio one for 250 shares, the company will not be able to avail itself of any compliance periods and Nasdaq will instead require the issuance of a Staff delisting determination, which is appealable to a hearings panel. Our ability to remain listed on the Nasdaq Capital Market may be negatively impacted by this Nasdaq rule.</w:t>
      </w:r>
    </w:p>
    <w:p>
      <w:pPr>
        <w:spacing w:after="0" w:line="18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discussed further in Note 6 to our unaudited condensed consolidated financial statements, in May 2024, the Company closed on a registered public offering of its Common Stock and warrants and received net proceeds of approximately $5.5 million.</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4, 2024, the Company received written notice from Nasdaq stating that the Company no longer complied with the minimum stockholders’ equity requirement under Nasdaq Listing Rule 5550(b)(1) for continued listing on The Nasdaq Stock Market LLC because the Company’s stockholders' equity, as reported in our 2023 10-K, had fallen below $2.5 million. The notice also indicated that the Company did not meet the alternative compliance standards. Under applicable Nasdaq rules, the Company had 45 calendar days from the date of the notice, or until May 20, 2024, to submit a plan to regain compliance. On May 31, 2024, the Company received formal notification from Nasdaq confirming that, following the consummation of a registered public offering on May 9, 2024, the Company regained compliance with the minimum stockholders’ equity requirement, and that the Company satisfied all other applicable criteria for continued listing on The Nasdaq Capital Market.</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received the first third-party reimbursement from a major insurance carrier at a 7% rebate, which results in pricing of $23,900 for the PoNS device, comprised of $16,554 for the PoNS controller and $7,347 for the PoNS mouthpiece, exclusive of rounding.</w:t>
      </w:r>
    </w:p>
    <w:p>
      <w:pPr>
        <w:spacing w:after="0" w:line="176"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Company partnered with Lovell Government Services, an SBA-certified Service-Disabled Veteran-Owned Small Business, to make the PoNS device available to federal healthcare systems. In May 2024, PoNS became available on the Veteran Affairs Federal Supply Schedule and General Services Administration Advantage Contracts at $23,843.72 for the PoNS device and $7,344.97 for the PoNS mouthpiece. In July 2024, PoNS became available to the Department of Defense and U.S. Military facilities on the Distribution and Pricing Agreement at $23,724.50 for the PoNS device and $7,308.25 for the PoNS mouthpiece.</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June 2024, the Company began establishing sales representative agreements with organizations and individuals to sell PoNS devices to Veterans Affairs (“VA”) facilities in the U.S. The Company has since established agreements with representatives covering facilities in Texas and east of the Mississippi with plans to expand west.</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reached alignment with the FDA on a registrational program to evaluate the therapeutic benefit of PoNS on gait and balance deficits in chronic stroke subjects that consists of a randomized controlled study and an open label study, targeting to enroll 60 and 30 subjects respectively, supported by additional data from 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investigator initiated clinical (“IIT”) trial in collaboration with Medical University of South Carolina (“MUSC”), aiming to enroll 60 subjects at two U.S. sites, including MUSC and Brooks Rehabilitation in Jacksonville, FL. To sustain the US registration for stroke, Helius has started, in the summer of 2024, the company-sponsored pivotal randomized controlled study (“HMI-RCT”) on the efficacy and safety of PoNS Therapy in people with chronic stroke at five to six Canadian and US centers of excellence for stroke rehabilitation. Sites have started enrollment in July are expected to complete target enrollment by the end of 2024. The company-sponsored open label study (“HMI-OLS”), which started early in 2024 and is currently ongoing at five U.S. sites, has completed the target enrollment of 30 participants on Sep 30, 2024. The results from the HMI- RCT and HMI-OLS will constitute the primary data package submission, which will be also supported by the results from the IIT, to obtain FDA authorization for stroke in the United States. Enrollment for the registrational program is expected to be completed by the end of 2024 with a submission to FDA targeted for mid-to-late 2025. An outcome research program to assess the effect of on-label PoNS Therapy on the risk of falling in subjects with gait and balance deficit due to stroke, traumatic brain injury, and multiple sclerosis is ongoing at three sites in Canada with results expected by the end of 2024.</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began implementing the transition of the manufacturing of PoNS device controllers and mouthpieces to Minnetronix, Inc. from its previous contract manufacturer, Key Tronic Corporation. The Company expects the transition to be substantially completed by the end of 2024.</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will continue to monitor the development of CMS’s new pathway for coverage of innovative new devices, Transitional Coverage of Emerging Technology (“TCET”), which is replacing the repealed Medicare Coverage of Innovative Technologies rule. CMS is expected to provide additional information about TCET to the public for comments in 2024. As we follow the evolution of TCET, we will continue to assess our evidence generation strategy to reach the greatest potential to gain CMS reimbursement benefits as a result of our breakthrough designation in MS.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intend to provide broad access and reimbursement for the PoNS Therapy over time through commercial insurers. Prior to the initiation of CMS or broad commercial payer coverage, we anticipate the primary source of sales will be self-pay and VA patients. We expect to support the cost of the PoNS Therapy by working with advocacy groups and charitable organizations to help self-pay patients access our technology. In general, we anticipate that it will take at least 24 months to obtain broad coverage and reimbursement among government and private payers from the date that the HCPCS codes became effective.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Trends and Uncertainties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Generally, worldwide economic conditions remain uncertain, in part due to supply chain disruptions, labor shortages, global conflicts and increased inflation. The general economic and capital market conditions both in the U.S. and worldwide, have been volatile in recent years and at times have adversely affected our access to capital and have increased the cost of capital. The capital and credit markets may not be available to support future capital raising activity on favorable terms. If economic conditions continue to remain volatile or decline, our future cost of equity or debt capital and access to the capital markets could be adversely affected.</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operating results could be materially impacted by changes in the overall macroeconomic environment and other economic factors. Changes in economic conditions, supply chain constraints, logistics challenges, labor shortages, global conflicts such as the conflicts in Ukraine and in the Middle East, and steps taken by governments and central banks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the Three Months Ended September 30, 2023</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loss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asset impairment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decrease in net product sales for the three months ended September 30, 2024 as compared to the same period in the prior year was primarily attributable to a decrease in U.S. sales of PoNS systems after the termination of our Patient Therapy Access Program (“PTAP”) on June 30, 2023 as well as the termination of the previously offered temporary cash pay pricing in May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cost of revenue for the three months ended September 30, 2024 reflects adjustments to excess inventory reserves resulting from advanced purchases relating to our third-party contract manufacturer transition and in part from adjustments to the production forecast based upon the continued delay by CMS in establish reimbursement pricing for the PoNS Mouthpiece and Controller.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Loss</w:t>
      </w:r>
    </w:p>
    <w:p>
      <w:pPr>
        <w:spacing w:after="0" w:line="229"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Gross loss for the three months ended September 30, 2024 was $136 thousand compared to $44 thousand for the same period in the prior year. The decrease was primarily a result of lower sales compared to the same period in the prior year and the impact of the inventory adjustment in cost of revenue.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the third quarter of 2024 as compared to the same period in prior year resulted primarily from a $0.9 million increase in stock-based compensation expense, partially offset by a $0.2 million decrease in costs relating to the transfer of third-party manufacturing as well as a $0.2 million in asset impairment expense in the prior year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was driven primarily by an increase in clinical trial activities for stroke and risk of fall programs.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Amortization expense was primarily comprised of the amortization of acquired finite-lived intangible assets. The change in amortization expense period over period is primarily due to certain intangible assets becoming fully amortized.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Fixed Asset Impairment</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we recorded an impairment of $159 thousand for certain machinery used in the production of our inventory.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Net interest expense for the three months ended September 30, 2024 compared to net interest income in the prior year period resulted from lower cash balances earning interest income year to year, respectively, offset by interest expense related to lease commitments.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warrants issued in connection with the public offering completed on August 9, 2022 are being accounted for as a derivative liability instrument. The gain on change in fair value of derivative liability for the three months ended September 30, 2024 of $0.2 million was primarily due to a decrease in our stock price.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 in foreign exchange (loss) gain was primarily due to fluctuations in the Canadian to U.S. dollar exchange rates.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September 30, 2024 was primarily attributable to dividend income earned on investments of excess cash in money market mutual funds.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 impairment</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Nonoperating income, net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The decrease in net product sales for the nine months ended September 30, 2024 as compared to the same period in the prior year was primarily attributable to decreased U.S. sales of PoNS systems after the termination of PTAP on June 30, 2023 and the temporary cash pay pricing in May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cost of revenue decrease for the nine months ended September 30, 2024 was primarily attributable to lower sales and inventory adjustments compared to the same period in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Gross loss for the nine months ended September 30, 2024 was $60 thousand compared to gross profit of $17 thousand for the same period in the prior year. The decrease was primarily a result of lower sales compared to the same period in the prior year, partially offset by lower inventory adjustment.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The increase in selling, general and administrative expenses in the nine months ended September 30, 2024 as compared to the same period in prior year was primarily attributable to a $0.9 million increase in stock-based compensation expense, partially offset by an absence of $0.2 million in asset impairment and a $0.3 million decrease in professional fees.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year-to-year was primarily comprised of clinical trial activities for stroke and risk of fall programs.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Amortization expense was primarily comprised of the amortization of acquired finite-lived intangible assets. The change in amortization expense period over period is primarily due to certain intangible assets becoming fully amortized.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Fixed Asset Impairment</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we recorded an impairment of $159 thousand for certain machinery used in the production of our inventory.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auto"/>
        </w:rPr>
        <w:t>Net interest expense for the nine months ended September 30, 2024 compared to net interest income in the prior year period resulted from lower cash balances earning interest income year to year, respectively, offset by interest expense related to lease commitments.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warrants issued in connection with the public offering completed on August 9, 2022 are being accounted for as a derivative liability instrument. The gain on change in fair value of derivative liability for the nine months ended September 30, 2024 of $3.0 million was primarily due to a decrease in our stock price.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 in foreign exchange gain (loss) was primarily due to fluctuations in the Canadian to U.S. dollar exchange rates.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Other income for the nine months ended September 30, 2024 was primarily attributable to dividend income earned on investments of excess cash in money market mutual funds.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working capital as of the end of the periods indicated in the table below (in thousands):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r>
    </w:tbl>
    <w:p>
      <w:pPr>
        <w:spacing w:after="0" w:line="39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Common Stock, which included $16.3 million in net proceeds we received from a public offering of our Common Stock and warrants completed in August 2022 as discussed in more detail in Note 8 to our Consolidated Financial Statements included our 2023 10-K. As discussed in more detail in Note 6 to our Unaudited Condensed Consolidated Financial Statements, the Company entered into a sales agreement related to our at-the-market offering program (“ATM”) under which we may offer and sell shares having gross proceeds up to $2.0 million. During the nine months ended September 30, 2024 the Company issued and sold shares with gross proceeds of $1.4 million under the ATM. As discussed in more detail in Note 6, the Company received gross proceeds of $0.2 million from the issuance of shares upon the exercise of warrants and a $5.5 million net proceeds from the 2024 Public Offering in the nine months ended September 30,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 (in thousands):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higher level of cash used in operating activities in the nine months ended September 30, 2024 primarily resulted from the increase in selling, general and administrative expenses as compared with the same period in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investing activities are primarily related to the purchases of property and equipment.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received net proceeds of $5.5 million from the issuance of Common Stock and warrants under the 2024 Public Offering, and $1.3 million in net proceeds from the issuance and sale of shares under the ATM. In addition, we received $0.2 million in net proceeds from the exercise of warrants.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Our ability to generate product revenues sufficient to achieve profitability will depend heavily on the successful commercialization of PoNS Therapy in the U.S. Our net loss was $7.8 million for each of the nine months ended September 30, 2024 and 2023. As of September 30, 2024, we had an accumulated deficit of $167.8 million. We expect to continue to incur significant expenses and operating losses for the foreseeable future. These and other factors indicate substantial doubt about our ability to continue as a going concern. Refer to Note 1 to our Unaudited Condensed Consolidated Financial Statements for additional discussion about our going concern uncertainty.</w:t>
      </w:r>
    </w:p>
    <w:p>
      <w:pPr>
        <w:spacing w:after="0" w:line="187"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as well as the $5.5 million net proceeds from the issuance of Common Stock and warrants in May 2024 will be sufficient to fund our operations into 2025,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8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Item 7 “Management’s Discussion and Analysis of Financial Condition and Results of Operations — Critical Accounting Policies and Estimates” of our 2023 10-K. There have been no changes in critical accounting policies in the current year from those described in our 2023 10-K.</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During the nine months ended September 30, 2024, our risk factors have not changed materially from those risk factors previously disclosed in our 2023 10-K except as set forth below. You should carefully consider the risk factors discussed in Part I, “Item 1A. Risk Factors” in our 2023 10-K. The risks described in our 2023 10-K are not the only risks facing us. Additional risks and uncertainties not currently known to us or that we currently deem to be immaterial also may materially and adversely affect our business, financial condition and/or operating results.</w:t>
      </w:r>
    </w:p>
    <w:p>
      <w:pPr>
        <w:spacing w:after="0" w:line="185"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Nasdaq may delist our Common Stock from its exchange which could limit your ability to make transactions in our securities and subject us to additional trading restrictions.</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August 9, 2024, we received a Notification Letter from the Listing Qualifications Staff (the “Staff”) of Nasdaq notifying us that because the closing bid price of our Common Stock was below $1.00 per share for the prior 30 consecutive business days, we are not in compliance with the minimum bid price requirement for continued listing on The Nasdaq Capital Market, as set forth in Nasdaq Marketplace Rule 5550(a)(2) (the “Minimum Bid Price Requirement”).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accordance with Nasdaq Marketplace Rule 5810(c)(3)(A), we have a period of 180 calendar days from August 9, 2024, or until February 5, 2025, to regain compliance with the Minimum Bid Price Requirement. If at any time before February 5, 2025, the closing bid price of our Common Stock closes at or above $1.00 per share for a minimum of 10 consecutive business days (which number days may be extended by Nasdaq), Nasdaq will provide written notification that we have achieved compliance with the Minimum Bid Price Requirement, and the matter would be resolved.</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Notification Letter also disclosed that in the event we do not regain compliance with the Rule by February 5, 2025, we may be eligible for additional time. To qualify for additional time, we would be required to meet the applicable market value of publicly held shares requirement for continued listing and all other applicable standards for initial listing on The Nasdaq Capital Market, with the exception of the bid price requirement, and would need to provide written notice of our intention to cure the deficiency during the second compliance period. If we meet these requirements, Nasdaq will inform us that it has been granted an additional 180 calendar days. However, if it appears to the Staff that we will not be able to cure the deficiency, or if we are otherwise not eligible, Nasdaq will provide notice that our securities will be subject to delisting.</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intend to continue actively monitor the closing bid price for our Common Stock between now and February 5, 2025, and will consider available options to resolve the deficiency and regain compliance with the Minimum Bid Price Requirement. If we do not regain compliance within the allotted compliance period, including any extensions that may be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granted by Nasdaq, Nasdaq will provide notice that our Common Stock will be subject to delisting. We would then be entitled to appeal that determination to a Nasdaq hearings panel. There can be no assurance that we will regain compliance with the Minimum Bid Price Requirement during the 180-day compliance period, secure a second period of 180 calendar days to regain compliance, or maintain compliance with the other Nasdaq listing requirements.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our Common Stock is delisted from Nasdaq, our ability to raise capital through public offerings of our securities and to finance our operations could be adversely affected.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5"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If CMS does not change its position on the reimbursement rates of the PoNS Controller and Mouthpiece, the use of our products may decline and our ability to generate revenue may be decreased.</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U.S., the commercial success of our existing and any future products largely depends on the extent to which governmental payers at the federal and state levels, including Medicare and Medicaid, private health insurers and other third-party payers provide coverage for and establish adequate reimbursement levels for our products. The existence of coverage and adequate reimbursement for our products by government and private payers is critical to market acceptance of our existing and future products. Suppliers are not likely to furnish our existing and any future products if they do not receive adequate reimbursement for our products.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Many private payers currently base their reimbursement policies on the coverage decisions and payment amounts determined by CMS, which administers the Medicare program. On October 7, 2024, CMS posted the final payment rate for the PoNS Mouthpiece at $2,963.30 to be effective January 1, 2025 and deferred final national determination of the payment rate for the PoNS Controller to the next payment cycle. On October 8, 2024, CMS published the preliminary rate for the PoNS Controller at the capped total payment of $519.80 to be effective April 1, 2025. We have requested to meet with CMS prior to the PoNS Mouthpiece pricing taking effect on January 1, 2025 to request that CMS considers increasing this rate by revisiting the starting point for the gap filling process to more appropriately use the market pricing established through our prior negotiation with the VA and an insurance carrier. In addition, we are scheduled to discuss the preliminary decision regarding the PoNS Controller at the HCPCS public meeting on November 8, 2024. At this meeting, we plan to request that CMS consider increasing the PoNS Controller reimbursement rate by presenting the differences between the PoNS Controller from TENS devices as CMS has based the current preliminary rate on its view that the PoNS Controller is comparable to devices reported with HCPCS code E0730 (transcutaneous electrical nerve stimulation (TENS) device, four or more leads, for multiple nerve stimulation). At this meeting, we will also request that CMS set pricing for the PoNS Controller using the gap filling methodology that works off the government contract and insurance.</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CMS is unwilling to change its positions with regards to the PoNS Controller and Mouthpiece reimbursement rates, we may not be able to sell our product profitably, and it could adversely affect our ability to market and sell our products and negatively affect our financial performance.</w:t>
      </w:r>
    </w:p>
    <w:p>
      <w:pPr>
        <w:spacing w:after="0" w:line="174"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We are currently in the process of transitioning our manufacturing functions to a new contract manufacturer and any delays in the manufacturing process as a result of this transition could harm our business.</w:t>
      </w:r>
    </w:p>
    <w:p>
      <w:pPr>
        <w:spacing w:after="0" w:line="16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have depended on our third-party contract manufacturing partner, Key Tronic Corporation, to manufacture and supply our PoNS device for clinical and commercial purposes. During the third quarter of 2023, the Company began implementing the transition of the manufacturing of PoNS systems and mouthpieces to Minnetronix, Inc. While the Company expects this transition to be substantially completed by the end of 2024, it is possible that the transition could create delays or disruptions in the manufacturing process. Any delays or disruptions in the manufacturing of our PoNS device during this transition could negatively impact our business.</w:t>
      </w:r>
    </w:p>
    <w:p>
      <w:pPr>
        <w:spacing w:after="0" w:line="183"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92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7380" w:type="dxa"/>
            <w:vAlign w:val="bottom"/>
            <w:tcBorders>
              <w:top w:val="single" w:sz="8" w:color="auto"/>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Certificate of Conversion filed with the Delaware Secretary of State on July 18, 2018 (incorporated by</w:t>
              </w:r>
            </w:hyperlink>
          </w:p>
        </w:tc>
        <w:tc>
          <w:tcPr>
            <w:tcW w:w="520" w:type="dxa"/>
            <w:vAlign w:val="bottom"/>
            <w:tcBorders>
              <w:top w:val="single" w:sz="8" w:color="auto"/>
            </w:tcBorders>
            <w:gridSpan w:val="8"/>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reference to Exhibit 3.1 to the Form 10-Q filed August 9, 2018)</w:t>
              </w:r>
            </w:hyperlink>
          </w:p>
        </w:tc>
        <w:tc>
          <w:tcPr>
            <w:tcW w:w="3340" w:type="dxa"/>
            <w:vAlign w:val="bottom"/>
            <w:gridSpan w:val="11"/>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7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Certificate of Incorporation, as corrected (incorporated by reference to Exhibit 3.1 to the Form 8-K filed</w:t>
              </w:r>
            </w:hyperlink>
          </w:p>
        </w:tc>
        <w:tc>
          <w:tcPr>
            <w:tcW w:w="420" w:type="dxa"/>
            <w:vAlign w:val="bottom"/>
            <w:gridSpan w:val="8"/>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October 30, 2018)</w:t>
              </w:r>
            </w:hyperlink>
          </w:p>
        </w:tc>
        <w:tc>
          <w:tcPr>
            <w:tcW w:w="6600" w:type="dxa"/>
            <w:vAlign w:val="bottom"/>
            <w:gridSpan w:val="16"/>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7920" w:type="dxa"/>
            <w:vAlign w:val="bottom"/>
            <w:gridSpan w:val="18"/>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Certificate of Incorporation (incorporated by reference to Exhibit 3.1 to the</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8-K filed on December 31, 2020)</w:t>
              </w:r>
            </w:hyperlink>
          </w:p>
        </w:tc>
        <w:tc>
          <w:tcPr>
            <w:tcW w:w="4680" w:type="dxa"/>
            <w:vAlign w:val="bottom"/>
            <w:tcBorders>
              <w:top w:val="single" w:sz="8" w:color="0000EE"/>
            </w:tcBorders>
            <w:gridSpan w:val="7"/>
          </w:tcPr>
          <w:p>
            <w:pPr>
              <w:spacing w:after="0"/>
              <w:rPr>
                <w:sz w:val="17"/>
                <w:szCs w:val="17"/>
                <w:color w:val="auto"/>
              </w:rPr>
            </w:pPr>
          </w:p>
        </w:tc>
        <w:tc>
          <w:tcPr>
            <w:tcW w:w="400" w:type="dxa"/>
            <w:vAlign w:val="bottom"/>
            <w:gridSpan w:val="7"/>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7"/>
                <w:szCs w:val="17"/>
                <w:color w:val="auto"/>
              </w:rPr>
            </w:pPr>
          </w:p>
        </w:tc>
        <w:tc>
          <w:tcPr>
            <w:tcW w:w="7920" w:type="dxa"/>
            <w:vAlign w:val="bottom"/>
            <w:gridSpan w:val="18"/>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Designation of the Series B Preferred Stock of the Registrant (incorporated by reference to</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Exhibit 3.1(a) to the Registration Statement on Form 8-A, filed on March 24, 2023)</w:t>
              </w:r>
            </w:hyperlink>
          </w:p>
        </w:tc>
        <w:tc>
          <w:tcPr>
            <w:tcW w:w="1500" w:type="dxa"/>
            <w:vAlign w:val="bottom"/>
            <w:tcBorders>
              <w:top w:val="single" w:sz="8" w:color="0000EE"/>
            </w:tcBorders>
            <w:gridSpan w:val="3"/>
          </w:tcPr>
          <w:p>
            <w:pPr>
              <w:spacing w:after="0"/>
              <w:rPr>
                <w:sz w:val="17"/>
                <w:szCs w:val="17"/>
                <w:color w:val="auto"/>
              </w:rPr>
            </w:pPr>
          </w:p>
        </w:tc>
        <w:tc>
          <w:tcPr>
            <w:tcW w:w="400" w:type="dxa"/>
            <w:vAlign w:val="bottom"/>
            <w:gridSpan w:val="7"/>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7"/>
                <w:szCs w:val="17"/>
                <w:color w:val="auto"/>
              </w:rPr>
            </w:pPr>
          </w:p>
        </w:tc>
        <w:tc>
          <w:tcPr>
            <w:tcW w:w="7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Corrected Certificate of Amendment to Certificate of Incorporation (incorporated by reference to Exhibit 3.1</w:t>
              </w:r>
            </w:hyperlink>
          </w:p>
        </w:tc>
        <w:tc>
          <w:tcPr>
            <w:tcW w:w="8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to the Form 8-K filed on August 16, 2023)</w:t>
              </w:r>
            </w:hyperlink>
          </w:p>
        </w:tc>
        <w:tc>
          <w:tcPr>
            <w:tcW w:w="4860" w:type="dxa"/>
            <w:vAlign w:val="bottom"/>
            <w:gridSpan w:val="13"/>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7"/>
                <w:szCs w:val="17"/>
                <w:color w:val="auto"/>
              </w:rPr>
            </w:pPr>
          </w:p>
        </w:tc>
        <w:tc>
          <w:tcPr>
            <w:tcW w:w="7920" w:type="dxa"/>
            <w:vAlign w:val="bottom"/>
            <w:gridSpan w:val="18"/>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Second Amended and Restated Bylaws (incorporated by reference to Exhibit 3.1 to the Form 8-K filed March</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7">
              <w:r>
                <w:rPr>
                  <w:rFonts w:ascii="Times New Roman" w:cs="Times New Roman" w:eastAsia="Times New Roman" w:hAnsi="Times New Roman"/>
                  <w:sz w:val="18"/>
                  <w:szCs w:val="18"/>
                  <w:color w:val="0000EE"/>
                  <w:w w:val="95"/>
                </w:rPr>
                <w:t>15, 2024)</w:t>
              </w:r>
            </w:hyperlink>
          </w:p>
        </w:tc>
        <w:tc>
          <w:tcPr>
            <w:tcW w:w="6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78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as adopted pursuant</w:t>
            </w:r>
          </w:p>
        </w:tc>
        <w:tc>
          <w:tcPr>
            <w:tcW w:w="10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4320" w:type="dxa"/>
            <w:vAlign w:val="bottom"/>
            <w:gridSpan w:val="12"/>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7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and Rule 15d-14(a), as adopted pursuant</w:t>
            </w:r>
          </w:p>
        </w:tc>
        <w:tc>
          <w:tcPr>
            <w:tcW w:w="14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4320" w:type="dxa"/>
            <w:vAlign w:val="bottom"/>
            <w:gridSpan w:val="12"/>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77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 Section</w:t>
            </w:r>
          </w:p>
        </w:tc>
        <w:tc>
          <w:tcPr>
            <w:tcW w:w="16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w:t>
            </w: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220" w:type="dxa"/>
            <w:vAlign w:val="bottom"/>
            <w:gridSpan w:val="6"/>
          </w:tcPr>
          <w:p>
            <w:pPr>
              <w:spacing w:after="0"/>
              <w:rPr>
                <w:sz w:val="17"/>
                <w:szCs w:val="17"/>
                <w:color w:val="auto"/>
              </w:rPr>
            </w:pPr>
          </w:p>
        </w:tc>
      </w:tr>
      <w:tr>
        <w:trPr>
          <w:trHeight w:val="21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8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100" w:type="dxa"/>
            <w:vAlign w:val="bottom"/>
            <w:gridSpan w:val="15"/>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80" w:right="79" w:hanging="330"/>
        <w:spacing w:after="0" w:line="253"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HELIUS MEDICAL TECHNOLOGIES,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2024</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89"/>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6"/>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2024</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89"/>
        </w:trPr>
        <w:tc>
          <w:tcPr>
            <w:tcW w:w="3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16"/>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Treasurer and Secretary</w:t>
            </w:r>
          </w:p>
        </w:tc>
      </w:tr>
      <w:tr>
        <w:trPr>
          <w:trHeight w:val="216"/>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w:t>
            </w:r>
          </w:p>
        </w:tc>
      </w:tr>
      <w:tr>
        <w:trPr>
          <w:trHeight w:val="236"/>
        </w:trPr>
        <w:tc>
          <w:tcPr>
            <w:tcW w:w="3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Dane C. Andreeff,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September 30, 2024 of Helius Medical Technologies, Inc.</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2"/>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Mathiesen,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September 30, 2024 of Helius Medical Technologies, Inc.</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205"/>
        </w:trPr>
        <w:tc>
          <w:tcPr>
            <w:tcW w:w="5160" w:type="dxa"/>
            <w:vAlign w:val="bottom"/>
          </w:tcPr>
          <w:p>
            <w:pPr>
              <w:spacing w:after="0"/>
              <w:rPr>
                <w:sz w:val="17"/>
                <w:szCs w:val="17"/>
                <w:color w:val="auto"/>
              </w:rPr>
            </w:pPr>
          </w:p>
        </w:tc>
        <w:tc>
          <w:tcPr>
            <w:tcW w:w="4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46"/>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HELIUS MEDICAL TECHNOLOGIES, INC. FORM 10-Q FOR THE QUARTER ENDED SEPTEMBER 30, 2024 PURSUANT TO 18 U.S.C. SECTION 1350, AS ADOPTED PURSUANT TO SECTION 906 OF THE SARBANES-OXLEY ACT OF 2002</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 am the Chief Executive Officer of Helius Medical Technologies, Inc., a Delaware corporation (the “Company”). I am delivering this certificate in connection with the Form 10-Q of the Company for the quarter ended September 30, 2024 and filed with the Securities and Exchange Commission (“Form 10-Q”).</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HELIUS MEDICAL TECHNOLOGIES, INC. FORM 10-Q FOR THE QUARTER ENDED SEPTEMBER 30, 2024 PURSUANT TO 18 U.S.C. SECTION 1350, AS ADOPTED PURSUANT TO SECTION 906 OF THE SARBANES-OXLEY ACT OF 2002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am the Chief Financial Officer of Helius Medical Technologies, Inc., a Delaware corporation (the “Company”). I am delivering this certificate in connection with the Form 10-Q of the Company for the quarter ended September 30, 2024 and filed with the Securities and Exchange Commission (“Form 10-Q”).</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lvl w:ilvl="1">
      <w:lvlJc w:val="left"/>
      <w:lvlText w:val="(%2)"/>
      <w:numFmt w:val="decimal"/>
      <w:start w:val="1"/>
    </w:lvl>
  </w:abstractNum>
  <w:abstractNum w:abstractNumId="12">
    <w:nsid w:val="6B68079A"/>
    <w:multiLevelType w:val="hybridMultilevel"/>
    <w:lvl w:ilvl="0">
      <w:lvlJc w:val="left"/>
      <w:lvlText w:val="%1."/>
      <w:numFmt w:val="decimal"/>
      <w:start w:val="9"/>
    </w:lvl>
    <w:lvl w:ilvl="1">
      <w:lvlJc w:val="left"/>
      <w:lvlText w:val="%2"/>
      <w:numFmt w:val="decimal"/>
      <w:start w:val="1"/>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42" Type="http://schemas.openxmlformats.org/officeDocument/2006/relationships/hyperlink" Target="https://www.sec.gov/Archives/edgar/data/0001610853/000156459018020736/hsdt-ex31_66.htm" TargetMode="External"/><Relationship Id="rId43" Type="http://schemas.openxmlformats.org/officeDocument/2006/relationships/hyperlink" Target="https://www.sec.gov/Archives/edgar/data/0001610853/000119312518312155/d646047dex31.htm" TargetMode="External"/><Relationship Id="rId44" Type="http://schemas.openxmlformats.org/officeDocument/2006/relationships/hyperlink" Target="https://www.sec.gov/Archives/edgar/data/0001610853/000156459020058917/hsdt-ex31_7.htm" TargetMode="External"/><Relationship Id="rId45" Type="http://schemas.openxmlformats.org/officeDocument/2006/relationships/hyperlink" Target="https://www.sec.gov/Archives/edgar/data/1610853/000110465923036609/tm2310398d1_ex3-1.htm" TargetMode="External"/><Relationship Id="rId46" Type="http://schemas.openxmlformats.org/officeDocument/2006/relationships/hyperlink" Target="https://www.sec.gov/Archives/edgar/data/1610853/000110465923092276/tm2323789d1_ex3-1.htm" TargetMode="External"/><Relationship Id="rId47" Type="http://schemas.openxmlformats.org/officeDocument/2006/relationships/hyperlink" Target="https://www.sec.gov/Archives/edgar/data/1610853/000155837024003414/hsdt-20240312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2024-11-12T16:34:58Z</dcterms:created>
  <dcterms:modified xsi:type="dcterms:W3CDTF">2024-11-12T16:34:58Z</dcterms:modified>
</cp:coreProperties>
</file>