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156845</wp:posOffset>
            </wp:positionV>
            <wp:extent cx="1071880" cy="891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71880" cy="8915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SOLANA COMPANY</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7"/>
          <w:szCs w:val="17"/>
          <w:b w:val="1"/>
          <w:bCs w:val="1"/>
          <w:color w:val="auto"/>
        </w:rPr>
        <w:t>(State or other jurisdiction</w:t>
      </w:r>
    </w:p>
    <w:p>
      <w:pPr>
        <w:spacing w:after="0" w:line="34"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001-38445</w:t>
      </w:r>
    </w:p>
    <w:p>
      <w:pPr>
        <w:spacing w:after="0" w:line="31"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36-4787690</w:t>
      </w:r>
    </w:p>
    <w:p>
      <w:pPr>
        <w:spacing w:after="0" w:line="31"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23"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3">
            <w:col w:w="3840" w:space="720"/>
            <w:col w:w="2460" w:space="720"/>
            <w:col w:w="3500"/>
          </w:cols>
          <w:pgMar w:left="320" w:top="772" w:right="339" w:bottom="1440" w:gutter="0" w:footer="0" w:header="0"/>
          <w:type w:val="continuous"/>
        </w:sectPr>
      </w:pPr>
    </w:p>
    <w:p>
      <w:pPr>
        <w:spacing w:after="0" w:line="30"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642 Newtown Yardley Road, Suite 100</w:t>
      </w:r>
    </w:p>
    <w:p>
      <w:pPr>
        <w:spacing w:after="0" w:line="31"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Newtown, PA</w:t>
      </w:r>
    </w:p>
    <w:p>
      <w:pPr>
        <w:spacing w:after="0" w:line="9"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8"/>
          <w:szCs w:val="18"/>
          <w:b w:val="1"/>
          <w:bCs w:val="1"/>
          <w:color w:val="auto"/>
        </w:rPr>
        <w:t>18940</w:t>
      </w:r>
    </w:p>
    <w:p>
      <w:pPr>
        <w:spacing w:after="0" w:line="31"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8420" w:space="720"/>
            <w:col w:w="2100"/>
          </w:cols>
          <w:pgMar w:left="320" w:top="77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(215) 944-6100</w:t>
      </w:r>
    </w:p>
    <w:p>
      <w:pPr>
        <w:spacing w:after="0" w:line="2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600" w:type="dxa"/>
            <w:vAlign w:val="bottom"/>
          </w:tcPr>
          <w:p>
            <w:pPr>
              <w:spacing w:after="0"/>
              <w:rPr>
                <w:sz w:val="18"/>
                <w:szCs w:val="18"/>
                <w:color w:val="auto"/>
              </w:rPr>
            </w:pP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$0.001 par value</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HSDT</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Reference is made to the disclosure under Item 8.01 below which is hereby incorporated in this Item 3.02 by reference.</w:t>
      </w:r>
    </w:p>
    <w:p>
      <w:pPr>
        <w:spacing w:after="0" w:line="225"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The Put Options (as defined below) have not been registered under the Securities Act of 1933, as amended (the “Securities Act”) or the securities laws of any state, and are being offered and sold in reliance on the exemption from registration under the Securities Act, afforded by Section 4(a)(2) and/or Rule 506 promulgated thereunder.</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ind w:right="40" w:firstLine="441"/>
        <w:spacing w:after="0" w:line="282" w:lineRule="auto"/>
        <w:rPr>
          <w:sz w:val="20"/>
          <w:szCs w:val="20"/>
          <w:color w:val="auto"/>
        </w:rPr>
      </w:pPr>
      <w:r>
        <w:rPr>
          <w:rFonts w:ascii="Times New Roman" w:cs="Times New Roman" w:eastAsia="Times New Roman" w:hAnsi="Times New Roman"/>
          <w:sz w:val="18"/>
          <w:szCs w:val="18"/>
          <w:color w:val="auto"/>
        </w:rPr>
        <w:t>On April 27, 2026 the Company issued a press release announcing the terms of the Registered Direct Offering (as defined below), a copy of which is furnished as Exhibit 99.1 hereto.</w:t>
      </w:r>
    </w:p>
    <w:p>
      <w:pPr>
        <w:spacing w:after="0" w:line="162" w:lineRule="exact"/>
        <w:rPr>
          <w:sz w:val="20"/>
          <w:szCs w:val="20"/>
          <w:color w:val="auto"/>
        </w:rPr>
      </w:pPr>
    </w:p>
    <w:p>
      <w:pPr>
        <w:ind w:right="280" w:firstLine="441"/>
        <w:spacing w:after="0" w:line="261" w:lineRule="auto"/>
        <w:rPr>
          <w:sz w:val="20"/>
          <w:szCs w:val="20"/>
          <w:color w:val="auto"/>
        </w:rPr>
      </w:pPr>
      <w:r>
        <w:rPr>
          <w:rFonts w:ascii="Times New Roman" w:cs="Times New Roman" w:eastAsia="Times New Roman" w:hAnsi="Times New Roman"/>
          <w:sz w:val="18"/>
          <w:szCs w:val="18"/>
          <w:color w:val="auto"/>
        </w:rPr>
        <w:t>The information set forth in this Item 7.01 and contained in the press release furnished as Exhibit 99.1 shall not be deemed “filed” for purposes of Section 18 of the Securities Exchange Act of 1934, as amended (the “Exchange Act”), and is not incorporated by reference into any of the Company’s filings under the Securities Act or the Exchange Act, whether made before or after the date hereof, except as shall be expressly set forth by specific reference in any such filing.</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Registered Direct Offering</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On April 27, 2026, Solana Company (the “Company”) entered into securities purchase agreements (collectively, the “RDO Purchase Agreements”) with the purchasers named therein (the “Purchasers”), pursuant to which (i) the Company issued and sold to the Purchasers, in a registered direct offering (the “Registered Direct Offering”), 3,076,922 shares (the “Shares”) of the Company’s Class A common stock, $0.001 par value per share (the “Common Stock”). The offering price of each Share was $2.60 per share (the “Offering Price”). The net proceeds to the Company from the Registered Direct Offering are expected to be approximately $7.9 million.</w:t>
      </w:r>
    </w:p>
    <w:p>
      <w:pPr>
        <w:spacing w:after="0" w:line="183"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The Company currently plans to use the net proceeds from the Registered Direct Offering for accumulating SOL, working capital and general corporate purposes, business expansion and other strategic initiatives.</w:t>
      </w:r>
    </w:p>
    <w:p>
      <w:pPr>
        <w:spacing w:after="0" w:line="16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RDO Purchase Agreements contain customary representations, warranties and agreements by the Company, customary conditions to closing, indemnification obligations of the Company, including for liabilities arising under the Securities Act, other obligations of the parties and termination provisions. The representations, warranties and covenants contained in the RDO Purchase Agreements were made only for the purposes of such agreement and as of the specific dates, were solely for the benefit of the parties to such agreement and may be subject to limitations agreed upon by the contracting parties.</w:t>
      </w:r>
    </w:p>
    <w:p>
      <w:pPr>
        <w:spacing w:after="0" w:line="183"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Registered Direct Offering was made pursuant to the Company’s effective registration statement on Form S-3 (Registration Statement No. 333-290429), as amended, that became effective on April 8, 2026, and a related base prospectus and prospectus supplement (the “Prospectus Supplement”) thereunder.</w:t>
      </w:r>
    </w:p>
    <w:p>
      <w:pPr>
        <w:spacing w:after="0" w:line="176"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RDO Purchase Agreements does not purport to be complete and is qualified in its entirety by the full text of the form of RDO Purchase Agreement, a copy of which is attached hereto as Exhibit 4.1 and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t>Put Option Agreement</w:t>
      </w:r>
    </w:p>
    <w:p>
      <w:pPr>
        <w:spacing w:after="0" w:line="22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Registered Direct Offering, the Company entered into put option agreements (collectively, the “Put Option Agreements”) with the Purchasers pursuant to which the Company granted each Purchaser the right to require the Company to repurchase all or a portion of the shares of Common Stock it purchased in the Registered Direct Offering at a price per share equal to the Offering Price plus an amount that would result in an internal rate of return of 7.0% per annum (collectively, the “Put Options”). The Put Options may be exercised in connection with the occurrence of certain qualifying events, including the 12-month and 18-month anniversaries of the closing of the Registered Direct Offering, a failure of the Company’s net debt to total capitalization ratio to remain at or below 30%, or a suspension or halt of trading in the Common Stock on the applicable trading market exceeding a specified number of consecutive trading days or the issuance of a delisting notice.</w:t>
      </w:r>
    </w:p>
    <w:p>
      <w:pPr>
        <w:spacing w:after="0" w:line="18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terms and conditions of the Put Options does not purport to be complete and is qualified in its entirety by the full text of the form of Put Option Agreement, a copy of which is attached hereto as Exhibit 4.2, and incorporated by reference herein.</w:t>
      </w:r>
    </w:p>
    <w:p>
      <w:pPr>
        <w:spacing w:after="0" w:line="162"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filing of the prospectus supplement for the Registered Direct Offering, the Company is filing a legal opinion of its counsel, Cooley LLP, regarding the validity of the Shares being issued in the Registered Direct Offering, a copy of which is attached as Exhibit 5.1 to this Current Report.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7"/>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4"/>
                <w:szCs w:val="24"/>
                <w:color w:val="auto"/>
              </w:rPr>
            </w:pPr>
          </w:p>
        </w:tc>
        <w:tc>
          <w:tcPr>
            <w:tcW w:w="98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26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80" w:type="dxa"/>
            <w:vAlign w:val="bottom"/>
            <w:gridSpan w:val="6"/>
          </w:tcPr>
          <w:p>
            <w:pPr>
              <w:spacing w:after="0" w:line="169" w:lineRule="exact"/>
              <w:rPr>
                <w:sz w:val="20"/>
                <w:szCs w:val="20"/>
                <w:color w:val="auto"/>
              </w:rPr>
            </w:pPr>
            <w:r>
              <w:rPr>
                <w:rFonts w:ascii="Times New Roman" w:cs="Times New Roman" w:eastAsia="Times New Roman" w:hAnsi="Times New Roman"/>
                <w:sz w:val="18"/>
                <w:szCs w:val="18"/>
                <w:color w:val="0000EE"/>
              </w:rPr>
              <w:t>Form of Securities Purchase Agreement, by and among Solana Company and the Purchasers, dated April 27, 2026.</w:t>
            </w:r>
          </w:p>
        </w:tc>
      </w:tr>
      <w:tr>
        <w:trPr>
          <w:trHeight w:val="196"/>
        </w:trPr>
        <w:tc>
          <w:tcPr>
            <w:tcW w:w="26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8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Form of Put Option Agreement, by and among Solana Company and the Purchasers, dated April 27, 2026.</w:t>
            </w:r>
          </w:p>
        </w:tc>
        <w:tc>
          <w:tcPr>
            <w:tcW w:w="1600" w:type="dxa"/>
            <w:vAlign w:val="bottom"/>
          </w:tcPr>
          <w:p>
            <w:pPr>
              <w:spacing w:after="0"/>
              <w:rPr>
                <w:sz w:val="17"/>
                <w:szCs w:val="17"/>
                <w:color w:val="auto"/>
              </w:rPr>
            </w:pPr>
          </w:p>
        </w:tc>
      </w:tr>
      <w:tr>
        <w:trPr>
          <w:trHeight w:val="196"/>
        </w:trPr>
        <w:tc>
          <w:tcPr>
            <w:tcW w:w="24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Opinion of Cooley LLP.</w:t>
            </w:r>
          </w:p>
        </w:tc>
        <w:tc>
          <w:tcPr>
            <w:tcW w:w="5920" w:type="dxa"/>
            <w:vAlign w:val="bottom"/>
            <w:tcBorders>
              <w:top w:val="single" w:sz="8" w:color="0000EE"/>
            </w:tcBorders>
            <w:gridSpan w:val="3"/>
          </w:tcPr>
          <w:p>
            <w:pPr>
              <w:spacing w:after="0"/>
              <w:rPr>
                <w:sz w:val="17"/>
                <w:szCs w:val="17"/>
                <w:color w:val="auto"/>
              </w:rPr>
            </w:pPr>
          </w:p>
        </w:tc>
        <w:tc>
          <w:tcPr>
            <w:tcW w:w="2220" w:type="dxa"/>
            <w:vAlign w:val="bottom"/>
            <w:gridSpan w:val="2"/>
          </w:tcPr>
          <w:p>
            <w:pPr>
              <w:spacing w:after="0"/>
              <w:rPr>
                <w:sz w:val="17"/>
                <w:szCs w:val="17"/>
                <w:color w:val="auto"/>
              </w:rPr>
            </w:pPr>
          </w:p>
        </w:tc>
      </w:tr>
      <w:tr>
        <w:trPr>
          <w:trHeight w:val="196"/>
        </w:trPr>
        <w:tc>
          <w:tcPr>
            <w:tcW w:w="3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1</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Consent of Cooley LLP (Included in Exhibit 5.1).</w:t>
            </w:r>
          </w:p>
        </w:tc>
      </w:tr>
      <w:tr>
        <w:trPr>
          <w:trHeight w:val="20"/>
        </w:trPr>
        <w:tc>
          <w:tcPr>
            <w:tcW w:w="320" w:type="dxa"/>
            <w:vAlign w:val="bottom"/>
            <w:gridSpan w:val="3"/>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8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40" w:type="dxa"/>
            <w:vAlign w:val="bottom"/>
            <w:gridSpan w:val="3"/>
          </w:tcPr>
          <w:p>
            <w:pPr>
              <w:spacing w:after="0" w:line="20" w:lineRule="exact"/>
              <w:rPr>
                <w:sz w:val="1"/>
                <w:szCs w:val="1"/>
                <w:color w:val="auto"/>
              </w:rPr>
            </w:pPr>
          </w:p>
        </w:tc>
      </w:tr>
      <w:tr>
        <w:trPr>
          <w:trHeight w:val="196"/>
        </w:trPr>
        <w:tc>
          <w:tcPr>
            <w:tcW w:w="3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Press Release of Solana Company dated April 27, 2026.</w:t>
            </w:r>
          </w:p>
        </w:tc>
        <w:tc>
          <w:tcPr>
            <w:tcW w:w="5840" w:type="dxa"/>
            <w:vAlign w:val="bottom"/>
            <w:gridSpan w:val="3"/>
          </w:tcPr>
          <w:p>
            <w:pPr>
              <w:spacing w:after="0"/>
              <w:rPr>
                <w:sz w:val="17"/>
                <w:szCs w:val="17"/>
                <w:color w:val="auto"/>
              </w:rPr>
            </w:pPr>
          </w:p>
        </w:tc>
      </w:tr>
      <w:tr>
        <w:trPr>
          <w:trHeight w:val="237"/>
        </w:trPr>
        <w:tc>
          <w:tcPr>
            <w:tcW w:w="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29"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including, without limitation, statements relating to the Company’s expectations regarding the the proceeds that the Company expects to receive from the Registered Direct Offering and the intended use of proceeds from the Registered Direct Offering. Forward-looking statements are subject to the safe harbor provisions of the Private Securities Litigation Reform Act of 1995, as amended. Forward-looking statements speak only as of the date they are made and, except for the Company’s ongoing obligations under the U.S. federal securities laws, the Company undertakes no obligation to update any forward-looking statement.</w:t>
      </w:r>
    </w:p>
    <w:p>
      <w:pPr>
        <w:spacing w:after="0" w:line="183"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Forward-looking statements are subject to known and unknown risks and uncertainties and are based on estimates and assumptions that are subject to change or revision. These statements are only predictions based on current information and expectations and involve a number of risks and uncertainties. Actual events or results may differ materially from those projected in any of such statements due to various factors, including, without limitation, market conditions as well as risks and uncertainties inherent in the Company’s business. For a discussion of these and other factors, please refer to the risk factors included in the Company’s Annual Report on Form 10-K, and the Company’s Quarterly Reports on Form 10-Q and other periodic reports filed from time to time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SOLANA COMPANY.</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Dated: April 27, 2026</w:t>
            </w: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Jeffrey S. Mathiesen</w:t>
            </w:r>
          </w:p>
        </w:tc>
      </w:tr>
      <w:tr>
        <w:trPr>
          <w:trHeight w:val="191"/>
        </w:trPr>
        <w:tc>
          <w:tcPr>
            <w:tcW w:w="36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Jeffrey S. Mathiesen</w:t>
            </w:r>
          </w:p>
        </w:tc>
      </w:tr>
      <w:tr>
        <w:trPr>
          <w:trHeight w:val="234"/>
        </w:trPr>
        <w:tc>
          <w:tcPr>
            <w:tcW w:w="36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Treasurer and Secretary</w:t>
            </w:r>
          </w:p>
        </w:tc>
      </w:tr>
      <w:tr>
        <w:trPr>
          <w:trHeight w:val="675"/>
        </w:trPr>
        <w:tc>
          <w:tcPr>
            <w:tcW w:w="36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__________, 2026, between Solana Company, a Delaware corporation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purchaser identified on the signature page hereto (including its successors and assigns, the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an effective registration statement under the Securities Act (as defined below), the Company desires to issue and sell to the Purchaser, and the Purchaser desires to purchase from the Company, securities of the Company as more fully described in this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the Purchaser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have the meanings set forth in this Section 1.1:</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shall have the meaning ascribed to such term in Section 4.5.</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3.1(i).</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 For the purposes of any deadline by which the Purchaser is required to deliver a Financial Qualifying Event Notice (as defined in the Put Option Agreement) response, or make any payment obligation under this Agreement or the Put Option Agreement (if any), a Business Day shall additionally exclude any day on which commercial banks in Hong Kong are authorized or required by law to remain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purchase and sale of the Shares pursuant to Section 2.1.</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Trading Day on which all of the Transaction Documents have been executed and delivered by the applicable parties thereto, and all conditions precedent to (i) the Purchaser’s obligations to pay the Subscription Amount and (ii) the Company’s obligations</w:t>
      </w:r>
    </w:p>
    <w:p>
      <w:pPr>
        <w:jc w:val="both"/>
        <w:spacing w:after="0" w:line="221" w:lineRule="auto"/>
        <w:rPr>
          <w:sz w:val="20"/>
          <w:szCs w:val="20"/>
          <w:color w:val="auto"/>
        </w:rPr>
      </w:pPr>
      <w:r>
        <w:rPr>
          <w:rFonts w:ascii="Times New Roman" w:cs="Times New Roman" w:eastAsia="Times New Roman" w:hAnsi="Times New Roman"/>
          <w:sz w:val="18"/>
          <w:szCs w:val="18"/>
          <w:color w:val="auto"/>
        </w:rPr>
        <w:t>to deliver the Shares, in each case, have been satisfied or waived, but in no event later than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Trading Day following the date hereof (or the second (2nd) Trading Day following the date hereof if this Agreement is signed on a day that is not a Trading Day or after 4:00 p.m. (New York City time) and before midnight (New York City time) on a Trading Day).</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class A common stock of the Company, par value $0.001 per share, and any other class of securities into which such securities may hereafter be reclassified or changed.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Time</w:t>
      </w:r>
      <w:r>
        <w:rPr>
          <w:rFonts w:ascii="Times New Roman" w:cs="Times New Roman" w:eastAsia="Times New Roman" w:hAnsi="Times New Roman"/>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and (ii) if this Agreement is signed between midnight (New York City time) and 9:00 a.m. (New York City time) on any Trading Day, no later than 9:01 a.m. (New York City time) on the date hereof.</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shall have the meaning ascribed to such term in Section 3.1(q).</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have the meaning ascribed to such term in Section 3.1(g).</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have the meaning ascribed to such term in Section 3.1(y).</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3.1(n).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 w:name="page7"/>
    <w:bookmarkEnd w:id="6"/>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ascribed to such term in Section 3.1(a).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shall have the meaning ascribed to such term in Section 3.1(l).</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equals $2.60, subject to adjustment for reverse and forward stock splits, stock dividends, stock combinations and other similar transactions of the Common Stock that occur after the date of this Agreement and prior to the Closing Date.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pending or, to the Company’s knowledge, threatened in writing against the Company, any Subsidiary or any of their respective properties before or by any court, arbitrator, governmental or administrative agency or regulatory authority (federal, state, county, local or foreign).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base prospectus filed for the Registration Statement, including all information, documents and exhibits filed with or incorporated by reference into such prospectus.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means the supplement to the Prospectus complying with Rule 424(b) of the Securities Act, including all information, documents and exhibits filed with or incorporated by reference into such prospectus supplement, that is filed with the Commission and delivered by the Company to the Purchaser at the Closing.</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shall have the meaning ascribed to such term in Section 4.8.</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Put Option Agreement</w:t>
      </w:r>
      <w:r>
        <w:rPr>
          <w:rFonts w:ascii="Times New Roman" w:cs="Times New Roman" w:eastAsia="Times New Roman" w:hAnsi="Times New Roman"/>
          <w:sz w:val="18"/>
          <w:szCs w:val="18"/>
          <w:color w:val="auto"/>
        </w:rPr>
        <w:t xml:space="preserve">” means the agreement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effective registration statement on Form S-3 (File No. 333-290429), as amended, filed with the Commission, including all information, documents and exhibits filed with or incorporated by reference into such registration statement, which registers the issuance and sale of the Shares to the Purchaser.</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3.1(b).</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39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7" w:name="page8"/>
    <w:bookmarkEnd w:id="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ascribed to such term in Section 3.1(g).</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xml:space="preserve">” means the number of shares of Common Stock, equal to (x) the Subscription Amount; </w:t>
      </w:r>
      <w:r>
        <w:rPr>
          <w:rFonts w:ascii="Times New Roman" w:cs="Times New Roman" w:eastAsia="Times New Roman" w:hAnsi="Times New Roman"/>
          <w:sz w:val="18"/>
          <w:szCs w:val="18"/>
          <w:u w:val="single" w:color="auto"/>
          <w:color w:val="auto"/>
        </w:rPr>
        <w:t>divided</w:t>
      </w:r>
      <w:r>
        <w:rPr>
          <w:rFonts w:ascii="Times New Roman" w:cs="Times New Roman" w:eastAsia="Times New Roman" w:hAnsi="Times New Roman"/>
          <w:sz w:val="18"/>
          <w:szCs w:val="18"/>
          <w:color w:val="auto"/>
        </w:rPr>
        <w:t xml:space="preserve"> by (y) the Per Share Purchase Price (rounded down to the nearest whole number), issued or issuable to the Purchaser pursuant to this Agreement, as specified below the Purchaser’s name on the signature page of this Agreement and next to the heading “Shares”.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shares of Common Stock).</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the aggregate amount to be paid for the Shares by the Purchaser as specified below the Purchaser’s name on the signature page of this Agreement and next to the heading “Subscription Amount”.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as set forth in the SEC Reports, and shall, where applicable, also include any direct or indirect subsidiary of the Company formed or acquired after the date hereof.</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Put Option Agreement, all exhibits, annexes and schedules thereto and hereto and any other documents or agreements executed in connection with the transactions contemplated hereunder.</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American Stock Transfer &amp; Trust Company LLC, the current transfer agent of the Company, with a mailing address of 6201 15th Avenue, Brooklyn, New York 11219, and any successor transfer agent of the Company.</w:t>
      </w:r>
    </w:p>
    <w:p>
      <w:pPr>
        <w:spacing w:after="0" w:line="37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AND SALE</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  Closing</w:t>
      </w:r>
      <w:r>
        <w:rPr>
          <w:rFonts w:ascii="Times New Roman" w:cs="Times New Roman" w:eastAsia="Times New Roman" w:hAnsi="Times New Roman"/>
          <w:sz w:val="18"/>
          <w:szCs w:val="18"/>
          <w:color w:val="auto"/>
        </w:rPr>
        <w:t>. On the Closing Date, upon the terms and subject to the conditions set forth herein, the Company agrees to sell, and the Purchaser agrees to purchase, the Shares. The Purchaser shall make available the Subscription Amount for “Delivery Versus Payment” (“</w:t>
      </w:r>
      <w:r>
        <w:rPr>
          <w:rFonts w:ascii="Times New Roman" w:cs="Times New Roman" w:eastAsia="Times New Roman" w:hAnsi="Times New Roman"/>
          <w:sz w:val="18"/>
          <w:szCs w:val="18"/>
          <w:u w:val="single" w:color="auto"/>
          <w:color w:val="auto"/>
        </w:rPr>
        <w:t>DVP</w:t>
      </w:r>
      <w:r>
        <w:rPr>
          <w:rFonts w:ascii="Times New Roman" w:cs="Times New Roman" w:eastAsia="Times New Roman" w:hAnsi="Times New Roman"/>
          <w:sz w:val="18"/>
          <w:szCs w:val="18"/>
          <w:color w:val="auto"/>
        </w:rPr>
        <w:t>”) settlement with the Company or its designee. The Company shall deliver to the Purchaser the Shares pursuant to Section 2.2(a), and the Company and the Purchaser shall deliver the other items set forth in Section 2.2 deliverable at the Closing. Upon satisfaction of the covenants and conditions set forth in Sections 2.2 and 2.3, the Closing shall take place remotely by electronic transmission of the Closing documentation. Settlement of the Shares shall occur via DVP (i.e., on the Closing Date, the Company shall issue the Shares registered in the Purchaser’s name and address and released by the Transfer Agent directly to the account(s) identified by the Purchaser; upon receipt of such Shares, the Purchaser shall make payment of the Subscription Amount by wire transfer to the Company).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  Deliveries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            On or prior to the Closing Date, the Company shall deliver or cause to be delivered to the Purchaser the following:</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this Agreement duly executed by the Company;</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the Put Option Agreement duly executed by the Company;</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the Company’s wire instructions;</w:t>
      </w:r>
    </w:p>
    <w:p>
      <w:pPr>
        <w:spacing w:after="0" w:line="225" w:lineRule="exact"/>
        <w:rPr>
          <w:sz w:val="20"/>
          <w:szCs w:val="20"/>
          <w:color w:val="auto"/>
        </w:rPr>
      </w:pPr>
    </w:p>
    <w:p>
      <w:pPr>
        <w:ind w:left="1300" w:right="20" w:firstLine="648"/>
        <w:spacing w:after="0" w:line="282" w:lineRule="auto"/>
        <w:rPr>
          <w:sz w:val="20"/>
          <w:szCs w:val="20"/>
          <w:color w:val="auto"/>
        </w:rPr>
      </w:pPr>
      <w:r>
        <w:rPr>
          <w:rFonts w:ascii="Times New Roman" w:cs="Times New Roman" w:eastAsia="Times New Roman" w:hAnsi="Times New Roman"/>
          <w:sz w:val="18"/>
          <w:szCs w:val="18"/>
          <w:color w:val="auto"/>
        </w:rPr>
        <w:t>(iv)          subject to Section 2.1, a copy of the irrevocable instructions to the Transfer Agent instructing the Transfer Agent to deliver in book-entry form the Shares registered in the name of the Purchaser; and</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(v)           the Prospectus and Prospectus Supplement (which may be delivered in accordance with Rule 172 under the Securities</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Act).</w:t>
      </w: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(b)            On or prior to the Closing Date, the Purchaser shall deliver or cause to be delivered to the Company the following:</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this Agreement duly executed by the Purchaser;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the Put Option Agreement duly executed by the Purchaser; and</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the Subscription Amount, which shall be made available for DVP settlement with the Company or its designee.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  Closing Conditions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obligations of the Company hereunder in connection with the Closing are subject to the following conditions being met: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both"/>
        <w:ind w:left="1300" w:firstLine="648"/>
        <w:spacing w:after="0" w:line="281" w:lineRule="auto"/>
        <w:rPr>
          <w:sz w:val="20"/>
          <w:szCs w:val="20"/>
          <w:color w:val="auto"/>
        </w:rPr>
      </w:pPr>
      <w:r>
        <w:rPr>
          <w:rFonts w:ascii="Times New Roman" w:cs="Times New Roman" w:eastAsia="Times New Roman" w:hAnsi="Times New Roman"/>
          <w:sz w:val="17"/>
          <w:szCs w:val="17"/>
          <w:color w:val="auto"/>
        </w:rPr>
        <w:t>(i)            the accuracy in all material respects (or, to the extent representations or warranties are qualified by materiality or Material Adverse Effect, in all respects) when made and on the Closing Date of the representations and warranties of the Purchaser contained herein (unless such representation or warranty is as of a specific date therein in which case they shall be accurate in all material respects (or, to the extent representations or warranties are qualified by materiality or Material Adverse Effect, in all respects) as of such date);</w:t>
      </w:r>
    </w:p>
    <w:p>
      <w:pPr>
        <w:spacing w:after="0" w:line="164"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(ii)           all obligations, covenants and agreements of the Purchaser required to be performed at or prior to the Closing Date shall have been performed; and</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the delivery by the Purchaser of the items set forth in Section 2.2(b) of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obligations of the Purchaser hereunder in connection with the Closing are subject to the following conditions being met:</w:t>
      </w:r>
    </w:p>
    <w:p>
      <w:pPr>
        <w:spacing w:after="0" w:line="225" w:lineRule="exact"/>
        <w:rPr>
          <w:sz w:val="20"/>
          <w:szCs w:val="20"/>
          <w:color w:val="auto"/>
        </w:rPr>
      </w:pPr>
    </w:p>
    <w:p>
      <w:pPr>
        <w:jc w:val="both"/>
        <w:ind w:left="1300" w:firstLine="648"/>
        <w:spacing w:after="0" w:line="281" w:lineRule="auto"/>
        <w:rPr>
          <w:sz w:val="20"/>
          <w:szCs w:val="20"/>
          <w:color w:val="auto"/>
        </w:rPr>
      </w:pPr>
      <w:r>
        <w:rPr>
          <w:rFonts w:ascii="Times New Roman" w:cs="Times New Roman" w:eastAsia="Times New Roman" w:hAnsi="Times New Roman"/>
          <w:sz w:val="17"/>
          <w:szCs w:val="17"/>
          <w:color w:val="auto"/>
        </w:rPr>
        <w:t>(i)            the accuracy in all material respects (or, to the extent representations or warranties are qualified by materiality or Material Adverse Effect, in all respects) when made and on the Closing Date of the representations and warranties of the Company contained herein (unless such representation or warranty is as of a specific date therein in which case they shall be accurate in all material respects (or, to the extent representations or warranties are qualified by materiality or Material Adverse Effect, in all respects) as of such date);</w:t>
      </w:r>
    </w:p>
    <w:p>
      <w:pPr>
        <w:spacing w:after="0" w:line="164" w:lineRule="exact"/>
        <w:rPr>
          <w:sz w:val="20"/>
          <w:szCs w:val="20"/>
          <w:color w:val="auto"/>
        </w:rPr>
      </w:pPr>
    </w:p>
    <w:p>
      <w:pPr>
        <w:jc w:val="both"/>
        <w:ind w:left="1300" w:right="20" w:firstLine="648"/>
        <w:spacing w:after="0" w:line="282" w:lineRule="auto"/>
        <w:rPr>
          <w:sz w:val="20"/>
          <w:szCs w:val="20"/>
          <w:color w:val="auto"/>
        </w:rPr>
      </w:pPr>
      <w:r>
        <w:rPr>
          <w:rFonts w:ascii="Times New Roman" w:cs="Times New Roman" w:eastAsia="Times New Roman" w:hAnsi="Times New Roman"/>
          <w:sz w:val="18"/>
          <w:szCs w:val="18"/>
          <w:color w:val="auto"/>
        </w:rPr>
        <w:t>(ii)           all obligations, covenants and agreements of the Company required to be performed at or prior to the Closing Date shall have been performed;</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the delivery by the Company of the items set forth in Section 2.2(a) of this Agreement; and</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(iv)          there shall have been no Material Adverse Effect with respect to the Company since the date hereof.</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3.1          </w:t>
      </w:r>
      <w:r>
        <w:rPr>
          <w:rFonts w:ascii="Times New Roman" w:cs="Times New Roman" w:eastAsia="Times New Roman" w:hAnsi="Times New Roman"/>
          <w:sz w:val="18"/>
          <w:szCs w:val="18"/>
          <w:u w:val="single" w:color="auto"/>
          <w:color w:val="auto"/>
        </w:rPr>
        <w:t>  Representations and Warranties of the Company</w:t>
      </w:r>
      <w:r>
        <w:rPr>
          <w:rFonts w:ascii="Times New Roman" w:cs="Times New Roman" w:eastAsia="Times New Roman" w:hAnsi="Times New Roman"/>
          <w:sz w:val="18"/>
          <w:szCs w:val="18"/>
          <w:color w:val="auto"/>
        </w:rPr>
        <w:t>. Except as set forth in the SEC Reports, the Company hereby makes the following representations and warranties to the Purchaser:</w:t>
      </w:r>
    </w:p>
    <w:p>
      <w:pPr>
        <w:spacing w:after="0" w:line="162"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provided that a change in the market price or trading volume in the Common Stock alone shall not be deemed, in and of itself, to constitute a Material Adverse Effect. No Proceeding has been instituted in any such jurisdiction revoking, limiting or curtailing or seeking to revoke, limit or curtail such power and authority or qualification.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2" w:lineRule="exact"/>
        <w:rPr>
          <w:sz w:val="20"/>
          <w:szCs w:val="20"/>
          <w:color w:val="auto"/>
        </w:rPr>
      </w:pPr>
    </w:p>
    <w:p>
      <w:pPr>
        <w:jc w:val="both"/>
        <w:ind w:left="4" w:firstLine="648"/>
        <w:spacing w:after="0" w:line="268" w:lineRule="auto"/>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u w:val="single" w:color="auto"/>
          <w:color w:val="auto"/>
        </w:rPr>
        <w:t>  No Conflicts</w:t>
      </w:r>
      <w:r>
        <w:rPr>
          <w:rFonts w:ascii="Times New Roman" w:cs="Times New Roman" w:eastAsia="Times New Roman" w:hAnsi="Times New Roman"/>
          <w:sz w:val="17"/>
          <w:szCs w:val="17"/>
          <w:color w:val="auto"/>
        </w:rPr>
        <w:t>. The execution, delivery and performance by the Company of this Agreement and the other Transaction Documents to which it is a party, the issuance and sale of the Shares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w:t>
      </w:r>
    </w:p>
    <w:p>
      <w:pPr>
        <w:jc w:val="both"/>
        <w:ind w:left="4" w:hanging="4"/>
        <w:spacing w:after="0" w:line="250" w:lineRule="auto"/>
        <w:tabs>
          <w:tab w:leader="none" w:pos="3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w:t>
      </w:r>
    </w:p>
    <w:p>
      <w:pPr>
        <w:spacing w:after="0" w:line="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(iii), such as could not have or reasonably be expected to result in a Material Adverse Effect.</w:t>
      </w:r>
    </w:p>
    <w:p>
      <w:pPr>
        <w:spacing w:after="0" w:line="200" w:lineRule="exact"/>
        <w:rPr>
          <w:sz w:val="20"/>
          <w:szCs w:val="20"/>
          <w:color w:val="auto"/>
        </w:rPr>
      </w:pPr>
    </w:p>
    <w:p>
      <w:pPr>
        <w:spacing w:after="0" w:line="22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1" w:name="page12"/>
    <w:bookmarkEnd w:id="1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application(s) to each applicable Trading Market for the listing of the Shares for trading thereon in the time and manner required thereby, and (iv) such filings as are required to be made under applicable state securities laws (collectively,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Issuance of the Shares; Registration</w:t>
      </w:r>
      <w:r>
        <w:rPr>
          <w:rFonts w:ascii="Times New Roman" w:cs="Times New Roman" w:eastAsia="Times New Roman" w:hAnsi="Times New Roman"/>
          <w:sz w:val="18"/>
          <w:szCs w:val="18"/>
          <w:color w:val="auto"/>
        </w:rPr>
        <w:t>. The Shares are duly authorized and, when issued and paid for in accordance with the applicable Transaction Documents, will be duly and validly issued, fully paid and nonassessable, free and clear of all Liens imposed by the Company. The Company has prepared and filed the Registration Statement in conformity with the requirements of the Securities Act, which became effective on April 8, 2026,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Supplement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S-3. The Company is eligible to use Form S-3 under the Securities Act and it meets the transaction requirements with respect to the aggregate market value of securities being sold pursuant to this offering and during the twelve (12) calendar months prior to this offering, as set forth in General Instruction I.B.6 of Form S-3.</w:t>
      </w:r>
    </w:p>
    <w:p>
      <w:pPr>
        <w:spacing w:after="0" w:line="200" w:lineRule="exact"/>
        <w:rPr>
          <w:sz w:val="20"/>
          <w:szCs w:val="20"/>
          <w:color w:val="auto"/>
        </w:rPr>
      </w:pPr>
    </w:p>
    <w:p>
      <w:pPr>
        <w:spacing w:after="0" w:line="20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2" w:name="page13"/>
    <w:bookmarkEnd w:id="12"/>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Capitalization</w:t>
      </w:r>
      <w:r>
        <w:rPr>
          <w:rFonts w:ascii="Times New Roman" w:cs="Times New Roman" w:eastAsia="Times New Roman" w:hAnsi="Times New Roman"/>
          <w:sz w:val="18"/>
          <w:szCs w:val="18"/>
          <w:color w:val="auto"/>
        </w:rPr>
        <w:t>. The capitalization of the Company as of the date hereof is as set forth in the SEC Reports. The Company has not issued any capital stock since its most recently filed periodic report under the Exchange Act, other than pursuant to the exercise of employee stock options under the Company’s equity incentive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Shares and as set forth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Shares will not obligate the Company or any Subsidiary to issue shares of Common Stock or other securities to any Person (other than the Purchaser).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Shares.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200" w:lineRule="exact"/>
        <w:rPr>
          <w:sz w:val="20"/>
          <w:szCs w:val="20"/>
          <w:color w:val="auto"/>
        </w:rPr>
      </w:pPr>
    </w:p>
    <w:p>
      <w:pPr>
        <w:spacing w:after="0" w:line="22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3" w:name="page14"/>
    <w:bookmarkEnd w:id="13"/>
    <w:p>
      <w:pPr>
        <w:ind w:left="4" w:firstLine="648"/>
        <w:spacing w:after="0" w:line="276" w:lineRule="auto"/>
        <w:rPr>
          <w:sz w:val="20"/>
          <w:szCs w:val="20"/>
          <w:color w:val="auto"/>
        </w:rPr>
      </w:pPr>
      <w:r>
        <w:rPr>
          <w:rFonts w:ascii="Times New Roman" w:cs="Times New Roman" w:eastAsia="Times New Roman" w:hAnsi="Times New Roman"/>
          <w:sz w:val="17"/>
          <w:szCs w:val="17"/>
          <w:color w:val="auto"/>
        </w:rPr>
        <w:t>(g)          </w:t>
      </w:r>
      <w:r>
        <w:rPr>
          <w:rFonts w:ascii="Times New Roman" w:cs="Times New Roman" w:eastAsia="Times New Roman" w:hAnsi="Times New Roman"/>
          <w:sz w:val="17"/>
          <w:szCs w:val="17"/>
          <w:u w:val="single" w:color="auto"/>
          <w:color w:val="auto"/>
        </w:rPr>
        <w:t>  SEC Reports; Financial Statements</w:t>
      </w:r>
      <w:r>
        <w:rPr>
          <w:rFonts w:ascii="Times New Roman" w:cs="Times New Roman" w:eastAsia="Times New Roman" w:hAnsi="Times New Roman"/>
          <w:sz w:val="17"/>
          <w:szCs w:val="17"/>
          <w:color w:val="auto"/>
        </w:rPr>
        <w:t>. The Company has filed all reports, schedules, forms, statements and other documents required to be filed by the Company under the Securities Act and the Exchange Act, including pursuant to Section 13(a) or 15(d) thereof, for the two</w:t>
      </w:r>
    </w:p>
    <w:p>
      <w:pPr>
        <w:spacing w:after="0" w:line="1" w:lineRule="exact"/>
        <w:rPr>
          <w:sz w:val="20"/>
          <w:szCs w:val="20"/>
          <w:color w:val="auto"/>
        </w:rPr>
      </w:pPr>
    </w:p>
    <w:p>
      <w:pPr>
        <w:jc w:val="both"/>
        <w:ind w:left="4" w:hanging="4"/>
        <w:spacing w:after="0" w:line="251" w:lineRule="auto"/>
        <w:tabs>
          <w:tab w:leader="none" w:pos="2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91" w:lineRule="exact"/>
        <w:rPr>
          <w:sz w:val="20"/>
          <w:szCs w:val="20"/>
          <w:color w:val="auto"/>
        </w:rPr>
      </w:pPr>
    </w:p>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Material Changes; Undisclosed Events, Liabilities or Developments</w:t>
      </w:r>
      <w:r>
        <w:rPr>
          <w:rFonts w:ascii="Times New Roman" w:cs="Times New Roman" w:eastAsia="Times New Roman" w:hAnsi="Times New Roman"/>
          <w:sz w:val="18"/>
          <w:szCs w:val="18"/>
          <w:color w:val="auto"/>
        </w:rPr>
        <w:t>. Since the date of the latest audited financial statements included within the SEC Reports, except as set forth in the SEC Reports,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equity incentive plans. The Company does not have pending before the Commission any request for confidential treatment of information. Except for the issuance of the Shares contemplated by this Agreement or as set forth in the SEC Reports,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(1) Trading Day prior to the date that this representation is made.</w:t>
      </w:r>
    </w:p>
    <w:p>
      <w:pPr>
        <w:spacing w:after="0" w:line="200" w:lineRule="exact"/>
        <w:rPr>
          <w:sz w:val="20"/>
          <w:szCs w:val="20"/>
          <w:color w:val="auto"/>
        </w:rPr>
      </w:pPr>
    </w:p>
    <w:p>
      <w:pPr>
        <w:spacing w:after="0" w:line="21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4" w:name="page15"/>
    <w:bookmarkEnd w:id="1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Litigation</w:t>
      </w:r>
      <w:r>
        <w:rPr>
          <w:rFonts w:ascii="Times New Roman" w:cs="Times New Roman" w:eastAsia="Times New Roman" w:hAnsi="Times New Roman"/>
          <w:sz w:val="18"/>
          <w:szCs w:val="18"/>
          <w:color w:val="auto"/>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applicable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Compliance</w:t>
      </w:r>
      <w:r>
        <w:rPr>
          <w:rFonts w:ascii="Times New Roman" w:cs="Times New Roman" w:eastAsia="Times New Roman" w:hAnsi="Times New Roman"/>
          <w:sz w:val="18"/>
          <w:szCs w:val="18"/>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5" w:name="page16"/>
    <w:bookmarkEnd w:id="1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Title to Assets</w:t>
      </w:r>
      <w:r>
        <w:rPr>
          <w:rFonts w:ascii="Times New Roman" w:cs="Times New Roman" w:eastAsia="Times New Roman" w:hAnsi="Times New Roman"/>
          <w:sz w:val="18"/>
          <w:szCs w:val="18"/>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  Intellectual Property</w:t>
      </w:r>
      <w:r>
        <w:rPr>
          <w:rFonts w:ascii="Times New Roman" w:cs="Times New Roman" w:eastAsia="Times New Roman" w:hAnsi="Times New Roman"/>
          <w:sz w:val="18"/>
          <w:szCs w:val="18"/>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  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at least equal to the aggregate Subscription Amount.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39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6" w:name="page17"/>
    <w:bookmarkEnd w:id="1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  Transactions with Affiliates and Employees</w:t>
      </w:r>
      <w:r>
        <w:rPr>
          <w:rFonts w:ascii="Times New Roman" w:cs="Times New Roman" w:eastAsia="Times New Roman" w:hAnsi="Times New Roman"/>
          <w:sz w:val="18"/>
          <w:szCs w:val="18"/>
          <w:color w:val="auto"/>
        </w:rPr>
        <w:t>.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US$120,000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  Sarbanes-Oxley; Internal Accounting Controls</w:t>
      </w:r>
      <w:r>
        <w:rPr>
          <w:rFonts w:ascii="Times New Roman" w:cs="Times New Roman" w:eastAsia="Times New Roman" w:hAnsi="Times New Roman"/>
          <w:sz w:val="18"/>
          <w:szCs w:val="18"/>
          <w:color w:val="auto"/>
        </w:rPr>
        <w:t>. The Company and the Subsidiaries are in compliance with any and all applicable requirements of the Sarbanes-Oxley Act of 2002, as amended, that are effective as of the date hereof and as of the Closing Date,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200" w:lineRule="exact"/>
        <w:rPr>
          <w:sz w:val="20"/>
          <w:szCs w:val="20"/>
          <w:color w:val="auto"/>
        </w:rPr>
      </w:pPr>
    </w:p>
    <w:p>
      <w:pPr>
        <w:spacing w:after="0" w:line="20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7" w:name="page18"/>
    <w:bookmarkEnd w:id="1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u w:val="single" w:color="auto"/>
          <w:color w:val="auto"/>
        </w:rPr>
        <w:t>  Certain Fees</w:t>
      </w:r>
      <w:r>
        <w:rPr>
          <w:rFonts w:ascii="Times New Roman" w:cs="Times New Roman" w:eastAsia="Times New Roman" w:hAnsi="Times New Roman"/>
          <w:sz w:val="18"/>
          <w:szCs w:val="18"/>
          <w:color w:val="auto"/>
        </w:rPr>
        <w: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u w:val="single" w:color="auto"/>
          <w:color w:val="auto"/>
        </w:rPr>
        <w:t>  Investment Company</w:t>
      </w:r>
      <w:r>
        <w:rPr>
          <w:rFonts w:ascii="Times New Roman" w:cs="Times New Roman" w:eastAsia="Times New Roman" w:hAnsi="Times New Roman"/>
          <w:sz w:val="18"/>
          <w:szCs w:val="18"/>
          <w:color w:val="auto"/>
        </w:rPr>
        <w:t>. The Company is not immediately after receipt of payment for the Shares, will not be,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u w:val="single" w:color="auto"/>
          <w:color w:val="auto"/>
        </w:rPr>
        <w:t>  Registration Rights</w:t>
      </w:r>
      <w:r>
        <w:rPr>
          <w:rFonts w:ascii="Times New Roman" w:cs="Times New Roman" w:eastAsia="Times New Roman" w:hAnsi="Times New Roman"/>
          <w:sz w:val="18"/>
          <w:szCs w:val="18"/>
          <w:color w:val="auto"/>
        </w:rPr>
        <w:t>. No Person has any right to cause the Company or any Subsidiary to effect the registration under the Securities Act of any securities of the Company or any Subsidiary.</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u w:val="single" w:color="auto"/>
          <w:color w:val="auto"/>
        </w:rPr>
        <w:t>  Listing and Maintenance Requirements</w:t>
      </w:r>
      <w:r>
        <w:rPr>
          <w:rFonts w:ascii="Times New Roman" w:cs="Times New Roman" w:eastAsia="Times New Roman" w:hAnsi="Times New Roman"/>
          <w:sz w:val="18"/>
          <w:szCs w:val="18"/>
          <w:color w:val="auto"/>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Except as set forth in the SEC Reports,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Except as disclosed in the SEC Reports,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Application of Takeover Protections</w:t>
      </w:r>
      <w:r>
        <w:rPr>
          <w:rFonts w:ascii="Times New Roman" w:cs="Times New Roman" w:eastAsia="Times New Roman" w:hAnsi="Times New Roman"/>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 as a result of the Purchaser and the Company fulfilling their obligations or exercising their rights under the Transaction Documents, including without limitation as a result of the Company’s issuance of the Shares and the Purchaser’s ownership of the Shares.</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8" w:name="page19"/>
    <w:bookmarkEnd w:id="1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u w:val="single" w:color="auto"/>
          <w:color w:val="auto"/>
        </w:rPr>
        <w:t>  Disclosure</w:t>
      </w:r>
      <w:r>
        <w:rPr>
          <w:rFonts w:ascii="Times New Roman" w:cs="Times New Roman" w:eastAsia="Times New Roman" w:hAnsi="Times New Roman"/>
          <w:sz w:val="18"/>
          <w:szCs w:val="18"/>
          <w:color w:val="auto"/>
        </w:rPr>
        <w:t>. Except with respect to the material terms and conditions of the transactions contemplated by the Transaction Documents, the Company confirms that neither it nor any other Person acting on its behalf has provided the Purchaser or its agents or counsel with any information that it believes constitutes or might constitute material, non-public information which is not otherwise disclosed in the Prospectus Supplement.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u w:val="single" w:color="auto"/>
          <w:color w:val="auto"/>
        </w:rPr>
        <w:t>  No Integrated Offering</w:t>
      </w:r>
      <w:r>
        <w:rPr>
          <w:rFonts w:ascii="Times New Roman" w:cs="Times New Roman" w:eastAsia="Times New Roman" w:hAnsi="Times New Roman"/>
          <w:sz w:val="18"/>
          <w:szCs w:val="18"/>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Shares to be integrated with prior offerings by the Company for purposes of any applicable shareholder approval provisions of any Trading Market on which any of the securities of the Company are listed or designated.</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u w:val="single" w:color="auto"/>
          <w:color w:val="auto"/>
        </w:rPr>
        <w:t>  Material Liabilities</w:t>
      </w:r>
      <w:r>
        <w:rPr>
          <w:rFonts w:ascii="Times New Roman" w:cs="Times New Roman" w:eastAsia="Times New Roman" w:hAnsi="Times New Roman"/>
          <w:sz w:val="18"/>
          <w:szCs w:val="18"/>
          <w:color w:val="auto"/>
        </w:rPr>
        <w:t>. The Company has no material liabilities, contingent or otherwise, except as disclosed in the SEC Reports.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u w:val="single" w:color="auto"/>
          <w:color w:val="auto"/>
        </w:rPr>
        <w:t>  Tax Status</w:t>
      </w:r>
      <w:r>
        <w:rPr>
          <w:rFonts w:ascii="Times New Roman" w:cs="Times New Roman" w:eastAsia="Times New Roman" w:hAnsi="Times New Roman"/>
          <w:sz w:val="18"/>
          <w:szCs w:val="18"/>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u w:val="single" w:color="auto"/>
          <w:color w:val="auto"/>
        </w:rPr>
        <w:t>  Foreign Corrupt Practices</w:t>
      </w:r>
      <w:r>
        <w:rPr>
          <w:rFonts w:ascii="Times New Roman" w:cs="Times New Roman" w:eastAsia="Times New Roman" w:hAnsi="Times New Roman"/>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(bb)        </w:t>
      </w:r>
      <w:r>
        <w:rPr>
          <w:rFonts w:ascii="Times New Roman" w:cs="Times New Roman" w:eastAsia="Times New Roman" w:hAnsi="Times New Roman"/>
          <w:sz w:val="18"/>
          <w:szCs w:val="18"/>
          <w:u w:val="single" w:color="auto"/>
          <w:color w:val="auto"/>
        </w:rPr>
        <w:t>  Accountants</w:t>
      </w:r>
      <w:r>
        <w:rPr>
          <w:rFonts w:ascii="Times New Roman" w:cs="Times New Roman" w:eastAsia="Times New Roman" w:hAnsi="Times New Roman"/>
          <w:sz w:val="18"/>
          <w:szCs w:val="18"/>
          <w:color w:val="auto"/>
        </w:rPr>
        <w:t>. The Company’s independent registered public accounting firm is set forth in the SEC Reports.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2026.</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9" w:name="page20"/>
    <w:bookmarkEnd w:id="19"/>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(cc)        </w:t>
      </w:r>
      <w:r>
        <w:rPr>
          <w:rFonts w:ascii="Times New Roman" w:cs="Times New Roman" w:eastAsia="Times New Roman" w:hAnsi="Times New Roman"/>
          <w:sz w:val="18"/>
          <w:szCs w:val="18"/>
          <w:u w:val="single" w:color="auto"/>
          <w:color w:val="auto"/>
        </w:rPr>
        <w:t>  Acknowledgment Regarding Purchaser’s Purchase of Shares</w:t>
      </w:r>
      <w:r>
        <w:rPr>
          <w:rFonts w:ascii="Times New Roman" w:cs="Times New Roman" w:eastAsia="Times New Roman" w:hAnsi="Times New Roman"/>
          <w:sz w:val="18"/>
          <w:szCs w:val="18"/>
          <w:color w:val="auto"/>
        </w:rPr>
        <w:t>. The Company acknowledges and agrees that the Purchaser is acting solely in the capacity of an arm’s length purchaser with respect to the Transaction Documents and the transactions contemplated thereby. The Company further acknowledges that the Purchaser is not acting as a financial advisor or fiduciary of the Company (or in any similar capacity) with respect to the Transaction Documents and the transactions contemplated thereby and any advice given by the Purchaser or any of its representatives or agents in connection with the Transaction Documents and the transactions contemplated thereby is merely incidental to the Purchaser’s purchase of the Shares. The Company further represents to the Purchaser that the Company’s decision to enter into this Agreement and the other Transaction Documents has been based solely on the independent evaluation of the transactions contemplated hereby by the Company and its representatives.</w:t>
      </w:r>
    </w:p>
    <w:p>
      <w:pPr>
        <w:spacing w:after="0" w:line="192"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(dd)        </w:t>
      </w:r>
      <w:r>
        <w:rPr>
          <w:rFonts w:ascii="Times New Roman" w:cs="Times New Roman" w:eastAsia="Times New Roman" w:hAnsi="Times New Roman"/>
          <w:sz w:val="18"/>
          <w:szCs w:val="18"/>
          <w:u w:val="single" w:color="auto"/>
          <w:color w:val="auto"/>
        </w:rPr>
        <w:t>  Acknowledgment Regarding Purchaser’s Trading Activity</w:t>
      </w:r>
      <w:r>
        <w:rPr>
          <w:rFonts w:ascii="Times New Roman" w:cs="Times New Roman" w:eastAsia="Times New Roman" w:hAnsi="Times New Roman"/>
          <w:sz w:val="18"/>
          <w:szCs w:val="18"/>
          <w:color w:val="auto"/>
        </w:rPr>
        <w:t>. Anything in this Agreement or elsewhere herein to the contrary notwithstanding (except for Sections 3.2(f), 4.11 and 4.12 hereof), it is understood and acknowledged by the Company that: (i) the Purchaser has not been asked by the Company to agree, nor has the Purchaser agreed, to desist from purchasing or selling, long and/or short, securities of the Company, or “derivative” securities based on securities issued by the Company or to hold the Shares for any specified term; (ii) past or future open market or other transactions by the Purchaser, specifically including, without limitation, Short Sales or “derivative” transactions, before or after the closing of this or future private placement transactions, may negatively impact the market price of the Company’s publicly-traded securities; (iii) the Purchaser, and counter-parties in “derivative” transactions to which the Purchaser is a party, directly or indirectly, presently may have a “short” position in the Common Stock, and (iv) the Purchaser shall not be deemed to have any affiliation with or control over any arm’s length counter-party in any “derivative” transaction. Anything in this Agreement or elsewhere herein to the contrary notwithstanding (except for Sections 3.2(f), 4.11 and 4.12 hereof), the Company further understands and acknowledges that (A) (y) the Purchaser may engage in hedging activities at various times during the period that the Shares are outstanding, and (z) such hedging activities (if any) could reduce the value of the existing stockholders' equity interests in the Company at and after the time that the hedging activities are being conducted and (B) that such aforementioned hedging activities do not constitute a breach of any of the Transaction Documents.</w:t>
      </w:r>
    </w:p>
    <w:p>
      <w:pPr>
        <w:spacing w:after="0" w:line="187" w:lineRule="exact"/>
        <w:rPr>
          <w:sz w:val="20"/>
          <w:szCs w:val="20"/>
          <w:color w:val="auto"/>
        </w:rPr>
      </w:pPr>
    </w:p>
    <w:p>
      <w:pPr>
        <w:jc w:val="both"/>
        <w:ind w:left="4" w:firstLine="648"/>
        <w:spacing w:after="0" w:line="257" w:lineRule="auto"/>
        <w:rPr>
          <w:sz w:val="20"/>
          <w:szCs w:val="20"/>
          <w:color w:val="auto"/>
        </w:rPr>
      </w:pPr>
      <w:r>
        <w:rPr>
          <w:rFonts w:ascii="Times New Roman" w:cs="Times New Roman" w:eastAsia="Times New Roman" w:hAnsi="Times New Roman"/>
          <w:sz w:val="18"/>
          <w:szCs w:val="18"/>
          <w:color w:val="auto"/>
        </w:rPr>
        <w:t>(ee)        </w:t>
      </w:r>
      <w:r>
        <w:rPr>
          <w:rFonts w:ascii="Times New Roman" w:cs="Times New Roman" w:eastAsia="Times New Roman" w:hAnsi="Times New Roman"/>
          <w:sz w:val="18"/>
          <w:szCs w:val="18"/>
          <w:u w:val="single" w:color="auto"/>
          <w:color w:val="auto"/>
        </w:rPr>
        <w:t>  Regulation M Compliance</w:t>
      </w:r>
      <w:r>
        <w:rPr>
          <w:rFonts w:ascii="Times New Roman" w:cs="Times New Roman" w:eastAsia="Times New Roman" w:hAnsi="Times New Roman"/>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Shares, (ii) sold, bid for, purchased, or, paid any compensation for soliciting purchases of, any of the Shares, or</w:t>
      </w:r>
    </w:p>
    <w:p>
      <w:pPr>
        <w:spacing w:after="0" w:line="1" w:lineRule="exact"/>
        <w:rPr>
          <w:sz w:val="20"/>
          <w:szCs w:val="20"/>
          <w:color w:val="auto"/>
        </w:rPr>
      </w:pPr>
    </w:p>
    <w:p>
      <w:pPr>
        <w:jc w:val="center"/>
        <w:ind w:left="4884" w:right="1280" w:hanging="4884"/>
        <w:spacing w:after="0" w:line="761" w:lineRule="auto"/>
        <w:tabs>
          <w:tab w:leader="none" w:pos="32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or agreed to pay to any Person any compensation for soliciting another to purchase any other securities of the Company.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-284480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0" w:name="page21"/>
    <w:bookmarkEnd w:id="20"/>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(ff)          </w:t>
      </w:r>
      <w:r>
        <w:rPr>
          <w:rFonts w:ascii="Times New Roman" w:cs="Times New Roman" w:eastAsia="Times New Roman" w:hAnsi="Times New Roman"/>
          <w:sz w:val="18"/>
          <w:szCs w:val="18"/>
          <w:u w:val="single" w:color="auto"/>
          <w:color w:val="auto"/>
        </w:rPr>
        <w:t>  Stock Option Plans</w:t>
      </w:r>
      <w:r>
        <w:rPr>
          <w:rFonts w:ascii="Times New Roman" w:cs="Times New Roman" w:eastAsia="Times New Roman" w:hAnsi="Times New Roman"/>
          <w:sz w:val="18"/>
          <w:szCs w:val="18"/>
          <w:color w:val="auto"/>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87"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(gg)       </w:t>
      </w:r>
      <w:r>
        <w:rPr>
          <w:rFonts w:ascii="Times New Roman" w:cs="Times New Roman" w:eastAsia="Times New Roman" w:hAnsi="Times New Roman"/>
          <w:sz w:val="18"/>
          <w:szCs w:val="18"/>
          <w:u w:val="single" w:color="auto"/>
          <w:color w:val="auto"/>
        </w:rPr>
        <w:t>  Cybersecurity</w:t>
      </w:r>
      <w:r>
        <w:rPr>
          <w:rFonts w:ascii="Times New Roman" w:cs="Times New Roman" w:eastAsia="Times New Roman" w:hAnsi="Times New Roman"/>
          <w:sz w:val="18"/>
          <w:szCs w:val="18"/>
          <w:color w:val="auto"/>
        </w:rPr>
        <w:t>. (i)(x)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cs="Times New Roman" w:eastAsia="Times New Roman" w:hAnsi="Times New Roman"/>
          <w:sz w:val="18"/>
          <w:szCs w:val="18"/>
          <w:u w:val="single" w:color="auto"/>
          <w:color w:val="auto"/>
        </w:rPr>
        <w:t>IT Systems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spacing w:after="0" w:line="19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(hh)       </w:t>
      </w:r>
      <w:r>
        <w:rPr>
          <w:rFonts w:ascii="Times New Roman" w:cs="Times New Roman" w:eastAsia="Times New Roman" w:hAnsi="Times New Roman"/>
          <w:sz w:val="18"/>
          <w:szCs w:val="18"/>
          <w:u w:val="single" w:color="auto"/>
          <w:color w:val="auto"/>
        </w:rPr>
        <w:t>  Office of Foreign Assets Control</w:t>
      </w:r>
      <w:r>
        <w:rPr>
          <w:rFonts w:ascii="Times New Roman" w:cs="Times New Roman" w:eastAsia="Times New Roman" w:hAnsi="Times New Roman"/>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8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3.2          </w:t>
      </w:r>
      <w:r>
        <w:rPr>
          <w:rFonts w:ascii="Times New Roman" w:cs="Times New Roman" w:eastAsia="Times New Roman" w:hAnsi="Times New Roman"/>
          <w:sz w:val="18"/>
          <w:szCs w:val="18"/>
          <w:u w:val="single" w:color="auto"/>
          <w:color w:val="auto"/>
        </w:rPr>
        <w:t>  Representations and Warranties of the Purchaser</w:t>
      </w:r>
      <w:r>
        <w:rPr>
          <w:rFonts w:ascii="Times New Roman" w:cs="Times New Roman" w:eastAsia="Times New Roman" w:hAnsi="Times New Roman"/>
          <w:sz w:val="18"/>
          <w:szCs w:val="18"/>
          <w:color w:val="auto"/>
        </w:rPr>
        <w:t>. The Purchaser hereby represents and warrants as of the date hereof and as of the Closing Date to the Company as follows (unless as of a specific date therein, in which case they shall be accurate as of such date):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Organization; Authority</w:t>
      </w:r>
      <w:r>
        <w:rPr>
          <w:rFonts w:ascii="Times New Roman" w:cs="Times New Roman" w:eastAsia="Times New Roman" w:hAnsi="Times New Roman"/>
          <w:sz w:val="18"/>
          <w:szCs w:val="18"/>
          <w:color w:val="auto"/>
        </w:rPr>
        <w:t>. The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the Purchaser of the transactions contemplated by the Transaction Documents have been duly authorized by all necessary corporate, partnership, limited liability company or similar action, as applicable, on the part of the Purchaser. Each Transaction Document to which it is a party has been duly executed by the Purchaser, and when delivered by the Purchaser in accordance with the terms hereof, will constitute the valid and legally binding obligation of the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Understandings or Arrangements</w:t>
      </w:r>
      <w:r>
        <w:rPr>
          <w:rFonts w:ascii="Times New Roman" w:cs="Times New Roman" w:eastAsia="Times New Roman" w:hAnsi="Times New Roman"/>
          <w:sz w:val="18"/>
          <w:szCs w:val="18"/>
          <w:color w:val="auto"/>
        </w:rPr>
        <w:t>. The Purchaser is acquiring the Shares as principal for its own account and has no direct or indirect arrangement or understandings with any other persons to distribute or regarding the distribution of such Shares (this representation and warranty not limiting the Purchaser’s right to sell the Shares pursuant to the Registration Statement or otherwise in compliance with applicable federal and state securities laws). The Purchaser is acquiring the Shares hereunder in the ordinary course of its business.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Purchaser Status</w:t>
      </w:r>
      <w:r>
        <w:rPr>
          <w:rFonts w:ascii="Times New Roman" w:cs="Times New Roman" w:eastAsia="Times New Roman" w:hAnsi="Times New Roman"/>
          <w:sz w:val="18"/>
          <w:szCs w:val="18"/>
          <w:color w:val="auto"/>
        </w:rPr>
        <w:t>. At the time the Purchaser was offered the Shares, it was, and as of the date hereof it is, either: (i) an “accredited investor” as defined in Rule 501(a)(1), (a)(2), (a)(3), (a)(7), (a)(8), (a)(9), (a)(12), or (a)(13) under the Securities Act or (ii) a “qualified institutional buyer” as defined in Rule 144A(a) under the Securities Act.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Experience of the Purchaser</w:t>
      </w:r>
      <w:r>
        <w:rPr>
          <w:rFonts w:ascii="Times New Roman" w:cs="Times New Roman" w:eastAsia="Times New Roman" w:hAnsi="Times New Roman"/>
          <w:sz w:val="18"/>
          <w:szCs w:val="18"/>
          <w:color w:val="auto"/>
        </w:rPr>
        <w:t>. The Purchaser, either alone or together with its representatives, has such knowledge, sophistication and experience in business and financial matters so as to be capable of evaluating the merits and risks of the prospective investment in the Shares, and has so evaluated the merits and risks of such investment. The Purchaser is able to bear the economic risk of an investment in the Shares and, at the present time, is able to afford a complete loss of such investment.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Access to Information</w:t>
      </w:r>
      <w:r>
        <w:rPr>
          <w:rFonts w:ascii="Times New Roman" w:cs="Times New Roman" w:eastAsia="Times New Roman" w:hAnsi="Times New Roman"/>
          <w:sz w:val="18"/>
          <w:szCs w:val="18"/>
          <w:color w:val="auto"/>
        </w:rPr>
        <w:t>. The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Shares and the merits and risks of investing in the Shares;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spacing w:after="0" w:line="200" w:lineRule="exact"/>
        <w:rPr>
          <w:sz w:val="20"/>
          <w:szCs w:val="20"/>
          <w:color w:val="auto"/>
        </w:rPr>
      </w:pPr>
    </w:p>
    <w:p>
      <w:pPr>
        <w:spacing w:after="0" w:line="2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2" w:name="page23"/>
    <w:bookmarkEnd w:id="22"/>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Certain Transactions and Confidentiality</w:t>
      </w:r>
      <w:r>
        <w:rPr>
          <w:rFonts w:ascii="Times New Roman" w:cs="Times New Roman" w:eastAsia="Times New Roman" w:hAnsi="Times New Roman"/>
          <w:sz w:val="18"/>
          <w:szCs w:val="18"/>
          <w:color w:val="auto"/>
        </w:rPr>
        <w:t>. Other than consummating the transactions contemplated hereunder, the Purchaser has not, nor has any Person acting on behalf of or pursuant to any understanding with the Purchaser, directly or indirectly executed any purchases or sales, including Short Sales, of the securities of the Company during the period commencing as of the time that the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the Purchaser being a multi-managed investment vehicle whereby separate portfolio managers manage separate portions of the Purchaser’s assets and the portfolio managers have no direct knowledge of the investment decisions made by the portfolio managers managing other portions of the Purchaser’s assets, the representation set forth above shall only apply with respect to the portion of assets managed by the portfolio manager that made the investment decision to purchase the Shares covered by this Agreement. Other than to other Persons party to this Agreement or to the Purchaser’s representatives, including, without limitation, its officers, directors, partners, legal and other advisors, employees, agents and Affiliates, the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contained in this Section 3.2 shall not modify, amend or affect the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OTHER AGREEMENTS OF THE PARTIES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4.1          </w:t>
      </w:r>
      <w:r>
        <w:rPr>
          <w:rFonts w:ascii="Times New Roman" w:cs="Times New Roman" w:eastAsia="Times New Roman" w:hAnsi="Times New Roman"/>
          <w:sz w:val="18"/>
          <w:szCs w:val="18"/>
          <w:u w:val="single" w:color="auto"/>
          <w:color w:val="auto"/>
        </w:rPr>
        <w:t>  Shares</w:t>
      </w:r>
      <w:r>
        <w:rPr>
          <w:rFonts w:ascii="Times New Roman" w:cs="Times New Roman" w:eastAsia="Times New Roman" w:hAnsi="Times New Roman"/>
          <w:sz w:val="18"/>
          <w:szCs w:val="18"/>
          <w:color w:val="auto"/>
        </w:rPr>
        <w:t>. Subject to the Put Option Agreement, the Shares shall be issued free of legends.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4.2          </w:t>
      </w:r>
      <w:r>
        <w:rPr>
          <w:rFonts w:ascii="Times New Roman" w:cs="Times New Roman" w:eastAsia="Times New Roman" w:hAnsi="Times New Roman"/>
          <w:sz w:val="18"/>
          <w:szCs w:val="18"/>
          <w:u w:val="single" w:color="auto"/>
          <w:color w:val="auto"/>
        </w:rPr>
        <w:t>  Furnishing of Information</w:t>
      </w:r>
      <w:r>
        <w:rPr>
          <w:rFonts w:ascii="Times New Roman" w:cs="Times New Roman" w:eastAsia="Times New Roman" w:hAnsi="Times New Roman"/>
          <w:sz w:val="18"/>
          <w:szCs w:val="18"/>
          <w:color w:val="auto"/>
        </w:rPr>
        <w:t>. Until the time the Purchaser no longer owns any Shares, the Company covenants to timely file (or obtain extensions in respect thereof and file within the applicable grace period) all reports required to be filed by the Company after the date hereof pursuant to the Exchange 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4.3          </w:t>
      </w:r>
      <w:r>
        <w:rPr>
          <w:rFonts w:ascii="Times New Roman" w:cs="Times New Roman" w:eastAsia="Times New Roman" w:hAnsi="Times New Roman"/>
          <w:sz w:val="18"/>
          <w:szCs w:val="18"/>
          <w:u w:val="single" w:color="auto"/>
          <w:color w:val="auto"/>
        </w:rPr>
        <w:t>  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Shares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4.4          </w:t>
      </w:r>
      <w:r>
        <w:rPr>
          <w:rFonts w:ascii="Times New Roman" w:cs="Times New Roman" w:eastAsia="Times New Roman" w:hAnsi="Times New Roman"/>
          <w:sz w:val="18"/>
          <w:szCs w:val="18"/>
          <w:u w:val="single" w:color="auto"/>
          <w:color w:val="auto"/>
        </w:rPr>
        <w:t>  Securities Laws Disclosure; Publicity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(a)            The Company shall (i) by the Disclosure Time, issue a press release disclosing the material terms of the transactions contemplated hereby, and (ii) file a Current Report on Form 8-K, including the Transaction Documents as exhibits thereto, with the Commission within the time required by the Exchange Act.</w:t>
      </w:r>
    </w:p>
    <w:p>
      <w:pPr>
        <w:spacing w:after="0" w:line="176"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(b)            No later than the expiration of the Lock-Up Period (as defined below), the Company shall issue a press release and/or a Current Report on Form 8-K disclosing all material non-public information concerning the Company disclosed to the Purchaser. From and after the issuance of such press release or Current Report on Form 8-K, the Company represents to the Purchaser that it shall have publicly disclosed all material, non-public information delivered to the Purchaser by the Company or any of its Subsidiaries, or any of their respective officers, directors, employees, Affiliates or agents, in connection with the transactions contemplated by the Transaction Documents. In addition, effective upon the issuance of such press release or Current Report on Form 8-K, the Company acknowledges and agrees that any and all confidentiality or similar obligations under any agreement, whether written or oral, between the Company, any of its Subsidiaries or any of their respective officers, directors, employees, Affiliates or agents, on the one hand, and the Purchaser or any of its Affiliates on the other hand, shall terminate and be of no further force or effect. The Company understands and confirms that the Purchaser shall be relying on the foregoing covenant in effecting transactions in securities of the Company.</w:t>
      </w:r>
    </w:p>
    <w:p>
      <w:pPr>
        <w:spacing w:after="0" w:line="194"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(c)            The Company and the Purchaser shall consult with each other in issuing any other press releases with respect to the transactions contemplated hereby, and neither the Company nor the Purchaser shall issue any such press release nor otherwise make any such public statement without the prior consent of the Company, with respect to any press release of the Purchaser, or without the prior consent of the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the Purchaser, or include the name of the Purchaser in any filing with the Commission or any regulatory agency or Trading Market, without the prior written consent of the Purchaser, except (a) as required by federal securities law in connection with the filing of final Transaction Documents with the Commission and (b) to the extent such disclosure is required by law or Trading Market regulations, in which case the Company shall provide the Purchaser with prior notice of such disclosure permitted under this clause (b) and reasonably cooperate with the Purchaser regarding such disclosure.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4.5          </w:t>
      </w:r>
      <w:r>
        <w:rPr>
          <w:rFonts w:ascii="Times New Roman" w:cs="Times New Roman" w:eastAsia="Times New Roman" w:hAnsi="Times New Roman"/>
          <w:sz w:val="18"/>
          <w:szCs w:val="18"/>
          <w:u w:val="single" w:color="auto"/>
          <w:color w:val="auto"/>
        </w:rPr>
        <w:t>  Shareholder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the Purchaser is an “</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under any control share acquisition, business combination, poison pill (including any distribution under a rights agreement) or similar anti-takeover plan or arrangement in effect or hereafter adopted by the Company, or that the Purchaser could be deemed to trigger the provisions of any such plan or arrangement, by virtue of receiving Shares under the Transaction Documents or under any other agreement between the Company and the Purchaser.</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4.6          </w:t>
      </w:r>
      <w:r>
        <w:rPr>
          <w:rFonts w:ascii="Times New Roman" w:cs="Times New Roman" w:eastAsia="Times New Roman" w:hAnsi="Times New Roman"/>
          <w:sz w:val="18"/>
          <w:szCs w:val="18"/>
          <w:u w:val="single" w:color="auto"/>
          <w:color w:val="auto"/>
        </w:rPr>
        <w:t>  Non-Public Information</w:t>
      </w:r>
      <w:r>
        <w:rPr>
          <w:rFonts w:ascii="Times New Roman" w:cs="Times New Roman" w:eastAsia="Times New Roman" w:hAnsi="Times New Roman"/>
          <w:sz w:val="18"/>
          <w:szCs w:val="18"/>
          <w:color w:val="auto"/>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the Purchaser or its agents or counsel with any information that constitutes, or the Company reasonably believes constitutes, material non-public information, unless prior thereto the Purchaser shall have consented in writing to the receipt of such information and agreed in writing with the Company to keep such information confidential. The Company understands and confirms that the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the Purchaser without the Purchaser’s consent, the Company hereby covenants and agrees that the Purchaser shall not have any duty of confidentiality to the Company, any of its Subsidiaries, or any of their respective officers, directors, employees, Affiliates or agents, or a duty to the Company, any of its Subsidiaries or any of their respective officers, directors, employees, Affiliates or agents,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the Purchaser shall be relying on the foregoing covenant in effecting transactions in securities of the Company.</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4.7          </w:t>
      </w:r>
      <w:r>
        <w:rPr>
          <w:rFonts w:ascii="Times New Roman" w:cs="Times New Roman" w:eastAsia="Times New Roman" w:hAnsi="Times New Roman"/>
          <w:sz w:val="18"/>
          <w:szCs w:val="18"/>
          <w:u w:val="single" w:color="auto"/>
          <w:color w:val="auto"/>
        </w:rPr>
        <w:t>  Use of Proceeds</w:t>
      </w:r>
      <w:r>
        <w:rPr>
          <w:rFonts w:ascii="Times New Roman" w:cs="Times New Roman" w:eastAsia="Times New Roman" w:hAnsi="Times New Roman"/>
          <w:sz w:val="18"/>
          <w:szCs w:val="18"/>
          <w:color w:val="auto"/>
        </w:rPr>
        <w:t>. The Company shall use the net proceeds from the sale of the Shares as set forth in the Prospectus Supplement.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4.8          </w:t>
      </w:r>
      <w:r>
        <w:rPr>
          <w:rFonts w:ascii="Times New Roman" w:cs="Times New Roman" w:eastAsia="Times New Roman" w:hAnsi="Times New Roman"/>
          <w:sz w:val="18"/>
          <w:szCs w:val="18"/>
          <w:u w:val="single" w:color="auto"/>
          <w:color w:val="auto"/>
        </w:rPr>
        <w:t>  Indemnification of Purchaser</w:t>
      </w:r>
      <w:r>
        <w:rPr>
          <w:rFonts w:ascii="Times New Roman" w:cs="Times New Roman" w:eastAsia="Times New Roman" w:hAnsi="Times New Roman"/>
          <w:sz w:val="18"/>
          <w:szCs w:val="18"/>
          <w:color w:val="auto"/>
        </w:rPr>
        <w:t>. Subject to the provisions of this Section 4.8, the Company will indemnify and hold the Purchaser and its directors, officers, shareholders, members, partners, employees and agents (and any other Persons with a functionally equivalent role of a Person holding such titles notwithstanding a lack of such title or any other title), each Person who controls the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4.9          </w:t>
      </w:r>
      <w:r>
        <w:rPr>
          <w:rFonts w:ascii="Times New Roman" w:cs="Times New Roman" w:eastAsia="Times New Roman" w:hAnsi="Times New Roman"/>
          <w:sz w:val="18"/>
          <w:szCs w:val="18"/>
          <w:u w:val="single" w:color="auto"/>
          <w:color w:val="auto"/>
        </w:rPr>
        <w:t>  Reservation of Common Stock</w:t>
      </w:r>
      <w:r>
        <w:rPr>
          <w:rFonts w:ascii="Times New Roman" w:cs="Times New Roman" w:eastAsia="Times New Roman" w:hAnsi="Times New Roman"/>
          <w:sz w:val="18"/>
          <w:szCs w:val="18"/>
          <w:color w:val="auto"/>
        </w:rPr>
        <w:t>. As of the date hereof, the Company has reserved and the Company shall continue to reserve and keep available at all times, free of preemptive rights, a sufficient number of shares of Common Stock for the purpose of enabling the Company to issue the Shares pursuant to this Agreement.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4.10        </w:t>
      </w:r>
      <w:r>
        <w:rPr>
          <w:rFonts w:ascii="Times New Roman" w:cs="Times New Roman" w:eastAsia="Times New Roman" w:hAnsi="Times New Roman"/>
          <w:sz w:val="18"/>
          <w:szCs w:val="18"/>
          <w:u w:val="single" w:color="auto"/>
          <w:color w:val="auto"/>
        </w:rPr>
        <w:t>  Listing of Common Stock</w:t>
      </w:r>
      <w:r>
        <w:rPr>
          <w:rFonts w:ascii="Times New Roman" w:cs="Times New Roman" w:eastAsia="Times New Roman" w:hAnsi="Times New Roman"/>
          <w:sz w:val="18"/>
          <w:szCs w:val="18"/>
          <w:color w:val="auto"/>
        </w:rPr>
        <w:t>. The Company hereby agrees to use best efforts to maintain the listing or quotation of the Common Stock on the Trading Market on which it is currently listed, and concurrently with the Closing, the Company shall apply to list or quote all of the Shares on such Trading Market and promptly secure the listing of all of the Shares on such Trading Market. The Company further agrees, if the Company applies to have the Common Stock traded on any other Trading Market, it will then include in such application all of the Shares, and will take such other action as is necessary to cause all of the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4.11        </w:t>
      </w:r>
      <w:r>
        <w:rPr>
          <w:rFonts w:ascii="Times New Roman" w:cs="Times New Roman" w:eastAsia="Times New Roman" w:hAnsi="Times New Roman"/>
          <w:sz w:val="18"/>
          <w:szCs w:val="18"/>
          <w:u w:val="single" w:color="auto"/>
          <w:color w:val="auto"/>
        </w:rPr>
        <w:t>  Certain Transactions and Confidentiality</w:t>
      </w:r>
      <w:r>
        <w:rPr>
          <w:rFonts w:ascii="Times New Roman" w:cs="Times New Roman" w:eastAsia="Times New Roman" w:hAnsi="Times New Roman"/>
          <w:sz w:val="18"/>
          <w:szCs w:val="18"/>
          <w:color w:val="auto"/>
        </w:rPr>
        <w:t>. The Purchaser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The Purchaser covenants that until such time as the transactions contemplated by this Agreement are publicly disclosed by the Company pursuant to the initial press release as described in Section 4.4, the Purchaser will maintain the confidentiality of the existence and terms of this transaction (other than as disclosed to its legal and other representatives). Notwithstanding the foregoing, and notwithstanding anything contained in this Agreement to the contrary (except for Section 4.12 hereof), the Company expressly acknowledges and agrees that (i) the Purchaser does not make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the Purchaser shall not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the Purchaser shall not have any duty of confidentiality or duty not to trade in the securities of the Company to the Company, any of its Subsidiaries, or any of their respective officers, directors, employees, Affiliates or agent, after the issuance of the initial press release as described in Section 4.4. Notwithstanding the foregoing, in the case of the Purchaser being a multi-managed investment vehicle whereby separate portfolio managers manage separate portions of the Purchaser’s assets and the portfolio managers have no direct knowledge of the investment decisions made by the portfolio managers managing other portions of the Purchaser’s assets, the covenant set forth above shall only apply with respect to the portion of assets managed by the portfolio manager that made the investment decision to purchase the Shares covered by this Agreement.</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4.12        </w:t>
      </w:r>
      <w:r>
        <w:rPr>
          <w:rFonts w:ascii="Times New Roman" w:cs="Times New Roman" w:eastAsia="Times New Roman" w:hAnsi="Times New Roman"/>
          <w:sz w:val="18"/>
          <w:szCs w:val="18"/>
          <w:u w:val="single" w:color="auto"/>
          <w:color w:val="auto"/>
        </w:rPr>
        <w:t>  Lock-Up</w:t>
      </w:r>
      <w:r>
        <w:rPr>
          <w:rFonts w:ascii="Times New Roman" w:cs="Times New Roman" w:eastAsia="Times New Roman" w:hAnsi="Times New Roman"/>
          <w:sz w:val="18"/>
          <w:szCs w:val="18"/>
          <w:color w:val="auto"/>
        </w:rPr>
        <w:t>. From the date of this Agreement until May 4, 2026 (the “</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the Purchaser shall not, without the prior written consent of the Board of Directors, directly or indirectly, (i) offer, sell, assign, transfer, pledge, contract to sell, or otherwise dispose of, or announce the intention to otherwise dispose of, any Common Stock (including, without limitation, Common Stock which may be deemed to be beneficially owned by the Purchaser in accordance with the rules and regulations promulgated under the Securities Act) or securities convertible into or exercisable or exchangeable for Common Stock (collectively, the “</w:t>
      </w:r>
      <w:r>
        <w:rPr>
          <w:rFonts w:ascii="Times New Roman" w:cs="Times New Roman" w:eastAsia="Times New Roman" w:hAnsi="Times New Roman"/>
          <w:sz w:val="18"/>
          <w:szCs w:val="18"/>
          <w:b w:val="1"/>
          <w:bCs w:val="1"/>
          <w:color w:val="auto"/>
        </w:rPr>
        <w:t>Lock-Up Securities</w:t>
      </w:r>
      <w:r>
        <w:rPr>
          <w:rFonts w:ascii="Times New Roman" w:cs="Times New Roman" w:eastAsia="Times New Roman" w:hAnsi="Times New Roman"/>
          <w:sz w:val="18"/>
          <w:szCs w:val="18"/>
          <w:color w:val="auto"/>
        </w:rPr>
        <w:t>”); (ii) enter into any swap, hedge or similar agreement or arrangement that transfers in whole or in part, the economic risk of ownership of any Lock-Up Securities, whether now owned or hereafter acquired by the Purchaser or with respect to which the Purchaser has or hereafter acquires the power of disposition, or (ii) engage in any Short Sales of any Lock-Up Securities.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4.13        </w:t>
      </w:r>
      <w:r>
        <w:rPr>
          <w:rFonts w:ascii="Times New Roman" w:cs="Times New Roman" w:eastAsia="Times New Roman" w:hAnsi="Times New Roman"/>
          <w:sz w:val="18"/>
          <w:szCs w:val="18"/>
          <w:u w:val="single" w:color="auto"/>
          <w:color w:val="auto"/>
        </w:rPr>
        <w:t>  Short Sales and Hedging Transactions</w:t>
      </w:r>
      <w:r>
        <w:rPr>
          <w:rFonts w:ascii="Times New Roman" w:cs="Times New Roman" w:eastAsia="Times New Roman" w:hAnsi="Times New Roman"/>
          <w:sz w:val="18"/>
          <w:szCs w:val="18"/>
          <w:color w:val="auto"/>
        </w:rPr>
        <w:t>. The Purchaser covenants that neither it nor any Affiliate acting on its behalf or pursuant to any understanding with it will execute any Short Sales of, or hedging transactions involving, any of the Company’s securities during the period commencing with the execution of this Agreement and ending on the 18-month anniversary of the Closing Date.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4.14        </w:t>
      </w:r>
      <w:r>
        <w:rPr>
          <w:rFonts w:ascii="Times New Roman" w:cs="Times New Roman" w:eastAsia="Times New Roman" w:hAnsi="Times New Roman"/>
          <w:sz w:val="18"/>
          <w:szCs w:val="18"/>
          <w:u w:val="single" w:color="auto"/>
          <w:color w:val="auto"/>
        </w:rPr>
        <w:t>  Put Option</w:t>
      </w:r>
      <w:r>
        <w:rPr>
          <w:rFonts w:ascii="Times New Roman" w:cs="Times New Roman" w:eastAsia="Times New Roman" w:hAnsi="Times New Roman"/>
          <w:sz w:val="18"/>
          <w:szCs w:val="18"/>
          <w:color w:val="auto"/>
        </w:rPr>
        <w:t>. In consideration of and subject to the Purchaser’s payment of the Subscription Amount, the Company hereby grants to the Purchaser the put option as set out in the Put Option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5.1          </w:t>
      </w:r>
      <w:r>
        <w:rPr>
          <w:rFonts w:ascii="Times New Roman" w:cs="Times New Roman" w:eastAsia="Times New Roman" w:hAnsi="Times New Roman"/>
          <w:sz w:val="18"/>
          <w:szCs w:val="18"/>
          <w:u w:val="single" w:color="auto"/>
          <w:color w:val="auto"/>
        </w:rPr>
        <w:t>  Termination</w:t>
      </w:r>
      <w:r>
        <w:rPr>
          <w:rFonts w:ascii="Times New Roman" w:cs="Times New Roman" w:eastAsia="Times New Roman" w:hAnsi="Times New Roman"/>
          <w:sz w:val="18"/>
          <w:szCs w:val="18"/>
          <w:color w:val="auto"/>
        </w:rPr>
        <w:t>. This Agreement may be terminated by the Purchaser, as to the Purchaser’s obligations hereunder only, by written notice to the Company, if the Closing has not been consummated on or before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Trading Day following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termination will affect the right of any party to sue for any breach by any other party (or parties).</w:t>
      </w:r>
    </w:p>
    <w:p>
      <w:pPr>
        <w:spacing w:after="0" w:line="20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5.2          </w:t>
      </w:r>
      <w:r>
        <w:rPr>
          <w:rFonts w:ascii="Times New Roman" w:cs="Times New Roman" w:eastAsia="Times New Roman" w:hAnsi="Times New Roman"/>
          <w:sz w:val="18"/>
          <w:szCs w:val="18"/>
          <w:u w:val="single" w:color="auto"/>
          <w:color w:val="auto"/>
        </w:rPr>
        <w:t>  Fees and Expenses</w:t>
      </w:r>
      <w:r>
        <w:rPr>
          <w:rFonts w:ascii="Times New Roman" w:cs="Times New Roman" w:eastAsia="Times New Roman" w:hAnsi="Times New Roman"/>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the Purchaser), stamp taxes and other taxes and duties levied in connection with the delivery of any Shares to the Purchaser.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5.3          </w:t>
      </w:r>
      <w:r>
        <w:rPr>
          <w:rFonts w:ascii="Times New Roman" w:cs="Times New Roman" w:eastAsia="Times New Roman" w:hAnsi="Times New Roman"/>
          <w:sz w:val="18"/>
          <w:szCs w:val="18"/>
          <w:u w:val="single" w:color="auto"/>
          <w:color w:val="auto"/>
        </w:rPr>
        <w:t>  Entire Agreement</w:t>
      </w:r>
      <w:r>
        <w:rPr>
          <w:rFonts w:ascii="Times New Roman" w:cs="Times New Roman" w:eastAsia="Times New Roman" w:hAnsi="Times New Roman"/>
          <w:sz w:val="18"/>
          <w:szCs w:val="18"/>
          <w:color w:val="auto"/>
        </w:rPr>
        <w:t>. The Transaction Documents, together with the exhibits, annexes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annexes and schedules.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5.4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w:t>
      </w:r>
    </w:p>
    <w:p>
      <w:pPr>
        <w:spacing w:after="0" w:line="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pages attached hereto on a day that is not a Trading Day or later than 5:30 p.m. (New York City time) on any Trading Day, (c)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5.5          </w:t>
      </w:r>
      <w:r>
        <w:rPr>
          <w:rFonts w:ascii="Times New Roman" w:cs="Times New Roman" w:eastAsia="Times New Roman" w:hAnsi="Times New Roman"/>
          <w:sz w:val="18"/>
          <w:szCs w:val="18"/>
          <w:u w:val="single" w:color="auto"/>
          <w:color w:val="auto"/>
        </w:rPr>
        <w:t>  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the Purchaser.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amendment effected in accordance with this Section 5.5 shall be binding upon the Purchaser and holder of Shares and the Company.</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5.6          </w:t>
      </w:r>
      <w:r>
        <w:rPr>
          <w:rFonts w:ascii="Times New Roman" w:cs="Times New Roman" w:eastAsia="Times New Roman" w:hAnsi="Times New Roman"/>
          <w:sz w:val="18"/>
          <w:szCs w:val="18"/>
          <w:u w:val="single" w:color="auto"/>
          <w:color w:val="auto"/>
        </w:rPr>
        <w:t>  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5.7          </w:t>
      </w:r>
      <w:r>
        <w:rPr>
          <w:rFonts w:ascii="Times New Roman" w:cs="Times New Roman" w:eastAsia="Times New Roman" w:hAnsi="Times New Roman"/>
          <w:sz w:val="18"/>
          <w:szCs w:val="18"/>
          <w:u w:val="single" w:color="auto"/>
          <w:color w:val="auto"/>
        </w:rPr>
        <w:t>  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the Purchaser (other than by merger). The Purchaser may assign any or all of its rights under this Agreement to any Person to whom the Purchaser assigns or transfers any Shares, provided that such transferee agrees in writing to be bound, with respect to the transferred Shares, by the provisions of the Transaction Documents that apply to the “Purchaser.”</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5.8          </w:t>
      </w:r>
      <w:r>
        <w:rPr>
          <w:rFonts w:ascii="Times New Roman" w:cs="Times New Roman" w:eastAsia="Times New Roman" w:hAnsi="Times New Roman"/>
          <w:sz w:val="18"/>
          <w:szCs w:val="18"/>
          <w:u w:val="single" w:color="auto"/>
          <w:color w:val="auto"/>
        </w:rPr>
        <w:t>  No Third-Party Beneficiaries</w:t>
      </w:r>
      <w:r>
        <w:rPr>
          <w:rFonts w:ascii="Times New Roman" w:cs="Times New Roman" w:eastAsia="Times New Roman" w:hAnsi="Times New Roman"/>
          <w:sz w:val="18"/>
          <w:szCs w:val="18"/>
          <w:color w:val="auto"/>
        </w:rPr>
        <w:t>.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5.9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ind w:left="660"/>
        <w:spacing w:after="0"/>
        <w:rPr>
          <w:sz w:val="20"/>
          <w:szCs w:val="20"/>
          <w:color w:val="auto"/>
        </w:rPr>
      </w:pPr>
      <w:r>
        <w:rPr>
          <w:rFonts w:ascii="Times New Roman" w:cs="Times New Roman" w:eastAsia="Times New Roman" w:hAnsi="Times New Roman"/>
          <w:sz w:val="18"/>
          <w:szCs w:val="18"/>
          <w:color w:val="auto"/>
        </w:rPr>
        <w:t>5.10        </w:t>
      </w:r>
      <w:r>
        <w:rPr>
          <w:rFonts w:ascii="Times New Roman" w:cs="Times New Roman" w:eastAsia="Times New Roman" w:hAnsi="Times New Roman"/>
          <w:sz w:val="18"/>
          <w:szCs w:val="18"/>
          <w:u w:val="single" w:color="auto"/>
          <w:color w:val="auto"/>
        </w:rPr>
        <w:t>  Survival</w:t>
      </w:r>
      <w:r>
        <w:rPr>
          <w:rFonts w:ascii="Times New Roman" w:cs="Times New Roman" w:eastAsia="Times New Roman" w:hAnsi="Times New Roman"/>
          <w:sz w:val="18"/>
          <w:szCs w:val="18"/>
          <w:color w:val="auto"/>
        </w:rPr>
        <w:t>. The representations and warranties contained herein shall survive the Closing and the delivery of the Shares.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5.11        </w:t>
      </w:r>
      <w:r>
        <w:rPr>
          <w:rFonts w:ascii="Times New Roman" w:cs="Times New Roman" w:eastAsia="Times New Roman" w:hAnsi="Times New Roman"/>
          <w:sz w:val="18"/>
          <w:szCs w:val="18"/>
          <w:u w:val="single" w:color="auto"/>
          <w:color w:val="auto"/>
        </w:rPr>
        <w:t>  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(including any electronic signature covered by the U.S. federal ESIGN Act of 2000, Uniform Electronic Transactions Act, the Electronic Signatures and Records Act or other applicable law, e.g., www.docusign.com) or other transmission method, such signature shall be deemed to have been duly and validly delivered and shall create a valid and binding obligation of the party executing (or on whose behalf such signature is executed) with the same force and effect as if such “.pdf” or other electronic or digital signature page were an original thereof.</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5.12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5.13        </w:t>
      </w:r>
      <w:r>
        <w:rPr>
          <w:rFonts w:ascii="Times New Roman" w:cs="Times New Roman" w:eastAsia="Times New Roman" w:hAnsi="Times New Roman"/>
          <w:sz w:val="18"/>
          <w:szCs w:val="18"/>
          <w:u w:val="single" w:color="auto"/>
          <w:color w:val="auto"/>
        </w:rPr>
        <w:t>  Rescission and Withdrawal Right</w:t>
      </w:r>
      <w:r>
        <w:rPr>
          <w:rFonts w:ascii="Times New Roman" w:cs="Times New Roman" w:eastAsia="Times New Roman" w:hAnsi="Times New Roman"/>
          <w:sz w:val="18"/>
          <w:szCs w:val="18"/>
          <w:color w:val="auto"/>
        </w:rPr>
        <w:t>. Notwithstanding anything to the contrary contained in (and without limiting any similar provisions of) any of the other Transaction Documents, whenever the Purchaser exercises a right, election, demand or option under a Transaction Document and the Company does not timely perform its related obligations within the periods therein provided, then the Purchaser may rescind or withdraw, in its sole discretion from time to time upon written notice to the Company, any relevant notice, demand or election in whole or in part without prejudice to its future actions and rights.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5.14        </w:t>
      </w:r>
      <w:r>
        <w:rPr>
          <w:rFonts w:ascii="Times New Roman" w:cs="Times New Roman" w:eastAsia="Times New Roman" w:hAnsi="Times New Roman"/>
          <w:sz w:val="18"/>
          <w:szCs w:val="18"/>
          <w:u w:val="single" w:color="auto"/>
          <w:color w:val="auto"/>
        </w:rPr>
        <w:t>  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the Purchaser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5.15        </w:t>
      </w:r>
      <w:r>
        <w:rPr>
          <w:rFonts w:ascii="Times New Roman" w:cs="Times New Roman" w:eastAsia="Times New Roman" w:hAnsi="Times New Roman"/>
          <w:sz w:val="18"/>
          <w:szCs w:val="18"/>
          <w:u w:val="single" w:color="auto"/>
          <w:color w:val="auto"/>
        </w:rPr>
        <w:t>  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5.16        </w:t>
      </w:r>
      <w:r>
        <w:rPr>
          <w:rFonts w:ascii="Times New Roman" w:cs="Times New Roman" w:eastAsia="Times New Roman" w:hAnsi="Times New Roman"/>
          <w:sz w:val="18"/>
          <w:szCs w:val="18"/>
          <w:u w:val="single" w:color="auto"/>
          <w:color w:val="auto"/>
        </w:rPr>
        <w:t>  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79"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18"/>
          <w:szCs w:val="18"/>
          <w:color w:val="auto"/>
        </w:rPr>
        <w:t>5.17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 ANY ACTION, SUIT, OR PROCEEDING IN ANY JURISDICTION BROUGHT BY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PARTY AGAINST ANY OTHER PARTY, THE PARTIES EACH KNOWINGLY AND INTENTIONALLY, TO THE GREATEST EXTENT PERMITTED BY APPLICABLE LAW, HEREBY ABSOLUTELY, UNCONDITIONALLY, IRREVOCABLY AND EXPRESSLY WAIVES FOREVER TRIAL BY JURY.</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Securities Purchase Agreement to be duly executed by their respective authorized signatories as of the date first indicated above.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SOLANA COMPANY</w:t>
            </w:r>
          </w:p>
        </w:tc>
        <w:tc>
          <w:tcPr>
            <w:tcW w:w="220" w:type="dxa"/>
            <w:vAlign w:val="bottom"/>
          </w:tcPr>
          <w:p>
            <w:pPr>
              <w:spacing w:after="0"/>
              <w:rPr>
                <w:sz w:val="17"/>
                <w:szCs w:val="17"/>
                <w:color w:val="auto"/>
              </w:rPr>
            </w:pPr>
          </w:p>
        </w:tc>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Address for Notice:</w:t>
            </w:r>
          </w:p>
        </w:tc>
      </w:tr>
      <w:tr>
        <w:trPr>
          <w:trHeight w:val="668"/>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22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r>
      <w:tr>
        <w:trPr>
          <w:trHeight w:val="191"/>
        </w:trPr>
        <w:tc>
          <w:tcPr>
            <w:tcW w:w="480" w:type="dxa"/>
            <w:vAlign w:val="bottom"/>
          </w:tcPr>
          <w:p>
            <w:pPr>
              <w:spacing w:after="0"/>
              <w:rPr>
                <w:sz w:val="16"/>
                <w:szCs w:val="16"/>
                <w:color w:val="auto"/>
              </w:rPr>
            </w:pPr>
          </w:p>
        </w:tc>
        <w:tc>
          <w:tcPr>
            <w:tcW w:w="47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6"/>
        </w:trPr>
        <w:tc>
          <w:tcPr>
            <w:tcW w:w="52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Title:</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FOR PURCHASER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color w:val="auto"/>
        </w:rPr>
        <w:t>[PURCHASER SIGNATURE PAGE TO SECURITIES PURCHASE AGREEMENT]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______________________________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Purchaser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Authorized Signatory: 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US$______________________________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EIN Number</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Put Option Agreement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447040</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4" w:name="page35"/>
    <w:bookmarkEnd w:id="34"/>
    <w:p>
      <w:pPr>
        <w:ind w:left="10240"/>
        <w:spacing w:after="0"/>
        <w:rPr>
          <w:sz w:val="20"/>
          <w:szCs w:val="20"/>
          <w:color w:val="auto"/>
        </w:rPr>
      </w:pPr>
      <w:r>
        <w:rPr>
          <w:rFonts w:ascii="Times New Roman" w:cs="Times New Roman" w:eastAsia="Times New Roman" w:hAnsi="Times New Roman"/>
          <w:sz w:val="21"/>
          <w:szCs w:val="21"/>
          <w:b w:val="1"/>
          <w:bCs w:val="1"/>
          <w:color w:val="auto"/>
        </w:rPr>
        <w:t>Exhibit 4.2</w:t>
      </w:r>
    </w:p>
    <w:p>
      <w:pPr>
        <w:spacing w:after="0" w:line="2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PUT OPTION HAS NOT BEEN REGISTERED UNDER THE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OR UNDER THE SECURITIES LAWS OF ANY STATES IN THE UNITED STATES. THESE SECURITIES ARE SUBJECT TO RESTRICTIONS ON TRANSFERABILITY AND RESALE AND MAY NOT BE TRANSFERRED OR RESOLD EXCEPT AS PERMITTED UNDER THE ACT AND THE APPLICABLE STATE SECURITIES LAWS, PURSUANT TO REGISTRATION OR EXEMPTION THEREFROM. THE ISSUER OF THE PUT OPTION MAY REQUIRE AN OPINION OF COUNSEL IN FORM AND SUBSTANCE SATISFACTORY TO THE ISSUER TO THE EFFECT THAT ANY PROPOSED TRANSFER OR RESALE IS IN COMPLIANCE WITH THE ACT AND ANY APPLICABLE STATE SECURITIES LAWS.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SOLANA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PUT OPTION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This Put Option Agreement (this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is entered into as of __________, 2026 (the “</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by and between Solana Company,</w:t>
      </w:r>
    </w:p>
    <w:p>
      <w:pPr>
        <w:spacing w:after="0" w:line="4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purchaser identified on the signature page hereto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The Company and Purchaser are herein referred to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Purchaser acquired ___________ shares of the Class A common stock of the Company (the "</w:t>
      </w:r>
      <w:r>
        <w:rPr>
          <w:rFonts w:ascii="Times New Roman" w:cs="Times New Roman" w:eastAsia="Times New Roman" w:hAnsi="Times New Roman"/>
          <w:sz w:val="18"/>
          <w:szCs w:val="18"/>
          <w:b w:val="1"/>
          <w:bCs w:val="1"/>
          <w:color w:val="auto"/>
        </w:rPr>
        <w:t>Covered Shares</w:t>
      </w:r>
      <w:r>
        <w:rPr>
          <w:rFonts w:ascii="Times New Roman" w:cs="Times New Roman" w:eastAsia="Times New Roman" w:hAnsi="Times New Roman"/>
          <w:sz w:val="18"/>
          <w:szCs w:val="18"/>
          <w:color w:val="auto"/>
        </w:rPr>
        <w:t>”) pursuant to that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Securities Purchase Agreement between Purchaser and the Company, dated as of ____________, 2026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and</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Parties desire to provide Purchaser the right to cause the Company to purchase all or a portion of the Covered Shares in accordance with and subject to the terms of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mutual promises and covenants contained in this Agreement, the Parties hereto agree as follows: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Grant of Put Option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Right to Sell</w:t>
      </w:r>
      <w:r>
        <w:rPr>
          <w:rFonts w:ascii="Times New Roman" w:cs="Times New Roman" w:eastAsia="Times New Roman" w:hAnsi="Times New Roman"/>
          <w:sz w:val="18"/>
          <w:szCs w:val="18"/>
          <w:color w:val="auto"/>
        </w:rPr>
        <w:t>. In connection with a Qualifying Event (as defined below), Purchaser shall have the right, but not an obligation, to cause the Company to purchase from Purchaser all or a portion of the Covered Shares (such right, the “</w:t>
      </w:r>
      <w:r>
        <w:rPr>
          <w:rFonts w:ascii="Times New Roman" w:cs="Times New Roman" w:eastAsia="Times New Roman" w:hAnsi="Times New Roman"/>
          <w:sz w:val="18"/>
          <w:szCs w:val="18"/>
          <w:b w:val="1"/>
          <w:bCs w:val="1"/>
          <w:color w:val="auto"/>
        </w:rPr>
        <w:t>Put Option</w:t>
      </w:r>
      <w:r>
        <w:rPr>
          <w:rFonts w:ascii="Times New Roman" w:cs="Times New Roman" w:eastAsia="Times New Roman" w:hAnsi="Times New Roman"/>
          <w:sz w:val="18"/>
          <w:szCs w:val="18"/>
          <w:color w:val="auto"/>
        </w:rPr>
        <w:t xml:space="preserve">”) at a price per share equal to (x) the Per Share Purchase Price (as defined in the Purchase Agreement);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an amount that would result in an IRR of 7.0% per annum on the Per Share Purchase Price as of the date of the applicable Qualifying Event (the “</w:t>
      </w:r>
      <w:r>
        <w:rPr>
          <w:rFonts w:ascii="Times New Roman" w:cs="Times New Roman" w:eastAsia="Times New Roman" w:hAnsi="Times New Roman"/>
          <w:sz w:val="18"/>
          <w:szCs w:val="18"/>
          <w:b w:val="1"/>
          <w:bCs w:val="1"/>
          <w:color w:val="auto"/>
        </w:rPr>
        <w:t>Per Share Put Option Price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For purposes of this Agreement:</w:t>
      </w:r>
    </w:p>
    <w:p>
      <w:pPr>
        <w:spacing w:after="0" w:line="2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the generally accepted accounting principles in the United States of America, as in effect from time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5" w:name="page36"/>
    <w:bookmarkEnd w:id="35"/>
    <w:p>
      <w:pPr>
        <w:jc w:val="both"/>
        <w:ind w:firstLine="1944"/>
        <w:spacing w:after="0" w:line="268"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b w:val="1"/>
          <w:bCs w:val="1"/>
          <w:color w:val="auto"/>
        </w:rPr>
        <w:t>IRR</w:t>
      </w:r>
      <w:r>
        <w:rPr>
          <w:rFonts w:ascii="Times New Roman" w:cs="Times New Roman" w:eastAsia="Times New Roman" w:hAnsi="Times New Roman"/>
          <w:sz w:val="18"/>
          <w:szCs w:val="18"/>
          <w:color w:val="auto"/>
        </w:rPr>
        <w:t>” means, with respect to a Covered Share, as of any date of determination, the total internal rate of return on the amount invested by Purchaser in such Covered Share, after taking in account all distributions made to or returns on investment received by the Purchaser in relation to such Covered Share (including any dividends), calculated using the XIRR function of Microsoft Office Excel.</w:t>
      </w:r>
    </w:p>
    <w:p>
      <w:pPr>
        <w:spacing w:after="0" w:line="171" w:lineRule="exact"/>
        <w:rPr>
          <w:sz w:val="20"/>
          <w:szCs w:val="20"/>
          <w:color w:val="auto"/>
        </w:rPr>
      </w:pPr>
    </w:p>
    <w:p>
      <w:pPr>
        <w:jc w:val="both"/>
        <w:ind w:firstLine="1944"/>
        <w:spacing w:after="0" w:line="268"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b w:val="1"/>
          <w:bCs w:val="1"/>
          <w:color w:val="auto"/>
        </w:rPr>
        <w:t>Net Debt</w:t>
      </w:r>
      <w:r>
        <w:rPr>
          <w:rFonts w:ascii="Times New Roman" w:cs="Times New Roman" w:eastAsia="Times New Roman" w:hAnsi="Times New Roman"/>
          <w:sz w:val="18"/>
          <w:szCs w:val="18"/>
          <w:color w:val="auto"/>
        </w:rPr>
        <w:t xml:space="preserve">” means, as of any date, Total Debt;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all current assets of the Company and its subsidiaries, determined on a consolidated basis in accordance with GAAP (which, for the avoidance of doubt, shall include without limitations, cash, cash equivalents and digital assets).</w:t>
      </w:r>
    </w:p>
    <w:p>
      <w:pPr>
        <w:spacing w:after="0" w:line="171" w:lineRule="exact"/>
        <w:rPr>
          <w:sz w:val="20"/>
          <w:szCs w:val="20"/>
          <w:color w:val="auto"/>
        </w:rPr>
      </w:pPr>
    </w:p>
    <w:p>
      <w:pPr>
        <w:jc w:val="both"/>
        <w:ind w:firstLine="1944"/>
        <w:spacing w:after="0" w:line="268"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b w:val="1"/>
          <w:bCs w:val="1"/>
          <w:color w:val="auto"/>
        </w:rPr>
        <w:t>Net Debt to Total Capitalization Condition</w:t>
      </w:r>
      <w:r>
        <w:rPr>
          <w:rFonts w:ascii="Times New Roman" w:cs="Times New Roman" w:eastAsia="Times New Roman" w:hAnsi="Times New Roman"/>
          <w:sz w:val="18"/>
          <w:szCs w:val="18"/>
          <w:color w:val="auto"/>
        </w:rPr>
        <w:t>” means the condition for the Net Debt to Total Capitalization ratio (expressed as a percentage) to not exceed 30%, as tested at the time of the Company’s earnings release for each fiscal quarter during the one-year period starting on the Effective Date.</w:t>
      </w:r>
    </w:p>
    <w:p>
      <w:pPr>
        <w:spacing w:after="0" w:line="171" w:lineRule="exact"/>
        <w:rPr>
          <w:sz w:val="20"/>
          <w:szCs w:val="20"/>
          <w:color w:val="auto"/>
        </w:rPr>
      </w:pPr>
    </w:p>
    <w:p>
      <w:pPr>
        <w:jc w:val="both"/>
        <w:ind w:firstLine="1944"/>
        <w:spacing w:after="0" w:line="257"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b w:val="1"/>
          <w:bCs w:val="1"/>
          <w:color w:val="auto"/>
        </w:rPr>
        <w:t>Qualifying Event</w:t>
      </w:r>
      <w:r>
        <w:rPr>
          <w:rFonts w:ascii="Times New Roman" w:cs="Times New Roman" w:eastAsia="Times New Roman" w:hAnsi="Times New Roman"/>
          <w:sz w:val="18"/>
          <w:szCs w:val="18"/>
          <w:color w:val="auto"/>
        </w:rPr>
        <w:t>” means each of (A) the 12-month anniversary of the “Closing Date” as defined in the Purchase Agreement (the “</w:t>
      </w:r>
      <w:r>
        <w:rPr>
          <w:rFonts w:ascii="Times New Roman" w:cs="Times New Roman" w:eastAsia="Times New Roman" w:hAnsi="Times New Roman"/>
          <w:sz w:val="18"/>
          <w:szCs w:val="18"/>
          <w:b w:val="1"/>
          <w:bCs w:val="1"/>
          <w:color w:val="auto"/>
        </w:rPr>
        <w:t>Purchase Date</w:t>
      </w:r>
      <w:r>
        <w:rPr>
          <w:rFonts w:ascii="Times New Roman" w:cs="Times New Roman" w:eastAsia="Times New Roman" w:hAnsi="Times New Roman"/>
          <w:sz w:val="18"/>
          <w:szCs w:val="18"/>
          <w:color w:val="auto"/>
        </w:rPr>
        <w:t>”), (B) the 18-month anniversary of the Purchase Date (each of (A) and (B), a “</w:t>
      </w:r>
      <w:r>
        <w:rPr>
          <w:rFonts w:ascii="Times New Roman" w:cs="Times New Roman" w:eastAsia="Times New Roman" w:hAnsi="Times New Roman"/>
          <w:sz w:val="18"/>
          <w:szCs w:val="18"/>
          <w:b w:val="1"/>
          <w:bCs w:val="1"/>
          <w:color w:val="auto"/>
        </w:rPr>
        <w:t>Time Qualifying Event</w:t>
      </w:r>
      <w:r>
        <w:rPr>
          <w:rFonts w:ascii="Times New Roman" w:cs="Times New Roman" w:eastAsia="Times New Roman" w:hAnsi="Times New Roman"/>
          <w:sz w:val="18"/>
          <w:szCs w:val="18"/>
          <w:color w:val="auto"/>
        </w:rPr>
        <w:t>”), (C) a failure of the Net Debt to Total Capitalization Condition (a “</w:t>
      </w:r>
      <w:r>
        <w:rPr>
          <w:rFonts w:ascii="Times New Roman" w:cs="Times New Roman" w:eastAsia="Times New Roman" w:hAnsi="Times New Roman"/>
          <w:sz w:val="18"/>
          <w:szCs w:val="18"/>
          <w:b w:val="1"/>
          <w:bCs w:val="1"/>
          <w:color w:val="auto"/>
        </w:rPr>
        <w:t>Financial Qualifying Event</w:t>
      </w:r>
      <w:r>
        <w:rPr>
          <w:rFonts w:ascii="Times New Roman" w:cs="Times New Roman" w:eastAsia="Times New Roman" w:hAnsi="Times New Roman"/>
          <w:sz w:val="18"/>
          <w:szCs w:val="18"/>
          <w:color w:val="auto"/>
        </w:rPr>
        <w:t>”), and (D) a trading suspension event, being any suspension or halt of trading in the Common Stock (as defined in the Purchase Agreement) on the Trading Market (as defined in the Purchase Agreement) for a period exceeding twenty (20) consecutive Trading Days (as defined in the Purchase Agreement), or the issuance of a delisting notice by the Trading Market (each a “</w:t>
      </w:r>
      <w:r>
        <w:rPr>
          <w:rFonts w:ascii="Times New Roman" w:cs="Times New Roman" w:eastAsia="Times New Roman" w:hAnsi="Times New Roman"/>
          <w:sz w:val="18"/>
          <w:szCs w:val="18"/>
          <w:b w:val="1"/>
          <w:bCs w:val="1"/>
          <w:color w:val="auto"/>
        </w:rPr>
        <w:t>Trading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Suspension Qualifying Event</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firstLine="1944"/>
        <w:spacing w:after="0" w:line="286" w:lineRule="auto"/>
        <w:rPr>
          <w:sz w:val="20"/>
          <w:szCs w:val="20"/>
          <w:color w:val="auto"/>
        </w:rPr>
      </w:pPr>
      <w:r>
        <w:rPr>
          <w:rFonts w:ascii="Times New Roman" w:cs="Times New Roman" w:eastAsia="Times New Roman" w:hAnsi="Times New Roman"/>
          <w:sz w:val="18"/>
          <w:szCs w:val="18"/>
          <w:color w:val="auto"/>
        </w:rPr>
        <w:t>(vi)          “</w:t>
      </w:r>
      <w:r>
        <w:rPr>
          <w:rFonts w:ascii="Times New Roman" w:cs="Times New Roman" w:eastAsia="Times New Roman" w:hAnsi="Times New Roman"/>
          <w:sz w:val="18"/>
          <w:szCs w:val="18"/>
          <w:b w:val="1"/>
          <w:bCs w:val="1"/>
          <w:color w:val="auto"/>
        </w:rPr>
        <w:t>Stockholders’ Equity</w:t>
      </w:r>
      <w:r>
        <w:rPr>
          <w:rFonts w:ascii="Times New Roman" w:cs="Times New Roman" w:eastAsia="Times New Roman" w:hAnsi="Times New Roman"/>
          <w:sz w:val="18"/>
          <w:szCs w:val="18"/>
          <w:color w:val="auto"/>
        </w:rPr>
        <w:t>” means as of any date, the total stockholders’ equity of the Company and its subsidiaries, determined on a consolidated basis in accordance with GAAP, consistently applied.</w:t>
      </w:r>
    </w:p>
    <w:p>
      <w:pPr>
        <w:spacing w:after="0" w:line="15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(vii)         “</w:t>
      </w:r>
      <w:r>
        <w:rPr>
          <w:rFonts w:ascii="Times New Roman" w:cs="Times New Roman" w:eastAsia="Times New Roman" w:hAnsi="Times New Roman"/>
          <w:sz w:val="18"/>
          <w:szCs w:val="18"/>
          <w:b w:val="1"/>
          <w:bCs w:val="1"/>
          <w:color w:val="auto"/>
        </w:rPr>
        <w:t>Total Capitalization</w:t>
      </w:r>
      <w:r>
        <w:rPr>
          <w:rFonts w:ascii="Times New Roman" w:cs="Times New Roman" w:eastAsia="Times New Roman" w:hAnsi="Times New Roman"/>
          <w:sz w:val="18"/>
          <w:szCs w:val="18"/>
          <w:color w:val="auto"/>
        </w:rPr>
        <w:t>” means, as of any date, determined on a consolidated basis, the sum of (A) Total Debt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Stockholders’ Equity.</w:t>
      </w:r>
    </w:p>
    <w:p>
      <w:pPr>
        <w:spacing w:after="0" w:line="203" w:lineRule="exact"/>
        <w:rPr>
          <w:sz w:val="20"/>
          <w:szCs w:val="20"/>
          <w:color w:val="auto"/>
        </w:rPr>
      </w:pPr>
    </w:p>
    <w:p>
      <w:pPr>
        <w:jc w:val="both"/>
        <w:ind w:firstLine="1944"/>
        <w:spacing w:after="0" w:line="259" w:lineRule="auto"/>
        <w:rPr>
          <w:sz w:val="20"/>
          <w:szCs w:val="20"/>
          <w:color w:val="auto"/>
        </w:rPr>
      </w:pPr>
      <w:r>
        <w:rPr>
          <w:rFonts w:ascii="Times New Roman" w:cs="Times New Roman" w:eastAsia="Times New Roman" w:hAnsi="Times New Roman"/>
          <w:sz w:val="18"/>
          <w:szCs w:val="18"/>
          <w:color w:val="auto"/>
        </w:rPr>
        <w:t>(viii)        “</w:t>
      </w:r>
      <w:r>
        <w:rPr>
          <w:rFonts w:ascii="Times New Roman" w:cs="Times New Roman" w:eastAsia="Times New Roman" w:hAnsi="Times New Roman"/>
          <w:sz w:val="18"/>
          <w:szCs w:val="18"/>
          <w:b w:val="1"/>
          <w:bCs w:val="1"/>
          <w:color w:val="auto"/>
        </w:rPr>
        <w:t>Total Debt</w:t>
      </w:r>
      <w:r>
        <w:rPr>
          <w:rFonts w:ascii="Times New Roman" w:cs="Times New Roman" w:eastAsia="Times New Roman" w:hAnsi="Times New Roman"/>
          <w:sz w:val="18"/>
          <w:szCs w:val="18"/>
          <w:color w:val="auto"/>
        </w:rPr>
        <w:t>” means, as of any date, determined on a consolidated basis for the Company and its subsidiaries, the sum (without duplication) of (A) any obligation for borrowed money, including indebtedness convertible into capital stock of the Company; (B) any obligation evidenced by a bond, indenture, note or other similar instrument; (C) any obligation to pay the deferred purchase price of property or services (excluding trade payables and accrued expenses incurred in the ordinary course of business); and (D) a lease, which has been or should be capitalized on the books of the subject lessee in accordance with GAAP.</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 Company shall promptly provide the Purchaser with written notice (the “</w:t>
      </w:r>
      <w:r>
        <w:rPr>
          <w:rFonts w:ascii="Times New Roman" w:cs="Times New Roman" w:eastAsia="Times New Roman" w:hAnsi="Times New Roman"/>
          <w:sz w:val="18"/>
          <w:szCs w:val="18"/>
          <w:b w:val="1"/>
          <w:bCs w:val="1"/>
          <w:color w:val="auto"/>
        </w:rPr>
        <w:t>Financial Qualifying Event Notice</w:t>
      </w:r>
      <w:r>
        <w:rPr>
          <w:rFonts w:ascii="Times New Roman" w:cs="Times New Roman" w:eastAsia="Times New Roman" w:hAnsi="Times New Roman"/>
          <w:sz w:val="18"/>
          <w:szCs w:val="18"/>
          <w:color w:val="auto"/>
        </w:rPr>
        <w:t>”) within one</w:t>
      </w:r>
    </w:p>
    <w:p>
      <w:pPr>
        <w:spacing w:after="0" w:line="31" w:lineRule="exact"/>
        <w:rPr>
          <w:sz w:val="20"/>
          <w:szCs w:val="20"/>
          <w:color w:val="auto"/>
        </w:rPr>
      </w:pPr>
    </w:p>
    <w:p>
      <w:pPr>
        <w:ind w:firstLine="8"/>
        <w:spacing w:after="0" w:line="260" w:lineRule="auto"/>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(as defined in the Purchase Agreement) of the public release of quarterly or annual financial results in which a failure of the Net Debt to Total Capitalization Condition has occurred.</w:t>
      </w:r>
    </w:p>
    <w:p>
      <w:pPr>
        <w:spacing w:after="0" w:line="3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ind w:left="130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Exercise of Put Option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27" w:lineRule="auto"/>
        <w:rPr>
          <w:sz w:val="20"/>
          <w:szCs w:val="20"/>
          <w:color w:val="auto"/>
        </w:rPr>
      </w:pPr>
      <w:r>
        <w:rPr>
          <w:rFonts w:ascii="Times New Roman" w:cs="Times New Roman" w:eastAsia="Times New Roman" w:hAnsi="Times New Roman"/>
          <w:sz w:val="18"/>
          <w:szCs w:val="18"/>
          <w:color w:val="auto"/>
        </w:rPr>
        <w:t xml:space="preserve">(i)             If Purchaser desires to sell any Covered Shares pursuant to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Purchaser may exercise the Put Option by serving written notice to the Company of Purchaser’s desire to exercise the Put Option (an “</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(A) in the case of a Time Qualifying Event, no later than the thirtieth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prior to the applicable Time Qualifying Event or (B) in the case of a Financial Qualifying Event, (x) no later than the</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fifteenth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Business Day following the Company’s delivery of the Financial Qualifying Event Notice; or (y) if the Company fails to deliver a Financial Qualifying Event Notice within the time period as set forth in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Notice Failure</w:t>
      </w:r>
      <w:r>
        <w:rPr>
          <w:rFonts w:ascii="Times New Roman" w:cs="Times New Roman" w:eastAsia="Times New Roman" w:hAnsi="Times New Roman"/>
          <w:sz w:val="18"/>
          <w:szCs w:val="18"/>
          <w:color w:val="auto"/>
        </w:rPr>
        <w:t>”), no later than the fifteenth (15th) Business Day following the date on which the Purchaser becomes aware of such failure (whether through the Company’s public filings, press releases, SEC reports, or otherwise) or</w:t>
      </w:r>
    </w:p>
    <w:p>
      <w:pPr>
        <w:spacing w:after="0" w:line="2" w:lineRule="exact"/>
        <w:rPr>
          <w:sz w:val="20"/>
          <w:szCs w:val="20"/>
          <w:color w:val="auto"/>
        </w:rPr>
      </w:pPr>
    </w:p>
    <w:p>
      <w:pPr>
        <w:jc w:val="both"/>
        <w:ind w:firstLine="8"/>
        <w:spacing w:after="0" w:line="234" w:lineRule="auto"/>
        <w:tabs>
          <w:tab w:leader="none" w:pos="31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Trading Suspension Qualifying Event, no later than the thirtieth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following the occurrence of such Trading Suspension Qualifying Event (each of (A), (B) and (C), an “</w:t>
      </w:r>
      <w:r>
        <w:rPr>
          <w:rFonts w:ascii="Times New Roman" w:cs="Times New Roman" w:eastAsia="Times New Roman" w:hAnsi="Times New Roman"/>
          <w:sz w:val="18"/>
          <w:szCs w:val="18"/>
          <w:b w:val="1"/>
          <w:bCs w:val="1"/>
          <w:color w:val="auto"/>
        </w:rPr>
        <w:t>Exercise Deadline</w:t>
      </w:r>
      <w:r>
        <w:rPr>
          <w:rFonts w:ascii="Times New Roman" w:cs="Times New Roman" w:eastAsia="Times New Roman" w:hAnsi="Times New Roman"/>
          <w:sz w:val="18"/>
          <w:szCs w:val="18"/>
          <w:color w:val="auto"/>
        </w:rPr>
        <w:t>”). For the avoidance of doubt, the Purchaser's right to exercise the Put Option pursuant to Section 1(d)(i)(B)(y) shall not be prejudiced by any delay or failure by the Company to deliver the Financial Qualifying Event Notice, and the Company shall not be entitled to rely on its own failure to deliver such notice as a defence to the Purchaser's exercise of the Put Option. The Exercise Notice shall specify the number of Covered Shares that Purchaser intends to sell to the Company in connection with the relevant Qualifying Event (such Covered Shares, the “</w:t>
      </w:r>
      <w:r>
        <w:rPr>
          <w:rFonts w:ascii="Times New Roman" w:cs="Times New Roman" w:eastAsia="Times New Roman" w:hAnsi="Times New Roman"/>
          <w:sz w:val="18"/>
          <w:szCs w:val="18"/>
          <w:b w:val="1"/>
          <w:bCs w:val="1"/>
          <w:color w:val="auto"/>
        </w:rPr>
        <w:t>Put Shares</w:t>
      </w:r>
      <w:r>
        <w:rPr>
          <w:rFonts w:ascii="Times New Roman" w:cs="Times New Roman" w:eastAsia="Times New Roman" w:hAnsi="Times New Roman"/>
          <w:sz w:val="18"/>
          <w:szCs w:val="18"/>
          <w:color w:val="auto"/>
        </w:rPr>
        <w:t>”). Purchaser’s exercise of the Put Option will be irrevocable.</w:t>
      </w:r>
    </w:p>
    <w:p>
      <w:pPr>
        <w:spacing w:after="0" w:line="200"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(ii)            By exercising the Put Option, Purchaser represents and warrants to the Company that Purchaser (x) has full right, title and interest in and to the Put Shares other than any obligations arising as a result of or under the terms of this Agreement or otherwise imposed by state and federal securities laws, (y) purchased the Put Shares under the Purchase Agreement and (z) has continuously held the Put Shares since the Purchase Date.</w:t>
      </w:r>
    </w:p>
    <w:p>
      <w:pPr>
        <w:spacing w:after="0" w:line="172" w:lineRule="exact"/>
        <w:rPr>
          <w:sz w:val="20"/>
          <w:szCs w:val="20"/>
          <w:color w:val="auto"/>
        </w:rPr>
      </w:pPr>
    </w:p>
    <w:p>
      <w:pPr>
        <w:jc w:val="both"/>
        <w:ind w:firstLine="1944"/>
        <w:spacing w:after="0" w:line="278" w:lineRule="auto"/>
        <w:rPr>
          <w:sz w:val="20"/>
          <w:szCs w:val="20"/>
          <w:color w:val="auto"/>
        </w:rPr>
      </w:pPr>
      <w:r>
        <w:rPr>
          <w:rFonts w:ascii="Times New Roman" w:cs="Times New Roman" w:eastAsia="Times New Roman" w:hAnsi="Times New Roman"/>
          <w:sz w:val="17"/>
          <w:szCs w:val="17"/>
          <w:color w:val="auto"/>
        </w:rPr>
        <w:t xml:space="preserve">(iii)           The closing of any sale of Put Shares pursuant to this </w:t>
      </w:r>
      <w:r>
        <w:rPr>
          <w:rFonts w:ascii="Times New Roman" w:cs="Times New Roman" w:eastAsia="Times New Roman" w:hAnsi="Times New Roman"/>
          <w:sz w:val="17"/>
          <w:szCs w:val="17"/>
          <w:u w:val="single" w:color="auto"/>
          <w:color w:val="auto"/>
        </w:rPr>
        <w:t>Section 1</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Closing</w:t>
      </w:r>
      <w:r>
        <w:rPr>
          <w:rFonts w:ascii="Times New Roman" w:cs="Times New Roman" w:eastAsia="Times New Roman" w:hAnsi="Times New Roman"/>
          <w:sz w:val="17"/>
          <w:szCs w:val="17"/>
          <w:color w:val="auto"/>
        </w:rPr>
        <w:t>”) shall take place (A) in the case of a Time Qualifying Event, on the date of the relevant Time Qualifying Event, (B) in the case of a Financial Qualifying Event, as soon as practicable, but no later</w:t>
      </w:r>
    </w:p>
    <w:p>
      <w:pPr>
        <w:spacing w:after="0" w:line="1" w:lineRule="exact"/>
        <w:rPr>
          <w:sz w:val="20"/>
          <w:szCs w:val="20"/>
          <w:color w:val="auto"/>
        </w:rPr>
      </w:pPr>
    </w:p>
    <w:p>
      <w:pPr>
        <w:jc w:val="both"/>
        <w:spacing w:after="0" w:line="185" w:lineRule="auto"/>
        <w:rPr>
          <w:sz w:val="20"/>
          <w:szCs w:val="20"/>
          <w:color w:val="auto"/>
        </w:rPr>
      </w:pPr>
      <w:r>
        <w:rPr>
          <w:rFonts w:ascii="Times New Roman" w:cs="Times New Roman" w:eastAsia="Times New Roman" w:hAnsi="Times New Roman"/>
          <w:sz w:val="18"/>
          <w:szCs w:val="18"/>
          <w:color w:val="auto"/>
        </w:rPr>
        <w:t>than thirtieth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after date of the relevant Exercise Notice or (C) in the case of a Trading Suspension Qualifying Event, as soon as practicable, but no later than thirtieth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after the date of the relevant Exercise Notice (in each case of (A),(B) and (C),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provided that for (C),</w:t>
      </w:r>
    </w:p>
    <w:p>
      <w:pPr>
        <w:spacing w:after="0" w:line="1" w:lineRule="exact"/>
        <w:rPr>
          <w:sz w:val="20"/>
          <w:szCs w:val="20"/>
          <w:color w:val="auto"/>
        </w:rPr>
      </w:pPr>
    </w:p>
    <w:p>
      <w:pPr>
        <w:jc w:val="both"/>
        <w:ind w:firstLine="8"/>
        <w:spacing w:after="0" w:line="249"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is legally prohibited from repurchasing the Put Shares under applicable securities laws as of the date of the relevant Exercise Notice, the Closing shall be postponed to the first Trading Day on which such prohibition is lifted, provided that the Company shall promptly notify the Purchaser of any such prohibition and its expected duration; (y) the Aggregate Put Option Price shall continue to accrue at the IRR rate specified herein from the date of the relevant Exercise Notice until the actual date of payment; and (z) if the Closing has not occurred by the Closing Date (as may be extended pursuant to</w:t>
      </w:r>
    </w:p>
    <w:p>
      <w:pPr>
        <w:spacing w:after="0" w:line="3" w:lineRule="exact"/>
        <w:rPr>
          <w:rFonts w:ascii="Times New Roman" w:cs="Times New Roman" w:eastAsia="Times New Roman" w:hAnsi="Times New Roman"/>
          <w:sz w:val="18"/>
          <w:szCs w:val="18"/>
          <w:color w:val="auto"/>
        </w:rPr>
      </w:pPr>
    </w:p>
    <w:p>
      <w:pPr>
        <w:ind w:firstLine="8"/>
        <w:spacing w:after="0" w:line="260" w:lineRule="auto"/>
        <w:tabs>
          <w:tab w:leader="none" w:pos="25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the Purchaser shall have the right, at its sole discretion, to either (aa) rescind the Exercise Notice without prejudice to its right to re-exercise the Put Option at any time thereafter; or (bb) pursue all available legal remedies against the Company for failure to consummate the Closing.</w:t>
      </w:r>
    </w:p>
    <w:p>
      <w:pPr>
        <w:spacing w:after="0" w:line="181" w:lineRule="exact"/>
        <w:rPr>
          <w:sz w:val="20"/>
          <w:szCs w:val="20"/>
          <w:color w:val="auto"/>
        </w:rPr>
      </w:pPr>
    </w:p>
    <w:p>
      <w:pPr>
        <w:ind w:firstLine="1944"/>
        <w:spacing w:after="0" w:line="282" w:lineRule="auto"/>
        <w:rPr>
          <w:sz w:val="20"/>
          <w:szCs w:val="20"/>
          <w:color w:val="auto"/>
        </w:rPr>
      </w:pPr>
      <w:r>
        <w:rPr>
          <w:rFonts w:ascii="Times New Roman" w:cs="Times New Roman" w:eastAsia="Times New Roman" w:hAnsi="Times New Roman"/>
          <w:sz w:val="18"/>
          <w:szCs w:val="18"/>
          <w:color w:val="auto"/>
        </w:rPr>
        <w:t>(iv)          Purchaser shall have no right to exercise the Put Option in connection with a Qualifying Event following the Exercise Deadline in respect of such Qualifying Event.</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Consummation of Sale</w:t>
      </w:r>
      <w:r>
        <w:rPr>
          <w:rFonts w:ascii="Times New Roman" w:cs="Times New Roman" w:eastAsia="Times New Roman" w:hAnsi="Times New Roman"/>
          <w:sz w:val="18"/>
          <w:szCs w:val="18"/>
          <w:color w:val="auto"/>
        </w:rPr>
        <w:t>. On the Closing Date, the Company will pay the aggregate Per Share Put Option Price for the Put Shares (the “</w:t>
      </w:r>
      <w:r>
        <w:rPr>
          <w:rFonts w:ascii="Times New Roman" w:cs="Times New Roman" w:eastAsia="Times New Roman" w:hAnsi="Times New Roman"/>
          <w:sz w:val="18"/>
          <w:szCs w:val="18"/>
          <w:b w:val="1"/>
          <w:bCs w:val="1"/>
          <w:color w:val="auto"/>
        </w:rPr>
        <w:t>Aggregate Put Option Price</w:t>
      </w:r>
      <w:r>
        <w:rPr>
          <w:rFonts w:ascii="Times New Roman" w:cs="Times New Roman" w:eastAsia="Times New Roman" w:hAnsi="Times New Roman"/>
          <w:sz w:val="18"/>
          <w:szCs w:val="18"/>
          <w:color w:val="auto"/>
        </w:rPr>
        <w:t>”) by wire transfer of immediately available funds to an account designated in writing by Purchaser, subject to any required withholding. Notwithstanding the foregoing or any other provision of this Agreement to the contrary, the Parties acknowledge and agree that, upon delivery of the Aggregate Put Option Price to Purchaser, the Company will become the legal and beneficial owner of the Put Shares, with all right, title and interest in and to the Put Shares.</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Cooperation</w:t>
      </w:r>
      <w:r>
        <w:rPr>
          <w:rFonts w:ascii="Times New Roman" w:cs="Times New Roman" w:eastAsia="Times New Roman" w:hAnsi="Times New Roman"/>
          <w:sz w:val="18"/>
          <w:szCs w:val="18"/>
          <w:color w:val="auto"/>
        </w:rPr>
        <w:t xml:space="preserve">. The Company and Purchaser shall each take all actions as may be reasonably necessary to consummate the sale contemplated by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including, without limitation, entering into agreements and delivering certificates and instruments and consents as may be deemed necessary or appropriate.</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Closing</w:t>
      </w:r>
      <w:r>
        <w:rPr>
          <w:rFonts w:ascii="Times New Roman" w:cs="Times New Roman" w:eastAsia="Times New Roman" w:hAnsi="Times New Roman"/>
          <w:sz w:val="18"/>
          <w:szCs w:val="18"/>
          <w:color w:val="auto"/>
        </w:rPr>
        <w:t>. At the Closing, Purchaser shall deliver to the Company any certificate or certificates representing the Put Shares, accompanied by stock powers and all necessary ancillary documents as reasonably requested by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Designation of Covered Shares; Non-Transferability of Put Option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Upon issuance of the Covered Shares under the Purchase Agreement, the Covered Shares shall be specifically identified and designated on the books and records of the Company and its transfer agent as subject to the Put Option. The Company shall maintain (or cause its transfer agent to maintain) records sufficient to identify the Covered Shares at all times, including through the use of separate CUSIP(s), legends or other administrative identifiers.</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The Put Option shall attach solely to the Covered Shares and to no other securities. Without prejudice to the generality of the foregoing, the Purchaser may exercise the Put Option only with respect to the Covered Shares that (i) were originally issued to the Purchaser pursuant to the Purchase Agreement and (ii) are continuously held by the Purchaser from the Purchase Date through the applicable Qualifying Event. For the avoidance of doubt, any securities of the Company acquired by Purchaser in the open market or otherwise prior to or after the Purchase Date shall not be eligible for exercise of the Put Option.</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The Put Option shall not be transferable. Any Covered Shares sold, assigned or otherwise transferred by Purchaser shall immediately and irrevocably cease to be eligible to be subject to the Put Option.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Amendment</w:t>
      </w:r>
      <w:r>
        <w:rPr>
          <w:rFonts w:ascii="Times New Roman" w:cs="Times New Roman" w:eastAsia="Times New Roman" w:hAnsi="Times New Roman"/>
          <w:sz w:val="18"/>
          <w:szCs w:val="18"/>
          <w:color w:val="auto"/>
        </w:rPr>
        <w:t>. This Agreement may be amended or modified only by a written instrument executed by each of the Company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Termination</w:t>
      </w:r>
      <w:r>
        <w:rPr>
          <w:rFonts w:ascii="Times New Roman" w:cs="Times New Roman" w:eastAsia="Times New Roman" w:hAnsi="Times New Roman"/>
          <w:sz w:val="18"/>
          <w:szCs w:val="18"/>
          <w:color w:val="auto"/>
        </w:rPr>
        <w:t>. The Put Option and the Company’s obligations pursuant to Section 1 of this Agreement shall terminate on the earliest to occur of (a) following the last Time Qualifying Event, immediately following (x) the Exercise Deadline in the event Purchaser has not delivered an Exercise Notice as of the Exercise Deadline or (y) the Closing in the event Purchaser has delivered an Exercise Notice, and (b) the date upon which Purchaser no longer holds any Covered Shares.</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All notices and other communications required or permitted to be given pursuant to this Agreement (each, a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shall be in writing and shall be deemed effectively given upon the earlier of: (i) actual receipt by the receiving party; (ii) personal delivery to the receiving party; (iii) when sent, if sent by electronic mail or facsimile during normal business hours of the receiving party, and if not sent during normal business hours, then on the receiving party’s next Business Day; (iv) five (5) Business Days after having been sent to the receiving party by registered or certified mail, return-receipt requested, postage prepaid if the sender on the same day sends a confirming copy via electronic mail; or (v) one (1) Business Day after deposit with a nationally recognized overnight courier for delivery to the receiving party, specifying next-day delivery, if the sender on the same day sends a confirming copy via electronic mail, with written verification of receipt. All Notices shall be sent to the receiving party at its address, or email address set forth on the signature page to this Agreement or at such other address or email address as such party may designate in a Notice to the other parties given in accordance with this section.</w:t>
      </w:r>
    </w:p>
    <w:p>
      <w:pPr>
        <w:spacing w:after="0" w:line="19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xml:space="preserve">. The governing law, dispute resolution and waiver of jury trial provisions set forth in Sections 5.9 and 5.17 of the Purchase Agreement shall apply to this Agreement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Entire Agreement</w:t>
      </w:r>
      <w:r>
        <w:rPr>
          <w:rFonts w:ascii="Times New Roman" w:cs="Times New Roman" w:eastAsia="Times New Roman" w:hAnsi="Times New Roman"/>
          <w:sz w:val="18"/>
          <w:szCs w:val="18"/>
          <w:color w:val="auto"/>
        </w:rPr>
        <w:t>. This Agreement, including all exhibits, schedules, attachments and appendices attached to this Agreement and thereto, constitutes the sole and entire agreement of the parties hereto with respect to the subject matter contained herein, and supersedes all prior and contemporaneous understandings, agreements, representations and warranties, both written and oral, regarding such subject matter.</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Successors and Assigns</w:t>
      </w:r>
      <w:r>
        <w:rPr>
          <w:rFonts w:ascii="Times New Roman" w:cs="Times New Roman" w:eastAsia="Times New Roman" w:hAnsi="Times New Roman"/>
          <w:sz w:val="18"/>
          <w:szCs w:val="18"/>
          <w:color w:val="auto"/>
        </w:rPr>
        <w:t>. This Agreement shall be binding upon and shall inure to the benefit of the parties hereto and their respective successors and permitted assigns. Notwithstanding the foregoing, Purchaser may not transfer or assign its rights under this Agreement without the prior written consent of the Company.</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No Third-Party Beneficiaries</w:t>
      </w:r>
      <w:r>
        <w:rPr>
          <w:rFonts w:ascii="Times New Roman" w:cs="Times New Roman" w:eastAsia="Times New Roman" w:hAnsi="Times New Roman"/>
          <w:sz w:val="18"/>
          <w:szCs w:val="18"/>
          <w:color w:val="auto"/>
        </w:rPr>
        <w:t>.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Further Assurances</w:t>
      </w:r>
      <w:r>
        <w:rPr>
          <w:rFonts w:ascii="Times New Roman" w:cs="Times New Roman" w:eastAsia="Times New Roman" w:hAnsi="Times New Roman"/>
          <w:sz w:val="18"/>
          <w:szCs w:val="18"/>
          <w:color w:val="auto"/>
        </w:rPr>
        <w:t>. At any time or from time to time after the Effective Date, the Parties agree to cooperate with each other, and at the request of any other party, to execute and deliver any further instruments or documents and to take all such further action as any other party may reasonably request in order to carry out the intent of the parties hereunder, consummate the transactions contemplated under this Agreement, and obtain any governmental approvals required in connection therewith.</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If one or more provisions of this Agreement are held to be unenforceable under applicable law, the Parties agree to renegotiate such provision in good faith. If the Parties cannot reach a mutually agreeable and enforceable replacement for such provision, then: (i) such provision will be excluded from this Agreement; (ii) the balance of the Agreement will be interpreted as if such provision were so excluded; and (iii) the balance of the Agreement will be enforceable in accordance with its terms.</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Agreement may be executed in any number of counterparts, each of which shall be deemed an original, but all of which together shall constitute one and the same instrument. Counterparts may be delivered via facsimile, electronic mail (including .pdf or any electronic signature complying with the U.S. federal ESIGN Act of 2000, the Uniform Electronic Transactions Act or other applicable law) or other transmission method and any counterpart so delivered shall be deemed to have been duly and validly delivered and be valid and effective for all purposes.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Agreement as of the Effective Date.</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SOLANA COMPANY,</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2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Put Option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447040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Effective Date.</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5" w:lineRule="exact"/>
        <w:rPr>
          <w:sz w:val="20"/>
          <w:szCs w:val="20"/>
          <w:color w:val="auto"/>
        </w:rPr>
      </w:pPr>
    </w:p>
    <w:p>
      <w:pPr>
        <w:jc w:val="right"/>
        <w:ind w:right="2039"/>
        <w:spacing w:after="0"/>
        <w:rPr>
          <w:sz w:val="20"/>
          <w:szCs w:val="20"/>
          <w:color w:val="auto"/>
        </w:rPr>
      </w:pPr>
      <w:r>
        <w:rPr>
          <w:rFonts w:ascii="Times New Roman" w:cs="Times New Roman" w:eastAsia="Times New Roman" w:hAnsi="Times New Roman"/>
          <w:sz w:val="18"/>
          <w:szCs w:val="18"/>
          <w:b w:val="1"/>
          <w:bCs w:val="1"/>
          <w:i w:val="1"/>
          <w:iCs w:val="1"/>
          <w:color w:val="auto"/>
        </w:rPr>
        <w:t>[INSERT PURCHASER NAME]</w:t>
      </w:r>
    </w:p>
    <w:p>
      <w:pPr>
        <w:spacing w:after="0" w:line="200" w:lineRule="exact"/>
        <w:rPr>
          <w:sz w:val="20"/>
          <w:szCs w:val="20"/>
          <w:color w:val="auto"/>
        </w:rPr>
      </w:pPr>
    </w:p>
    <w:p>
      <w:pPr>
        <w:spacing w:after="0" w:line="25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-127635</wp:posOffset>
            </wp:positionV>
            <wp:extent cx="33515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2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Put Option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447040</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1303020" cy="548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0302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Jason Kent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+1 212 479 6044</w:t>
      </w:r>
    </w:p>
    <w:p>
      <w:pPr>
        <w:spacing w:after="0"/>
        <w:rPr>
          <w:sz w:val="20"/>
          <w:szCs w:val="20"/>
          <w:color w:val="auto"/>
        </w:rPr>
      </w:pPr>
      <w:r>
        <w:rPr>
          <w:rFonts w:ascii="Times New Roman" w:cs="Times New Roman" w:eastAsia="Times New Roman" w:hAnsi="Times New Roman"/>
          <w:sz w:val="22"/>
          <w:szCs w:val="22"/>
          <w:color w:val="auto"/>
        </w:rPr>
        <w:t>jkent@cooley.com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27,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Solana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642 Newtown Yardley Road Suite 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Newtown, Pennsylvania 18940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have acted as counsel to Solana Company,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sale by the Company of 3,076,922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its Class A common stock, par value $0.001 per share (the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pursuant to the Registration Statement on Form S-3 (File No. 333-290429)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filed by the Company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the prospectus included in the Registration Statement (the “</w:t>
      </w:r>
      <w:r>
        <w:rPr>
          <w:rFonts w:ascii="Times New Roman" w:cs="Times New Roman" w:eastAsia="Times New Roman" w:hAnsi="Times New Roman"/>
          <w:sz w:val="18"/>
          <w:szCs w:val="18"/>
          <w:b w:val="1"/>
          <w:bCs w:val="1"/>
          <w:i w:val="1"/>
          <w:iCs w:val="1"/>
          <w:color w:val="auto"/>
        </w:rPr>
        <w:t>Base Prospectus</w:t>
      </w:r>
      <w:r>
        <w:rPr>
          <w:rFonts w:ascii="Times New Roman" w:cs="Times New Roman" w:eastAsia="Times New Roman" w:hAnsi="Times New Roman"/>
          <w:sz w:val="18"/>
          <w:szCs w:val="18"/>
          <w:color w:val="auto"/>
        </w:rPr>
        <w:t>”), and the related prospectus supplement filed with the Commission pursuant to Rule 424(b) under the Securities Act (together with the Base Prospectus,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this opinion, we have examined and relied upon the Registration Statement, the Prospectus, the Company’s certificate of incorporation and bylaws, each as currently in effect, and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opinion is expressed solely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the basis of the foregoing, in reliance thereon and subject to the assumptions, exceptions, limitations and qualifications set forth herein, we are of the opinion that the Shares, when sold and issued against payment therefor in accordance with the Registration Statement and the Prospectus, will be validly issued, fully paid and nonassessable.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reference to our firm under the heading “Legal Matters” in the Prospectus and to the filing of this opinion as an exhibit to the Company’s Current Report on Form 8-K filed with the Commission for incorporation by reference into the Registration Statement. In giving such consents, we do not thereby admit that we are in the category of persons whose consent is required under Section 7 of the Securities Act or the rules and regulations of the Commission thereunder.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ooley</w:t>
      </w:r>
      <w:r>
        <w:rPr>
          <w:rFonts w:ascii="Times New Roman" w:cs="Times New Roman" w:eastAsia="Times New Roman" w:hAnsi="Times New Roman"/>
          <w:sz w:val="18"/>
          <w:szCs w:val="18"/>
          <w:b w:val="1"/>
          <w:bCs w:val="1"/>
          <w:color w:val="auto"/>
        </w:rPr>
        <w:t xml:space="preserve">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/s/Jason L. Kent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Jason L. Kent</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Cooley LLP 55 Hudson Yards New York, NY 10001-2157</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 (212) 479-6000 f: (212) 479-6275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SOLANA COMPANY - HSDT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Solana Company (NASDAQ: HSDT) Announces Registered Direct Offering of Common Stock to Global Institutional Investor</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Newtown, PA, April 27, 2026 </w:t>
      </w:r>
      <w:r>
        <w:rPr>
          <w:rFonts w:ascii="Times New Roman" w:cs="Times New Roman" w:eastAsia="Times New Roman" w:hAnsi="Times New Roman"/>
          <w:sz w:val="18"/>
          <w:szCs w:val="18"/>
          <w:color w:val="auto"/>
        </w:rPr>
        <w:t>– Solana Company (NASDAQ: HSDT) (“HSDT” or the “Company”), a publicly listed company that has expanded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to include a digital asset treasury dedicated to acquiring and holding Solana tokens (“SOL”), today announced that it has entered into a definitive agreement providing for the purchase and sale of an aggregate of 3,076,922 shares of Class A common stock at a purchase price of $2.60 per share.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Company entered into a put option agreement with the purchasers, pursuant to which the Company grants the purchasers the right, upon the occurrence of specified future events, to require the Company to repurchase all or a portion of the shares of Class A common stock it purchased in the registered direct offering at a price per share equal to the purchase price plus an amount that would result in an internal rate of return of 7.0% per annum.</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offering was led by global institutional investor Mirae Asset with participation by Hashkey Capital. The aggregate proceeds to the Company from the offering are expected to be approximately $8 million. The aggregate net proceeds to the Company from the offering are expected to be approximately $7.9 million. The Company intends to use the net proceeds from the offering for accumulating SOL, working capital and general corporate purposes, business expansion and other strategic initiatives.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Class A common stock being offered in the registered direct offering described above are being offered and sold by the Company in a registered direct offering pursuant to a “shelf” registration statement on Form S-3 (File No. 333-290429), as amended, that became effective on April 8, 2026. The offering of the securities in the registered direct offering is being made only by means of a base prospectus and prospectus supplement that forms a part of the effective registration statement. A final prospectus supplement and the accompanying base prospectus relating to the registered direct offering will be filed with the SEC and will be available on the SEC’s website at www.sec.gov. Electronic copies of the final prospectus supplement and the accompanying base prospectus, when available, may also be obtained, when available, from the Company at 642 Newtown Yardley Road, Suite 100, Newtown, Pennsylvania, by phone at (215) 944-6100 or e-mail at ir@solanacompany.co.</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a solicitation of an offer to buy any of the securities described herein,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Solana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Solana Company (NASDAQ: HSDT) is a listed digital asset treasury dedicated to acquiring SOL, created in partnership with Pantera and Summer Capital. Focused on maximizing SOL per share by leveraging capital markets opportunities and on-chain activity, Solana Company offers public market investors optimal exposure to Solana’s secular growth. https://www.solanacompany.co/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press release contains statements that constitute “forward-looking statements” within the meaning of the U.S. federal securities laws. In some cases, you can identify forward-looking statements by terminology such as “may”, “will”, “should”, “expect”, “plan”, “intend”, “anticipate”, “believe”, “estimate”, “predict”, “potential” or “continue”, the negative of such terms or other comparable terminology. There can be no assurance that such statements will prove to be accurate and actual results and future events could differ materially from those expressed or implied by such statements. Forward-looking statements may include, among others, statements relating to the consummation of the offering and the satisfaction of customary closing conditions related to the offering; and the expected gross proceeds and anticipated closing date of the offering and the use of proceeds therefrom.</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forward-looking statements are based on current expectations, estimates, assumptions, and projections, and involve known and unknown risks, uncertainties, and other factors-many of which are beyond the Company’s control-that may cause actual results, performance, or achievements to differ materially from those expressed or implied by such statements. Important factors that may affect actual results include, among others, capital requirements to achieve the Company’s business objectives; expected benefits and implementation of the Company’s digital asset treasury strategy, expected staking, yield and broader opportunities across the Solana ecosystem; the Company’s expected token treasury growth, the impact on the Company of global macroeconomic conditions including effects from supply chain constraints, including risks related to manufacturing delays, logistics challenges, labor shortages, disruptions in the banking system and financial markets; high levels of inflation and high interest rates on the Company’s ability to operate its business and access capital markets; the success of the Company’s business plan; the Company’s operating costs and use of cash; the Company’s ability to achieve significant revenues; and other risks and uncertainties described under “Risk Factors” in the Company’s Annual Report on Form 10-K for the year ended December 31, 2025, and in other subsequent filings with the Securities and Exchange Commission. These filings are available at www.sec.gov. The Company undertakes no obligation to update or revise any forward-looking statements, whether as a result of new information, future events, or otherwise, except as required by law.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31313"/>
        </w:rPr>
        <w:t>Media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31313"/>
        </w:rPr>
        <w:t>Solana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ir@solanacompany.co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Roman"/>
      <w:start w:val="3"/>
    </w:lvl>
  </w:abstractNum>
  <w:abstractNum w:abstractNumId="2">
    <w:nsid w:val="507ED7AB"/>
    <w:multiLevelType w:val="hybridMultilevel"/>
    <w:lvl w:ilvl="0">
      <w:lvlJc w:val="left"/>
      <w:lvlText w:val="(%1)"/>
      <w:numFmt w:val="lowerRoman"/>
      <w:start w:val="2"/>
    </w:lvl>
  </w:abstractNum>
  <w:abstractNum w:abstractNumId="3">
    <w:nsid w:val="2EB141F2"/>
    <w:multiLevelType w:val="hybridMultilevel"/>
    <w:lvl w:ilvl="0">
      <w:lvlJc w:val="left"/>
      <w:lvlText w:val="(%1)"/>
      <w:numFmt w:val="decimal"/>
      <w:start w:val="2"/>
    </w:lvl>
  </w:abstractNum>
  <w:abstractNum w:abstractNumId="4">
    <w:nsid w:val="41B71EFB"/>
    <w:multiLevelType w:val="hybridMultilevel"/>
    <w:lvl w:ilvl="0">
      <w:lvlJc w:val="left"/>
      <w:lvlText w:val="(%1)"/>
      <w:numFmt w:val="lowerRoman"/>
      <w:start w:val="3"/>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upperLetter"/>
      <w:start w:val="3"/>
    </w:lvl>
  </w:abstractNum>
  <w:abstractNum w:abstractNumId="7">
    <w:nsid w:val="515F007C"/>
    <w:multiLevelType w:val="hybridMultilevel"/>
    <w:lvl w:ilvl="0">
      <w:lvlJc w:val="left"/>
      <w:lvlText w:val="(%1)"/>
      <w:numFmt w:val="lowerRoman"/>
      <w:start w:val="10"/>
    </w:lvl>
  </w:abstractNum>
  <w:abstractNum w:abstractNumId="8">
    <w:nsid w:val="5BD062C2"/>
    <w:multiLevelType w:val="hybridMultilevel"/>
    <w:lvl w:ilvl="0">
      <w:lvlJc w:val="left"/>
      <w:lvlText w:val="(%1)"/>
      <w:numFmt w:val="lowerRoman"/>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2026-04-27T07:44:59Z</dcterms:created>
  <dcterms:modified xsi:type="dcterms:W3CDTF">2026-04-27T07:44:59Z</dcterms:modified>
</cp:coreProperties>
</file>