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108585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4"/>
          <w:szCs w:val="24"/>
          <w:color w:val="auto"/>
        </w:rPr>
      </w:pPr>
    </w:p>
    <w:p>
      <w:pPr>
        <w:ind w:left="480" w:right="360" w:hanging="472"/>
        <w:spacing w:after="0" w:line="256"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June 30, 2020</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80" w:right="360" w:hanging="472"/>
        <w:spacing w:after="0" w:line="256" w:lineRule="auto"/>
        <w:tabs>
          <w:tab w:leader="none" w:pos="4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111760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9"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4"/>
              </w:rPr>
              <w:t>Delaware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right"/>
              <w:ind w:right="2423"/>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center"/>
              <w:ind w:right="1283"/>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23"/>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tcPr>
          <w:p>
            <w:pPr>
              <w:jc w:val="center"/>
              <w:ind w:right="1303"/>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3"/>
              </w:rPr>
              <w:t>642 Newtown Yardley Road, Suite 100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320" w:type="dxa"/>
            <w:vAlign w:val="bottom"/>
          </w:tcPr>
          <w:p>
            <w:pPr>
              <w:jc w:val="right"/>
              <w:ind w:right="2583"/>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8"/>
        </w:trPr>
        <w:tc>
          <w:tcPr>
            <w:tcW w:w="4220" w:type="dxa"/>
            <w:vAlign w:val="bottom"/>
          </w:tcPr>
          <w:p>
            <w:pPr>
              <w:jc w:val="center"/>
              <w:ind w:left="1243"/>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320" w:type="dxa"/>
            <w:vAlign w:val="bottom"/>
            <w:vMerge w:val="restart"/>
          </w:tcPr>
          <w:p>
            <w:pPr>
              <w:jc w:val="center"/>
              <w:ind w:right="1303"/>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220" w:type="dxa"/>
            <w:vAlign w:val="bottom"/>
          </w:tcPr>
          <w:p>
            <w:pPr>
              <w:jc w:val="center"/>
              <w:ind w:left="124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7"/>
        </w:trPr>
        <w:tc>
          <w:tcPr>
            <w:tcW w:w="422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(215) 944-6100</w:t>
            </w:r>
          </w:p>
        </w:tc>
        <w:tc>
          <w:tcPr>
            <w:tcW w:w="5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including area code)</w:t>
            </w:r>
          </w:p>
        </w:tc>
        <w:tc>
          <w:tcPr>
            <w:tcW w:w="0" w:type="dxa"/>
            <w:vAlign w:val="bottom"/>
          </w:tcPr>
          <w:p>
            <w:pPr>
              <w:spacing w:after="0"/>
              <w:rPr>
                <w:sz w:val="1"/>
                <w:szCs w:val="1"/>
                <w:color w:val="auto"/>
              </w:rPr>
            </w:pPr>
          </w:p>
        </w:tc>
      </w:tr>
      <w:tr>
        <w:trPr>
          <w:trHeight w:val="20"/>
        </w:trPr>
        <w:tc>
          <w:tcPr>
            <w:tcW w:w="5180" w:type="dxa"/>
            <w:vAlign w:val="bottom"/>
            <w:gridSpan w:val="4"/>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(Registrant’s telephone number,</w:t>
            </w:r>
          </w:p>
        </w:tc>
        <w:tc>
          <w:tcPr>
            <w:tcW w:w="52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4220" w:type="dxa"/>
            <w:vAlign w:val="bottom"/>
            <w:vMerge w:val="restart"/>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2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84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right="663"/>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6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800" w:type="dxa"/>
            <w:vAlign w:val="bottom"/>
            <w:gridSpan w:val="3"/>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320" w:type="dxa"/>
            <w:vAlign w:val="bottom"/>
          </w:tcPr>
          <w:p>
            <w:pPr>
              <w:jc w:val="center"/>
              <w:ind w:right="643"/>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4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7, 2020, the registrant had 45,114,506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340"/>
          </w:cols>
          <w:pgMar w:left="320" w:top="71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920" w:type="dxa"/>
            <w:vAlign w:val="bottom"/>
            <w:gridSpan w:val="5"/>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20"/>
                <w:szCs w:val="20"/>
                <w:color w:val="auto"/>
              </w:rPr>
            </w:pP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5"/>
          </w:tcPr>
          <w:p>
            <w:pPr>
              <w:ind w:left="120"/>
              <w:spacing w:after="0"/>
              <w:rPr>
                <w:sz w:val="20"/>
                <w:szCs w:val="20"/>
                <w:color w:val="auto"/>
              </w:rPr>
            </w:pPr>
            <w:r>
              <w:rPr>
                <w:rFonts w:ascii="Arial" w:cs="Arial" w:eastAsia="Arial" w:hAnsi="Arial"/>
                <w:sz w:val="18"/>
                <w:szCs w:val="18"/>
                <w:color w:val="auto"/>
              </w:rPr>
              <w:t>Condensed Consolidated Financial Statements</w:t>
            </w:r>
          </w:p>
        </w:tc>
        <w:tc>
          <w:tcPr>
            <w:tcW w:w="440" w:type="dxa"/>
            <w:vAlign w:val="bottom"/>
          </w:tcPr>
          <w:p>
            <w:pPr>
              <w:spacing w:after="0"/>
              <w:rPr>
                <w:sz w:val="24"/>
                <w:szCs w:val="24"/>
                <w:color w:val="auto"/>
              </w:rPr>
            </w:pPr>
          </w:p>
        </w:tc>
      </w:tr>
      <w:tr>
        <w:trPr>
          <w:trHeight w:val="338"/>
        </w:trPr>
        <w:tc>
          <w:tcPr>
            <w:tcW w:w="900" w:type="dxa"/>
            <w:vAlign w:val="bottom"/>
          </w:tcPr>
          <w:p>
            <w:pPr>
              <w:spacing w:after="0"/>
              <w:rPr>
                <w:sz w:val="24"/>
                <w:szCs w:val="24"/>
                <w:color w:val="auto"/>
              </w:rPr>
            </w:pP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 as of June 30, 2020 and December 31,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9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and Comprehensive (Loss) Income for the three and six months ended</w:t>
              </w:r>
            </w:hyperlink>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June 30, 2020 and 2019</w:t>
              </w:r>
            </w:hyperlink>
          </w:p>
        </w:tc>
        <w:tc>
          <w:tcPr>
            <w:tcW w:w="78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358"/>
        </w:trPr>
        <w:tc>
          <w:tcPr>
            <w:tcW w:w="900" w:type="dxa"/>
            <w:vAlign w:val="bottom"/>
          </w:tcPr>
          <w:p>
            <w:pPr>
              <w:spacing w:after="0"/>
              <w:rPr>
                <w:sz w:val="24"/>
                <w:szCs w:val="24"/>
                <w:color w:val="auto"/>
              </w:rPr>
            </w:pPr>
          </w:p>
        </w:tc>
        <w:tc>
          <w:tcPr>
            <w:tcW w:w="9920" w:type="dxa"/>
            <w:vAlign w:val="bottom"/>
            <w:gridSpan w:val="5"/>
          </w:tcPr>
          <w:p>
            <w:pPr>
              <w:ind w:left="120"/>
              <w:spacing w:after="0"/>
              <w:rPr>
                <w:rFonts w:ascii="Arial" w:cs="Arial" w:eastAsia="Arial" w:hAnsi="Arial"/>
                <w:sz w:val="18"/>
                <w:szCs w:val="18"/>
                <w:u w:val="single" w:color="auto"/>
                <w:color w:val="0000EE"/>
                <w:w w:val="92"/>
              </w:rPr>
            </w:pPr>
            <w:hyperlink w:anchor="page5">
              <w:r>
                <w:rPr>
                  <w:rFonts w:ascii="Arial" w:cs="Arial" w:eastAsia="Arial" w:hAnsi="Arial"/>
                  <w:sz w:val="18"/>
                  <w:szCs w:val="18"/>
                  <w:u w:val="single" w:color="auto"/>
                  <w:color w:val="0000EE"/>
                  <w:w w:val="92"/>
                </w:rPr>
                <w:t>Unaudited Condensed Consolidated Statements of Stockholders’ Equity for the three and six months ended June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1"/>
        </w:trPr>
        <w:tc>
          <w:tcPr>
            <w:tcW w:w="900" w:type="dxa"/>
            <w:vAlign w:val="bottom"/>
          </w:tcPr>
          <w:p>
            <w:pPr>
              <w:spacing w:after="0"/>
              <w:rPr>
                <w:sz w:val="24"/>
                <w:szCs w:val="24"/>
                <w:color w:val="auto"/>
              </w:rPr>
            </w:pP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1"/>
        </w:trPr>
        <w:tc>
          <w:tcPr>
            <w:tcW w:w="900" w:type="dxa"/>
            <w:vAlign w:val="bottom"/>
          </w:tcPr>
          <w:p>
            <w:pPr>
              <w:spacing w:after="0"/>
              <w:rPr>
                <w:sz w:val="24"/>
                <w:szCs w:val="24"/>
                <w:color w:val="auto"/>
              </w:rPr>
            </w:pP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4"/>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38"/>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20" w:type="dxa"/>
            <w:vAlign w:val="bottom"/>
            <w:gridSpan w:val="5"/>
          </w:tcPr>
          <w:p>
            <w:pPr>
              <w:ind w:left="12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5"/>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38"/>
        </w:trPr>
        <w:tc>
          <w:tcPr>
            <w:tcW w:w="90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900" w:type="dxa"/>
            <w:vAlign w:val="bottom"/>
          </w:tcPr>
          <w:p>
            <w:pPr>
              <w:spacing w:after="0"/>
              <w:rPr>
                <w:sz w:val="24"/>
                <w:szCs w:val="24"/>
                <w:color w:val="auto"/>
              </w:rPr>
            </w:pPr>
          </w:p>
        </w:tc>
        <w:tc>
          <w:tcPr>
            <w:tcW w:w="9680" w:type="dxa"/>
            <w:vAlign w:val="bottom"/>
            <w:gridSpan w:val="4"/>
          </w:tcPr>
          <w:p>
            <w:pPr>
              <w:jc w:val="right"/>
              <w:ind w:right="49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2019</w:t>
            </w: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7,241</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20" w:type="dxa"/>
            <w:vAlign w:val="bottom"/>
            <w:shd w:val="clear" w:color="auto" w:fill="CFF0FC"/>
          </w:tcPr>
          <w:p>
            <w:pPr>
              <w:spacing w:after="0"/>
              <w:rPr>
                <w:sz w:val="19"/>
                <w:szCs w:val="19"/>
                <w:color w:val="auto"/>
              </w:rPr>
            </w:pP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tcPr>
          <w:p>
            <w:pPr>
              <w:spacing w:after="0"/>
              <w:rPr>
                <w:sz w:val="22"/>
                <w:szCs w:val="22"/>
                <w:color w:val="auto"/>
              </w:rPr>
            </w:pPr>
          </w:p>
        </w:tc>
      </w:tr>
      <w:tr>
        <w:trPr>
          <w:trHeight w:val="210"/>
        </w:trPr>
        <w:tc>
          <w:tcPr>
            <w:tcW w:w="7600" w:type="dxa"/>
            <w:vAlign w:val="bottom"/>
            <w:shd w:val="clear" w:color="auto" w:fill="CFF0FC"/>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June 30, 2020 and December 31, 2019</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Class A common stock, $0.001 par value; 150,000,000 shares authorized; 45,114,506 and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w w:val="90"/>
              </w:rPr>
              <w:t>30,718,554 shares issued and outstanding as of June 30, 2020 and December 31, 2019,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111,479</w:t>
            </w:r>
          </w:p>
        </w:tc>
        <w:tc>
          <w:tcPr>
            <w:tcW w:w="1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(112,891)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(104,773)</w:t>
            </w: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2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378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Income </w:t>
      </w:r>
      <w:r>
        <w:rPr>
          <w:rFonts w:ascii="Arial" w:cs="Arial" w:eastAsia="Arial" w:hAnsi="Arial"/>
          <w:sz w:val="18"/>
          <w:szCs w:val="18"/>
          <w:color w:val="auto"/>
        </w:rPr>
        <w:t>(Amounts in thousands except shares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 net</w:t>
            </w:r>
          </w:p>
        </w:tc>
        <w:tc>
          <w:tcPr>
            <w:tcW w:w="10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6,120</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gain (loss)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5,628</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 income</w:t>
            </w:r>
          </w:p>
        </w:tc>
        <w:tc>
          <w:tcPr>
            <w:tcW w:w="8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(7,737)</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 per share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(0.08)</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(0.22)</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40,623,343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25,870,600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36,179,362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25,851,501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40,623,343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25,870,600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36,179,362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25,953,654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164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June 30, 2020 and 2019 </w:t>
      </w:r>
      <w:r>
        <w:rPr>
          <w:rFonts w:ascii="Arial" w:cs="Arial" w:eastAsia="Arial" w:hAnsi="Arial"/>
          <w:sz w:val="18"/>
          <w:szCs w:val="18"/>
          <w:color w:val="auto"/>
        </w:rPr>
        <w:t>(Except share and per share data,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7"/>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2019</w:t>
            </w:r>
          </w:p>
        </w:tc>
        <w:tc>
          <w:tcPr>
            <w:tcW w:w="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25,844,180</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106,363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(93,668)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Proceeds from exercise of stock options and warrants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Reclassification of derivative financial instruments from</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as of June 30,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25,903,544</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107,437</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w:t>
            </w:r>
          </w:p>
        </w:tc>
        <w:tc>
          <w:tcPr>
            <w:tcW w:w="1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(93,854)</w:t>
            </w:r>
          </w:p>
        </w:tc>
        <w:tc>
          <w:tcPr>
            <w:tcW w:w="1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7"/>
              <w:spacing w:after="0"/>
              <w:rPr>
                <w:sz w:val="20"/>
                <w:szCs w:val="20"/>
                <w:color w:val="auto"/>
              </w:rPr>
            </w:pPr>
            <w:r>
              <w:rPr>
                <w:rFonts w:ascii="Arial" w:cs="Arial" w:eastAsia="Arial" w:hAnsi="Arial"/>
                <w:sz w:val="14"/>
                <w:szCs w:val="14"/>
                <w:b w:val="1"/>
                <w:bCs w:val="1"/>
                <w:color w:val="auto"/>
                <w:w w:val="89"/>
              </w:rPr>
              <w:t>value</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March 31, 2020</w:t>
            </w:r>
          </w:p>
        </w:tc>
        <w:tc>
          <w:tcPr>
            <w:tcW w:w="80" w:type="dxa"/>
            <w:vAlign w:val="bottom"/>
          </w:tcPr>
          <w:p>
            <w:pPr>
              <w:spacing w:after="0"/>
              <w:rPr>
                <w:sz w:val="13"/>
                <w:szCs w:val="13"/>
                <w:color w:val="auto"/>
              </w:rPr>
            </w:pPr>
          </w:p>
        </w:tc>
        <w:tc>
          <w:tcPr>
            <w:tcW w:w="10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8"/>
              </w:rPr>
              <w:t>Deficit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38,041,666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114,967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(109,530)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w w:val="99"/>
              </w:rPr>
              <w:t>Proceeds from the issuance of common stock from At-the-</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Market program</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7,072,840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Share issuance costs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45,114,506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119,763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(112,891)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188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Six Months Ended June 30, 2020 and 2019 </w:t>
      </w:r>
      <w:r>
        <w:rPr>
          <w:rFonts w:ascii="Arial" w:cs="Arial" w:eastAsia="Arial" w:hAnsi="Arial"/>
          <w:sz w:val="18"/>
          <w:szCs w:val="18"/>
          <w:color w:val="auto"/>
        </w:rPr>
        <w:t>(Except share and per share data, amounts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4"/>
                <w:szCs w:val="14"/>
                <w:b w:val="1"/>
                <w:bCs w:val="1"/>
                <w:color w:val="auto"/>
                <w:w w:val="89"/>
              </w:rPr>
              <w:t>value</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25,827,860</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105,411</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(94,992)</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8"/>
              </w:rPr>
              <w:t>Proceeds from the exercise of stock options and warrants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74,720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Settlement of restricted stock units</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Reclassification of derivative financial instruments from</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exercise of warrants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June 30, 2019</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25,903,544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107,437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(93,854)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12,782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22"/>
                <w:szCs w:val="22"/>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gridSpan w:val="4"/>
          </w:tcPr>
          <w:p>
            <w:pPr>
              <w:jc w:val="center"/>
              <w:ind w:left="636"/>
              <w:spacing w:after="0"/>
              <w:rPr>
                <w:sz w:val="20"/>
                <w:szCs w:val="20"/>
                <w:color w:val="auto"/>
              </w:rPr>
            </w:pPr>
            <w:r>
              <w:rPr>
                <w:rFonts w:ascii="Arial" w:cs="Arial" w:eastAsia="Arial" w:hAnsi="Arial"/>
                <w:sz w:val="14"/>
                <w:szCs w:val="14"/>
                <w:b w:val="1"/>
                <w:bCs w:val="1"/>
                <w:color w:val="auto"/>
                <w:w w:val="89"/>
              </w:rPr>
              <w:t>value</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Pr>
          <w:p>
            <w:pPr>
              <w:spacing w:after="0"/>
              <w:rPr>
                <w:sz w:val="14"/>
                <w:szCs w:val="14"/>
                <w:color w:val="auto"/>
              </w:rPr>
            </w:pPr>
          </w:p>
        </w:tc>
        <w:tc>
          <w:tcPr>
            <w:tcW w:w="92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30,718,554</w:t>
            </w:r>
          </w:p>
        </w:tc>
        <w:tc>
          <w:tcPr>
            <w:tcW w:w="22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(104,773)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w w:val="96"/>
              </w:rPr>
              <w:t>Proceeds from the issuance of common stock from At-the-</w:t>
            </w:r>
          </w:p>
        </w:tc>
        <w:tc>
          <w:tcPr>
            <w:tcW w:w="10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Market program</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8,138,808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540" w:type="dxa"/>
            <w:vAlign w:val="bottom"/>
            <w:gridSpan w:val="2"/>
          </w:tcPr>
          <w:p>
            <w:pPr>
              <w:ind w:left="20"/>
              <w:spacing w:after="0"/>
              <w:rPr>
                <w:sz w:val="20"/>
                <w:szCs w:val="20"/>
                <w:color w:val="auto"/>
              </w:rPr>
            </w:pPr>
            <w:r>
              <w:rPr>
                <w:rFonts w:ascii="Arial" w:cs="Arial" w:eastAsia="Arial" w:hAnsi="Arial"/>
                <w:sz w:val="18"/>
                <w:szCs w:val="18"/>
                <w:color w:val="auto"/>
                <w:w w:val="97"/>
              </w:rPr>
              <w:t>Proceeds from issuance of common stock from the March</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2020 Offering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6,257,144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Warrant issuance from the March 2020 Offering</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(8,118)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as of June 30, 2020</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45,114,506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(112,891)</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47"/>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2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(loss) income</w:t>
            </w:r>
          </w:p>
        </w:tc>
        <w:tc>
          <w:tcPr>
            <w:tcW w:w="190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(8,118)</w:t>
            </w: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(13,837)</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Unrealized foreign exchange loss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doubtful accounts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Intangible asset impairment</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Gain on lease modification</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r>
      <w:tr>
        <w:trPr>
          <w:trHeight w:val="230"/>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(207)</w:t>
            </w: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(510)</w:t>
            </w: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(285)</w:t>
            </w:r>
          </w:p>
        </w:tc>
      </w:tr>
      <w:tr>
        <w:trPr>
          <w:trHeight w:val="230"/>
        </w:trPr>
        <w:tc>
          <w:tcPr>
            <w:tcW w:w="68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(6,979)</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w:t>
            </w:r>
          </w:p>
        </w:tc>
      </w:tr>
      <w:tr>
        <w:trPr>
          <w:trHeight w:val="229"/>
        </w:trPr>
        <w:tc>
          <w:tcPr>
            <w:tcW w:w="68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0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6,727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 cash</w:t>
            </w:r>
          </w:p>
        </w:tc>
        <w:tc>
          <w:tcPr>
            <w:tcW w:w="9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(11,272)</w:t>
            </w:r>
          </w:p>
        </w:tc>
      </w:tr>
      <w:tr>
        <w:trPr>
          <w:trHeight w:val="230"/>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9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tcBorders>
              <w:bottom w:val="single" w:sz="8" w:color="CFF0FC"/>
            </w:tcBorders>
          </w:tcPr>
          <w:p>
            <w:pPr>
              <w:spacing w:after="0"/>
              <w:rPr>
                <w:sz w:val="19"/>
                <w:szCs w:val="19"/>
                <w:color w:val="auto"/>
              </w:rPr>
            </w:pPr>
          </w:p>
        </w:tc>
      </w:tr>
      <w:tr>
        <w:trPr>
          <w:trHeight w:val="223"/>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9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5,264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Helius Medical Technologies, Inc. (“we” or the “Company”), is a neurotech company focused on neurological wellness. The Company’s purpose is to develop, license or acquire unique and non-invasive technologies targeted at reducing symptoms of neurological disease or trauma.</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first product, known as the Portable Neuromodulation Stimulator (“PoNS</w:t>
      </w:r>
      <w:r>
        <w:rPr>
          <w:rFonts w:ascii="Arial" w:cs="Arial" w:eastAsia="Arial" w:hAnsi="Arial"/>
          <w:sz w:val="15"/>
          <w:szCs w:val="15"/>
          <w:color w:val="auto"/>
        </w:rPr>
        <w:t>TM</w:t>
      </w:r>
      <w:r>
        <w:rPr>
          <w:rFonts w:ascii="Arial" w:cs="Arial" w:eastAsia="Arial" w:hAnsi="Arial"/>
          <w:sz w:val="18"/>
          <w:szCs w:val="18"/>
          <w:color w:val="auto"/>
        </w:rPr>
        <w:t>”), is an authorized class II, non-implantable medical device authorized for sale in Canada. PoNS is intended as a short term treatment (14 weeks) of gait deficit to mild and moderate symptoms from Multiple Sclerosis (“MS”) and is to be used in conjunction with physical therapy and is indicated as a short term treatment (14 weeks) of chronic balance deficit due to mild-to-moderate traumatic brain injury (“mmTBI”) and is to be used in conjunction with physical therapy (“PoNS Treatment</w:t>
      </w:r>
      <w:r>
        <w:rPr>
          <w:rFonts w:ascii="Arial" w:cs="Arial" w:eastAsia="Arial" w:hAnsi="Arial"/>
          <w:sz w:val="15"/>
          <w:szCs w:val="15"/>
          <w:color w:val="auto"/>
        </w:rPr>
        <w:t>TM</w:t>
      </w:r>
      <w:r>
        <w:rPr>
          <w:rFonts w:ascii="Arial" w:cs="Arial" w:eastAsia="Arial" w:hAnsi="Arial"/>
          <w:sz w:val="18"/>
          <w:szCs w:val="18"/>
          <w:color w:val="auto"/>
        </w:rPr>
        <w:t>”). It is an investigational medical device in the United States, the European Union (“EU”), and Australia (“AUS”), and it is currently under review for clearance by the FDA and the AUS Therapeutic Goods Administration. PoNS Treatment™ is not currently commercially available in the United States, the European Union or Australia.</w:t>
      </w:r>
    </w:p>
    <w:p>
      <w:pPr>
        <w:spacing w:after="0" w:line="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2020, the Company had cash of $5.3 million. For the six months ended June 30, 2020, the Company had an operating loss of $7.7 million, and as of June 30, 2020, its accumulated deficit was $112.9 million. For the six months ended June 30, 2020, the Company had $0.3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business, results of operations and financial condition may be adversely impacted by economic conditions, including the global health concerns relating to the coronavirus (“COVID-19”) pandemic. The outbreak and spread of COVID-19 has significantly increased economic uncertainty. Authorities implemented numerous measures to try to contain the virus, such as travel bans and restrictions, quarantines, shelter in place orders, and business shutdowns. The COVID-19 pandemic has led to the closure of PoNS Authorized clinic locations across Canada. While the clinics have begun to re-open, the willingness of the patients to return to these clinics is uncertain at this time, and could result in a decrease of our commercial activities, and may have a negative impact on our customer engagement efforts. Moreover, the Company’s ability to conduct its ongoing clinical research may be impaired if trial participants or staff are adversely affected or fear being adversely affected by COVID-19, leading to further delays in the development and approval of the Company’s product candidate. In addition, disruptions in business operations in the United States, Canada and China due to COVID-19 may delay the timing for the submission and approval of the Company’s marketing applications with regulatory agencies or limit the Company’s suppliers’ ability to ship materials that the Company relies upon due to delays or suspension of manufacturing operations. COVID-19 could also disrupt governmental operations or impair the Company’s ability to access the public markets to obtain the necessary capital and continue the Company’s operations. The extent to which the COVID-19 pandemic impacts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Delisting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18"/>
          <w:szCs w:val="18"/>
          <w:color w:val="auto"/>
        </w:rPr>
        <w:t>The Company received a letter (the “Notice”) from the Listing Qualifications staff of Nasdaq indicating that, based on the closing bid price of the Company’s common stock for the last 30 consecutive business days, the Company no longer meets the requirement to maintain a minimum bid price of $1.00 per share, as set forth in Nasdaq Listing Rule 5550(a)(2). The Notice does not result in the immediate delisting of the Company’s common stock from Nasdaq. In accordance with Nasdaq Listing Rule 5810(c)(3)(A), the Company has been provided a period of 180 calendar days, or until September 21, 2020, in which to regain compliance. In order to regain compliance with the minimum bid price requirement, the closing bid price of the Company’s common stock must be at least $1.00 for a minimum of ten consecutive business days during this 180-day period. In the event that the Company does not regain compliance within this 180-day period, the Company may be eligible to see an additional compliance period of 180 calendar days if it meets the continued listing requirement for market value of publicly held shares and all other initial listing standard for Nasdaq, with the exception of the bid price requirement, and provides written notice to Nasdaq of its intent to cure the deficiency during this second compliance period, by effecting a reverse stock split, if necessary.</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17, 2020, the Company received a second letter (the “Second Notice”) for the Listing Qualifications staff of Nasdaq stating that due to unprecedented turmoil in U.S. and world financial markets resulting from the COVID-19 pandemic, investor confidence has been diminished resulting in depressed prices for companies that otherwise remain suitable for continued listing. Given these extraordinary market conditions, Nasdaq tolled the compliance periods for bid price and market value of publicly held shares (“MVPHS”) requirements (collectively, the “Price-based Requirements”) through June 30, 2020. As a result, companies in compliance periods for any Price-based Requirements remained at that same stage of the process and were not subject to delisting for these concerns. Starting July 1, 2020, the balance of any pending compliance period in effect at the start of the tolling period to regain compliance came back into effect.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Accordingly, since the Company had 158 calendar days remaining in its Bid compliance period as of April 16, 2020, it has, reinstatement of the Price-based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Requirements, until December 3, 2020 to regain compliance. The Company can regain compliance by evidencing compliance with the Price-based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Requirements for a minimum of 10 consecutive trading days.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the Company’s common stock is delisted from Nasdaq, its ability to raise capital through public offerings of the Company’s securities and to finance its operations could be adversely affected. The Company also believes that delisting would likely result in decreased liquidity and/or increased volatility in its common stock and could harm the Company’s business and future prospects. In addition, the Company believes that, if its common stock is delisted, the Company’s stockholders would likely find it more difficult to obtain accurate quotations as to the price of the common stock and it may be more difficult for stockholders to buy or sell the Company’s common stock at competitive market prices, or at all.</w:t>
      </w:r>
    </w:p>
    <w:p>
      <w:pPr>
        <w:spacing w:after="0" w:line="200" w:lineRule="exact"/>
        <w:rPr>
          <w:sz w:val="20"/>
          <w:szCs w:val="20"/>
          <w:color w:val="auto"/>
        </w:rPr>
      </w:pPr>
    </w:p>
    <w:p>
      <w:pPr>
        <w:spacing w:after="0" w:line="296" w:lineRule="exact"/>
        <w:rPr>
          <w:sz w:val="20"/>
          <w:szCs w:val="20"/>
          <w:color w:val="auto"/>
        </w:rPr>
      </w:pPr>
    </w:p>
    <w:p>
      <w:pPr>
        <w:ind w:right="6220" w:firstLine="8"/>
        <w:spacing w:after="0" w:line="378" w:lineRule="auto"/>
        <w:tabs>
          <w:tab w:leader="none" w:pos="31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2019, included in its Annual Report on Form 10-K that was filed with the Securities and Exchange Commission on March 12, 2020. The Company’s reporting currency is the U.S. Dollar (“USD$”).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required allowance required judgment by Company management. As of June 30, 2020, the Company’s accounts receivable of $0.1 million, is net of an allowance for doubtful accounts of $0.3 million and is the result of revenue from product sales. As of December 31, 2019, the Company’s accounts receivable of $0.2 million, is net of an allowance for doubtful accounts of $0.2 million and is the result of revenue from product sales.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receivables as of June 30, 2020 and December 31, 2019 included refunds from research and development (“R&amp;D”) tax credits of $44 thousand and $0.2 million, respectively, and Goods and Services Tax (“GST”) and Quebec Sales Tax (“QST”) refunds of $94 thousand and $0.1 million, respectively, related to the Company’s Canadian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$0 thousand and $2 thousand were recorded during the three and six months ended June 30, 2020, respectively. No inventory markdowns to net realizable value were recorded during the three and six months ended June 30,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1120" w:type="dxa"/>
            <w:vAlign w:val="bottom"/>
          </w:tcPr>
          <w:p>
            <w:pPr>
              <w:jc w:val="right"/>
              <w:ind w:right="207"/>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1120" w:type="dxa"/>
            <w:vAlign w:val="bottom"/>
            <w:tcBorders>
              <w:top w:val="single" w:sz="8" w:color="auto"/>
            </w:tcBorders>
          </w:tcPr>
          <w:p>
            <w:pPr>
              <w:jc w:val="right"/>
              <w:ind w:right="9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154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454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622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(52)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570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and equipment has an estimated useful life of 15 years, while computer software and hardware has an estimated useful life of 3 to 5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120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5"/>
              </w:rPr>
              <w:t>(150)</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was $29 thousand and $25 thousand for the three months ended June 30, 2020 and 2019, respectively. Depreciation expense was $67 thousand and $47 thousand for the six months ended June 30, 2020 and 2019,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2020, the Company sold furniture and fixtures with a net book value of $118 thousand for $61 thousand. Additionally, the Company abandoned leasehold improvements with a net book value of $53 thousand. The loss on the disposal of the furniture and fixtures and leasehold improvements of $110 thousand was recorded as selling, general and administrative expense in the condensed consolidated statements of operations and comprehensive (loss)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301" w:lineRule="auto"/>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 –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transferred to HTC, which included (1) cash of CAD$0.5 million (USD$0.4 million), (2) delivery of 55 PoNS devices for which the fair value was determined to be CAD$0.5 million (USD$0.4 million), (3) the forgiveness of CAD$750 thousand (USD$0.5 million) receivable from the September 2018 strategic alliance agreement and (4) the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 income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30, 2019</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8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2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assigned to identifiable intangible assets assumed were based on management’s current estimates and assumptions and is considered preliminary. The Company believes that the most recent information available provides a reasonable basis for assigning fair value, but anticipates receiving additional information, and as such, the provisional measurements of fair value are subject to change. The Company recorded measurement adjustments of $0.4 million during the six months ended June 30, 2020, all of which was recorded during the first quarter of 2020. The recorded adjustments related to the recognition of reacquired exclusivity rights. The Company will finalize the amounts recognized as it obtains the information necessary to complete the analysis, but no later than one year from the acquisition 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intangibles consisted of customer relationships, proprietary technology and reacquired rights. The remaining useful life at acquisition was 1.25 years, 5 years and 3.87 years, respectively, and the acquired intangibles are amortized using the straight-line method.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Factors considered by the Company in determination of goodwill include synergies, strategic fit and other benefits that do not meet the recognition criteria of acquired identifiable intangible assets. The recognized goodwill of $0.7 million is not expected to be deductible for tax purposes.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fair value of 55 PoNS devices which we agreed to transfer to HTC pursuant to a Share Purchase Agreement, or the SPA, as described below,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condensed consolidated balance sheet. As of June 30, 2020, the control of 11 devices had been transferred resulting in recognition of revenue for these devices. The fair value of the remaining 44 devices is still recorded as deferred revenue on the condensed consolidated balance sheet.</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SPA, on October 30, 2019, the Company entered into a Clinical Research and Co-Promotion Agreement with HTC (the “Co-Promotion Agreement”), whereby each company will promote the sales of the Company’s PoNS Treatment and HTC’s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ten-year term.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June 30, 2020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was a triggering event for testing whether goodwill is impaired. As of both March 31, 2020 and June 30, 2020, the Company performed a quantitative assessment and determined that the estimated fair value of the reporting unit exceeded the carrying value of the reporting unit. Therefore, the Company concluded that goodwill was not impaired as of either of the aforementioned periods. The Company will continue to monitor the impacts of the COVID-19 pandemic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for the period ended June 30, 2020 for goodwill:</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820" w:type="dxa"/>
            <w:vAlign w:val="bottom"/>
            <w:gridSpan w:val="2"/>
          </w:tcPr>
          <w:p>
            <w:pPr>
              <w:ind w:left="3480"/>
              <w:spacing w:after="0"/>
              <w:rPr>
                <w:sz w:val="20"/>
                <w:szCs w:val="20"/>
                <w:color w:val="auto"/>
              </w:rPr>
            </w:pPr>
            <w:r>
              <w:rPr>
                <w:rFonts w:ascii="Arial" w:cs="Arial" w:eastAsia="Arial" w:hAnsi="Arial"/>
                <w:sz w:val="14"/>
                <w:szCs w:val="14"/>
                <w:b w:val="1"/>
                <w:bCs w:val="1"/>
                <w:color w:val="auto"/>
              </w:rPr>
              <w:t>Goodwill</w:t>
            </w:r>
          </w:p>
        </w:tc>
        <w:tc>
          <w:tcPr>
            <w:tcW w:w="520" w:type="dxa"/>
            <w:vAlign w:val="bottom"/>
          </w:tcPr>
          <w:p>
            <w:pPr>
              <w:spacing w:after="0"/>
              <w:rPr>
                <w:sz w:val="14"/>
                <w:szCs w:val="14"/>
                <w:color w:val="auto"/>
              </w:rPr>
            </w:pPr>
          </w:p>
        </w:tc>
        <w:tc>
          <w:tcPr>
            <w:tcW w:w="1640" w:type="dxa"/>
            <w:vAlign w:val="bottom"/>
          </w:tcPr>
          <w:p>
            <w:pPr>
              <w:jc w:val="right"/>
              <w:ind w:right="8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23"/>
        </w:trPr>
        <w:tc>
          <w:tcPr>
            <w:tcW w:w="7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Carrying amount at beginning of period</w:t>
            </w:r>
          </w:p>
        </w:tc>
        <w:tc>
          <w:tcPr>
            <w:tcW w:w="3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5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30"/>
        </w:trPr>
        <w:tc>
          <w:tcPr>
            <w:tcW w:w="7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Carrying amount at end of period</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$0.1 million and $0.2 million during the three and six months ended June 30, 2020, respectively. No amortization expense related to intangible assets was recorded during the three and six months ended June 30, 2019. During the six months ended June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June 30, 2020 and December 31, 2019 consist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2020</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left="37"/>
              <w:spacing w:after="0"/>
              <w:rPr>
                <w:sz w:val="20"/>
                <w:szCs w:val="20"/>
                <w:color w:val="auto"/>
              </w:rPr>
            </w:pPr>
            <w:r>
              <w:rPr>
                <w:rFonts w:ascii="Arial" w:cs="Arial" w:eastAsia="Arial" w:hAnsi="Arial"/>
                <w:sz w:val="14"/>
                <w:szCs w:val="14"/>
                <w:b w:val="1"/>
                <w:bCs w:val="1"/>
                <w:color w:val="auto"/>
                <w:w w:val="92"/>
              </w:rPr>
              <w:t>As of December 31, 2019</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Useful</w:t>
            </w:r>
          </w:p>
        </w:tc>
        <w:tc>
          <w:tcPr>
            <w:tcW w:w="140" w:type="dxa"/>
            <w:vAlign w:val="bottom"/>
          </w:tcPr>
          <w:p>
            <w:pPr>
              <w:spacing w:after="0"/>
              <w:rPr>
                <w:sz w:val="11"/>
                <w:szCs w:val="11"/>
                <w:color w:val="auto"/>
              </w:rPr>
            </w:pPr>
          </w:p>
        </w:tc>
        <w:tc>
          <w:tcPr>
            <w:tcW w:w="80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1"/>
                <w:szCs w:val="11"/>
                <w:color w:val="auto"/>
              </w:rPr>
            </w:pPr>
          </w:p>
        </w:tc>
        <w:tc>
          <w:tcPr>
            <w:tcW w:w="1020" w:type="dxa"/>
            <w:vAlign w:val="bottom"/>
            <w:gridSpan w:val="3"/>
          </w:tcPr>
          <w:p>
            <w:pPr>
              <w:jc w:val="center"/>
              <w:ind w:right="290"/>
              <w:spacing w:after="0" w:line="133" w:lineRule="exact"/>
              <w:rPr>
                <w:sz w:val="20"/>
                <w:szCs w:val="20"/>
                <w:color w:val="auto"/>
              </w:rPr>
            </w:pPr>
            <w:r>
              <w:rPr>
                <w:rFonts w:ascii="Arial" w:cs="Arial" w:eastAsia="Arial" w:hAnsi="Arial"/>
                <w:sz w:val="14"/>
                <w:szCs w:val="14"/>
                <w:b w:val="1"/>
                <w:bCs w:val="1"/>
                <w:color w:val="auto"/>
                <w:w w:val="88"/>
              </w:rPr>
              <w:t>Gross</w:t>
            </w:r>
          </w:p>
        </w:tc>
        <w:tc>
          <w:tcPr>
            <w:tcW w:w="10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Carrying</w:t>
            </w:r>
          </w:p>
        </w:tc>
        <w:tc>
          <w:tcPr>
            <w:tcW w:w="10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1020" w:type="dxa"/>
            <w:vAlign w:val="bottom"/>
            <w:gridSpan w:val="3"/>
          </w:tcPr>
          <w:p>
            <w:pPr>
              <w:jc w:val="center"/>
              <w:ind w:right="27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6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740" w:type="dxa"/>
            <w:vAlign w:val="bottom"/>
            <w:gridSpan w:val="2"/>
            <w:shd w:val="clear" w:color="auto" w:fill="CFF0FC"/>
          </w:tcPr>
          <w:p>
            <w:pPr>
              <w:jc w:val="right"/>
              <w:ind w:right="36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Acquired proprietary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60" w:type="dxa"/>
            <w:vAlign w:val="bottom"/>
            <w:shd w:val="clear" w:color="auto" w:fill="CFF0FC"/>
          </w:tcPr>
          <w:p>
            <w:pPr>
              <w:spacing w:after="0"/>
              <w:rPr>
                <w:sz w:val="20"/>
                <w:szCs w:val="20"/>
                <w:color w:val="auto"/>
              </w:rPr>
            </w:pPr>
          </w:p>
        </w:tc>
        <w:tc>
          <w:tcPr>
            <w:tcW w:w="2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20"/>
                <w:szCs w:val="20"/>
                <w:color w:val="auto"/>
              </w:rPr>
            </w:pPr>
          </w:p>
        </w:tc>
        <w:tc>
          <w:tcPr>
            <w:tcW w:w="40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Internally developed software</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3 years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1"/>
              </w:rPr>
              <w:t>(64)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w w:val="99"/>
              </w:rPr>
              <w:t>Amortization expense is anticipated to be as follows in future years:</w:t>
            </w: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00" w:type="dxa"/>
            <w:vAlign w:val="bottom"/>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Year Ending December 31,</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 (remaining 6 months)</w:t>
            </w:r>
          </w:p>
        </w:tc>
        <w:tc>
          <w:tcPr>
            <w:tcW w:w="21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8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520" w:type="dxa"/>
            <w:vAlign w:val="bottom"/>
            <w:tcBorders>
              <w:top w:val="single" w:sz="8" w:color="CFF0FC"/>
            </w:tcBorders>
          </w:tcPr>
          <w:p>
            <w:pPr>
              <w:spacing w:after="0"/>
              <w:rPr>
                <w:sz w:val="19"/>
                <w:szCs w:val="19"/>
                <w:color w:val="auto"/>
              </w:rPr>
            </w:pPr>
          </w:p>
        </w:tc>
        <w:tc>
          <w:tcPr>
            <w:tcW w:w="40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gridSpan w:val="3"/>
          </w:tcPr>
          <w:p>
            <w:pPr>
              <w:jc w:val="center"/>
              <w:ind w:left="677"/>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gridSpan w:val="2"/>
          </w:tcPr>
          <w:p>
            <w:pPr>
              <w:jc w:val="right"/>
              <w:ind w:right="20"/>
              <w:spacing w:after="0"/>
              <w:rPr>
                <w:sz w:val="20"/>
                <w:szCs w:val="20"/>
                <w:color w:val="auto"/>
              </w:rPr>
            </w:pPr>
            <w:r>
              <w:rPr>
                <w:rFonts w:ascii="Arial" w:cs="Arial" w:eastAsia="Arial" w:hAnsi="Arial"/>
                <w:sz w:val="18"/>
                <w:szCs w:val="18"/>
                <w:color w:val="auto"/>
                <w:w w:val="86"/>
              </w:rPr>
              <w:t>142</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2022</w:t>
            </w:r>
          </w:p>
        </w:tc>
        <w:tc>
          <w:tcPr>
            <w:tcW w:w="2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214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214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gridSpan w:val="2"/>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6"/>
              </w:rPr>
              <w:t>638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on January 1, 2019.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does not record an operating lease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June 30, 2020, the Company has not entered into any additional lease arrangements, but did modify the existing lease arrangement.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 of the transaction. Foreign exchange gains and losses are included in the condensed consolidated statement of operations and comprehensive loss as foreign exchange (loss) gain.</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(loss) gain, as a component of comprehensive (loss) income, within the condensed consolidated statements of operations and comprehensive (loss)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06" w:lineRule="exact"/>
        <w:rPr>
          <w:sz w:val="20"/>
          <w:szCs w:val="20"/>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5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Further, according to the Company’s arrangement with HTC and Heuro, the Company shared 50/50 with Heuro in fees from support services excluding the CAD$600 payment for an assessment using the NeuroCatch device. For the three and six months ended June 30, 2019, the Company recorded $0.5 million and $1.2 million, respectively, in product sales net of $2 thousand and $11 thousand, respectively, for HTC’s portion related to services performed using the NeuroCatch device. As described above, the Company modified its arrangement with HTC on October 30, 2019 and product sales were derived from the sale of the PoNS device alone as the NeuroCatch is sold directly to the neuroplasticity clinics in Canada by HTC. For the three and six months ended June 30, 2020, the Company recorded $0.1 million and $0.3 million, respectively, in product sales. As of June 30, 2020, the control of 11 of the 55 PoNS devices included as consideration in the Heuro acquisition had been transferred resulting in revenue of $0.1 million being recognized which is included in the aforementioned $0.1 million in product sales. The fair value of the remaining 44 devices is recorded as deferred revenue of $0.3 million on the condensed consolidated balance sheet. The only returns during the three and six months ended June 30, 2020 were the result of warranty returns for defective products. These returns were insignificant and any future replacements are expected to be immaterial.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jc w:val="both"/>
        <w:spacing w:after="0" w:line="275" w:lineRule="auto"/>
        <w:rPr>
          <w:sz w:val="20"/>
          <w:szCs w:val="20"/>
          <w:color w:val="auto"/>
        </w:rPr>
      </w:pPr>
      <w:r>
        <w:rPr>
          <w:rFonts w:ascii="Arial" w:cs="Arial" w:eastAsia="Arial" w:hAnsi="Arial"/>
          <w:sz w:val="17"/>
          <w:szCs w:val="17"/>
          <w:color w:val="auto"/>
        </w:rPr>
        <w:t>During the three and six months ended June 30, 2020, the Company recognized $0 and $9 thousand, respectively, of fee revenue related to engaging new neuroplasticity clinics to provide the PoNS Treatment. During the three and six months ended June 30, 2019, the Company recognized $49 thousand of fee revenue associated with the Company’s agreement with HTC and Heuro that entitled the Company to 50% of the franchise fees collected by Heuro from each executed franchise agreement. As of June 30, 2020 and December 31, 2019, the Company had no contract assets or liabilities on its condensed consolidated balance sheets related to the supply agreements with each clinic.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did not record any license revenue during the six months ended June 30, 2019. As described above, the Company modified its arrangement with HTC on October 30, 2019. License revenue will be recognized ratably over the ten-year term as the performance obligation is met in connection with a Co-Promotion Agreement. During the three and six months ended June 30, 2020, the Company recognized revenues of $7 thousand and $13 thousand, respectively, in license fees associated with the Co-Promotion Agreement. Revenue not yet recognized of $0.2 million is recorded as deferred revenue on the condensed consolidated balance sheet.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 income.</w:t>
      </w:r>
    </w:p>
    <w:p>
      <w:pPr>
        <w:spacing w:after="0" w:line="1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Currently, we do not believe the CARES Act will have a material impact on our accounting for income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income. As of June 30, 2020 and December 31, 2019, the Company’s derivative financial instruments were comprised of warrants issued in connection with both public and/or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private securities offerings. Upon settlement of a derivative financial instrument, the instrument is re-measured at the settlement date and the fair value of the underlying instrument is reclassified to equity.</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operating lease ROU asset and non-current receivables approximate their fair values due to the immediate or short-term nature of these instruments.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June 30, 2020 and December 31, 2019 and the roll forward of the Company’s derivative financial instruments. The Company’s derivative financial instruments are comprised of warrants which are classified as liabilities.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Company’s recurring fair value measurements for derivative financial instruments and stock-based compensation liability within the fair value hierarchy as of June 30, 2020 and December 31, 2019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Level 1</w:t>
            </w: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six months ended June 30, 2020 of $0.2 million and has a remaining net book value of $0.1 million as of June 30,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Income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basic and diluted (loss) income per share for the periods noted below is as follows (amounts in thousands except shares and per share data):</w:t>
      </w:r>
    </w:p>
    <w:p>
      <w:pPr>
        <w:spacing w:after="0" w:line="200" w:lineRule="exact"/>
        <w:rPr>
          <w:sz w:val="20"/>
          <w:szCs w:val="20"/>
          <w:color w:val="auto"/>
        </w:rPr>
      </w:pPr>
    </w:p>
    <w:p>
      <w:pPr>
        <w:spacing w:after="0" w:line="33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ind w:left="44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(3,361)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(8,118)</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40,623,343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25,870,600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36,179,362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25,851,501</w:t>
            </w:r>
          </w:p>
        </w:tc>
        <w:tc>
          <w:tcPr>
            <w:tcW w:w="100" w:type="dxa"/>
            <w:vAlign w:val="bottom"/>
            <w:shd w:val="clear" w:color="auto" w:fill="CFF0FC"/>
          </w:tcPr>
          <w:p>
            <w:pPr>
              <w:spacing w:after="0"/>
              <w:rPr>
                <w:sz w:val="19"/>
                <w:szCs w:val="19"/>
                <w:color w:val="auto"/>
              </w:rPr>
            </w:pPr>
          </w:p>
        </w:tc>
      </w:tr>
      <w:tr>
        <w:trPr>
          <w:trHeight w:val="26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Basic net (loss) income per share</w:t>
            </w:r>
          </w:p>
        </w:tc>
        <w:tc>
          <w:tcPr>
            <w:tcW w:w="16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Borders>
              <w:bottom w:val="single" w:sz="8" w:color="CFF0FC"/>
            </w:tcBorders>
          </w:tcPr>
          <w:p>
            <w:pPr>
              <w:spacing w:after="0"/>
              <w:rPr>
                <w:sz w:val="22"/>
                <w:szCs w:val="22"/>
                <w:color w:val="auto"/>
              </w:rPr>
            </w:pPr>
          </w:p>
        </w:tc>
      </w:tr>
      <w:tr>
        <w:trPr>
          <w:trHeight w:val="210"/>
        </w:trPr>
        <w:tc>
          <w:tcPr>
            <w:tcW w:w="5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 (loss) income,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(8,118)</w:t>
            </w: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Net (loss) income, diluted</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40,623,343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25,870,600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36,179,362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25,851,501</w:t>
            </w:r>
          </w:p>
        </w:tc>
        <w:tc>
          <w:tcPr>
            <w:tcW w:w="100" w:type="dxa"/>
            <w:vAlign w:val="bottom"/>
          </w:tcPr>
          <w:p>
            <w:pPr>
              <w:spacing w:after="0"/>
              <w:rPr>
                <w:sz w:val="19"/>
                <w:szCs w:val="19"/>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Potential common share issuances:</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000" w:type="dxa"/>
            <w:vAlign w:val="bottom"/>
          </w:tcPr>
          <w:p>
            <w:pPr>
              <w:spacing w:after="0"/>
              <w:rPr>
                <w:sz w:val="20"/>
                <w:szCs w:val="20"/>
                <w:color w:val="auto"/>
              </w:rPr>
            </w:pPr>
            <w:r>
              <w:rPr>
                <w:rFonts w:ascii="Arial" w:cs="Arial" w:eastAsia="Arial" w:hAnsi="Arial"/>
                <w:sz w:val="18"/>
                <w:szCs w:val="18"/>
                <w:color w:val="auto"/>
                <w:w w:val="94"/>
              </w:rPr>
              <w:t>Incremental dilutive shares from equity instruments (treasury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method)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102,153</w:t>
            </w:r>
          </w:p>
        </w:tc>
        <w:tc>
          <w:tcPr>
            <w:tcW w:w="100" w:type="dxa"/>
            <w:vAlign w:val="bottom"/>
          </w:tcPr>
          <w:p>
            <w:pPr>
              <w:spacing w:after="0"/>
              <w:rPr>
                <w:sz w:val="20"/>
                <w:szCs w:val="20"/>
                <w:color w:val="auto"/>
              </w:rPr>
            </w:pPr>
          </w:p>
        </w:tc>
      </w:tr>
      <w:tr>
        <w:trPr>
          <w:trHeight w:val="223"/>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40,623,343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25,870,600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36,179,362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25,953,654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Diluted net (loss) income per share</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outstanding securities have been excluded from the computation of diluted weighted shares outstanding for the periods noted below, as they would have been anti-dilutive due to the Company’s (losses) earnings for the three and six months ended June 30, 2020 and 2019 and because the exercise price of certain of these outstanding securities was greater than the average closing price of the Company’s common stock.</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3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Six Months Ended</w:t>
            </w:r>
          </w:p>
        </w:tc>
      </w:tr>
      <w:tr>
        <w:trPr>
          <w:trHeight w:val="162"/>
        </w:trPr>
        <w:tc>
          <w:tcPr>
            <w:tcW w:w="5260" w:type="dxa"/>
            <w:vAlign w:val="bottom"/>
          </w:tcPr>
          <w:p>
            <w:pPr>
              <w:spacing w:after="0"/>
              <w:rPr>
                <w:sz w:val="14"/>
                <w:szCs w:val="14"/>
                <w:color w:val="auto"/>
              </w:rPr>
            </w:pPr>
          </w:p>
        </w:tc>
        <w:tc>
          <w:tcPr>
            <w:tcW w:w="144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jc w:val="center"/>
              <w:ind w:left="718"/>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6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 options outstanding</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4,087,882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3,281,499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4,087,882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2,909,499</w:t>
            </w: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RSUs</w:t>
            </w:r>
          </w:p>
        </w:tc>
        <w:tc>
          <w:tcPr>
            <w:tcW w:w="1020" w:type="dxa"/>
            <w:vAlign w:val="bottom"/>
          </w:tcPr>
          <w:p>
            <w:pPr>
              <w:jc w:val="right"/>
              <w:spacing w:after="0"/>
              <w:rPr>
                <w:sz w:val="20"/>
                <w:szCs w:val="20"/>
                <w:color w:val="auto"/>
              </w:rPr>
            </w:pPr>
            <w:r>
              <w:rPr>
                <w:rFonts w:ascii="Arial" w:cs="Arial" w:eastAsia="Arial" w:hAnsi="Arial"/>
                <w:sz w:val="18"/>
                <w:szCs w:val="18"/>
                <w:color w:val="auto"/>
              </w:rPr>
              <w:t>207,237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207,237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Warrants outstanding</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9,296,954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3,043,605</w:t>
            </w:r>
          </w:p>
        </w:tc>
        <w:tc>
          <w:tcPr>
            <w:tcW w:w="2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9,296,954</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3,043,605</w:t>
            </w:r>
          </w:p>
        </w:tc>
        <w:tc>
          <w:tcPr>
            <w:tcW w:w="100" w:type="dxa"/>
            <w:vAlign w:val="bottom"/>
            <w:shd w:val="clear" w:color="auto" w:fill="CFF0FC"/>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13,592,073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6,325,104</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13,592,073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5,953,104</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adds disclosure requirements to Topic 820 for the range and weighted average of significant unobservable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Level 3 fair value measurements. This ASU is effective for interim and annual reporting periods beginning after December 15, 2019. The Company adopted this standard as of January 1, 2020 and the adoption did not have a material impact on the Company’s condensed consolidated financial statements.</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 dividends have been declared since inception of the Company through June 30, 2020.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condensed consolidated statement of operations and comprehensive loss. The fair value of these warrants at issuance was approximately $7.4 million.</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 pricing model, with the remainder of the proceeds allocated to the common shares. As of June 30, 2020, 70,900 warrants had been exercised, all during 2018, for gross proceeds of CAD$0.9 million.</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and June 30, 2020.</w:t>
      </w:r>
    </w:p>
    <w:p>
      <w:pPr>
        <w:spacing w:after="0" w:line="378"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2020</w:t>
            </w: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CAD$ 0.58</w:t>
            </w:r>
          </w:p>
        </w:tc>
        <w:tc>
          <w:tcPr>
            <w:tcW w:w="3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6400" w:type="dxa"/>
            <w:vAlign w:val="bottom"/>
          </w:tcPr>
          <w:p>
            <w:pPr>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CAD$ 12.25</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0.78 years</w:t>
            </w:r>
          </w:p>
        </w:tc>
        <w:tc>
          <w:tcPr>
            <w:tcW w:w="16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3.00 years</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106.68%</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30"/>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0.26%</w:t>
            </w: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Dividend rate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November 22, 2019, the Company issued 4,815,010 shares of its common stock in an underwritten public offering at a price of $0.35 per share. Gross proceeds from the offering (the “November 2019 Offering”) were approximately $1.7 million. H.C. Wainwright &amp; Co., LLC (“Wainwright”) acted as book-running manager for the November 2019 Offering. The Company paid approximately $0.1 million in underwriting discounts and commissions and incurred offering expenses of approximately $0.5 million, resulting in net proceeds of $1.1 million, in connection with the November 2019 Offering.</w:t>
      </w:r>
    </w:p>
    <w:p>
      <w:pPr>
        <w:spacing w:after="0" w:line="1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27, 2020, the Company filed a Form S-3 shelf registration under the Securities Act which was declared effective by the SEC on February 6, 2020 (the “2020 Shelf”). The 2020 Shelf provides for the public offer and sale of certain securities of the Company from time to time, at its discretion, up to an aggregate offering amount of $100 million. In conjunction with the 2020 Shelf, on January 27, 2020, the Company entered into an At The Market Offering Agreement (the “2020 ATM”) with Wainwright under which the Company may offer and sell, from time to time at its sole discretion, to or through Wainwright, acting as agent and/or principal, shares of its common stock having an aggregate offering price of up to $11.34 million. For the six months ended June 30, 2020, under the 2020 ATM, the Company sold and issued 8,138,808 shares of its common stock with an aggregated market value of $5.0 million at an average price of $0.62 per share and paid Wainwright a sales commission of approximately $181 thousand related to those shares.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18, 2020, the Company filed a Prospectus Supplement which amended and supplemented the information in the 2020 Shelf to decrease the amount of common stock offered pursuant to the 2020 ATM to $9.15 million, including the shares previously sold under the 2020 ATM.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jc w:val="both"/>
        <w:ind w:right="20"/>
        <w:spacing w:after="0" w:line="257" w:lineRule="auto"/>
        <w:rPr>
          <w:sz w:val="20"/>
          <w:szCs w:val="20"/>
          <w:color w:val="auto"/>
        </w:rPr>
      </w:pPr>
      <w:r>
        <w:rPr>
          <w:rFonts w:ascii="Arial" w:cs="Arial" w:eastAsia="Arial" w:hAnsi="Arial"/>
          <w:sz w:val="18"/>
          <w:szCs w:val="18"/>
          <w:color w:val="auto"/>
        </w:rPr>
        <w:t>On March 20, 2020, the Company, in a registered direct offering, issued an aggregate of 6,257,144 shares of its common stock at a price of $0.35 per share. Additionally, the Company issued unregistered warrants in a concurrent private placement to purchase up to 6,257,144 shares of its common stock at a price of $0.46 per share. Gross proceeds from the offering (the “March 2020 Offering”) were approximately $2.2 million. Wainwright acted as book-running manager for the March 2020 Offering. The underwriting discounts and commissions and offering expenses of $0.3 million were recorded to share issuance costs.</w:t>
      </w:r>
    </w:p>
    <w:p>
      <w:pPr>
        <w:spacing w:after="0" w:line="18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Each warrant issued in connection with the March 2020 Offering entitles the holder to acquire one additional share of common stock at an exercise price of $0.46 per share, which will be exercisable on September 20, 2020 and will expire on March 20, 2025. Pursuant to the guidance of ASC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determined that warrants issued in connection with the March 2020</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should be classified as equity as the warrants can be settled with unregistered shares. The relative fair value of these warrants at issuance was approximately $0.8 million and was included in additional paid-in capital.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Exercise price</w:t>
            </w:r>
          </w:p>
        </w:tc>
        <w:tc>
          <w:tcPr>
            <w:tcW w:w="35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warrants accounted for as liabilities and recorded as derivative financial instruments on the Company’s condensed consolidated balance sheets for the six months ended June 30, 2020 and 2019 (amounts in thousands):</w:t>
      </w:r>
    </w:p>
    <w:p>
      <w:pPr>
        <w:spacing w:after="0" w:line="391"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25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3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beginning of period</w:t>
            </w:r>
          </w:p>
        </w:tc>
        <w:tc>
          <w:tcPr>
            <w:tcW w:w="820" w:type="dxa"/>
            <w:vAlign w:val="bottom"/>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13,769</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Exercise of warrants</w:t>
            </w:r>
          </w:p>
        </w:tc>
        <w:tc>
          <w:tcPr>
            <w:tcW w:w="8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8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Change in fair value of warrants during the period</w:t>
            </w:r>
          </w:p>
        </w:tc>
        <w:tc>
          <w:tcPr>
            <w:tcW w:w="82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(8,289)</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Fair value of warrants at end of period</w:t>
            </w: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condensed consolidated balance sheets are required to be re-measured at each reporting period, with the change in fair value recorded as a gain or loss in the change in fair value of derivative financial instruments, included in other income (expense) in the Company’s condensed consolidated statements of operations and comprehensive (loss) income.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all warrants classified as derivative financial instruments outstanding as of June 30, 2020 and December 31, 2019 were estimated using the Black-Scholes option pricing model with the following weighted average assumptions:</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2020</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2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CAD$ 0.58</w:t>
            </w:r>
          </w:p>
        </w:tc>
        <w:tc>
          <w:tcPr>
            <w:tcW w:w="3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CAD$ 1.23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4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0.78 years</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1.28 years</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106.68%</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72.43%</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0.26%</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Dividend rate</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six months ended June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Number of Warrants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Borders>
              <w:top w:val="single" w:sz="8" w:color="auto"/>
            </w:tcBorders>
            <w:gridSpan w:val="2"/>
          </w:tcPr>
          <w:p>
            <w:pPr>
              <w:ind w:left="36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CAD$</w:t>
            </w: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651,320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6,257,144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(3,795)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Exercised</w:t>
            </w:r>
          </w:p>
        </w:tc>
        <w:tc>
          <w:tcPr>
            <w:tcW w:w="13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2020</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2,392,285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6,904,669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12.25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19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Company’s warrants outstanding and exercisable as of June 30, 2020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USD$10.75</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July 17, 2020</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270,915</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22, 2020</w:t>
            </w: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171,020</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29"/>
        </w:trPr>
        <w:tc>
          <w:tcPr>
            <w:tcW w:w="3520" w:type="dxa"/>
            <w:vAlign w:val="bottom"/>
          </w:tcPr>
          <w:p>
            <w:pPr>
              <w:jc w:val="right"/>
              <w:spacing w:after="0"/>
              <w:rPr>
                <w:sz w:val="20"/>
                <w:szCs w:val="20"/>
                <w:color w:val="auto"/>
              </w:rPr>
            </w:pPr>
            <w:r>
              <w:rPr>
                <w:rFonts w:ascii="Arial" w:cs="Arial" w:eastAsia="Arial" w:hAnsi="Arial"/>
                <w:sz w:val="18"/>
                <w:szCs w:val="18"/>
                <w:color w:val="auto"/>
              </w:rPr>
              <w:t>204,081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USD$12.25</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29"/>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2,392,285</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CAD$12.25</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April 10, 2021</w:t>
            </w:r>
          </w:p>
        </w:tc>
      </w:tr>
      <w:tr>
        <w:trPr>
          <w:trHeight w:val="230"/>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6,257,144</w:t>
            </w:r>
          </w:p>
        </w:tc>
        <w:tc>
          <w:tcPr>
            <w:tcW w:w="32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8"/>
                <w:szCs w:val="18"/>
                <w:color w:val="auto"/>
                <w:w w:val="91"/>
              </w:rPr>
              <w:t>USD$0.46</w:t>
            </w:r>
          </w:p>
        </w:tc>
        <w:tc>
          <w:tcPr>
            <w:tcW w:w="3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1"/>
              </w:rPr>
              <w:t>March 20, 2025</w:t>
            </w:r>
          </w:p>
        </w:tc>
      </w:tr>
      <w:tr>
        <w:trPr>
          <w:trHeight w:val="223"/>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9,296,954</w:t>
            </w:r>
          </w:p>
        </w:tc>
        <w:tc>
          <w:tcPr>
            <w:tcW w:w="32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“2016 Plan”), the predecessor incentive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2020, there was an aggregate of 3,268,641 shares of common stock remaining available for grant under the Company’s 2018 Plan.</w:t>
      </w:r>
    </w:p>
    <w:p>
      <w:pPr>
        <w:spacing w:after="0" w:line="1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2020, the Company issued 754,090 stock options to employees and directors. The Company issued no stock options to consultants during the six months ended June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six months ended June 30,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Stock 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5300" w:type="dxa"/>
            <w:vAlign w:val="bottom"/>
            <w:vMerge w:val="continue"/>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3,467,292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754,090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(133,500)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Outstanding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4,087,882</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Exercisable as of June 30, 2020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2,214,220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2020, the unrecognized compensation cost related to non-vested stock options outstanding for employees and directors, was $4.6 million which will be recognized over a weighted-average remaining vesting period of approximately 3.0 years. Compensation cost is not adjusted for estimated forfeitures, but instead is adjusted upon an actual forfeiture of a stock option.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six months ended June 30, 2020 was $0.27 per option and the grant date fair values of these stock options were estimated using the Black-Scholes option pricing model using the following weighted average assumptions:</w:t>
      </w:r>
    </w:p>
    <w:p>
      <w:pPr>
        <w:spacing w:after="0" w:line="95"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71"/>
        </w:trPr>
        <w:tc>
          <w:tcPr>
            <w:tcW w:w="5140" w:type="dxa"/>
            <w:vAlign w:val="bottom"/>
            <w:tcBorders>
              <w:bottom w:val="single" w:sz="8" w:color="CFF0FC"/>
            </w:tcBorders>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1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40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0.46</w:t>
            </w:r>
          </w:p>
        </w:tc>
        <w:tc>
          <w:tcPr>
            <w:tcW w:w="180" w:type="dxa"/>
            <w:vAlign w:val="bottom"/>
          </w:tcPr>
          <w:p>
            <w:pPr>
              <w:spacing w:after="0"/>
              <w:rPr>
                <w:sz w:val="19"/>
                <w:szCs w:val="19"/>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5.23 years</w:t>
            </w: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77.41%</w:t>
            </w: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0.61%</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June 30, 2020, the unrecognized compensation cost related to non-vested stock options outstanding for non-employees was $58 thousand which will be recognized over a weighted-average remaining vesting period of approximately 1.1 years. Compensation cost is not adjusted for estimated forfeitures, but instead is adjusted upon an actual forfeiture of a stock option.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4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fourth quarter of 2019, certain members of the Company’s executive management team elected to receive restricted stock awards in lieu of cash compensation under the 2018 Plan that vest upon issuance. The fair value of the restricted stock awards was based on the closing price of the Company’s common stock on the day of the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restricted stock award activity for the six months ended June 30, 2020:</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Number of Restricted</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Stock Units</w:t>
            </w: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179,540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June 30, 2020</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207,237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income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227"/>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vMerge w:val="continue"/>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right"/>
              <w:ind w:right="28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1,361</w:t>
            </w:r>
          </w:p>
        </w:tc>
        <w:tc>
          <w:tcPr>
            <w:tcW w:w="80" w:type="dxa"/>
            <w:vAlign w:val="bottom"/>
            <w:tcBorders>
              <w:bottom w:val="single" w:sz="8" w:color="CFF0FC"/>
            </w:tcBorders>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729</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941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1,571</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1,776</w:t>
            </w:r>
          </w:p>
        </w:tc>
        <w:tc>
          <w:tcPr>
            <w:tcW w:w="80" w:type="dxa"/>
            <w:vAlign w:val="bottom"/>
            <w:tcBorders>
              <w:bottom w:val="single" w:sz="8" w:color="CFF0FC"/>
            </w:tcBorders>
            <w:shd w:val="clear" w:color="auto" w:fill="CFF0FC"/>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ACCRUED EXPENSES</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60" w:type="dxa"/>
            <w:vAlign w:val="bottom"/>
            <w:gridSpan w:val="2"/>
          </w:tcPr>
          <w:p>
            <w:pPr>
              <w:ind w:left="480"/>
              <w:spacing w:after="0"/>
              <w:rPr>
                <w:sz w:val="20"/>
                <w:szCs w:val="20"/>
                <w:color w:val="auto"/>
              </w:rPr>
            </w:pPr>
            <w:r>
              <w:rPr>
                <w:rFonts w:ascii="Arial" w:cs="Arial" w:eastAsia="Arial" w:hAnsi="Arial"/>
                <w:sz w:val="18"/>
                <w:szCs w:val="18"/>
                <w:color w:val="auto"/>
                <w:w w:val="95"/>
              </w:rPr>
              <w:t>Accrued expenses consisted of the following (amounts in thousands):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ind w:left="160"/>
              <w:spacing w:after="0" w:line="155" w:lineRule="exact"/>
              <w:rPr>
                <w:sz w:val="20"/>
                <w:szCs w:val="20"/>
                <w:color w:val="auto"/>
              </w:rPr>
            </w:pPr>
            <w:r>
              <w:rPr>
                <w:rFonts w:ascii="Arial" w:cs="Arial" w:eastAsia="Arial" w:hAnsi="Arial"/>
                <w:sz w:val="14"/>
                <w:szCs w:val="14"/>
                <w:b w:val="1"/>
                <w:bCs w:val="1"/>
                <w:color w:val="auto"/>
                <w:w w:val="96"/>
              </w:rPr>
              <w:t>June 30, 2020</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130"/>
              <w:spacing w:after="0" w:line="155" w:lineRule="exact"/>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504</w:t>
            </w:r>
          </w:p>
        </w:tc>
        <w:tc>
          <w:tcPr>
            <w:tcW w:w="300" w:type="dxa"/>
            <w:vAlign w:val="bottom"/>
          </w:tcPr>
          <w:p>
            <w:pPr>
              <w:spacing w:after="0"/>
              <w:rPr>
                <w:sz w:val="19"/>
                <w:szCs w:val="19"/>
                <w:color w:val="auto"/>
              </w:rPr>
            </w:pP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Legal fees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112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Royalty fees</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Franchise fees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Severance</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243</w:t>
            </w:r>
          </w:p>
        </w:tc>
        <w:tc>
          <w:tcPr>
            <w:tcW w:w="3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1,084</w:t>
            </w:r>
          </w:p>
        </w:tc>
        <w:tc>
          <w:tcPr>
            <w:tcW w:w="3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hanging="472"/>
        <w:spacing w:after="0" w:line="291"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January 22, 2013, the Company entered into a license agreement with Advanced NeuroRehabilitation, LLC (“ANR”) for an exclusive right to ANR’s patent pending technology, claims and knowhow. In addition to the issuance of 3,207,005 shares of common stock to ANR, the Company agreed to pay a 4% royalty on net revenue on the sales of devices covered by the patent-pending technology and services related to the therapy or use of devices covered by the patent-pending technology. For the three and six months ended June 30, 2020, the Company recorded approximately $5 thousand and $10 thousand, respectively, in royalty expenses in its condensed consolidated statement of operations and comprehensive (loss) income. For the three and six months ended June 30, 2019, the Company recorded approximately $19 thousand and $46 thousand, respectively, in royalty expenses in its condensed consolidated statement of operations and comprehensive (loss) income.</w:t>
      </w:r>
    </w:p>
    <w:p>
      <w:pPr>
        <w:spacing w:after="0" w:line="58" w:lineRule="exact"/>
        <w:rPr>
          <w:rFonts w:ascii="Arial" w:cs="Arial" w:eastAsia="Arial" w:hAnsi="Arial"/>
          <w:sz w:val="16"/>
          <w:szCs w:val="16"/>
          <w:color w:val="auto"/>
        </w:rPr>
      </w:pPr>
    </w:p>
    <w:p>
      <w:pPr>
        <w:jc w:val="both"/>
        <w:ind w:left="480" w:hanging="472"/>
        <w:spacing w:after="0" w:line="270"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(HK) Company Ltd.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it was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jc w:val="both"/>
        <w:ind w:left="480" w:hanging="472"/>
        <w:spacing w:after="0" w:line="286"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w:t>
      </w:r>
    </w:p>
    <w:p>
      <w:pPr>
        <w:spacing w:after="0" w:line="1" w:lineRule="exact"/>
        <w:rPr>
          <w:sz w:val="20"/>
          <w:szCs w:val="20"/>
          <w:color w:val="auto"/>
        </w:rPr>
      </w:pPr>
    </w:p>
    <w:p>
      <w:pPr>
        <w:jc w:val="both"/>
        <w:ind w:left="480"/>
        <w:spacing w:after="0" w:line="267" w:lineRule="auto"/>
        <w:rPr>
          <w:sz w:val="20"/>
          <w:szCs w:val="20"/>
          <w:color w:val="auto"/>
        </w:rPr>
      </w:pPr>
      <w:r>
        <w:rPr>
          <w:rFonts w:ascii="Arial" w:cs="Arial" w:eastAsia="Arial" w:hAnsi="Arial"/>
          <w:sz w:val="17"/>
          <w:szCs w:val="17"/>
          <w:color w:val="auto"/>
        </w:rPr>
        <w:t>per month beginning in January 2018 with a 3% annual increase. 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condensed consolidated statement of operations and comprehensive (loss) income for the three and six months ended June 30, 2020. The initial lease term of the Lease Amendment is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June 30, 2020 (amounts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For the Six Months Ended June 30, 2020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w w:val="92"/>
              </w:rPr>
              <w:t>Future minimum lease payments under non-cancellable lease as of June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5"/>
          </w:tcPr>
          <w:p>
            <w:pPr>
              <w:spacing w:after="0"/>
              <w:rPr>
                <w:sz w:val="20"/>
                <w:szCs w:val="20"/>
                <w:color w:val="auto"/>
              </w:rPr>
            </w:pPr>
            <w:r>
              <w:rPr>
                <w:rFonts w:ascii="Arial" w:cs="Arial" w:eastAsia="Arial" w:hAnsi="Arial"/>
                <w:sz w:val="18"/>
                <w:szCs w:val="18"/>
                <w:color w:val="auto"/>
              </w:rPr>
              <w:t>30, 2020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58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2020 (remaining six months)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tcBorders>
              <w:top w:val="single" w:sz="8" w:color="CFF0FC"/>
            </w:tcBorders>
            <w:gridSpan w:val="4"/>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Reported as of June 30, 2020</w:t>
            </w:r>
          </w:p>
        </w:tc>
        <w:tc>
          <w:tcPr>
            <w:tcW w:w="2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480" w:hanging="472"/>
        <w:spacing w:after="0" w:line="253"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the Company extended the existing manufacturing agreement with Key Tronic for a second three (3) year term from December 29, 2020 until December 31, 2023. As of June 30, 2020, the Company did not have any outstanding commitments to Key Tronic to complete the Company’s forecasts for the procurement of materials necessary for the delivery of PoNS devices.</w:t>
      </w:r>
    </w:p>
    <w:p>
      <w:pPr>
        <w:spacing w:after="0" w:line="88" w:lineRule="exact"/>
        <w:rPr>
          <w:rFonts w:ascii="Arial" w:cs="Arial" w:eastAsia="Arial" w:hAnsi="Arial"/>
          <w:sz w:val="18"/>
          <w:szCs w:val="18"/>
          <w:color w:val="auto"/>
        </w:rPr>
      </w:pPr>
    </w:p>
    <w:p>
      <w:pPr>
        <w:ind w:left="480" w:right="60" w:hanging="472"/>
        <w:spacing w:after="0" w:line="257"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Caramahai v. Helius Medical Technologies, Inc. et 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its individual officers in the Southern District of New York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 application for de novo classification and clearance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Case No. 1:19-cv-07171 (S.D.N.Y.), was filed against the Company and three of its individual officers in the Southern District of New York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2020, the plaintiffs voluntarily dismissed the lawsuit without prejudice, ending the case. The U.S. District Judge signed the final order dismissing the litigation on July 1, 2020.</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2020, the Company did not make any payments for consulting fees to a director of the Company. During the six months ended June 30, 2020, the Company paid approximately $5 thousand in consulting fees to a director of the Company. During the three and six months ended June 30, 2019, the Company paid approximately $13 thousand and $23 thousand, respectively, in consulting fees to a director of the Company. As of June 30, 2020, the Company did not have an accrued liability for consulting fees to a director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2019, and the related Management’s Discussion and Analysis of Financial Condition and Results of Operations, both of which are contained in the our Annual Report on Form 10-K for the year ended December 31, 2019 filed with the Securities and Exchange Commission, or the SEC, on March 12, 2020, or our 2019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Such forward-looking statements involve risks and uncertainties regarding the COVID-19 pandemic, including its impact on the Company, the success of our business plan, availability of funds, our ability to maintain and enforce our intellectual property rights, government regulations, operating costs, and our ability to achieve significant revenues and other factors. Forward-looking statements are made, without limitation, in relation to operating plans, availability of funds and operating costs.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Actual events or results may differ materially. In evaluating these statements, you should consider various factors, including the risks outlined in the “Risk Factors” sections of our 2019 Annual Report and this report. These factors may cause our actual results to differ materially from any forward-looking statements. While these forward-looking statements, and any assumptions upon which they are based, are made in good faith, based on information available to us as of the date hereof, and reflect our current judgment regarding our business plans, our actual results will almost always vary, sometimes materially, from any estimates, predictions, projections, assumptions or other future performance suggested herein. We do not intend to update any of the forward-looking statements to conform these statements to actual results, except as required by applicable law, including the securities laws of the United States. The forward-looking statements are subject to a number of risks and uncertainties which are discussed in the section entitled “Item 1A. Risk Factors” in this Quarterly Report on Form 10-Q and in our 2019 Annual Report and those described from time to time in our future reports filed with the SEC. Although we believe that the expectations reflected in our forward-looking statements are reasonable, we cannot guarantee future results, events, levels of activity, performance or achievement. We undertake no obligation to publicly update or revise any forward-looking statements, whether as a result of new information, future events or otherwise, unless required by law.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first product, known as the Portable Neuromodulation Stimulator (“PoNS</w:t>
      </w:r>
      <w:r>
        <w:rPr>
          <w:rFonts w:ascii="Arial" w:cs="Arial" w:eastAsia="Arial" w:hAnsi="Arial"/>
          <w:sz w:val="13"/>
          <w:szCs w:val="13"/>
          <w:color w:val="auto"/>
        </w:rPr>
        <w:t>TM</w:t>
      </w:r>
      <w:r>
        <w:rPr>
          <w:rFonts w:ascii="Arial" w:cs="Arial" w:eastAsia="Arial" w:hAnsi="Arial"/>
          <w:sz w:val="16"/>
          <w:szCs w:val="16"/>
          <w:color w:val="auto"/>
        </w:rPr>
        <w:t>”), is an authorized class II, non-implantable medical device authorized for sale in Canada. PoNS is indicated as a short term treatment (14 weeks) of gait deficit due to mild and moderate symptoms from Multiple Sclerosis (“MS”) and is to be used in conjunction with physical therapy (“PoNS Treatment</w:t>
      </w:r>
      <w:r>
        <w:rPr>
          <w:rFonts w:ascii="Arial" w:cs="Arial" w:eastAsia="Arial" w:hAnsi="Arial"/>
          <w:sz w:val="13"/>
          <w:szCs w:val="13"/>
          <w:color w:val="auto"/>
        </w:rPr>
        <w:t>TM</w:t>
      </w:r>
      <w:r>
        <w:rPr>
          <w:rFonts w:ascii="Arial" w:cs="Arial" w:eastAsia="Arial" w:hAnsi="Arial"/>
          <w:sz w:val="16"/>
          <w:szCs w:val="16"/>
          <w:color w:val="auto"/>
        </w:rPr>
        <w:t>”) and is a short term treatment (14 weeks) of chronic balance deficit due to mild-to-moderate traumatic brain injury (“mmTBI”) and is to be used in conjunction with physical therapy. It is an investigational medical device in the United States, the European Union (“EU”), and Australia (“AUS”), and it is currently under review for clearance by the FDA and the AUS Therapeutic Goods Administration. PoNS Treatment™ is not currently commercially available in the United States, the European Union or Australia.</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We believe this label expansion will significantly expand our addressable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market opportunity in Canada to include a patient population that is motivated to pursue treatment options which may resolve or delay the progression of MS gait deficit symptoms.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we announced that 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real-world evidence with use of the PoNS for the treatment of gait disorder in patients with mild and moderate MS are sufficient to demonstrate a favorable risk/benefit profile, as required for de novo classification and clearance to enable US marketability. Novel treatments for MS are highlighted as a specific target of the FDA as a high unmet medical need disease.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7, 2020 we received Breakthrough Designation for the PoNS™ device as a potential treatment for gait deficit due to symptoms of Multiple Sclerosis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Breakthrough Devices Program replaces the Expedited Access Pathway and Priority Review for medical devices. The FDA considers devices granted designation under the Expedited Access Pathway to be part of the Breakthrough Devices Program.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FDA's experts through several different program options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Breakthrough Device Designation does not change the requirements for approval of an application for a marketing authorization under section 510(k) of the Food, Drug, and Cosmetic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2020, we submitted our request to the FDA for de novo classification and clearance of the PoNS device for the treatment of gait deficit due to symptoms from MS, to be used as an adjunct to a supervised therapeutic exercise program in patients over 18 years of 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chronic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and clearance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de novo classification and clearance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COVID-19 pandemic, our expectation was that we would move forward with the revised protocol and estimated that enrollment would begin in April 2020 with the completion of the trial and submission to the FDA in the second quarter of 2021. As clinical trial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across the U.S. and Canada has been halted, our launch of the TBI002 trial has been temporarily suspended and we are evaluating our options and timing for restarting the trial.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are working on responses to additional questions which we intend to respond to by the end of the third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2019, we began the initial commercialization of our PoNS Treatment in Canada, where our PoNS device is the first and only device authorized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the first two months of 2020, we authorized 7 new clinic locations for a total of 14 clinic locations to provide PoNS Treatment across Canada. During the second quarter of 2020 we added 3 new clinics for a total of 17 clinics in 20 locations across Canada. In addition, we launched a clinical experience program through University Health Network Toronto at 3 private clinic locations with an opportunity to transition to commercial treatment centers. We expect that it will take the newly authorized clinics time to work the PoNS Treatment into the clinic rotation but are confident that our focus on authorizing clinics which meet our refined criteria will drive efficiency and PoNS sales performance.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pursuing this expansion plan, we modified our go-to-market pricing model in 2020 based on direct market feedback. Our modified pricing model is focused on reducing the need for clinics and patients to pay large, upfront costs at the start of treatment.</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parallel with our commercialization efforts, we, in concert with input from insurers, have created a value dossiers for mmTBI and MS on behalf of the clinics and patients to fully demonstrate in both scientific and financial terms, the merits of PoNS Treatment for claimants. The dossier will be provided to our clinics across Canada to submit as part of treatment plans with reimbursement applications to the payer community. Our reimbursement strategy for mmTBI is focused initially in the auto accident insurance and workers compensation, or WC, market as well as long-term disability cases.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March 18, 2020, the Company received notification that its Canadian Class II license amendment application for the treatment of gait deficit in patients with mild and moderate symptoms from MS was successful and received marketing authorization for PoNS from Health Canada.</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spacing w:after="0" w:line="311" w:lineRule="auto"/>
        <w:rPr>
          <w:sz w:val="20"/>
          <w:szCs w:val="20"/>
          <w:color w:val="auto"/>
        </w:rPr>
      </w:pPr>
      <w:r>
        <w:rPr>
          <w:rFonts w:ascii="Arial" w:cs="Arial" w:eastAsia="Arial" w:hAnsi="Arial"/>
          <w:sz w:val="16"/>
          <w:szCs w:val="16"/>
          <w:color w:val="auto"/>
        </w:rPr>
        <w:t>In March 2020, the COVID-19 pandemic led to the closure of the PoNS Authorized clinic locations across Canada. Patients who completed their initial training in the clinics prior to the closures have been able to continue working independently in the at-home portion of the treatment, with remote check-ins with their certified therapists. While the clinics have begun to re-open, the willingness of the patients to return to these clinics is uncertain at this time.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business, results of operations and financial condition may be adversely impacted by economic conditions, including the global health concerns relating to the COVID-19 pandemic. The outbreak and spread of COVID-19 has significantly increased economic uncertainty. Authorities implemented numerous measures to try to contain the virus, such as travel bans and restrictions, quarantines, shelter in place orders, and business shutdowns. The COVID-19 pandemic has led to the closure of PoNS Authorized clinic locations across Canada. While the clinics have begun to re-open, the willingness of patients to return to these clinics is uncertain at this time, and could result in a decrease of our commercial activities, and may have a negative impact on our customer engagement efforts. Moreover, the Company’s ability to conduct its ongoing clinical research may be impaired if trial participants or staff are adversely affected by COVID-19, leading to further delays in the development and approval of the Company’s product candidate. In addition, disruptions in business operations in the United States, Canada and China due to COVID-19 may delay the timing for the submission and approval of the Company’s marketing applications with regulatory agencies or limit the Company’s suppliers’ ability to ship materials that the Company relies upon due to delays or suspension of manufacturing operations. COVID-19 could also disrupt governmental operations or impair the Company’s ability to access the public markets to obtain the necessary capital and continue the Company’s operations. The extent to which the COVID-19 pandemic impacts the Company’s business, results of operations and financial condition will depend on future developments, which are highly uncertain and cannot be predicted. The Company does not know yet the full extent of the impact of COVID-19 on its business, operations or the global economy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CAD$750,000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4"/>
          <w:szCs w:val="14"/>
          <w:color w:val="auto"/>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(10) years, renewable by HTC for one additional ten (10) year term upon sixty (60) days’ written notice to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the Three Months Ended June 30,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2020 and 2019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(3,722)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(5,549)</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w:t>
            </w:r>
          </w:p>
        </w:tc>
        <w:tc>
          <w:tcPr>
            <w:tcW w:w="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(3,361)</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(186)</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(3,175)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 the three months ended June 30, 2020, we recognized revenue of $0.1 million, of which $0.1 million was generated through product sales of our PoNS device in Canada pursuant to our executed supply agreements with neuroplasticity clinics in Canada and $7 thousand was generated from license fee revenue related to our co-promotion agreement with HTC. For the three months ended June 30, 2019 we recognized revenue of $0.5 million, of which $0.5 million was generated through product sales of our PoNS device in Canada pursuant to our executed supply agreements with neuroplasticity clinics in Canada and $49 thousand was generated from fee revenue related to engaging new PoNS authorized clinics.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June 30, 2020, we incurred $0.1 million in our cost of sales. For the three months ended June 30, 2019, we incurred $0.2 million in our cost of sales which also included certain support services provided by Heuro on our behalf.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or R&amp;D, expenses were $1.3 million for the three months ended June 30, 2020 compared to $2.3 million for the three months ended June 30, 2019, a decrease of $1.0 million. The decrease was primarily attributable to a $0.6 million reduction in medical affairs expenses due to the effort in 2019 to create awareness of the PoNS device by delivery clinical and scientific data to key opinion leaders, professional societies and practitioners combined with a $0.2 million reduction in product development costs due to completion of the PoNS device development in 2019. There was also a $0.1 million decrease in salary, wages and other employee expense from an increased headcount in 2019 to support our Canadian launch.</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or SG&amp;A, expenses were $2.4 million for the three months ended June 30, 2020 compared to $3.8 million for the three months ended June 30, 2019, an decrease of approximately $1.4 million. The decrease was primarily due to a $0.8 million reduction in commercial operations expense as in 2019 we invested in marketing and distribution capabilities in support of our US launch prior to receiving denial for clearance from the FDA coupled with a $0.6 million decrease in wages and salaries due to higher headcount in 2019 and a $0.4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color w:val="auto"/>
        </w:rPr>
        <w:t>decrease in legal expenses. These decreases were partially offset by a $0.2 million impairment loss related to intangible assets in 2020 and a $0.1 million loss as the result of the disposal of property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June 30, 2020, amortization expense was $0.1 million. No amortization expense was recorded during the three months ended June 30,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 in fair value of derivative financial instruments was a loss of $1 thousand for the three months ended June 30, 2020 compared to a gain of $5.5 million for the three months ended June 30,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Foreign exchange gain was $0.3 million for the three months ended June 30, 2020, compared to a gain of $0.1 million for the three months ended June 30, 2019. This was primarily due to fluctuations in the foreign exchange rate as it relates to the amount of Canadian dollars held at the end of each reporting period.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the Six Months Ended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2020 and 2019 (amounts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9"/>
        </w:trPr>
        <w:tc>
          <w:tcPr>
            <w:tcW w:w="59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1,195</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13,382</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(12,635)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(13,834)</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(expense) income</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13,773</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(8,118)</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1,138</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(9,256)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six months ended June 30, 2020, we recognized revenue of $0.3 million, of which $0.3 million was generated through product sales of our PoNS device in Canada pursuant to our executed supply agreements with neuroplasticity clinics in Canada, $9 thousand was generated from fee revenue related to engaging new PoNS authorized clinics, and $13 thousand was generated from license fee revenue related to our co-promotion agreement with HTC. For the six months ended June 30, 2019 we recognized revenue of $1.2 million, of which $1.1 million was generated through product sales of our PoNS device in Canada pursuant to our executed supply agreements with neuroplasticity clinics in Canada and $49 thousand was generated from fee revenue related to engaging new PoNS authorized clinics.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six months ended June 30, 2020, we incurred $0.2 million in our cost of sales. For the six months ended June 30, 2019, we incurred $0.4 million in our cost of sales which also included certain support services provided by Heuro on our behalf.</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or R&amp;D, expenses were $2.4 million for the six months ended June 30, 2020 compared to $5.0 million for the six months ended June 30, 2019, a decrease of $2.6 million. The decrease was primarily attributable to a $1.0 million reduction in product development costs due to completion of the PoNS device development in 2019 and a $0.5 million decrease in salary, wages and other employee expense from a higher headcount in 2019 to support our potential US launch. Medical affairs expenses decreased by $0.8 million due to the effort in 2019 to create awareness of the PoNS device by delivery clinical and scientific data to key opinion leaders, professional societies and practitioners. There was also a reduction of $0.1 million in regulatory expenses.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or SG&amp;A, expenses were $5.3 million for the six months ended June 30, 2020 compared to $8.4 million for the six months ended June 30, 2019, a decrease of approximately $3.1 million. The decrease was primarily due to $1.4 million in less wages and salaries due to higher headcount in 2019 and a $1.5 million reduction in commercial operations expense as in 2019 we invested in marketing and distribution capabilities in support of our US launch prior to receiving denial for clearance from the FDA. Stock-based compensation expense also decreased by $0.1 million. These decreases were partially offset by a $0.2 million impairment loss related to intangible assets in 2020 and a $0.1 million loss as the result of the disposal of property and equipment.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six months ended June 30, 2020, amortization expense was $0.2 million. No amortization expense was recorded during the six months ended June 30,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$3 thousand for the six months ended June 30, 2020 compared to a gain of $13.8 million for the six months ended June 30, 2019.</w:t>
      </w:r>
    </w:p>
    <w:p>
      <w:pPr>
        <w:spacing w:after="0" w:line="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change in fair value of our derivative financial instruments was primarily attributable to the change in our stock price, volatility and the number of derivative financial instruments being measured during the period. The change in the fair value of derivative financial instruments is a non-cash item.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 was $0.5 million for the six months ended June 30, 2020, compared to a loss of $0.1 million for the six months ended June 30, 2019.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was primarily due to fluctuations in the foreign exchange rate as it relates to the amount of Canadian dollars held at the end of each reporting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2020 and 2019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 June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(11,214)</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(195)</w:t>
            </w: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(11,272)</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six months ended June 30, 2020 was $7.0 million. This was comprised of a loss from operations of $8.1 million and $1.5 million net cash used resulting from changes in operating assets and liabilities, partially offset by certain adjustments for non-cash items of $2.7 million comprised mainly of stock-based compensation of $1.6 million, unrealized foreign exchange losses of $0.4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t>million, depreciation and amortization of $0.3 million, impairment loss on intangible assets of $0.2 million, provision for doubtful accounts of $0.2 million, loss on disposal of office furniture of $0.1 million and gain on lease modification of $0.1 million.</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during the six months ended June 30, 2019 was $11.2 million. This was comprised of a loss from operations of $12.6 million and $0.5 million net cash used resulting from changes in operating assets and liabilities, partially offset by certain adjustments for non-cash items comprised of stock-based compensation of $1.8 million and unrealized foreign exchange losses of $0.2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2020 was $0.1 million, which was primarily related to the sale of office furniture.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six months ended June 30, 2019 was $0.2 million, which was primarily related to the purchase of computer software, furniture and fixtures for our office.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2020 was $6.7 million, which consisted of proceeds from the issuance of common stock from the 2020 ATM and March 2020 Offering, net of share issuance costs.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2019 was $0.2 million, which consisted primarily of proceeds from the exercise of our April 2016 warrants.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June 30, 2020, we raised approximately $103.2 million in gross proceeds from various public and private offerings of our common stock as well as the exercise of stock options and warrants.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June 30, 2020 and December 31, 2019 (amounts in thousands):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w w:val="94"/>
              </w:rPr>
              <w:t>June 30, 2020</w:t>
            </w:r>
          </w:p>
        </w:tc>
        <w:tc>
          <w:tcPr>
            <w:tcW w:w="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4,717</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3,444</w:t>
            </w:r>
          </w:p>
        </w:tc>
        <w:tc>
          <w:tcPr>
            <w:tcW w:w="8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limited working capital and liquid assets. Our cash as of June 30, 2020 was approximately $5.3 million. While we have started generating revenue from the commercial sale of our PoNS device in Canada, we expect to incur significant losses until such time as our revenue exceeds our expenses and during this time, we will require additional funding to fund our ongoing activities. We believe that our existing capital resources will be sufficient to fund our operations through the third quarter of 2020.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2019 Annual Report. There have been no changes in critical accounting policies in the current year from those described in our 2019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2012, the Jumpstart Our Business Startups Act of 2012, or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foreign currency exchange risk from the transfer of funds between the United States and Canada to satisfy obligations as we do not hedge our foreign exchange exposure.</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Other than as set forth below,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or about July 9, 2019, a putative shareholder class action lawsuit, </w:t>
      </w:r>
      <w:r>
        <w:rPr>
          <w:rFonts w:ascii="Arial" w:cs="Arial" w:eastAsia="Arial" w:hAnsi="Arial"/>
          <w:sz w:val="17"/>
          <w:szCs w:val="17"/>
          <w:i w:val="1"/>
          <w:iCs w:val="1"/>
          <w:color w:val="auto"/>
        </w:rPr>
        <w:t>Caramahai v. Helius Medical Technologies, Inc. et al.</w:t>
      </w:r>
      <w:r>
        <w:rPr>
          <w:rFonts w:ascii="Arial" w:cs="Arial" w:eastAsia="Arial" w:hAnsi="Arial"/>
          <w:sz w:val="17"/>
          <w:szCs w:val="17"/>
          <w:color w:val="auto"/>
        </w:rPr>
        <w:t xml:space="preserve">, Case No. 1:19-cv-06365 (S.D.N.Y.), was filed against the Company and three of our individual officers in the Southern District of New York, or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The lawsuit alleges that the Company made materially false and misleading statements regarding the prospects for FDA approval of Helius’ application for de novo classification and clearance of its PoNS device in the United States. As a result of these alleged misstatements, the </w:t>
      </w:r>
      <w:r>
        <w:rPr>
          <w:rFonts w:ascii="Arial" w:cs="Arial" w:eastAsia="Arial" w:hAnsi="Arial"/>
          <w:sz w:val="17"/>
          <w:szCs w:val="17"/>
          <w:i w:val="1"/>
          <w:iCs w:val="1"/>
          <w:color w:val="auto"/>
        </w:rPr>
        <w:t>Caramahai</w:t>
      </w:r>
      <w:r>
        <w:rPr>
          <w:rFonts w:ascii="Arial" w:cs="Arial" w:eastAsia="Arial" w:hAnsi="Arial"/>
          <w:sz w:val="17"/>
          <w:szCs w:val="17"/>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xml:space="preserve">, Case No. 1:19-cv-07171 (S.D.N.Y.), was filed against the Company and three of our individual officers in the Southern District of New York, or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(the plaintiff responsible for prosecuting the class’s claims and has the power to settle and release claims of all class members) and have the movant’s attorneys appointed as Lead Counsel. On September 13 and 17, 2019, respectively, two of the movants filed notices withdrawing their motions on the ground that they did not appear to have “the largest financial interest in the relief sought by the class.” The third movant was appointed Lead Plaintiff on April 28, 2020 and movant’s attorneys were appointed as Lead Counsel.</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second quarter of 2020, the plaintiffs voluntarily dismissed the lawsuit without prejudice, ending the case. The U.S. District Judge signed the final order dismissing the litigation on July 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Except for the updated risk factors set forth immediately below, our risk factors have not changed materially from those risk factors previously disclosed in our Annual Report on Form 10-K for the year ended December 31, 2019. You should carefully consider the risk factors discussed in Part I, “Item 1A. Risk Factors” in our 2019 Annual Report. The risks described below and in our 2019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delisted from Nasdaq, which could seriously harm the liquidity of our stock and our ability to raise capital.</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March 23, 2020, we received a written notice from Nasdaq staff indicating that, based upon the closing bid price of our common stock for the last 30 consecutive business days, we no longer met the requirement to maintain a minimum bid price of $1 per share, as set forth in Nasdaq Listing Rule 5550(a)</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(1). In accordance with Nasdaq Listing Rule 5810(c)(3)(A), we were provided a period of 180 calendar days, or until September 21, 2020, in which to regain compliance. On April 17, 2020, we received a second notice from Nasdaq stating that due to unprecedented turmoil in U.S. and world financial markets resulting from the COVID-19 pandemic, Nasdaq has tolled the compliance period for bid price requirements through June 30, 2020, and accordingly, we have until December 3, 2020, to regain compliance. However, we may be unable to regain compliance with our current minimum bid price obligation or other listing requirements, which could cause us to lose eligibility for continued listing on the Nasdaq Capital Market or any comparable trading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If we cease to be eligible to trade on Nasdaq:</w:t>
      </w:r>
    </w:p>
    <w:p>
      <w:pPr>
        <w:spacing w:after="0" w:line="225" w:lineRule="exact"/>
        <w:rPr>
          <w:sz w:val="20"/>
          <w:szCs w:val="20"/>
          <w:color w:val="auto"/>
        </w:rPr>
      </w:pPr>
    </w:p>
    <w:p>
      <w:pPr>
        <w:ind w:left="520" w:hanging="215"/>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have to pursue trading on a less recognized or accepted market, such as the OTC Bulletin Board or the “pink sheets.”</w:t>
      </w:r>
    </w:p>
    <w:p>
      <w:pPr>
        <w:spacing w:after="0" w:line="225" w:lineRule="exact"/>
        <w:rPr>
          <w:rFonts w:ascii="Arial" w:cs="Arial" w:eastAsia="Arial" w:hAnsi="Arial"/>
          <w:sz w:val="18"/>
          <w:szCs w:val="18"/>
          <w:color w:val="auto"/>
        </w:rPr>
      </w:pPr>
    </w:p>
    <w:p>
      <w:pPr>
        <w:jc w:val="both"/>
        <w:ind w:left="520" w:right="520" w:hanging="215"/>
        <w:spacing w:after="0" w:line="263"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could be less liquid and marketable, thereby reducing the ability of stockholders to purchase or sell our shares as quickly and as inexpensively as they have done historically. If our stock is traded as a “penny stock,” transactions in our stock would be more difficult and cumbersome.</w:t>
      </w:r>
    </w:p>
    <w:p>
      <w:pPr>
        <w:spacing w:after="0" w:line="183" w:lineRule="exact"/>
        <w:rPr>
          <w:rFonts w:ascii="Arial" w:cs="Arial" w:eastAsia="Arial" w:hAnsi="Arial"/>
          <w:sz w:val="18"/>
          <w:szCs w:val="18"/>
          <w:color w:val="auto"/>
        </w:rPr>
      </w:pPr>
    </w:p>
    <w:p>
      <w:pPr>
        <w:ind w:left="520" w:hanging="215"/>
        <w:spacing w:after="0"/>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unable to access capital on favorable terms or at all, as companies trading on alternative markets may be viewed as less attractive</w:t>
      </w:r>
    </w:p>
    <w:p>
      <w:pPr>
        <w:spacing w:after="0" w:line="35" w:lineRule="exact"/>
        <w:rPr>
          <w:sz w:val="20"/>
          <w:szCs w:val="20"/>
          <w:color w:val="auto"/>
        </w:rPr>
      </w:pPr>
    </w:p>
    <w:p>
      <w:pPr>
        <w:ind w:left="520" w:right="520"/>
        <w:spacing w:after="0" w:line="250" w:lineRule="auto"/>
        <w:rPr>
          <w:sz w:val="20"/>
          <w:szCs w:val="20"/>
          <w:color w:val="auto"/>
        </w:rPr>
      </w:pPr>
      <w:r>
        <w:rPr>
          <w:rFonts w:ascii="Arial" w:cs="Arial" w:eastAsia="Arial" w:hAnsi="Arial"/>
          <w:sz w:val="18"/>
          <w:szCs w:val="18"/>
          <w:color w:val="auto"/>
        </w:rPr>
        <w:t>investments with higher associated risks, such that existing or prospective institutional investors may be less interested in, or prohibited from, investing in our common stock. This may also cause the market price of our common stock to decline.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Outbreaks of communicable diseases may materially and adversely affect our business, financial condition and results of operations.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52" w:lineRule="auto"/>
        <w:rPr>
          <w:sz w:val="20"/>
          <w:szCs w:val="20"/>
          <w:color w:val="auto"/>
        </w:rPr>
      </w:pPr>
      <w:r>
        <w:rPr>
          <w:rFonts w:ascii="Arial" w:cs="Arial" w:eastAsia="Arial" w:hAnsi="Arial"/>
          <w:sz w:val="18"/>
          <w:szCs w:val="18"/>
          <w:color w:val="auto"/>
        </w:rPr>
        <w:t>We face risks related to health pandemics and outbreaks of communicable diseases, and in particular, the recent outbreak around the world of the highly transmissible and pathogenic COVID-19 coronavirus. The COVID-19 pandemic has led to the closure of PoNS Authorized clinic locations across Canada. While the clinics have begun to re-open, the willingness of patients to return to these clinics is uncertain at this time, and has resulted/is expected to result in a decrease of our commercial activities, and may have a negative impact on our customer engagement efforts. Moreover, our ability to conduct our ongoing clinical research if trial participant attendance at requisite study visits is substantially reduced or if a significant percentage of study participants and study staff are adversely affected by COVID-19, the resulting disease course and corresponding government or community shutdowns, may be impaired, and our ability to analyze and submit the results from our clinical trials may also be impaired, leading to further delays in the development and approval of our product candidate.</w:t>
      </w:r>
    </w:p>
    <w:p>
      <w:pPr>
        <w:spacing w:after="0" w:line="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Since our business operations are in the United States and Canada, and some of our business partners’ operations are in China, the continued impact resulting from the COVID-19 outbreak in these areas, where we and our business partners have operations, and the measures taken by the governments of countries affected, could adversely affect our business, financial condition, revenues, and results of operations, and may delay the timing for the submission and approval of our marketing applications with regulatory agencies.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outbreaks could also result in delays in or the suspension of our business partners manufacturing operations, our research and product development activities, our regulatory work streams, our research and development activities and other important commercial functions. We are also dependent upon our suppliers for the manufacture of our PoNS device, and the COVID-19 pandemic could significantly disrupt our business by limiting our suppliers’ ability to travel or ship materials or force temporary closure of facilities that we rely upon.</w:t>
      </w:r>
    </w:p>
    <w:p>
      <w:pPr>
        <w:spacing w:after="0" w:line="3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 in our operations as a public company, prolonged government disruptions, global pandemics and other natural disasters or geopolitical actions could affect our ability to access the public markets and obtain necessary capital in order to properly capitalize and continue our operations.</w:t>
      </w:r>
    </w:p>
    <w:p>
      <w:pPr>
        <w:spacing w:after="0" w:line="25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11, 2020, Philippe Deschamps, President and Chief Executive Officer of Helius Medical Technologies, Inc. (the “Company”), elected to restore his base salary to its previous level. As previously reported, on May 8, 2020, Mr. Deschamps elected to temporarily reduce his base salary by thirty percent (30%) to help the Company manage its cashflow in these uncertain times.</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11, 2020, Joyce LaViscount, Chief Financial Officer and Chief Operating Officer of the Company decided to terminate her election to receive shares of the Company’s Class A common stock in lieu of a portion of her cash salary compensation. As previously reported, on December 10, 2019, Ms. LaViscount elected to reduce her base cash salary by 17% in exchange for fully vested restricted stock grants pursuant to the Company’s 2018 Omnibus Incentive Plan.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4"/>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4"/>
          </w:tcPr>
          <w:p>
            <w:pPr>
              <w:spacing w:after="0" w:line="190" w:lineRule="exact"/>
              <w:rPr>
                <w:rFonts w:ascii="Arial" w:cs="Arial" w:eastAsia="Arial" w:hAnsi="Arial"/>
                <w:sz w:val="18"/>
                <w:szCs w:val="18"/>
                <w:color w:val="0000EE"/>
                <w:w w:val="94"/>
              </w:rPr>
            </w:pPr>
            <w:hyperlink r:id="rId55">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gridSpan w:val="4"/>
          </w:tcPr>
          <w:p>
            <w:pPr>
              <w:spacing w:after="0"/>
              <w:rPr>
                <w:rFonts w:ascii="Arial" w:cs="Arial" w:eastAsia="Arial" w:hAnsi="Arial"/>
                <w:sz w:val="18"/>
                <w:szCs w:val="18"/>
                <w:u w:val="single" w:color="auto"/>
                <w:color w:val="0000EE"/>
              </w:rPr>
            </w:pPr>
            <w:hyperlink r:id="rId56">
              <w:r>
                <w:rPr>
                  <w:rFonts w:ascii="Arial" w:cs="Arial" w:eastAsia="Arial" w:hAnsi="Arial"/>
                  <w:sz w:val="18"/>
                  <w:szCs w:val="18"/>
                  <w:u w:val="single" w:color="auto"/>
                  <w:color w:val="0000EE"/>
                </w:rPr>
                <w:t>Certificate of Incorporation, as corrected (incorporated by reference to Exhibit 3.1 to the Form 8-K filed October 30, 2018)</w:t>
              </w:r>
            </w:hyperlink>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9860" w:type="dxa"/>
            <w:vAlign w:val="bottom"/>
            <w:gridSpan w:val="4"/>
          </w:tcPr>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Bylaws as amended and restated (incorporated by reference to Exhibit 3.3 to the Form 10-Q filed August 9, 2018)</w:t>
              </w:r>
            </w:hyperlink>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4"/>
          </w:tcPr>
          <w:p>
            <w:pPr>
              <w:spacing w:after="0" w:line="190"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60" w:type="dxa"/>
            <w:vAlign w:val="bottom"/>
          </w:tcPr>
          <w:p>
            <w:pPr>
              <w:spacing w:after="0"/>
              <w:rPr>
                <w:sz w:val="17"/>
                <w:szCs w:val="17"/>
                <w:color w:val="auto"/>
              </w:rPr>
            </w:pPr>
          </w:p>
        </w:tc>
        <w:tc>
          <w:tcPr>
            <w:tcW w:w="9860" w:type="dxa"/>
            <w:vAlign w:val="bottom"/>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Act of 2002</w:t>
              </w:r>
            </w:hyperlink>
          </w:p>
        </w:tc>
        <w:tc>
          <w:tcPr>
            <w:tcW w:w="900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Act of 2002</w:t>
              </w:r>
            </w:hyperlink>
          </w:p>
        </w:tc>
        <w:tc>
          <w:tcPr>
            <w:tcW w:w="9000" w:type="dxa"/>
            <w:vAlign w:val="bottom"/>
            <w:gridSpan w:val="3"/>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50" w:lineRule="exact"/>
        <w:rPr>
          <w:sz w:val="20"/>
          <w:szCs w:val="20"/>
          <w:color w:val="auto"/>
        </w:rPr>
      </w:pPr>
    </w:p>
    <w:p>
      <w:pPr>
        <w:jc w:val="both"/>
        <w:ind w:firstLine="8"/>
        <w:spacing w:after="0" w:line="263" w:lineRule="auto"/>
        <w:tabs>
          <w:tab w:leader="none" w:pos="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12, 2020</w:t>
            </w: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By: /s/ Philippe Deschamps</w:t>
            </w:r>
          </w:p>
        </w:tc>
      </w:tr>
      <w:tr>
        <w:trPr>
          <w:trHeight w:val="195"/>
        </w:trPr>
        <w:tc>
          <w:tcPr>
            <w:tcW w:w="36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Philippe Deschamps</w:t>
            </w:r>
          </w:p>
        </w:tc>
      </w:tr>
      <w:tr>
        <w:trPr>
          <w:trHeight w:val="230"/>
        </w:trPr>
        <w:tc>
          <w:tcPr>
            <w:tcW w:w="3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12, 2020</w:t>
            </w:r>
          </w:p>
        </w:tc>
        <w:tc>
          <w:tcPr>
            <w:tcW w:w="7600" w:type="dxa"/>
            <w:vAlign w:val="bottom"/>
            <w:gridSpan w:val="2"/>
          </w:tcPr>
          <w:p>
            <w:pPr>
              <w:ind w:left="3080"/>
              <w:spacing w:after="0"/>
              <w:rPr>
                <w:sz w:val="20"/>
                <w:szCs w:val="20"/>
                <w:color w:val="auto"/>
              </w:rPr>
            </w:pPr>
            <w:r>
              <w:rPr>
                <w:rFonts w:ascii="Arial" w:cs="Arial" w:eastAsia="Arial" w:hAnsi="Arial"/>
                <w:sz w:val="18"/>
                <w:szCs w:val="18"/>
                <w:color w:val="auto"/>
              </w:rPr>
              <w:t>By: /s/ Joyce LaViscount</w:t>
            </w:r>
          </w:p>
        </w:tc>
      </w:tr>
      <w:tr>
        <w:trPr>
          <w:trHeight w:val="195"/>
        </w:trPr>
        <w:tc>
          <w:tcPr>
            <w:tcW w:w="36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36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Accounting</w:t>
            </w:r>
          </w:p>
        </w:tc>
      </w:tr>
      <w:tr>
        <w:trPr>
          <w:trHeight w:val="230"/>
        </w:trPr>
        <w:tc>
          <w:tcPr>
            <w:tcW w:w="36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w:t>
            </w:r>
          </w:p>
        </w:tc>
      </w:tr>
      <w:tr>
        <w:trPr>
          <w:trHeight w:val="878"/>
        </w:trPr>
        <w:tc>
          <w:tcPr>
            <w:tcW w:w="3640" w:type="dxa"/>
            <w:vAlign w:val="bottom"/>
          </w:tcPr>
          <w:p>
            <w:pPr>
              <w:spacing w:after="0"/>
              <w:rPr>
                <w:sz w:val="24"/>
                <w:szCs w:val="24"/>
                <w:color w:val="auto"/>
              </w:rPr>
            </w:pPr>
          </w:p>
        </w:tc>
        <w:tc>
          <w:tcPr>
            <w:tcW w:w="3380" w:type="dxa"/>
            <w:vAlign w:val="bottom"/>
          </w:tcPr>
          <w:p>
            <w:pPr>
              <w:jc w:val="right"/>
              <w:ind w:right="1210"/>
              <w:spacing w:after="0"/>
              <w:rPr>
                <w:sz w:val="20"/>
                <w:szCs w:val="20"/>
                <w:color w:val="auto"/>
              </w:rPr>
            </w:pPr>
            <w:r>
              <w:rPr>
                <w:rFonts w:ascii="Arial" w:cs="Arial" w:eastAsia="Arial" w:hAnsi="Arial"/>
                <w:sz w:val="18"/>
                <w:szCs w:val="18"/>
                <w:color w:val="auto"/>
              </w:rPr>
              <w:t>36</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Phillippe Deschamps, certify that:</w:t>
      </w:r>
    </w:p>
    <w:p>
      <w:pPr>
        <w:spacing w:after="0" w:line="225" w:lineRule="exact"/>
        <w:rPr>
          <w:sz w:val="20"/>
          <w:szCs w:val="20"/>
          <w:color w:val="auto"/>
        </w:rPr>
      </w:pPr>
    </w:p>
    <w:p>
      <w:pPr>
        <w:ind w:left="680" w:hanging="19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Date: August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222"/>
        </w:trPr>
        <w:tc>
          <w:tcPr>
            <w:tcW w:w="676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Phillippe Deschamps</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240"/>
          </w:cols>
          <w:pgMar w:left="320" w:top="35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225" w:lineRule="exact"/>
        <w:rPr>
          <w:sz w:val="20"/>
          <w:szCs w:val="20"/>
          <w:color w:val="auto"/>
        </w:rPr>
      </w:pPr>
    </w:p>
    <w:p>
      <w:pPr>
        <w:ind w:left="680" w:hanging="195"/>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August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Joyce LaViscount</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JUNE 30,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June 30,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Phillippe Deschamps</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Phillippe Deschamps</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PRINCIPAL FINANCIAL OFFICER HELIUS MEDICAL TECHNOLOGIES, INC. FORM 10-Q FOR THE QUARTER ENDED JUNE 30, 2020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June 30, 2020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August 12,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lowerRoman"/>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5" Type="http://schemas.openxmlformats.org/officeDocument/2006/relationships/hyperlink" Target="http://www.sec.gov/Archives/edgar/data/1610853/000156459018020736/hsdt-ex31_66.htm" TargetMode="External"/><Relationship Id="rId56" Type="http://schemas.openxmlformats.org/officeDocument/2006/relationships/hyperlink" Target="http://www.sec.gov/Archives/edgar/data/0001610853/000119312518312155/d646047dex31.htm" TargetMode="External"/><Relationship Id="rId57" Type="http://schemas.openxmlformats.org/officeDocument/2006/relationships/hyperlink" Target="http://www.sec.gov/Archives/edgar/data/0001610853/000156459018020736/hsdt-ex33_6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2020-08-12T15:13:46Z</dcterms:created>
  <dcterms:modified xsi:type="dcterms:W3CDTF">2020-08-12T15:13:46Z</dcterms:modified>
</cp:coreProperties>
</file>