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jc w:val="center"/>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ind w:left="1080" w:hanging="1077"/>
        <w:spacing w:after="0" w:line="213" w:lineRule="auto"/>
        <w:tabs>
          <w:tab w:leader="none" w:pos="1080" w:val="left"/>
        </w:tabs>
        <w:numPr>
          <w:ilvl w:val="0"/>
          <w:numId w:val="1"/>
        </w:numPr>
        <w:rPr>
          <w:rFonts w:ascii="MS PGothic" w:cs="MS PGothic" w:eastAsia="MS PGothic" w:hAnsi="MS PGothic"/>
          <w:sz w:val="29"/>
          <w:szCs w:val="29"/>
          <w:color w:val="auto"/>
          <w:highlight w:val="black"/>
          <w:vertAlign w:val="subscript"/>
        </w:rPr>
      </w:pPr>
      <w:r>
        <w:rPr>
          <w:rFonts w:ascii="Arial" w:cs="Arial" w:eastAsia="Arial" w:hAnsi="Arial"/>
          <w:sz w:val="13"/>
          <w:szCs w:val="13"/>
          <w:b w:val="1"/>
          <w:bCs w:val="1"/>
          <w:color w:val="auto"/>
        </w:rPr>
        <w:t>Annual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Fiscal Year Ended December 31, 2022</w:t>
      </w:r>
    </w:p>
    <w:p>
      <w:pPr>
        <w:jc w:val="center"/>
        <w:spacing w:after="0"/>
        <w:rPr>
          <w:sz w:val="20"/>
          <w:szCs w:val="20"/>
          <w:color w:val="auto"/>
        </w:rPr>
      </w:pPr>
      <w:r>
        <w:rPr>
          <w:rFonts w:ascii="Arial" w:cs="Arial" w:eastAsia="Arial" w:hAnsi="Arial"/>
          <w:sz w:val="13"/>
          <w:szCs w:val="13"/>
          <w:color w:val="auto"/>
        </w:rPr>
        <w:t>or</w:t>
      </w:r>
    </w:p>
    <w:p>
      <w:pPr>
        <w:ind w:left="1080" w:hanging="1077"/>
        <w:spacing w:after="0" w:line="190" w:lineRule="auto"/>
        <w:tabs>
          <w:tab w:leader="none" w:pos="1080" w:val="left"/>
        </w:tabs>
        <w:numPr>
          <w:ilvl w:val="0"/>
          <w:numId w:val="2"/>
        </w:numPr>
        <w:rPr>
          <w:rFonts w:ascii="MS PGothic" w:cs="MS PGothic" w:eastAsia="MS PGothic" w:hAnsi="MS PGothic"/>
          <w:sz w:val="29"/>
          <w:szCs w:val="29"/>
          <w:color w:val="auto"/>
          <w:highlight w:val="black"/>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106" w:lineRule="exact"/>
        <w:rPr>
          <w:sz w:val="24"/>
          <w:szCs w:val="24"/>
          <w:color w:val="auto"/>
        </w:rPr>
      </w:pPr>
    </w:p>
    <w:p>
      <w:pPr>
        <w:ind w:left="3880"/>
        <w:spacing w:after="0"/>
        <w:rPr>
          <w:sz w:val="20"/>
          <w:szCs w:val="20"/>
          <w:color w:val="auto"/>
        </w:rPr>
      </w:pPr>
      <w:r>
        <w:rPr>
          <w:rFonts w:ascii="Arial" w:cs="Arial" w:eastAsia="Arial" w:hAnsi="Arial"/>
          <w:sz w:val="13"/>
          <w:szCs w:val="13"/>
          <w:b w:val="1"/>
          <w:bCs w:val="1"/>
          <w:color w:val="auto"/>
        </w:rPr>
        <w:t>For the transition period from _____ to _____</w:t>
      </w:r>
    </w:p>
    <w:p>
      <w:pPr>
        <w:jc w:val="center"/>
        <w:spacing w:after="0"/>
        <w:rPr>
          <w:sz w:val="20"/>
          <w:szCs w:val="20"/>
          <w:color w:val="auto"/>
        </w:rPr>
      </w:pPr>
      <w:r>
        <w:rPr>
          <w:rFonts w:ascii="Arial" w:cs="Arial" w:eastAsia="Arial" w:hAnsi="Arial"/>
          <w:sz w:val="13"/>
          <w:szCs w:val="13"/>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2452370</wp:posOffset>
            </wp:positionH>
            <wp:positionV relativeFrom="paragraph">
              <wp:posOffset>53340</wp:posOffset>
            </wp:positionV>
            <wp:extent cx="157734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HELIUS MEDICAL TECHNOLOGIES, INC.</w:t>
            </w:r>
          </w:p>
        </w:tc>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164"/>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22"/>
        </w:trPr>
        <w:tc>
          <w:tcPr>
            <w:tcW w:w="3560" w:type="dxa"/>
            <w:vAlign w:val="bottom"/>
          </w:tcPr>
          <w:p>
            <w:pPr>
              <w:jc w:val="center"/>
              <w:ind w:left="1377"/>
              <w:spacing w:after="0"/>
              <w:rPr>
                <w:sz w:val="20"/>
                <w:szCs w:val="20"/>
                <w:color w:val="auto"/>
              </w:rPr>
            </w:pPr>
            <w:r>
              <w:rPr>
                <w:rFonts w:ascii="Arial" w:cs="Arial" w:eastAsia="Arial" w:hAnsi="Arial"/>
                <w:sz w:val="13"/>
                <w:szCs w:val="13"/>
                <w:b w:val="1"/>
                <w:bCs w:val="1"/>
                <w:color w:val="auto"/>
                <w:w w:val="91"/>
              </w:rPr>
              <w:t>Delaware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2"/>
          </w:tcPr>
          <w:p>
            <w:pPr>
              <w:jc w:val="right"/>
              <w:ind w:right="2137"/>
              <w:spacing w:after="0"/>
              <w:rPr>
                <w:sz w:val="20"/>
                <w:szCs w:val="20"/>
                <w:color w:val="auto"/>
              </w:rPr>
            </w:pPr>
            <w:r>
              <w:rPr>
                <w:rFonts w:ascii="Arial" w:cs="Arial" w:eastAsia="Arial" w:hAnsi="Arial"/>
                <w:sz w:val="13"/>
                <w:szCs w:val="13"/>
                <w:b w:val="1"/>
                <w:bCs w:val="1"/>
                <w:color w:val="auto"/>
              </w:rPr>
              <w:t>36-4787690</w:t>
            </w:r>
          </w:p>
        </w:tc>
      </w:tr>
      <w:tr>
        <w:trPr>
          <w:trHeight w:val="135"/>
        </w:trPr>
        <w:tc>
          <w:tcPr>
            <w:tcW w:w="3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tcPr>
          <w:p>
            <w:pPr>
              <w:jc w:val="center"/>
              <w:ind w:right="153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tcPr>
          <w:p>
            <w:pPr>
              <w:jc w:val="center"/>
              <w:ind w:right="1537"/>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135"/>
        </w:trPr>
        <w:tc>
          <w:tcPr>
            <w:tcW w:w="3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7"/>
              </w:rPr>
              <w:t>642 Newtown Yardley Road, Suite 100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2"/>
          </w:tcPr>
          <w:p>
            <w:pPr>
              <w:jc w:val="right"/>
              <w:ind w:right="2297"/>
              <w:spacing w:after="0" w:line="135" w:lineRule="exact"/>
              <w:rPr>
                <w:sz w:val="20"/>
                <w:szCs w:val="20"/>
                <w:color w:val="auto"/>
              </w:rPr>
            </w:pPr>
            <w:r>
              <w:rPr>
                <w:rFonts w:ascii="Arial" w:cs="Arial" w:eastAsia="Arial" w:hAnsi="Arial"/>
                <w:sz w:val="13"/>
                <w:szCs w:val="13"/>
                <w:b w:val="1"/>
                <w:bCs w:val="1"/>
                <w:color w:val="auto"/>
              </w:rPr>
              <w:t>18940</w:t>
            </w:r>
          </w:p>
        </w:tc>
      </w:tr>
      <w:tr>
        <w:trPr>
          <w:trHeight w:val="135"/>
        </w:trPr>
        <w:tc>
          <w:tcPr>
            <w:tcW w:w="3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6"/>
              </w:rPr>
              <w:t>Newtown, Pennsylvania</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tcPr>
          <w:p>
            <w:pPr>
              <w:jc w:val="center"/>
              <w:ind w:right="1537"/>
              <w:spacing w:after="0" w:line="135" w:lineRule="exact"/>
              <w:rPr>
                <w:sz w:val="20"/>
                <w:szCs w:val="20"/>
                <w:color w:val="auto"/>
              </w:rPr>
            </w:pPr>
            <w:r>
              <w:rPr>
                <w:rFonts w:ascii="Arial" w:cs="Arial" w:eastAsia="Arial" w:hAnsi="Arial"/>
                <w:sz w:val="13"/>
                <w:szCs w:val="13"/>
                <w:b w:val="1"/>
                <w:bCs w:val="1"/>
                <w:color w:val="auto"/>
                <w:w w:val="90"/>
              </w:rPr>
              <w:t>(Zip Code)</w:t>
            </w:r>
          </w:p>
        </w:tc>
      </w:tr>
      <w:tr>
        <w:trPr>
          <w:trHeight w:val="164"/>
        </w:trPr>
        <w:tc>
          <w:tcPr>
            <w:tcW w:w="3560" w:type="dxa"/>
            <w:vAlign w:val="bottom"/>
          </w:tcPr>
          <w:p>
            <w:pPr>
              <w:jc w:val="center"/>
              <w:ind w:left="13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230"/>
        </w:trPr>
        <w:tc>
          <w:tcPr>
            <w:tcW w:w="10220" w:type="dxa"/>
            <w:vAlign w:val="bottom"/>
            <w:gridSpan w:val="7"/>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 (215) 944-6100</w:t>
            </w:r>
          </w:p>
        </w:tc>
      </w:tr>
      <w:tr>
        <w:trPr>
          <w:trHeight w:val="229"/>
        </w:trPr>
        <w:tc>
          <w:tcPr>
            <w:tcW w:w="3560" w:type="dxa"/>
            <w:vAlign w:val="bottom"/>
          </w:tcPr>
          <w:p>
            <w:pPr>
              <w:spacing w:after="0"/>
              <w:rPr>
                <w:sz w:val="19"/>
                <w:szCs w:val="19"/>
                <w:color w:val="auto"/>
              </w:rPr>
            </w:pPr>
          </w:p>
        </w:tc>
        <w:tc>
          <w:tcPr>
            <w:tcW w:w="31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2"/>
        </w:trPr>
        <w:tc>
          <w:tcPr>
            <w:tcW w:w="3560" w:type="dxa"/>
            <w:vAlign w:val="bottom"/>
          </w:tcPr>
          <w:p>
            <w:pPr>
              <w:jc w:val="center"/>
              <w:ind w:left="77"/>
              <w:spacing w:after="0"/>
              <w:rPr>
                <w:sz w:val="20"/>
                <w:szCs w:val="20"/>
                <w:color w:val="auto"/>
              </w:rPr>
            </w:pPr>
            <w:r>
              <w:rPr>
                <w:rFonts w:ascii="Arial" w:cs="Arial" w:eastAsia="Arial" w:hAnsi="Arial"/>
                <w:sz w:val="13"/>
                <w:szCs w:val="13"/>
                <w:b w:val="1"/>
                <w:bCs w:val="1"/>
                <w:color w:val="auto"/>
                <w:w w:val="83"/>
              </w:rPr>
              <w:t>Title of each class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Trading Symbol</w:t>
            </w: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58"/>
        </w:trPr>
        <w:tc>
          <w:tcPr>
            <w:tcW w:w="3560" w:type="dxa"/>
            <w:vAlign w:val="bottom"/>
            <w:tcBorders>
              <w:top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86"/>
              </w:rPr>
              <w:t>Class A Common Stock, $0.001 par value per share</w:t>
            </w:r>
          </w:p>
        </w:tc>
        <w:tc>
          <w:tcPr>
            <w:tcW w:w="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HSDT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r>
      <w:tr>
        <w:trPr>
          <w:trHeight w:val="211"/>
        </w:trPr>
        <w:tc>
          <w:tcPr>
            <w:tcW w:w="10220" w:type="dxa"/>
            <w:vAlign w:val="bottom"/>
            <w:gridSpan w:val="7"/>
          </w:tcPr>
          <w:p>
            <w:pPr>
              <w:jc w:val="center"/>
              <w:spacing w:after="0"/>
              <w:rPr>
                <w:sz w:val="20"/>
                <w:szCs w:val="20"/>
                <w:color w:val="auto"/>
              </w:rPr>
            </w:pPr>
            <w:r>
              <w:rPr>
                <w:rFonts w:ascii="Arial" w:cs="Arial" w:eastAsia="Arial" w:hAnsi="Arial"/>
                <w:sz w:val="13"/>
                <w:szCs w:val="13"/>
                <w:b w:val="1"/>
                <w:bCs w:val="1"/>
                <w:color w:val="auto"/>
                <w:w w:val="86"/>
              </w:rPr>
              <w:t>Securities registered pursuant to Section 12(g) of the Act: None</w:t>
            </w:r>
          </w:p>
        </w:tc>
      </w:tr>
      <w:tr>
        <w:trPr>
          <w:trHeight w:val="378"/>
        </w:trPr>
        <w:tc>
          <w:tcPr>
            <w:tcW w:w="6700" w:type="dxa"/>
            <w:vAlign w:val="bottom"/>
            <w:gridSpan w:val="5"/>
          </w:tcPr>
          <w:p>
            <w:pPr>
              <w:ind w:left="320"/>
              <w:spacing w:after="0" w:line="150" w:lineRule="exact"/>
              <w:rPr>
                <w:sz w:val="20"/>
                <w:szCs w:val="20"/>
                <w:color w:val="auto"/>
              </w:rPr>
            </w:pPr>
            <w:r>
              <w:rPr>
                <w:rFonts w:ascii="Arial" w:cs="Arial" w:eastAsia="Arial" w:hAnsi="Arial"/>
                <w:sz w:val="13"/>
                <w:szCs w:val="13"/>
                <w:color w:val="auto"/>
                <w:w w:val="8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88"/>
              </w:rPr>
              <w:t>☐</w:t>
            </w:r>
          </w:p>
        </w:tc>
        <w:tc>
          <w:tcPr>
            <w:tcW w:w="3520" w:type="dxa"/>
            <w:vAlign w:val="bottom"/>
            <w:gridSpan w:val="2"/>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44" w:lineRule="exact"/>
        <w:rPr>
          <w:sz w:val="24"/>
          <w:szCs w:val="24"/>
          <w:color w:val="auto"/>
        </w:rPr>
      </w:pPr>
    </w:p>
    <w:p>
      <w:pPr>
        <w:ind w:left="320"/>
        <w:spacing w:after="0" w:line="138" w:lineRule="exact"/>
        <w:tabs>
          <w:tab w:leader="none" w:pos="6420" w:val="left"/>
        </w:tabs>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15(d)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16" w:lineRule="exact"/>
        <w:rPr>
          <w:sz w:val="24"/>
          <w:szCs w:val="24"/>
          <w:color w:val="auto"/>
        </w:rPr>
      </w:pPr>
    </w:p>
    <w:p>
      <w:pPr>
        <w:ind w:right="260" w:firstLine="324"/>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16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right="480" w:firstLine="324"/>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83" w:lineRule="exact"/>
        <w:rPr>
          <w:sz w:val="24"/>
          <w:szCs w:val="24"/>
          <w:color w:val="auto"/>
        </w:rPr>
      </w:pPr>
    </w:p>
    <w:p>
      <w:pPr>
        <w:sectPr>
          <w:pgSz w:w="11900" w:h="16838" w:orient="portrait"/>
          <w:cols w:equalWidth="0" w:num="4">
            <w:col w:w="1120" w:space="100"/>
            <w:col w:w="5740" w:space="720"/>
            <w:col w:w="840" w:space="100"/>
            <w:col w:w="1600"/>
          </w:cols>
          <w:pgMar w:left="840" w:top="665" w:right="8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168" w:lineRule="exact"/>
        <w:rPr>
          <w:sz w:val="24"/>
          <w:szCs w:val="24"/>
          <w:color w:val="auto"/>
        </w:rPr>
      </w:pPr>
    </w:p>
    <w:p>
      <w:pPr>
        <w:sectPr>
          <w:pgSz w:w="11900" w:h="16838" w:orient="portrait"/>
          <w:cols w:equalWidth="0" w:num="3">
            <w:col w:w="1060" w:space="100"/>
            <w:col w:w="5800" w:space="720"/>
            <w:col w:w="2540"/>
          </w:cols>
          <w:pgMar w:left="840" w:top="665" w:right="839" w:bottom="1440" w:gutter="0" w:footer="0" w:header="0"/>
          <w:type w:val="continuous"/>
        </w:sectPr>
      </w:pPr>
    </w:p>
    <w:p>
      <w:pPr>
        <w:ind w:left="768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ectPr>
          <w:pgSz w:w="11900" w:h="16838" w:orient="portrait"/>
          <w:cols w:equalWidth="0" w:num="1">
            <w:col w:w="10220"/>
          </w:cols>
          <w:pgMar w:left="840" w:top="665" w:right="839" w:bottom="1440" w:gutter="0" w:footer="0" w:header="0"/>
          <w:type w:val="continuous"/>
        </w:sectPr>
      </w:pPr>
    </w:p>
    <w:p>
      <w:pPr>
        <w:spacing w:after="0" w:line="139" w:lineRule="exact"/>
        <w:rPr>
          <w:sz w:val="24"/>
          <w:szCs w:val="24"/>
          <w:color w:val="auto"/>
        </w:rPr>
      </w:pPr>
    </w:p>
    <w:p>
      <w:pPr>
        <w:ind w:right="60" w:firstLine="324"/>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ind w:right="520" w:firstLine="324"/>
        <w:spacing w:after="0" w:line="161"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p>
    <w:p>
      <w:pPr>
        <w:spacing w:after="0" w:line="56"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5"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31" w:lineRule="exact"/>
        <w:rPr>
          <w:sz w:val="24"/>
          <w:szCs w:val="24"/>
          <w:color w:val="auto"/>
        </w:rPr>
      </w:pPr>
    </w:p>
    <w:p>
      <w:pPr>
        <w:ind w:left="320"/>
        <w:spacing w:after="0" w:line="138" w:lineRule="exact"/>
        <w:tabs>
          <w:tab w:leader="none" w:pos="600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16" w:lineRule="exact"/>
        <w:rPr>
          <w:sz w:val="24"/>
          <w:szCs w:val="24"/>
          <w:color w:val="auto"/>
        </w:rPr>
      </w:pPr>
    </w:p>
    <w:p>
      <w:pPr>
        <w:ind w:right="580" w:firstLine="324"/>
        <w:spacing w:after="0" w:line="236" w:lineRule="auto"/>
        <w:rPr>
          <w:sz w:val="20"/>
          <w:szCs w:val="20"/>
          <w:color w:val="auto"/>
        </w:rPr>
      </w:pPr>
      <w:r>
        <w:rPr>
          <w:rFonts w:ascii="Arial" w:cs="Arial" w:eastAsia="Arial" w:hAnsi="Arial"/>
          <w:sz w:val="13"/>
          <w:szCs w:val="13"/>
          <w:color w:val="auto"/>
        </w:rPr>
        <w:t>The aggregate market value of the common equity held by non-affiliates of the registrant on June 30, 2022, based on the closing price on that date of $1.18 per share, was approximately $4,729,003. As of March 6, 2023, there were 28,211,362 shares of the registrant’s Class A common stock outstanding.</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0" w:lineRule="exact"/>
        <w:rPr>
          <w:sz w:val="24"/>
          <w:szCs w:val="24"/>
          <w:color w:val="auto"/>
        </w:rPr>
      </w:pPr>
    </w:p>
    <w:p>
      <w:pPr>
        <w:ind w:right="120"/>
        <w:spacing w:after="0" w:line="230"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pursuant to Regulation 14A in connection with the registrant’s 2023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661670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241935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284480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Item</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6"/>
          </w:tcPr>
          <w:p>
            <w:pPr>
              <w:jc w:val="center"/>
              <w:ind w:right="3300"/>
              <w:spacing w:after="0"/>
              <w:rPr>
                <w:sz w:val="20"/>
                <w:szCs w:val="20"/>
                <w:color w:val="auto"/>
              </w:rPr>
            </w:pPr>
            <w:r>
              <w:rPr>
                <w:rFonts w:ascii="Arial" w:cs="Arial" w:eastAsia="Arial" w:hAnsi="Arial"/>
                <w:sz w:val="14"/>
                <w:szCs w:val="14"/>
                <w:b w:val="1"/>
                <w:bCs w:val="1"/>
                <w:color w:val="auto"/>
                <w:w w:val="90"/>
              </w:rPr>
              <w:t>Description</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85"/>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tcPr>
          <w:p>
            <w:pPr>
              <w:jc w:val="center"/>
              <w:spacing w:after="0"/>
              <w:rPr>
                <w:sz w:val="20"/>
                <w:szCs w:val="20"/>
                <w:color w:val="auto"/>
              </w:rPr>
            </w:pPr>
            <w:r>
              <w:rPr>
                <w:rFonts w:ascii="Arial" w:cs="Arial" w:eastAsia="Arial" w:hAnsi="Arial"/>
                <w:sz w:val="18"/>
                <w:szCs w:val="18"/>
                <w:b w:val="1"/>
                <w:bCs w:val="1"/>
                <w:color w:val="0000EE"/>
              </w:rPr>
              <w:t>PART I</w:t>
            </w:r>
          </w:p>
        </w:tc>
        <w:tc>
          <w:tcPr>
            <w:tcW w:w="352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620" w:type="dxa"/>
            <w:vAlign w:val="bottom"/>
          </w:tcPr>
          <w:p>
            <w:pPr>
              <w:spacing w:after="0"/>
              <w:rPr>
                <w:sz w:val="20"/>
                <w:szCs w:val="20"/>
                <w:color w:val="auto"/>
              </w:rPr>
            </w:pPr>
            <w:r>
              <w:rPr>
                <w:rFonts w:ascii="Arial" w:cs="Arial" w:eastAsia="Arial" w:hAnsi="Arial"/>
                <w:sz w:val="18"/>
                <w:szCs w:val="18"/>
                <w:color w:val="0000EE"/>
                <w:w w:val="95"/>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7480" w:type="dxa"/>
            <w:vAlign w:val="bottom"/>
            <w:gridSpan w:val="31"/>
          </w:tcPr>
          <w:p>
            <w:pPr>
              <w:spacing w:after="0"/>
              <w:rPr>
                <w:sz w:val="20"/>
                <w:szCs w:val="20"/>
                <w:color w:val="auto"/>
              </w:rPr>
            </w:pPr>
            <w:r>
              <w:rPr>
                <w:rFonts w:ascii="Arial" w:cs="Arial" w:eastAsia="Arial" w:hAnsi="Arial"/>
                <w:sz w:val="18"/>
                <w:szCs w:val="18"/>
                <w:color w:val="0000EE"/>
              </w:rPr>
              <w:t>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1A.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RISK FACTORS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1B.</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UNRESOLVED STAFF COMMENTS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PROPERTIES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3.</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LEGAL PROCEEDINGS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4.</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MINE SAFETY DISCLOSURES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12"/>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16"/>
          </w:tcPr>
          <w:p>
            <w:pPr>
              <w:jc w:val="center"/>
              <w:ind w:right="3500"/>
              <w:spacing w:after="0"/>
              <w:rPr>
                <w:sz w:val="20"/>
                <w:szCs w:val="20"/>
                <w:color w:val="auto"/>
              </w:rPr>
            </w:pPr>
            <w:r>
              <w:rPr>
                <w:rFonts w:ascii="Arial" w:cs="Arial" w:eastAsia="Arial" w:hAnsi="Arial"/>
                <w:sz w:val="18"/>
                <w:szCs w:val="18"/>
                <w:b w:val="1"/>
                <w:bCs w:val="1"/>
                <w:color w:val="0000EE"/>
                <w:w w:val="99"/>
              </w:rPr>
              <w:t>PART II</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620" w:type="dxa"/>
            <w:vAlign w:val="bottom"/>
          </w:tcPr>
          <w:p>
            <w:pPr>
              <w:spacing w:after="0"/>
              <w:rPr>
                <w:sz w:val="20"/>
                <w:szCs w:val="20"/>
                <w:color w:val="auto"/>
              </w:rPr>
            </w:pPr>
            <w:r>
              <w:rPr>
                <w:rFonts w:ascii="Arial" w:cs="Arial" w:eastAsia="Arial" w:hAnsi="Arial"/>
                <w:sz w:val="18"/>
                <w:szCs w:val="18"/>
                <w:color w:val="0000EE"/>
                <w:w w:val="95"/>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7480" w:type="dxa"/>
            <w:vAlign w:val="bottom"/>
            <w:gridSpan w:val="31"/>
          </w:tcPr>
          <w:p>
            <w:pPr>
              <w:spacing w:after="0"/>
              <w:rPr>
                <w:sz w:val="20"/>
                <w:szCs w:val="20"/>
                <w:color w:val="auto"/>
              </w:rPr>
            </w:pPr>
            <w:r>
              <w:rPr>
                <w:rFonts w:ascii="Arial" w:cs="Arial" w:eastAsia="Arial" w:hAnsi="Arial"/>
                <w:sz w:val="18"/>
                <w:szCs w:val="18"/>
                <w:color w:val="0000EE"/>
              </w:rPr>
              <w:t>MARKET FOR REGISTRANT’S COMMON EQUITY, RELATED STOCKHOLDER MATTERS</w:t>
            </w:r>
          </w:p>
        </w:tc>
        <w:tc>
          <w:tcPr>
            <w:tcW w:w="36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4"/>
              </w:rPr>
              <w:t>AND ISSUER PURCHASES OF EQUITY SECURITIES</w:t>
            </w:r>
          </w:p>
        </w:tc>
        <w:tc>
          <w:tcPr>
            <w:tcW w:w="328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6.</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[RESERVED]</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7.</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w:t>
            </w:r>
          </w:p>
        </w:tc>
        <w:tc>
          <w:tcPr>
            <w:tcW w:w="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RESULTS OF OPERATIONS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7A.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0000EE"/>
                <w:w w:val="95"/>
              </w:rPr>
              <w:t>ITEM 9.</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w:t>
            </w:r>
          </w:p>
        </w:tc>
        <w:tc>
          <w:tcPr>
            <w:tcW w:w="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FINANCIAL DISCLOSURE</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9A.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CONTROLS AND PROCEDURES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9B.</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OTHER INFORMATION</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86"/>
              </w:rPr>
              <w:t>ITEM 9C.</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12"/>
        </w:trPr>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6"/>
          </w:tcPr>
          <w:p>
            <w:pPr>
              <w:jc w:val="center"/>
              <w:ind w:right="20"/>
              <w:spacing w:after="0"/>
              <w:rPr>
                <w:sz w:val="20"/>
                <w:szCs w:val="20"/>
                <w:color w:val="auto"/>
              </w:rPr>
            </w:pPr>
            <w:r>
              <w:rPr>
                <w:rFonts w:ascii="Arial" w:cs="Arial" w:eastAsia="Arial" w:hAnsi="Arial"/>
                <w:sz w:val="18"/>
                <w:szCs w:val="18"/>
                <w:b w:val="1"/>
                <w:bCs w:val="1"/>
                <w:color w:val="0000EE"/>
              </w:rPr>
              <w:t>PART III</w:t>
            </w:r>
          </w:p>
        </w:tc>
        <w:tc>
          <w:tcPr>
            <w:tcW w:w="2920" w:type="dxa"/>
            <w:vAlign w:val="bottom"/>
            <w:tcBorders>
              <w:top w:val="single" w:sz="8" w:color="0000EE"/>
            </w:tcBorders>
            <w:gridSpan w:val="9"/>
          </w:tcPr>
          <w:p>
            <w:pPr>
              <w:spacing w:after="0"/>
              <w:rPr>
                <w:sz w:val="24"/>
                <w:szCs w:val="24"/>
                <w:color w:val="auto"/>
              </w:rPr>
            </w:pPr>
          </w:p>
        </w:tc>
        <w:tc>
          <w:tcPr>
            <w:tcW w:w="52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900" w:type="dxa"/>
            <w:vAlign w:val="bottom"/>
            <w:gridSpan w:val="3"/>
          </w:tcPr>
          <w:p>
            <w:pPr>
              <w:spacing w:after="0"/>
              <w:rPr>
                <w:sz w:val="20"/>
                <w:szCs w:val="20"/>
                <w:color w:val="auto"/>
              </w:rPr>
            </w:pPr>
            <w:r>
              <w:rPr>
                <w:rFonts w:ascii="Arial" w:cs="Arial" w:eastAsia="Arial" w:hAnsi="Arial"/>
                <w:sz w:val="18"/>
                <w:szCs w:val="18"/>
                <w:color w:val="0000EE"/>
              </w:rPr>
              <w:t>ITEM 10.</w:t>
            </w:r>
          </w:p>
        </w:tc>
        <w:tc>
          <w:tcPr>
            <w:tcW w:w="160" w:type="dxa"/>
            <w:vAlign w:val="bottom"/>
          </w:tcPr>
          <w:p>
            <w:pPr>
              <w:spacing w:after="0"/>
              <w:rPr>
                <w:sz w:val="24"/>
                <w:szCs w:val="24"/>
                <w:color w:val="auto"/>
              </w:rPr>
            </w:pPr>
          </w:p>
        </w:tc>
        <w:tc>
          <w:tcPr>
            <w:tcW w:w="7480" w:type="dxa"/>
            <w:vAlign w:val="bottom"/>
            <w:gridSpan w:val="31"/>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0000EE"/>
                <w:w w:val="90"/>
              </w:rPr>
              <w:t>ITEM 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EXECUTIVE COMPENSATION</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Arial" w:cs="Arial" w:eastAsia="Arial" w:hAnsi="Arial"/>
                <w:sz w:val="18"/>
                <w:szCs w:val="18"/>
                <w:color w:val="0000EE"/>
              </w:rPr>
              <w:t>ITEM 12.</w:t>
            </w: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w:t>
            </w:r>
          </w:p>
        </w:tc>
        <w:tc>
          <w:tcPr>
            <w:tcW w:w="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RELATED STOCKHOLDER MATTERS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Arial" w:cs="Arial" w:eastAsia="Arial" w:hAnsi="Arial"/>
                <w:sz w:val="18"/>
                <w:szCs w:val="18"/>
                <w:color w:val="0000EE"/>
              </w:rPr>
              <w:t>ITEM 13.</w:t>
            </w: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w:t>
            </w:r>
          </w:p>
        </w:tc>
        <w:tc>
          <w:tcPr>
            <w:tcW w:w="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INDEPENDENCE</w:t>
            </w:r>
          </w:p>
        </w:tc>
        <w:tc>
          <w:tcPr>
            <w:tcW w:w="610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900" w:type="dxa"/>
            <w:vAlign w:val="bottom"/>
            <w:gridSpan w:val="3"/>
          </w:tcPr>
          <w:p>
            <w:pPr>
              <w:spacing w:after="0" w:line="196" w:lineRule="exact"/>
              <w:rPr>
                <w:sz w:val="20"/>
                <w:szCs w:val="20"/>
                <w:color w:val="auto"/>
              </w:rPr>
            </w:pPr>
            <w:r>
              <w:rPr>
                <w:rFonts w:ascii="Arial" w:cs="Arial" w:eastAsia="Arial" w:hAnsi="Arial"/>
                <w:sz w:val="18"/>
                <w:szCs w:val="18"/>
                <w:color w:val="0000EE"/>
              </w:rPr>
              <w:t>ITEM 14.</w:t>
            </w: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34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2"/>
        </w:trPr>
        <w:tc>
          <w:tcPr>
            <w:tcW w:w="900" w:type="dxa"/>
            <w:vAlign w:val="bottom"/>
            <w:gridSpan w:val="3"/>
          </w:tcPr>
          <w:p>
            <w:pPr>
              <w:spacing w:after="0"/>
              <w:rPr>
                <w:sz w:val="20"/>
                <w:szCs w:val="20"/>
                <w:color w:val="auto"/>
              </w:rPr>
            </w:pPr>
            <w:r>
              <w:rPr>
                <w:rFonts w:ascii="Arial" w:cs="Arial" w:eastAsia="Arial" w:hAnsi="Arial"/>
                <w:sz w:val="18"/>
                <w:szCs w:val="18"/>
                <w:color w:val="0000EE"/>
              </w:rPr>
              <w:t>ITEM 15.</w:t>
            </w:r>
          </w:p>
        </w:tc>
        <w:tc>
          <w:tcPr>
            <w:tcW w:w="160" w:type="dxa"/>
            <w:vAlign w:val="bottom"/>
          </w:tcPr>
          <w:p>
            <w:pPr>
              <w:spacing w:after="0"/>
              <w:rPr>
                <w:sz w:val="24"/>
                <w:szCs w:val="24"/>
                <w:color w:val="auto"/>
              </w:rPr>
            </w:pPr>
          </w:p>
        </w:tc>
        <w:tc>
          <w:tcPr>
            <w:tcW w:w="7480" w:type="dxa"/>
            <w:vAlign w:val="bottom"/>
            <w:gridSpan w:val="31"/>
          </w:tcPr>
          <w:p>
            <w:pPr>
              <w:spacing w:after="0"/>
              <w:rPr>
                <w:sz w:val="20"/>
                <w:szCs w:val="20"/>
                <w:color w:val="auto"/>
              </w:rPr>
            </w:pPr>
            <w:r>
              <w:rPr>
                <w:rFonts w:ascii="Arial" w:cs="Arial" w:eastAsia="Arial" w:hAnsi="Arial"/>
                <w:sz w:val="18"/>
                <w:szCs w:val="18"/>
                <w:color w:val="0000EE"/>
              </w:rPr>
              <w:t>EXHIBITS AND FINANCIAL STATEMENT SCHEDULES</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2540" w:type="dxa"/>
            <w:vAlign w:val="bottom"/>
            <w:gridSpan w:val="14"/>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Arial" w:cs="Arial" w:eastAsia="Arial" w:hAnsi="Arial"/>
                <w:sz w:val="18"/>
                <w:szCs w:val="18"/>
                <w:color w:val="0000EE"/>
              </w:rPr>
              <w:t>ITEM 16.</w:t>
            </w:r>
          </w:p>
        </w:tc>
        <w:tc>
          <w:tcPr>
            <w:tcW w:w="160" w:type="dxa"/>
            <w:vAlign w:val="bottom"/>
          </w:tcPr>
          <w:p>
            <w:pPr>
              <w:spacing w:after="0"/>
              <w:rPr>
                <w:sz w:val="17"/>
                <w:szCs w:val="17"/>
                <w:color w:val="auto"/>
              </w:rPr>
            </w:pPr>
          </w:p>
        </w:tc>
        <w:tc>
          <w:tcPr>
            <w:tcW w:w="7480" w:type="dxa"/>
            <w:vAlign w:val="bottom"/>
            <w:gridSpan w:val="31"/>
          </w:tcPr>
          <w:p>
            <w:pPr>
              <w:spacing w:after="0" w:line="196" w:lineRule="exact"/>
              <w:rPr>
                <w:sz w:val="20"/>
                <w:szCs w:val="20"/>
                <w:color w:val="auto"/>
              </w:rPr>
            </w:pPr>
            <w:r>
              <w:rPr>
                <w:rFonts w:ascii="Arial" w:cs="Arial" w:eastAsia="Arial" w:hAnsi="Arial"/>
                <w:sz w:val="18"/>
                <w:szCs w:val="18"/>
                <w:color w:val="0000EE"/>
              </w:rPr>
              <w:t>FORM 10-K SUMMARY</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5580" w:type="dxa"/>
            <w:vAlign w:val="bottom"/>
            <w:gridSpan w:val="2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SIGNATURES</w:t>
            </w:r>
          </w:p>
        </w:tc>
        <w:tc>
          <w:tcPr>
            <w:tcW w:w="7440" w:type="dxa"/>
            <w:vAlign w:val="bottom"/>
            <w:gridSpan w:val="3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In this Annual Report on Form 10-K, (“Form 10-K”) unless otherwise specified, references to “we,” “us,” “our,” “Helius” or “the Company” mean Helius Medical Technologies, Inc. and its wholly owned subsidiaries, Helius Medical, Inc, (“HMI”), Helius Medical Technologies (Canada), Inc., (“HMC”), Helius NeuroRehab, Inc., and Helius Canada Acquisition Ltd., unless the context otherwise requires. Our financial statements are prepared in accordance with accounting principles generally accepted in the United States (“U.S. GAAP”).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This Annual Report on Form 10-K includes certain statements that may constitute “forward-looking statements.” All statements contained in this Form 10-K,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spacing w:after="0" w:line="185"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forward-looking statements in this Form 10-K include but are not limited to statements relating to: the Company’s future growth and operational progress, including manufacturing activities for the PoNS device, receipt of prescriptions and progress of commercialization of the PoNS device in the U.S., the COVID-19 pandemic including its impact on the Company, clinical development plans, product development activities, plans for U.S. Food and Drug Administration, or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our accountants’ future perspective including any going concerns, any future stock price, our ability to build commercial infrastructure, and our ability to receive reimbursement coverage under Medicare, Medicaid or under other insurance plans.</w:t>
      </w:r>
    </w:p>
    <w:p>
      <w:pPr>
        <w:spacing w:after="0" w:line="168"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uncertainties associated with the Company’s capital requirements to achieve its business objectives, availability of funds, the ability to find additional sources of funding, the impact of the COVID-19 pandemic, manufacturing, labor shortage and supply chain risks, including risks related to manufacturing delays, build a commercial team and build relationships with Key Opinion Leaders, neurology experts and neurorehabilitation centers the Company’s ability to train physical therapists in the supervision of the use of the PoNS treatment, the Company’s ability to secure contracts with rehabilitation clinics, the Company’s ability to obtain national Medicare coverage and to obtain a reimbursement code so that the PoNS device is covered by Medicare and Medicaid, the Company’s ability to build internal commercial infrastructure, secure state distribution licenses, market awareness of the PoNS device, future clinical trials and the clinical development process, the product development process and FDA regulatory submission review and approval process, other development activities, ongoing government regulation and other factors included in the section entitled “Risk Factors.”</w:t>
      </w:r>
    </w:p>
    <w:p>
      <w:pPr>
        <w:spacing w:after="0" w:line="184"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88"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You should refer to the “Risk Factors” section of this Form 10-K for a discussion of important factors that may cause our actual results to differ materially from those expressed or implied by our forward-looking statements. As a result of these factors, we cannot assure you that the forward-looking statements in this Form 10-K will prove to be accurate.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These forward-looking statements speak only as of the date of this Form 10-K.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Our business is subject to a number of risks, as fully described in “Item 1A. Risk Factors” in this Annual Report. The principal factors and uncertainties include, among others:</w:t>
      </w:r>
    </w:p>
    <w:p>
      <w:pPr>
        <w:spacing w:after="0" w:line="170"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sustain profitability in the future;</w:t>
      </w:r>
    </w:p>
    <w:p>
      <w:pPr>
        <w:spacing w:after="0" w:line="63"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additional financing to carry out our plan of operations, and failure to obtain such financing may cause our business to fail;</w:t>
      </w:r>
    </w:p>
    <w:p>
      <w:pPr>
        <w:spacing w:after="0" w:line="8" w:lineRule="exact"/>
        <w:rPr>
          <w:rFonts w:ascii="Arial" w:cs="Arial" w:eastAsia="Arial" w:hAnsi="Arial"/>
          <w:sz w:val="18"/>
          <w:szCs w:val="18"/>
          <w:color w:val="auto"/>
        </w:rPr>
      </w:pPr>
    </w:p>
    <w:p>
      <w:pPr>
        <w:ind w:left="720" w:right="79" w:hanging="319"/>
        <w:spacing w:after="0" w:line="3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only have one product, the PoNS device, which is authorized for commercial distribution in Canada, Australia, and in the U.S. for treatment of MS, and we have not obtained authorization to distribute the PoNS device commercially in Europe or in the U.S. for other indications and may never obtain such authorizations;</w:t>
      </w:r>
    </w:p>
    <w:p>
      <w:pPr>
        <w:ind w:left="720" w:right="1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planned clinical trials, and planned clinical trials may fail to demonstrate the safety and efficacy of the PoNS device to the satisfaction of regulatory authorities;</w:t>
      </w:r>
    </w:p>
    <w:p>
      <w:pPr>
        <w:spacing w:after="0" w:line="8" w:lineRule="exact"/>
        <w:rPr>
          <w:rFonts w:ascii="Arial" w:cs="Arial" w:eastAsia="Arial" w:hAnsi="Arial"/>
          <w:sz w:val="18"/>
          <w:szCs w:val="18"/>
          <w:color w:val="auto"/>
        </w:rPr>
      </w:pPr>
    </w:p>
    <w:p>
      <w:pPr>
        <w:ind w:left="720" w:right="3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Generation of revenue related to the PoNS technology is dependent on the PoNS Therapy being prescribed by physicians in the U.S. and our ability to train physical therapists in the supervision of the use of the PoNS Therapy;</w:t>
      </w:r>
    </w:p>
    <w:p>
      <w:pPr>
        <w:spacing w:after="0" w:line="2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awareness of the PoNS device is limited, and the neuromodulation market is new and uncertain;</w:t>
      </w:r>
    </w:p>
    <w:p>
      <w:pPr>
        <w:spacing w:after="0" w:line="74" w:lineRule="exact"/>
        <w:rPr>
          <w:rFonts w:ascii="Arial" w:cs="Arial" w:eastAsia="Arial" w:hAnsi="Arial"/>
          <w:sz w:val="17"/>
          <w:szCs w:val="17"/>
          <w:color w:val="auto"/>
        </w:rPr>
      </w:pPr>
    </w:p>
    <w:p>
      <w:pPr>
        <w:ind w:left="720" w:right="1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third-party scientists and research institutions, in part, for research and development and on third parties for the manufacture and distribution of our product;</w:t>
      </w:r>
    </w:p>
    <w:p>
      <w:pPr>
        <w:spacing w:after="0" w:line="8"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outbreaks of communicable diseases may continue to materially and adversely affect our business, financial condition and results of operations;</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parties may gain access to our technology if our intellectual property protection is insufficient;</w:t>
      </w:r>
    </w:p>
    <w:p>
      <w:pPr>
        <w:spacing w:after="0" w:line="63"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various litigation claims and legal proceedings, including intellectual property litigation, which may adversely affect our business;</w:t>
      </w:r>
    </w:p>
    <w:p>
      <w:pPr>
        <w:spacing w:after="0" w:line="8" w:lineRule="exact"/>
        <w:rPr>
          <w:rFonts w:ascii="Arial" w:cs="Arial" w:eastAsia="Arial" w:hAnsi="Arial"/>
          <w:sz w:val="18"/>
          <w:szCs w:val="18"/>
          <w:color w:val="auto"/>
        </w:rPr>
      </w:pPr>
    </w:p>
    <w:p>
      <w:pPr>
        <w:ind w:left="720" w:right="139" w:hanging="319"/>
        <w:spacing w:after="0" w:line="3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Commercialization of our product outside of Canada, Australia, and the U.S. for indications other than MS is dependent on obtaining market authorization from the FDA and foreign regulatory authorities, which will require significant time, research, development, and clinical study expenditures and ultimately may not be successful;</w:t>
      </w:r>
    </w:p>
    <w:p>
      <w:pPr>
        <w:jc w:val="both"/>
        <w:ind w:left="720" w:right="39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secure contracts with workers’ compensation and third-party administrators or rehabilitation clinics could have a negative impact on our sales and would have a material adverse effect on our business, financial condition and operating results;</w:t>
      </w:r>
    </w:p>
    <w:p>
      <w:pPr>
        <w:spacing w:after="0" w:line="21" w:lineRule="exact"/>
        <w:rPr>
          <w:rFonts w:ascii="Arial" w:cs="Arial" w:eastAsia="Arial" w:hAnsi="Arial"/>
          <w:sz w:val="18"/>
          <w:szCs w:val="18"/>
          <w:color w:val="auto"/>
        </w:rPr>
      </w:pPr>
    </w:p>
    <w:p>
      <w:pPr>
        <w:ind w:left="720" w:right="359" w:hanging="319"/>
        <w:spacing w:after="0" w:line="30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obtain a Healthcare Common Procedure Coding System code and benefit category determination so that the PoNS device may be more easily covered by Medicare could have a negative impact on our intended sales and would have a material adverse effect on our business, financial condition and operating results;</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healthcare laws, we could face substantial penalties and financial exposure;</w:t>
      </w:r>
    </w:p>
    <w:p>
      <w:pPr>
        <w:spacing w:after="0" w:line="63"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ongoing government scrutiny and regulation in connection with the development of product candidates and following marketing authorization;</w:t>
      </w:r>
    </w:p>
    <w:p>
      <w:pPr>
        <w:spacing w:after="0" w:line="8"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commercialization, a product recall or the discovery of serious safety issues with our products could have a significant adverse impact on us; and</w:t>
      </w:r>
    </w:p>
    <w:p>
      <w:pPr>
        <w:spacing w:after="0" w:line="8"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the victim of a cyber-related crime, and our controls may not be successful in avoiding future cyber-related crimes.</w:t>
      </w:r>
    </w:p>
    <w:p>
      <w:pPr>
        <w:spacing w:after="0" w:line="8"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reliant on third-party, single-sourced contract manufacturing, exposing us to risks that could delay our sales or result in higher costs or lost product revenues.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In this Form 10-K, we reference information, statistics and estimates regarding the medical devices and healthcare industries. We have obtained this information from various third-party sources, including industry and general publications, reports by market research firms and other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research, review of internal surveys, general information discussed in the industry, and third-party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Form 10-K and other publications.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70" w:lineRule="exact"/>
        <w:rPr>
          <w:sz w:val="20"/>
          <w:szCs w:val="20"/>
          <w:color w:val="auto"/>
        </w:rPr>
      </w:pPr>
    </w:p>
    <w:p>
      <w:pPr>
        <w:ind w:left="60" w:right="199"/>
        <w:spacing w:after="0" w:line="268" w:lineRule="auto"/>
        <w:rPr>
          <w:sz w:val="20"/>
          <w:szCs w:val="20"/>
          <w:color w:val="auto"/>
        </w:rPr>
      </w:pPr>
      <w:r>
        <w:rPr>
          <w:rFonts w:ascii="Arial" w:cs="Arial" w:eastAsia="Arial" w:hAnsi="Arial"/>
          <w:sz w:val="17"/>
          <w:szCs w:val="17"/>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has marketing clearance in the U.S. for use in the U.S.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for use as a short term treatment (14 weeks) of chronic balance deficit due to mild-to-moderate traumatic brain injury, or mmTBI, and is to be used in conjunction with physical therapy, or PoNS TherapyTM; (ii) for use as a short term treatment (14 weeks) of gait deficit due to mild and moderate symptoms from MS and it is to be used in conjunction with physical therapy; and (iii) for use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PoNS Device</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PoNS device is a non-implantable medical device comprised of a controller and a mouthpiece that are connected by a cord. The controller is worn around the neck and the mouthpiece sits on the tongue during treatment. PoNS Therapy, or the “Therapy”, utilizes the PoNS device in conjunction with supervised therapeutic exercise. The Therapy consists of condition specific exercises for movement control, including balance and gait training and breathing and awareness training, which are tailored to focus on the individual patient’s functional deficits. The Therapy is completed over a period of 14 weeks. During the first 2 weeks, the Therapy is mostly administered in a rehabilitation or physical therapy clinic by a PoNS trained therapist and, to a lesser extent, performed at home. The remaining 12 weeks are completed at home with weekly clinic visits to monitor rehabilitation progress, assess improvements and ensure the therapy intensity remains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promotes neuromodulation and likely trigger neuroplastic effects, which potentially lead to functional improvements in balance and gait. During each clinic visit and at the end of the 14 week Therapy, the clinic downloads and reviews the PoNS usage data from the device. This usage data in combination with the detail of the completed treatment assessments gives the clinician and the patient a unique and powerful method to assess treatment progress. The patient initiates their Therapy sessions with the PoNS device initially under the supervision of the clinicians, then through regular check-ins.</w:t>
      </w:r>
    </w:p>
    <w:p>
      <w:pPr>
        <w:spacing w:after="0" w:line="176"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Clinical research has shown that translingual neurostimulation activates two major cranial nerves – the trigeminal nerve, and the facial nerve, which creates a flow of neural impulses that are delivered directly into the brain stem and cerebellum</w:t>
      </w:r>
    </w:p>
    <w:p>
      <w:pPr>
        <w:ind w:left="60" w:right="239"/>
        <w:spacing w:after="0" w:line="253" w:lineRule="auto"/>
        <w:rPr>
          <w:sz w:val="20"/>
          <w:szCs w:val="20"/>
          <w:color w:val="auto"/>
        </w:rPr>
      </w:pPr>
      <w:r>
        <w:rPr>
          <w:rFonts w:ascii="Arial" w:cs="Arial" w:eastAsia="Arial" w:hAnsi="Arial"/>
          <w:sz w:val="18"/>
          <w:szCs w:val="18"/>
          <w:color w:val="auto"/>
        </w:rPr>
        <w:t>– the main control centers for multiple functions including sensory perception and movement. From the brain stem, these impulses travel throughout the brain and may activate or reactivate signaling pathways involved in human function. Researchers believe that supervised therapeutic exercise with neurostimulation can modulate neural activity and initiate adaptive changes in the brain that lead to restructuring and reorganization (neuroplasticity) processes in specific areas of the brain.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Design</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1499870" cy="1499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Portable Neuromodulation Stimulator, PoNS device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mouthpiece of the PoNS device sits on the front third of the tongue and is held in place by the lips and closed mouth.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3188970" cy="2297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897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Figure 2</w:t>
      </w:r>
    </w:p>
    <w:p>
      <w:pPr>
        <w:spacing w:after="0" w:line="225"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MS and Current Available Treatments</w:t>
      </w:r>
    </w:p>
    <w:p>
      <w:pPr>
        <w:spacing w:after="0" w:line="2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81"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Findings from a National MS Society study estimate that nearly 1 million people in the U.S. are living with MS of which approximately 25-30% are on Medicare and 93,000 people in Canada are living with MS. The National MS Society estimates that 2.3 million people live with MS globally. The U.S. and Canada have the highest rates of MS, with 309 cases per 100,000 in the U.S.,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78"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Mobility disability and walking impairment are among the most debilitating consequences of MS with approximately 85% of individuals diagnosed with MS reporting gait impairment as a major limitation in their daily lives. Gait is one of the most important bodily functions for MS patients and gait parameters, such as walking speed and stride length, have been shown to be significant predictors of patient’s independence in daily activities. A survey of 436 patients found that 45% reported a mobility disability in the first month following diagnosis, with upwards of 90% of patients reporting a mobility disability within 10 years of their diagnosis. Additionally, 50-80% of MS patients suffer from balance and gait dysfunction and over 50% fall at least once a year. It has also been reported that unemployment rates in MS patients range from 24-80% with higher rates associated with decreased ambulation and mobility. The Centers for Disease Control, or CDC, reports that individuals with disabilities, like MS, that result in limited mobility are at greater risk for health problems including injury, mental health and depression, overweight and obesity, pain, pressure sores or ulcers and other issues.</w:t>
      </w:r>
    </w:p>
    <w:p>
      <w:pPr>
        <w:spacing w:after="0" w:line="168"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 xml:space="preserve">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immunotherapy can provide disease-modifying effects, and other pharmacological and non-pharmacological treatments can manage symptoms. MS medications are designed to lessen the frequency of relapses and slow the progression of the disease, but none have been proven to halt progression of the disease. While there are several disease-modifying medications approved by the FDA to treat MS, only one drug approved by FDA and Heath Canada, Ampyra® (dalfampridine), which is indicated for the improvement </w:t>
      </w:r>
      <w:r>
        <w:rPr>
          <w:rFonts w:ascii="Arial" w:cs="Arial" w:eastAsia="Arial" w:hAnsi="Arial"/>
          <w:sz w:val="16"/>
          <w:szCs w:val="16"/>
          <w:color w:val="231F20"/>
        </w:rPr>
        <w:t>of gait speed in conjunction with physical therapy in patients with MS, offers the closest, albeit limited only</w:t>
      </w:r>
      <w:r>
        <w:rPr>
          <w:rFonts w:ascii="Arial" w:cs="Arial" w:eastAsia="Arial" w:hAnsi="Arial"/>
          <w:sz w:val="16"/>
          <w:szCs w:val="16"/>
          <w:color w:val="auto"/>
        </w:rPr>
        <w:t xml:space="preserve"> </w:t>
      </w:r>
      <w:r>
        <w:rPr>
          <w:rFonts w:ascii="Arial" w:cs="Arial" w:eastAsia="Arial" w:hAnsi="Arial"/>
          <w:sz w:val="16"/>
          <w:szCs w:val="16"/>
          <w:color w:val="231F20"/>
        </w:rPr>
        <w:t>to speed, comparison to PoNS Therapy on improvement in gait.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mmTBI and Current Available Treatments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There are an estimated 14.5 million people globally, with over 1.5 million in the U.S. and 350,000 in Canada, living with balance deficit due to mmTBI. Every year in the U.S. and Canada, there are approximately 420,000 and 20,000 newly diagnosed mmTBIs, respectively, resulting in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supervised therapeutic exercise. While supervised therapeutic exercise can help to promote balance recovery, individuals are often unable to return to their full function and are left living with a balance deficit.</w:t>
      </w:r>
    </w:p>
    <w:p>
      <w:pPr>
        <w:spacing w:after="0" w:line="178"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Prior to the development of the PoNS device, there were no cleared treatments that were clinically indicated to treat balance deficit. A few studies have suggested that supervised therapeutic exercise aimed at improving balance and gait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may be mildly effective for rehabilitation in the mmTBI population.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supervised therapeutic exercise alone for the treatment of balance deficit following mmTBI. Consequently, we believe that there is a large potential commercial opportunity for the PoNS Therapy in the treatment of balance deficit due to mmTBI. Our goal is to establish the PoNS Therapy as the standard of care for this condition all over the world.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Stroke in Canad</w:t>
      </w:r>
      <w:r>
        <w:rPr>
          <w:rFonts w:ascii="Arial" w:cs="Arial" w:eastAsia="Arial" w:hAnsi="Arial"/>
          <w:sz w:val="18"/>
          <w:szCs w:val="18"/>
          <w:b w:val="1"/>
          <w:bCs w:val="1"/>
          <w:color w:val="auto"/>
        </w:rPr>
        <w:t>a</w:t>
      </w:r>
    </w:p>
    <w:p>
      <w:pPr>
        <w:spacing w:after="0" w:line="22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According to the Canadian Chronic Disease Surveillance System of Canada, Stroke is the third leading cause of death in Canada and the tenth largest contributor to disability-adjusted life years (the number of years lost due to ill-health, disability or early death). About 878,500 Canadian adults aged 20+ have experienced a stroke (2018-2019) and with the population aging, more and more Canadians are at risk. This condition often has a significant impact on the ability on one’s functionality, negatively affecting independence, employability, productivity, mental health and participation in the community. Rehabilitation is required following a stroke for resulting motor, cognitive and behavioral impairments. Most province public health systems in Canada offers stroke rehabilitation services along with private establishments. The potential for commercial opportunity for PoNS in order to support all these public and private establishments is wide. PoNS Therapy offers new opportunities for this type of service by enhancing physical rehabilitation and helping attain the desired goals.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PoNS Clinical Trials and Scientific Support in MS</w:t>
      </w:r>
    </w:p>
    <w:p>
      <w:pPr>
        <w:spacing w:after="0" w:line="229"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There are two peer-reviewed published studies reporting on the results of clinical trials comparing active PoNS + PT vs a no frequency pulse sham device (placebo PoNS) + PT in subjects with mild and moderate MS: Tyler et al. Journal of NeuroEngineering and Rehabilitation 2014, 11:79 and Leonard et al. Multiple Sclerosis Journal Experimental, Translational and Clinical January-March 2017: 19 DOI: 10.1177/ 2055217317690561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Summary results of the Tyler study in 20 subjects with mild and moderate MS:</w:t>
      </w:r>
    </w:p>
    <w:p>
      <w:pPr>
        <w:spacing w:after="0" w:line="225" w:lineRule="exact"/>
        <w:rPr>
          <w:sz w:val="20"/>
          <w:szCs w:val="20"/>
          <w:color w:val="auto"/>
        </w:rPr>
      </w:pPr>
    </w:p>
    <w:p>
      <w:pPr>
        <w:ind w:left="720" w:right="139" w:hanging="319"/>
        <w:spacing w:after="0" w:line="299"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study was designed as a between-group comparison of the Dynamic Gait Index (DGI) score improvement in10 subjects treated with active PoNS, in conjunction with two weeks of treatment in clinic under supervision of a registered PoNS trainer, and, individually, at home over12-weeks, as compared to 10 subjects treated with placebo PoNS and the same physical therapy regimen, after a total of 14 weeks of treatment.</w:t>
      </w:r>
    </w:p>
    <w:p>
      <w:pPr>
        <w:spacing w:after="0" w:line="1" w:lineRule="exact"/>
        <w:rPr>
          <w:rFonts w:ascii="Arial" w:cs="Arial" w:eastAsia="Arial" w:hAnsi="Arial"/>
          <w:sz w:val="16"/>
          <w:szCs w:val="16"/>
          <w:color w:val="auto"/>
        </w:rPr>
      </w:pPr>
    </w:p>
    <w:p>
      <w:pPr>
        <w:ind w:left="720" w:right="199" w:hanging="319"/>
        <w:spacing w:after="0" w:line="29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primary endpoint demonstrated a statistically significant improvement greater that 4 points in the DGI score from baseline in the active PoNS group as compared to placebo at endpoint (Week 14) (p&lt;0.005).</w:t>
      </w:r>
    </w:p>
    <w:p>
      <w:pPr>
        <w:jc w:val="both"/>
        <w:ind w:left="720" w:right="15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DGI improvement was already clinically meaningful at 2 weeks of treatment and continued to increase over the following 8 weeks of therapy with an average improvement of 7,7 point, which was then maintained (slightly increased) through week 14.</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Summary results from the Leonard study in 14 patients treated with mild and moderate MS:</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statistically significant improvement in the NeuroCom Sensory Organization Test (SOT), a test of subject’s ability to balance, from baseline to week 14 of treatment in 7 subjects treated with active PoNS as compared to the 7 subjects in placebo PoNS group (p=0.001).</w:t>
      </w:r>
    </w:p>
    <w:p>
      <w:pPr>
        <w:spacing w:after="0" w:line="21" w:lineRule="exact"/>
        <w:rPr>
          <w:rFonts w:ascii="Arial" w:cs="Arial" w:eastAsia="Arial" w:hAnsi="Arial"/>
          <w:sz w:val="18"/>
          <w:szCs w:val="18"/>
          <w:color w:val="auto"/>
        </w:rPr>
      </w:pPr>
    </w:p>
    <w:p>
      <w:pPr>
        <w:ind w:left="720" w:right="119" w:hanging="319"/>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Functional MRI data showed an increased blood oxygen dependent level (BOLD) signal in specific brain cortical areas, suggesting that sustained PoNS neuromodulation-induced activation of these cortical areas is likely to trigger a series of adaptive changes (neuroplasticity), expected to rehabilitate existing pathways as well as engage new mechanisms to deliver functional signals to the spinal cord, that may correlate with PoNS therapeutic outcomes observed in the Tyler study.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Summary of Real-World Evidence (RWE) in MS patients treated with PoNS in Canada.</w:t>
      </w:r>
    </w:p>
    <w:p>
      <w:pPr>
        <w:spacing w:after="0" w:line="225" w:lineRule="exact"/>
        <w:rPr>
          <w:sz w:val="20"/>
          <w:szCs w:val="20"/>
          <w:color w:val="auto"/>
        </w:rPr>
      </w:pPr>
    </w:p>
    <w:p>
      <w:pPr>
        <w:ind w:left="720" w:right="31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Gait deficit treatment outcomes for PoNS-treated individuals are routinely captured through a proprietary validated data capture software. At the time of this retrospective analysis, all data from the MS treated subjects available in our database, specifically 43 MS subjects treated with PoNS for gait deficit in Canada between March 2019 and December 2019, were utilized.</w:t>
      </w:r>
    </w:p>
    <w:p>
      <w:pPr>
        <w:spacing w:after="0" w:line="2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mean improvement in the FGA (functional gait assessment) from baseline to Week 14 was 4.53 (95% CI 3.35 to 5.72) with a median improvement of 5 points.</w:t>
      </w:r>
    </w:p>
    <w:p>
      <w:pPr>
        <w:spacing w:after="0" w:line="8"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minimal detectable change, greater or equal to 4 point FGA improvement, was met by 56.7% of subjects, most of whom had chronic MS with long durations of the disease.</w:t>
      </w:r>
    </w:p>
    <w:p>
      <w:pPr>
        <w:spacing w:after="0" w:line="8"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analysis of the surveillance safety database demonstrated an excellent safety profile supporting a positive benefit-risk ratio in the real-world clinical utilization setting.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PoNS Clinical Trials and Scientific Support in mmTBI</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 xml:space="preserve">There are two peer-reviewed published studies reporting on the clinical trials’ results of the PoNS Therapy in people with mmTBI. The first is from our registrational clinical trial (TBI-001): Ptito A, Papa, L, Gregory, K, Folmer, RL, Walker, WC, Prabhakaran, V, Wardini, R, Skinner, KL, Yochelson, M, (2020). “A Prospective, Multicenter Study to Assess the Safety and Efficacy of Translingual Neurostimulation Plus Physical Therapy for the Treatment of a Chronic Balance Deficit Due to Mild-to-Moderate Traumatic Brain Injury”. </w:t>
      </w:r>
      <w:r>
        <w:rPr>
          <w:rFonts w:ascii="Arial" w:cs="Arial" w:eastAsia="Arial" w:hAnsi="Arial"/>
          <w:sz w:val="17"/>
          <w:szCs w:val="17"/>
          <w:i w:val="1"/>
          <w:iCs w:val="1"/>
          <w:color w:val="auto"/>
        </w:rPr>
        <w:t>Neuromodulation: Technology at the Neural Interface</w:t>
      </w:r>
      <w:r>
        <w:rPr>
          <w:rFonts w:ascii="Arial" w:cs="Arial" w:eastAsia="Arial" w:hAnsi="Arial"/>
          <w:sz w:val="17"/>
          <w:szCs w:val="17"/>
          <w:color w:val="auto"/>
        </w:rPr>
        <w:t>. The second is from the Long-Term Treatment study in mmTBI Trial: Tyler, ME, Skinner, KL, Prabhakaran, V, Kaczmarek, KA, Danilov, YP (2019). “Translingual neurostimulation for the treatment of chronic symptoms due to mild-to-moderate traumatic brain injury.” Archives of Rehabilitation Research and Clinical Translation; 1(304):100026.</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PoNS Registrational Clinical Trial in mmTBI</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Both studies were double-blind randomized, controlled, aiming to assess the safety and effectiveness of the PoNS Therapy using translingual noninvasive electric stimulation in conjunction with physical therapy performed in clinic for the first two weeks of treatment under supervision of a registered PoNS trainer, and, individually, at home over a short-term period of time (3 or 12 -weeks) for a total of 5- or 14-week therapy, respectively for the short- and long-term studies. Both trials enrolled chronic (&gt; 1 year post head trauma event) TBI subjects with a balance deficit established as sensory organizational test (SOTT) composite score of at least 16 points below the normative value for the participant’s age, who have reached a plateau in their prior physical rehabilitation regimen outcome. According to published clinical trial data, balance impaired TBI subjects treated with physical therapy alone reached an average improvement of 10-13 points in their SOT composite score over a short-term treatment period, an improvement that trended back towards baseline values upon physical therapy discontinuation. In both PoNS studies, participants entered the trial with an average SOT composite score of 40 (1-100 range) indicative of compromised functional balance and were randomized to treatment with PoNS devices that delivered either a high-frequency pulse, or HFP, (25.7 million pulses per 20 minute treatment) or a low-frequency pulse, or LFP, (13,728 pulses per 20 minute treatment).</w:t>
      </w:r>
    </w:p>
    <w:p>
      <w:pPr>
        <w:spacing w:after="0" w:line="174"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In both studies, the primary efficacy endpoint was constructed for a between-group (HFP-treated and LFP-treated cohorts) comparison based on a greater than 15-point SOT composite score improvement at endpoint. The statistical plans also provided for a key secondary efficacy endpoint that established the treatment response (&gt; 15 points on SOT composite score) from baseline in the pooled HFP and LFP groups at endpoint(s), should the primary measure failed to establish a significant difference between the HFP and LFP treatment groups.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Summary results of the registrational study (Ptito et al. 2020) in mild to moderate TBI subjects with balance deficit:</w:t>
      </w:r>
    </w:p>
    <w:p>
      <w:pPr>
        <w:spacing w:after="0" w:line="237" w:lineRule="exact"/>
        <w:rPr>
          <w:sz w:val="20"/>
          <w:szCs w:val="20"/>
          <w:color w:val="auto"/>
        </w:rPr>
      </w:pPr>
    </w:p>
    <w:p>
      <w:pPr>
        <w:ind w:left="720" w:right="219" w:hanging="319"/>
        <w:spacing w:after="0" w:line="29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trial, launched in 2015 in conjunction with the U.S. Army Medical Research and Materiel Command, or the USAMRMC and conducted at seven sites in the U.S. and Canada, evaluated 122 randomized subjects.</w:t>
      </w:r>
    </w:p>
    <w:p>
      <w:pPr>
        <w:ind w:left="720" w:right="219" w:hanging="319"/>
        <w:spacing w:after="0" w:line="34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primary efficacy endpoint, although failing to demonstrate a between-group difference (p&lt;0.081), showed a higher responder rate in the HFP arm with 71.2% of subjects experiencing a greater than 15-point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improvement on the SOT composite score) as compared to 63.5% in the LFP arm over a 5-week treatment period.</w:t>
      </w:r>
    </w:p>
    <w:p>
      <w:pPr>
        <w:spacing w:after="0" w:line="86" w:lineRule="exact"/>
        <w:rPr>
          <w:sz w:val="20"/>
          <w:szCs w:val="20"/>
          <w:color w:val="auto"/>
        </w:rPr>
      </w:pPr>
    </w:p>
    <w:p>
      <w:pPr>
        <w:ind w:left="720" w:right="43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key secondary efficacy endpoints demonstrated a statistically significant increase (p&lt;0.0005) in SOT composite scores from baseline for the pooled arms with a mean improvement of 18.3 points at two weeks of treatment and of 24.6 points at five weeks of treatment.</w:t>
      </w:r>
    </w:p>
    <w:p>
      <w:pPr>
        <w:spacing w:after="0" w:line="21"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primary safety endpoint demonstrated a decrease in the frequency of falls as determined by daily event(s) during the in-clinic phase of the study (week two).</w:t>
      </w:r>
    </w:p>
    <w:p>
      <w:pPr>
        <w:spacing w:after="0" w:line="8" w:lineRule="exact"/>
        <w:rPr>
          <w:rFonts w:ascii="Arial" w:cs="Arial" w:eastAsia="Arial" w:hAnsi="Arial"/>
          <w:sz w:val="18"/>
          <w:szCs w:val="18"/>
          <w:color w:val="auto"/>
        </w:rPr>
      </w:pPr>
    </w:p>
    <w:p>
      <w:pPr>
        <w:ind w:left="720" w:right="6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secondary safety endpoint demonstrated a decrease in the frequency and severity of headaches (by the Headache Disability Index) from baseline to end of treatment (at week 5).</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device-related serious adverse events were observed.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Summary of the results of the 26-week long-term treatment study (2019) study in people with mmTBI:</w:t>
      </w:r>
    </w:p>
    <w:p>
      <w:pPr>
        <w:spacing w:after="0" w:line="225" w:lineRule="exact"/>
        <w:rPr>
          <w:sz w:val="20"/>
          <w:szCs w:val="20"/>
          <w:color w:val="auto"/>
        </w:rPr>
      </w:pPr>
    </w:p>
    <w:p>
      <w:pPr>
        <w:ind w:left="720" w:right="499" w:hanging="319"/>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study, performed to evaluate understand the durability of response to the PoNS Therapy over a 26-week period, (14 weeks therapy followed by 12-week washout period) conducted at the Tactile Communication Neurorehabilitation Laboratory at the University of Wisconsin-Madison and sponsored by the U.S. Army, enrolled 22 mild-to-moderate subjects with gait deficit.</w:t>
      </w:r>
    </w:p>
    <w:p>
      <w:pPr>
        <w:spacing w:after="0" w:line="24"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primary efficacy endpoint, although similar to the registrational study, did not show a separation on the composite SOT score improvement between the HFP and LFP groups, confirmed the trend of a higher response rate in the HFP group.</w:t>
      </w:r>
    </w:p>
    <w:p>
      <w:pPr>
        <w:spacing w:after="0" w:line="21"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secondary endpoint showed a 29.8-point improvement of the composite SOT score from baseline in the HFP-treated group at the end of 14 weeks of treatment.</w:t>
      </w:r>
    </w:p>
    <w:p>
      <w:pPr>
        <w:spacing w:after="0" w:line="8" w:lineRule="exact"/>
        <w:rPr>
          <w:rFonts w:ascii="Arial" w:cs="Arial" w:eastAsia="Arial" w:hAnsi="Arial"/>
          <w:sz w:val="18"/>
          <w:szCs w:val="18"/>
          <w:color w:val="auto"/>
        </w:rPr>
      </w:pPr>
    </w:p>
    <w:p>
      <w:pPr>
        <w:ind w:left="720" w:right="4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end of the 12 week washout period, the participants maintained, on average, the same SOT composite score achieved over the 14 weeks of PoNS Therapy.</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study confirmed the favorable safety profile shown in the registrational study.</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These studies demonstrated that the PoNS Therapy could, on average, allow people with mmTBI who had balance deficit reach, over 14 weeks of treatment, and maintain, over 12 week post-treatment, an SOT composite score within or above the normal range. Furthermore, in a subset of nine participants, who underwent sequential magnetic resonance imaging (MRI) scans, showed meaningful structural and functional changes in specific brain areas consistent with PoNS therapeutic effect on the balance function.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PoNS Clinical Evidence and Scientific Support in Stroke</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Gait deficit treatment outcomes for PoNS-treated individuals were analyzed through a real-world evidence (RWE) retrospective analysis of clinical data from 10 clinical rehabilitation settings in Canada sites. The RWE dataset consisted of 31 consecutive stroke patients that started treatment between March 2019 and November 2022. Patients included in this data set met the criteria for mild to moderate chronic stroke based on the rating of gait (walking) ability. Gait performance was determined using the FGA. FGA at Baseline and at Week 14, as well as changes form Baseline to Week 14 and FGA values at intermediate time points were summarized using means, standard deviations, medians, minimum and maximum values and where appropriate using 95% confidence intervals.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Summary of RWE database analysis in stroke patients treated with PoNS in Canada:</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adjusted mean improvement in the Functional Gait Assessment (FGA) was 6.74 (95% CI: 4.85 to 8.63) among 30 subjects. The lower bound of this confidence interval exceeds the reported minimum detectable change (MDC) of 4.2 points for improvements in FGA in stroke patients.</w:t>
      </w:r>
    </w:p>
    <w:p>
      <w:pPr>
        <w:spacing w:after="0" w:line="21"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 of 26 (69.2%) subjects with complete data at baseline and at Week 14 had improvements larger than the MDC (95% 2-sided binomial exact CI 51.5% to 87.0%).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86"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Among subjects with evaluable baseline and Week 14 FGA, 25 of 26 (96.2%) subjects were at risk for falling at baseline (FGA&lt;23). Among the 25 subjects with baseline fall risk, 7 (28%) subjects were no longer at risk for falling at Week 14. The one subject not at fall risk at baseline remained not at fall risk at Week 14.</w:t>
      </w:r>
    </w:p>
    <w:p>
      <w:pPr>
        <w:spacing w:after="0" w:line="3" w:lineRule="exact"/>
        <w:rPr>
          <w:rFonts w:ascii="Arial" w:cs="Arial" w:eastAsia="Arial" w:hAnsi="Arial"/>
          <w:sz w:val="17"/>
          <w:szCs w:val="17"/>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was no statistically reliable evidence that effectiveness varies by age, gender, or clinical site.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Canadian Regulatory Status: mmTBI and MS</w:t>
      </w:r>
    </w:p>
    <w:p>
      <w:pPr>
        <w:spacing w:after="0" w:line="22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On October 17, 2018, we received our Canadian marketing authorization from Health Canada allowing us to commercialize the PoNS device in Canada for use as a short-term treatment (14 weeks) of balance deficit due to mmTBI.</w:t>
      </w:r>
    </w:p>
    <w:p>
      <w:pPr>
        <w:spacing w:after="0" w:line="124"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spacing w:after="0" w:line="176"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color w:val="auto"/>
        </w:rPr>
        <w:t>On March 8, 2023, we received marketing authorization from Health Canada allowing us to commercialize the PoNS device in Canada for use as a short-term treatment of gait deficit due to mild and moderate symptoms from stroke. This expands our addressable market in Canada to include a patient population seeking treatment options that may resolve stroke gait deficit symptoms.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Regulatory Status: MS</w:t>
      </w:r>
    </w:p>
    <w:p>
      <w:pPr>
        <w:spacing w:after="0" w:line="225"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w:t>
      </w:r>
    </w:p>
    <w:p>
      <w:pPr>
        <w:spacing w:after="0" w:line="1" w:lineRule="exact"/>
        <w:rPr>
          <w:sz w:val="20"/>
          <w:szCs w:val="20"/>
          <w:color w:val="auto"/>
        </w:rPr>
      </w:pPr>
    </w:p>
    <w:p>
      <w:pPr>
        <w:ind w:left="60" w:right="319"/>
        <w:spacing w:after="0" w:line="260" w:lineRule="auto"/>
        <w:rPr>
          <w:sz w:val="20"/>
          <w:szCs w:val="20"/>
          <w:color w:val="auto"/>
        </w:rPr>
      </w:pPr>
      <w:r>
        <w:rPr>
          <w:rFonts w:ascii="Arial" w:cs="Arial" w:eastAsia="Arial" w:hAnsi="Arial"/>
          <w:sz w:val="18"/>
          <w:szCs w:val="18"/>
          <w:color w:val="auto"/>
        </w:rPr>
        <w:t>510(k) clearance, and de novo classification and clearance, consistent with FDA’s mission to protect and promote public health.</w:t>
      </w:r>
    </w:p>
    <w:p>
      <w:pPr>
        <w:spacing w:after="0" w:line="185"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The Breakthrough Devices Program offers manufacturers an opportunity to interact with the FDA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49"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w:t>
      </w:r>
    </w:p>
    <w:p>
      <w:pPr>
        <w:spacing w:after="0" w:line="170" w:lineRule="exact"/>
        <w:rPr>
          <w:sz w:val="20"/>
          <w:szCs w:val="20"/>
          <w:color w:val="auto"/>
        </w:rPr>
      </w:pPr>
    </w:p>
    <w:p>
      <w:pPr>
        <w:jc w:val="both"/>
        <w:ind w:left="60" w:right="119"/>
        <w:spacing w:after="0" w:line="286" w:lineRule="auto"/>
        <w:rPr>
          <w:sz w:val="20"/>
          <w:szCs w:val="20"/>
          <w:color w:val="auto"/>
        </w:rPr>
      </w:pPr>
      <w:r>
        <w:rPr>
          <w:rFonts w:ascii="Arial" w:cs="Arial" w:eastAsia="Arial" w:hAnsi="Arial"/>
          <w:sz w:val="17"/>
          <w:szCs w:val="17"/>
          <w:color w:val="auto"/>
        </w:rPr>
        <w:t>On March 26, 2021, we received marketing authorization from the FDA of the PoNS device. The PoNS device is indicated for use as a short-term treatment of gait deficit due to mild-to-moderate symptoms of MS and is to be used as an adjunct to a supervised therapeutic exercise program in patients 22 years of age and over by prescription only.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will continue monitoring the development by Centers for Medicare &amp; Medicaid Service (“CMS”) of a</w:t>
      </w:r>
    </w:p>
    <w:p>
      <w:pPr>
        <w:spacing w:after="0" w:line="23"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new pathway for coverage of innovative new devices, Transitional Coverage of Emerging Technology (“TCET”), which is replacing the repealed Medicare Coverage of Innovative Technologies (“MCIT”) rule. CMS is expected to share more about TCET with the public for comments in 2023. As we follow the evolution of TCET, we will continue to assess our evidence generation strategy to maximize the potential to gain CMS reimbursement benefits as a result of our Breakthrough designation in MS. While we will continue to monitor this, we will also remain focused on building out our reimbursement strategy for both commercial and government payers. We are still working to understand current Medicare requirements and policies for coverage, coding, and payment of durable medical equipment and assess how the PoNS device may be treated with respect to coding, coverage, and reimbursement under the Medicare program.</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78"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In September 2021, we started activities to set up and implement a new study as part of a Therapeutic Experience Program, or PoNSTEP, with NYU Langone Health as our first Center of Excellence clinical site. During 2022, we added four additional clinical sites to the program and recruitment site information can be found on clinicaltrials.gov. PoNSTEP is a Helius-sponsored, open label observations, interventional multi-center outcome research trial designed to assess adherence to on-label PoNS therapy for improvement in gait deficits with MS in a real-world clinical setting. The study will measure subjects’ adherence to PoNS therapy, which combines the PoNS device with physical therapy, to better understand the relationship between adherence to the treatment regimen and therapeutic functional outcome. The primary endpoint of the study is maintenance of gait improvement from the end of supervised therapy (Phase 1) to the end of unsupervised therapy (Phase 2) in relation to the subject’s adherence to PoNS therapy. The secondary endpoints are improvement of gait and balance deficit over time, and clinical global impression of change. The study will be conducted at eight to ten Centers of Excellence across the U.S., with an estimated average of four PoNS devices per site. Enrollment commenced in the second half of 2022 and is expected to be completed in 2023 with targeted participation of approximately forty to fifty patients with MS.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Regulatory Status: Stroke</w:t>
      </w:r>
    </w:p>
    <w:p>
      <w:pPr>
        <w:spacing w:after="0" w:line="225"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clinical trial of PoNS therapy in stroke patients in collaboration with Medical University of South Carolina is planned to commence in 2023 with initial patient enrollments beginning in the second half of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Regulatory Status: mmTBI</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84"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61"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61"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Regulatory Status</w:t>
      </w:r>
    </w:p>
    <w:p>
      <w:pPr>
        <w:spacing w:after="0" w:line="225" w:lineRule="exact"/>
        <w:rPr>
          <w:sz w:val="20"/>
          <w:szCs w:val="20"/>
          <w:color w:val="auto"/>
        </w:rPr>
      </w:pPr>
    </w:p>
    <w:p>
      <w:pPr>
        <w:jc w:val="both"/>
        <w:ind w:left="60" w:right="339"/>
        <w:spacing w:after="0" w:line="287" w:lineRule="auto"/>
        <w:rPr>
          <w:sz w:val="20"/>
          <w:szCs w:val="20"/>
          <w:color w:val="auto"/>
        </w:rPr>
      </w:pPr>
      <w:r>
        <w:rPr>
          <w:rFonts w:ascii="Arial" w:cs="Arial" w:eastAsia="Arial" w:hAnsi="Arial"/>
          <w:sz w:val="16"/>
          <w:szCs w:val="16"/>
          <w:color w:val="auto"/>
        </w:rPr>
        <w:t>In December 2018, we submitted an application for a CE Mark, which, if approved, would allow us to market the PoNS device in the EU. During the second quarter of 2019, we engaged with regulators in Europe to answer questions that we received from them as part of their review of our PoNS device for CE marking. In August 2019, we withdrew</w:t>
      </w:r>
    </w:p>
    <w:p>
      <w:pPr>
        <w:spacing w:after="0" w:line="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Australian Regulatory Status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intended for short term use by healthcare professionals as an adjunct to a therapeutic exercise program to improve balance and gait. PoNS is not intended to be used alone without an exercise program.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Exclusive Distribution Agreement</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 March 3, 2023, we entered into an Exclusive Distribution Agreement with Health Tech Connex, Inc. (“HTC”) (“Exclusivity Agreement”), whereby, subject to certain terms and conditions, we granted to HTC the exclusive right to provide the PoNS Therapy in the Fraser Valley and Vancouver metro regions of British Columbia, where HTC has operated a PoNS authorized clinic since February 2019. HTC is to purchase the PoNS devices for use in these regions exclusively from us and on terms no less favorable than the then-current standard terms and conditions. This Exclusivity Agreement replaces the previous Clinical Research and Co-Promotion Agreement (“Co-Promotion Agreement”) between the parties dated October 2019.</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Development, Manufacturing and Logistics Services</w:t>
      </w:r>
    </w:p>
    <w:p>
      <w:pPr>
        <w:spacing w:after="0" w:line="229"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commercial design of the PoNS device is manufactured and assembled by Key Tronic Corporation (“Key Tronic”), our contract manufacturing partner since 2017, at its facility located in Oakdale, Minnesota. Key Tronic manufactures devices for engineering and design verification testing and for our FDA submission as well as commercial devices for launch inventory. Key Tronic has multiple locations across the U.S., Mexico and China with back-up manufacturing capabilities to help mitigate the risk of a single source provider. We remain ultimately responsible for the compliance of our submissions and products, and activities performed on our behalf.</w:t>
      </w:r>
    </w:p>
    <w:p>
      <w:pPr>
        <w:spacing w:after="0" w:line="178"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place an emphasis on protecting our patented technology, trade secrets and know-how and only share confidential information on an as needed basis. Key 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 HMI maintains a compliant quality management system certified to ISO 13485:2016 and compliant with MDSAP requirements for the U.S., Canada and Australia</w:t>
      </w:r>
    </w:p>
    <w:p>
      <w:pPr>
        <w:spacing w:after="0" w:line="192"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During 2021, we contracted with Healthlink International Inc. (“Healthlink”) to provide third party logistics for domestic and Canadian shipment and order fulfillment, and to provide warehousing services for finished goods. Healthlink began fulfilling orders in the United States effective with the commencement of commercial sales in the United States in April 2022 and in Canada during the fourth quarter of 2022. Healthlink is a life science solutions company, specializing in logistics, temperature-controlled warehousing, fulfillment and freight management as well as back-office services, including multilingual customer service, financial services and VAT management.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Canadian Commercialization Efforts</w:t>
      </w:r>
    </w:p>
    <w:p>
      <w:pPr>
        <w:spacing w:after="0" w:line="225"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In March 2019, we commenced the commercialization of our PoNS Therapy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Therapy, including the acquisition of the Heuro Canada operating entity of HTC. These efforts, which were led by our local Canadian commercial team, included the establishment of our authorized clinic network throughout Canada, launching digital marketing campaigns, and building key opinion leader and advocacy networks.</w:t>
      </w:r>
    </w:p>
    <w:p>
      <w:pPr>
        <w:spacing w:after="0" w:line="164" w:lineRule="exact"/>
        <w:rPr>
          <w:sz w:val="20"/>
          <w:szCs w:val="20"/>
          <w:color w:val="auto"/>
        </w:rPr>
      </w:pPr>
    </w:p>
    <w:p>
      <w:pPr>
        <w:jc w:val="both"/>
        <w:ind w:left="60" w:right="299"/>
        <w:spacing w:after="0" w:line="286" w:lineRule="auto"/>
        <w:rPr>
          <w:sz w:val="20"/>
          <w:szCs w:val="20"/>
          <w:color w:val="auto"/>
        </w:rPr>
      </w:pPr>
      <w:r>
        <w:rPr>
          <w:rFonts w:ascii="Arial" w:cs="Arial" w:eastAsia="Arial" w:hAnsi="Arial"/>
          <w:sz w:val="17"/>
          <w:szCs w:val="17"/>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6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During the year ended December 31, 2022, we authorized 11 new clinical locations to have 48 clinic locations across Canada as of December 31, 2022. In addition to continuing to increase the number of clinic locations, we have shifted our focus to driving patient throughput to these clinics. Sales performance in Canada throughout 2021 and into 2022 has been impacted by the COVID-19 pandemic due to space restrictions that the provincial governments have imposed as well as the risk tolerance of patients and therapists.</w:t>
      </w:r>
    </w:p>
    <w:p>
      <w:pPr>
        <w:spacing w:after="0" w:line="178"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We continue to refine our go-to-market pricing model. In 2020, we implemented a modified pricing approach which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Therapy and drive market awareness which we believe resulted in an increase in the volume of units sold, beginning in the second half of 2020. We extended the promotional pricing through the end of 2021 including any order placed and accepted, but not fulfilled before December 31, 2021. The promotional pricing was discontinued in 2022 when new pricing was established which focuses on encouraging the clinic in proposing the PoNS therapy to their patient and established a volume discount program that provides a laddered pricing discount to clinics based upon PoNS purchases in an effort to make a difference in the outcomes to their patients and enhance their practice.</w:t>
      </w:r>
    </w:p>
    <w:p>
      <w:pPr>
        <w:spacing w:after="0" w:line="18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collision insurance and workers’ compensation, or WC, market as well as long-term disability cases. Our reimbursement strategy for MS is focused on commercial insurers/extended health benefits and charitable foundations that support these patient conditions.</w:t>
      </w:r>
    </w:p>
    <w:p>
      <w:pPr>
        <w:spacing w:after="0" w:line="195"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 We believe the Canadian commercial experience will be extremely valuable to prepare us for our launches in the U.S. and internationally.</w:t>
      </w:r>
    </w:p>
    <w:p>
      <w:pPr>
        <w:spacing w:after="0" w:line="157"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Therapy in Canada.</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Commercialization Activities</w:t>
      </w:r>
    </w:p>
    <w:p>
      <w:pPr>
        <w:spacing w:after="0" w:line="225"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4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Throughout the pre-commercial phase during 2021 and early 2022,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spacing w:after="0" w:line="177"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We began accepting prescriptions for PoNS in the U.S. in the first quarter of 2022, and our first commercial sales began in April 2022. Presently, PoNS Therapy is not covered by the Medicare program or reimbursed by any other payors in the US.</w:t>
      </w:r>
    </w:p>
    <w:p>
      <w:pPr>
        <w:spacing w:after="0" w:line="124"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We have targeted specific Key Opinion Leaders (i.e., neurologists and physiatrists) and their associated neurorehabilitation centers, where selected physical therapists will be trained to deliver the PoNS Therapy. Importantly, this focused strategy will also allow us to measure patient outcomes to determine if they are similar to those observed in our clinical trials.</w:t>
      </w:r>
    </w:p>
    <w:p>
      <w:pPr>
        <w:spacing w:after="0" w:line="14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In June 2022, we launched the Patient Therapy Access Program (“PTAP”) program, which will provide qualifying patients access to PoNS therapy at a significantly reduced price. To qualify for the PTAP pricing, the patient must provide a letter of medical necessity and consent to the release of their medical records. Because of the significantly reduced price, the patient must also sign a document that prohibits him/her from submitting a reimbursement claim to third-party payers. PTAP participants are also invited to join the Company’s registry program, which is open to all MS patients regardless of their PTAP participation. The PoNS registry is structured to collect important health information and establish the value of PoNS on key therapeutic outcomes, hence supplementing the data collected through clinical trials and real-world data. We began processing orders under the PTAP program in June 2022, which is expected to run through June 2023.</w:t>
      </w:r>
    </w:p>
    <w:p>
      <w:pPr>
        <w:spacing w:after="0" w:line="16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December 2022, we launched an e-commerce site in the US to make it easier for patients to obtain PoNS systems. Accessed via ponstherapy.com, the site is powered through a new partnership with UpScriptHealth, a leading telehealth company focused on making medications and devices available direct-to-consumer. UpScriptHealth’s platform provides for</w:t>
      </w:r>
    </w:p>
    <w:p>
      <w:pPr>
        <w:spacing w:after="0" w:line="2" w:lineRule="exact"/>
        <w:rPr>
          <w:sz w:val="20"/>
          <w:szCs w:val="20"/>
          <w:color w:val="auto"/>
        </w:rPr>
      </w:pPr>
    </w:p>
    <w:p>
      <w:pPr>
        <w:ind w:left="60" w:right="179" w:hanging="10"/>
        <w:spacing w:after="0" w:line="302"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spacing w:after="0" w:line="155"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or DME, benefit category. While there are currently no specific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monitor real-world utilization of PoNS Therapy and collect additional clinical evidence through our ongoing PoNSTEP study and upcoming registry program. Based on consistent reports of positive therapeutic benefits experienced by MS patients through our commercial programs, we plan to re-engage in our communication with CMS leveraging new information that can answer their questions and argue convincingly in favor of obtaining unique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HCPCS codes for PoNS. We expect to interact again with CMS in the second half of 2023. In general, we anticipate that it will take at least 24 months to obtain broad coverage and reimbursement among government and private payers.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Commercialization in Other Markets</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We submitted an application for a CE Mark in December 2018. In preparation for our launch in the United Kingdom, or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Therapy in the UK. As previously described, in August 2019, we withdrew our application for EU market authorization and will revisit our UK and EU commercialization plans as terms of market authorization become clearer under the new regulations.</w:t>
      </w:r>
    </w:p>
    <w:p>
      <w:pPr>
        <w:spacing w:after="0" w:line="178"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We submitted an application to the TGA in Australia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authorized as a non-implantable neurostimulator intended for short term used by healthcare professionals as an adjunct to a therapeutic exercise program to improve balance and gait. PoNS is not intended to be used alone without an exercise program. We are working to establish a distribution partner for Australia but have not yet had any commercial sales of PoNS in Australia.</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w:t>
      </w:r>
    </w:p>
    <w:p>
      <w:pPr>
        <w:spacing w:after="0" w:line="22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Generally, worldwide economic conditions remain uncertain, particularly due to the effects of the COVID-19 pandemic and increased inflation. The general economic and capital market conditions both in the U.S. and worldwide, have been 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spacing w:after="0" w:line="161"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The COVID-19 pandemic that began in late 2019 introduced significant volatility to the global economy, disrupted supply chains and had a widespread adverse effect on the financial markets. Additionally, our operating results could be materially impacted by changes in the overall macroeconomic environment and other economic factors.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Canadian Reimbursement</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believe that traditional life and health payers may be among the earliest to provide coverage and reimbursement for the PoNS Therapy, and therefore, we are focusing on gaining coverage for the PoNS Therapy through them. Life and health encompass long- and short-term disability claims. Because these payers are responsible for both medical expenses and lost wages, they have an incentive to seek ways to help injured employees to return to work. As part of our commercial treatment program in Canada, we will collect both outcomes and return to work data, which we plan to utilize with life and health, provincial workers compensation insurance programs, and property and casualty insurers to demonstrate both the clinical and economic value associated with the PoNS Therapy.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Reimbursement</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the U.S., we plan to engage with select payer segments to obtain coverage and reimbursement for the PoNS Therapy. We intend to combine evidence from our clinical trials and real-world experience from commercial clinics in Canada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demonstrate the value proposition of the PoNS Therapy to payers and support favorable coverage and reimbursement decisions.</w:t>
      </w:r>
    </w:p>
    <w:p>
      <w:pPr>
        <w:spacing w:after="0" w:line="170"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CMS has indicated that it is developing a rule that would provide a pathway for expedited coverage of technologies under the Medicare program, though that rule has yet to be released. While we will continue to monitor this, we will also remain focused on building out our reimbursement strategy for both commercial and government payers. We continue to work with Medicare requirements and policies for coverage, coding, and payment of durable medical equipment and assess how the PoNS device may be treated with respect to coding, coverage, and reimbursement under the Medicare program.</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neurostimulation market is predominantly comprised of surgically implanted, invasive technologies that are not directly competitive with our technology. Several neurostimulation companies are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beneficial effects of neurostimulation which now establishes neuromodulation as a valid and scientifically supported approach to the treatment of neurological conditions, and accordingly, we expect for competition in the non-implantable space to grow in the future.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However, we believe that we will have the first-mover advantage in the non-implantable neurostimulation space.</w:t>
      </w:r>
    </w:p>
    <w:p>
      <w:pPr>
        <w:spacing w:after="0" w:line="23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We believe that the PoNS Therapy introduces an innovative target and method of stimulation, because targeting the tongue for neurostimulation provides several advantages that competitively distinguish the PoNS Therapy, which are discussed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Advantages of the PoNS Therapy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PoNS Therapy offers the following benefits over existing neurostimulation technologies:</w:t>
      </w:r>
    </w:p>
    <w:p>
      <w:pPr>
        <w:spacing w:after="0" w:line="225" w:lineRule="exact"/>
        <w:rPr>
          <w:sz w:val="20"/>
          <w:szCs w:val="20"/>
          <w:color w:val="auto"/>
        </w:rPr>
      </w:pPr>
    </w:p>
    <w:p>
      <w:pPr>
        <w:ind w:left="720" w:right="339" w:hanging="319"/>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PoNS device stimulates the trigeminal nerve, which developing science has implicated to be beneficial in some neurological disorder models. Specifically, PoNS stimulates only one branch of the trigeminal nerve, the lingual nerve through its terminals in the tongue, while other technologies stimulate other branches of the trigeminal nerve.</w:t>
      </w:r>
    </w:p>
    <w:p>
      <w:pPr>
        <w:spacing w:after="0" w:line="24" w:lineRule="exact"/>
        <w:rPr>
          <w:rFonts w:ascii="Arial" w:cs="Arial" w:eastAsia="Arial" w:hAnsi="Arial"/>
          <w:sz w:val="18"/>
          <w:szCs w:val="18"/>
          <w:color w:val="auto"/>
        </w:rPr>
      </w:pPr>
    </w:p>
    <w:p>
      <w:pPr>
        <w:ind w:left="720" w:right="99" w:hanging="319"/>
        <w:spacing w:after="0" w:line="255"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Translingual stimulation also results in stimulating the facial nerve through its chorda tympani branch, which has its nerve terminals in the tongue. Although it’s unclear whether concomitant stimulation of additional nerves is material to the efficacy or safety of PoNS, stimulation of these two cranial nerves triggers selective activation of specific cerebellar, brainstem, and cerebral areas involved in the control of movement and coordination functions. Furthermore, the ability to stimulate more than one nerve at a time differentiates our technology from our competition.</w:t>
      </w:r>
    </w:p>
    <w:p>
      <w:pPr>
        <w:spacing w:after="0" w:line="30" w:lineRule="exact"/>
        <w:rPr>
          <w:rFonts w:ascii="Arial" w:cs="Arial" w:eastAsia="Arial" w:hAnsi="Arial"/>
          <w:sz w:val="18"/>
          <w:szCs w:val="18"/>
          <w:color w:val="auto"/>
        </w:rPr>
      </w:pPr>
    </w:p>
    <w:p>
      <w:pPr>
        <w:ind w:left="720" w:right="239" w:hanging="319"/>
        <w:spacing w:after="0" w:line="27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tongue has an anatomically unique surface with a high density of receptors, a consistently moist and conductive environment, constant pH, constant temperature and a direct connection to the brain through at least two cranial nerves. This a critical feature of how PoNS therapeutic effect is mediated since, similarly to the way most of the pharmacological agents act, translingual stimulation allows direct activation of neural targets that mediate signal transmission to the spinal cord and resulting therapeutic effect.</w:t>
      </w:r>
    </w:p>
    <w:p>
      <w:pPr>
        <w:spacing w:after="0" w:line="14" w:lineRule="exact"/>
        <w:rPr>
          <w:rFonts w:ascii="Arial" w:cs="Arial" w:eastAsia="Arial" w:hAnsi="Arial"/>
          <w:sz w:val="17"/>
          <w:szCs w:val="17"/>
          <w:color w:val="auto"/>
        </w:rPr>
      </w:pPr>
    </w:p>
    <w:p>
      <w:pPr>
        <w:ind w:left="720" w:right="99" w:hanging="319"/>
        <w:spacing w:after="0" w:line="273"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cerebral premotor, motor, and prefrontal cortices, as well as deep brain areas such as the limbic system, basal ganglia and thalamus. We believe that this range of projections will allow impulses to reach central and peripheral targets that regulate dozens of functions.</w:t>
      </w:r>
    </w:p>
    <w:p>
      <w:pPr>
        <w:spacing w:after="0" w:line="15" w:lineRule="exact"/>
        <w:rPr>
          <w:rFonts w:ascii="Arial" w:cs="Arial" w:eastAsia="Arial" w:hAnsi="Arial"/>
          <w:sz w:val="17"/>
          <w:szCs w:val="17"/>
          <w:color w:val="auto"/>
        </w:rPr>
      </w:pPr>
    </w:p>
    <w:p>
      <w:pPr>
        <w:ind w:left="720" w:right="279" w:hanging="319"/>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Unlike deep brain stimulation devices, implantable vagal nerve devices and other invasive forms of electrical stimulation, the tongue allows for neurostimulation to be delivered via a portable, non-implantable device. This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39"/>
        <w:spacing w:after="0" w:line="342" w:lineRule="auto"/>
        <w:rPr>
          <w:sz w:val="20"/>
          <w:szCs w:val="20"/>
          <w:color w:val="auto"/>
        </w:rPr>
      </w:pPr>
      <w:r>
        <w:rPr>
          <w:rFonts w:ascii="Arial" w:cs="Arial" w:eastAsia="Arial" w:hAnsi="Arial"/>
          <w:sz w:val="16"/>
          <w:szCs w:val="16"/>
          <w:color w:val="auto"/>
        </w:rPr>
        <w:t>allows for the concomitant utilization of portable neurostimulation with a wide range of pharmacological therapies and non-pharmacological interventions previously unexplored for neurological rehabilitation.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12" w:lineRule="exact"/>
        <w:rPr>
          <w:sz w:val="20"/>
          <w:szCs w:val="20"/>
          <w:color w:val="auto"/>
        </w:rPr>
      </w:pPr>
    </w:p>
    <w:p>
      <w:pPr>
        <w:ind w:left="60" w:right="279"/>
        <w:spacing w:after="0" w:line="293" w:lineRule="auto"/>
        <w:rPr>
          <w:sz w:val="20"/>
          <w:szCs w:val="20"/>
          <w:color w:val="auto"/>
        </w:rPr>
      </w:pPr>
      <w:r>
        <w:rPr>
          <w:rFonts w:ascii="Arial" w:cs="Arial" w:eastAsia="Arial" w:hAnsi="Arial"/>
          <w:sz w:val="16"/>
          <w:szCs w:val="16"/>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U.S. Patent</w:t>
            </w:r>
          </w:p>
        </w:tc>
        <w:tc>
          <w:tcPr>
            <w:tcW w:w="14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Application</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8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b w:val="1"/>
                <w:bCs w:val="1"/>
                <w:color w:val="auto"/>
                <w:w w:val="94"/>
              </w:rPr>
              <w:t>Application</w:t>
            </w:r>
          </w:p>
        </w:tc>
        <w:tc>
          <w:tcPr>
            <w:tcW w:w="160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Filing Date</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Patent No.</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Issue Date</w:t>
            </w:r>
          </w:p>
        </w:tc>
        <w:tc>
          <w:tcPr>
            <w:tcW w:w="140" w:type="dxa"/>
            <w:vAlign w:val="bottom"/>
            <w:shd w:val="clear" w:color="auto" w:fill="CCEEFF"/>
          </w:tcPr>
          <w:p>
            <w:pPr>
              <w:spacing w:after="0"/>
              <w:rPr>
                <w:sz w:val="10"/>
                <w:szCs w:val="10"/>
                <w:color w:val="auto"/>
              </w:rPr>
            </w:pPr>
          </w:p>
        </w:tc>
        <w:tc>
          <w:tcPr>
            <w:tcW w:w="4100" w:type="dxa"/>
            <w:vAlign w:val="bottom"/>
            <w:vMerge w:val="restart"/>
            <w:shd w:val="clear" w:color="auto" w:fill="CCEEFF"/>
          </w:tcPr>
          <w:p>
            <w:pPr>
              <w:ind w:left="15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No.</w:t>
            </w:r>
          </w:p>
        </w:tc>
        <w:tc>
          <w:tcPr>
            <w:tcW w:w="160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12/348,301</w:t>
            </w:r>
          </w:p>
        </w:tc>
        <w:tc>
          <w:tcPr>
            <w:tcW w:w="140" w:type="dxa"/>
            <w:vAlign w:val="bottom"/>
          </w:tcPr>
          <w:p>
            <w:pPr>
              <w:spacing w:after="0"/>
              <w:rPr>
                <w:sz w:val="10"/>
                <w:szCs w:val="10"/>
                <w:color w:val="auto"/>
              </w:rPr>
            </w:pPr>
          </w:p>
        </w:tc>
        <w:tc>
          <w:tcPr>
            <w:tcW w:w="13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1/4/2009</w:t>
            </w:r>
          </w:p>
        </w:tc>
        <w:tc>
          <w:tcPr>
            <w:tcW w:w="160" w:type="dxa"/>
            <w:vAlign w:val="bottom"/>
          </w:tcPr>
          <w:p>
            <w:pPr>
              <w:spacing w:after="0"/>
              <w:rPr>
                <w:sz w:val="10"/>
                <w:szCs w:val="10"/>
                <w:color w:val="auto"/>
              </w:rPr>
            </w:pPr>
          </w:p>
        </w:tc>
        <w:tc>
          <w:tcPr>
            <w:tcW w:w="4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Issued</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8,849,407</w:t>
            </w:r>
          </w:p>
        </w:tc>
        <w:tc>
          <w:tcPr>
            <w:tcW w:w="160" w:type="dxa"/>
            <w:vAlign w:val="bottom"/>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9/30/2014</w:t>
            </w:r>
          </w:p>
        </w:tc>
        <w:tc>
          <w:tcPr>
            <w:tcW w:w="140" w:type="dxa"/>
            <w:vAlign w:val="bottom"/>
          </w:tcPr>
          <w:p>
            <w:pPr>
              <w:spacing w:after="0"/>
              <w:rPr>
                <w:sz w:val="10"/>
                <w:szCs w:val="10"/>
                <w:color w:val="auto"/>
              </w:rPr>
            </w:pPr>
          </w:p>
        </w:tc>
        <w:tc>
          <w:tcPr>
            <w:tcW w:w="41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Non-invasive neurostimulation of the skin combined with</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simultaneous physical therapy to provide neurorehabilitation of a</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patient to treat various maladies including, e.g., TBI, stroke and</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Alzheimer’s disease</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14/340,144</w:t>
            </w:r>
          </w:p>
        </w:tc>
        <w:tc>
          <w:tcPr>
            <w:tcW w:w="144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3"/>
              </w:rPr>
              <w:t>7/24/2014</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93"/>
              </w:rPr>
              <w:t>8,909,345</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12/9/2014</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Non-invasive neurostimulation within a patient’s mouth combined</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with physical therapy to provide neurorehabilitation of a patient to</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treat various maladies including, e.g., TBI, stroke, and Alzheimer’s</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disease</w:t>
            </w:r>
          </w:p>
        </w:tc>
        <w:tc>
          <w:tcPr>
            <w:tcW w:w="0" w:type="dxa"/>
            <w:vAlign w:val="bottom"/>
          </w:tcPr>
          <w:p>
            <w:pPr>
              <w:spacing w:after="0"/>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14/341,141</w:t>
            </w:r>
          </w:p>
        </w:tc>
        <w:tc>
          <w:tcPr>
            <w:tcW w:w="14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3"/>
              </w:rPr>
              <w:t>7/25/2014</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w w:val="93"/>
              </w:rPr>
              <w:t>9,020,612</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4/28/2015</w:t>
            </w:r>
          </w:p>
        </w:tc>
        <w:tc>
          <w:tcPr>
            <w:tcW w:w="424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Non-invasive neurostimulation within a patient's mouth combined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with cognitive therapy to provide neurorehabilitation of a patient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resulting in improved reading comprehension and increased attention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span as well as the treatment various maladies including, but not</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limited to, TBI, stroke, and Alzheimer's disease</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14/615,766</w:t>
            </w:r>
          </w:p>
        </w:tc>
        <w:tc>
          <w:tcPr>
            <w:tcW w:w="144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1"/>
              </w:rPr>
              <w:t>2/6/2015</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93"/>
              </w:rPr>
              <w:t>9,656,078</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5/23/2017</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Non-invasive neurostimulation within a patient’s mouth combined</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with stimulation of the patient’s vision, hearing, vestibular systems, or</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somatosensory systems for the treatment of tinnitus</w:t>
            </w:r>
          </w:p>
        </w:tc>
        <w:tc>
          <w:tcPr>
            <w:tcW w:w="0" w:type="dxa"/>
            <w:vAlign w:val="bottom"/>
          </w:tcPr>
          <w:p>
            <w:pPr>
              <w:spacing w:after="0"/>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14/689,462</w:t>
            </w:r>
          </w:p>
        </w:tc>
        <w:tc>
          <w:tcPr>
            <w:tcW w:w="14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3"/>
              </w:rPr>
              <w:t>4/17/2015</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w w:val="93"/>
              </w:rPr>
              <w:t>9,597,501</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3/21/2017</w:t>
            </w:r>
          </w:p>
        </w:tc>
        <w:tc>
          <w:tcPr>
            <w:tcW w:w="424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Non-invasive neurostimulation of a patient’s skin combined with</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cognitive therapy to provide neurorehabilitation of a patient resulting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in improved reading comprehension and increased attention span as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3"/>
              </w:rPr>
              <w:t>well as the treatment various maladies including, e.g., TBI, stroke, and</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Alzheimer’s disease</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14/815,171</w:t>
            </w:r>
          </w:p>
        </w:tc>
        <w:tc>
          <w:tcPr>
            <w:tcW w:w="144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3"/>
              </w:rPr>
              <w:t>7/31/2015</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93"/>
              </w:rPr>
              <w:t>9,597,504</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3/21/2017</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Non-invasive neurostimulation of a patient’s mouth combined with</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therapy to provide neurorehabilitation of a patient, with a focus on</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features of a neurostimulation device</w:t>
            </w:r>
          </w:p>
        </w:tc>
        <w:tc>
          <w:tcPr>
            <w:tcW w:w="0" w:type="dxa"/>
            <w:vAlign w:val="bottom"/>
          </w:tcPr>
          <w:p>
            <w:pPr>
              <w:spacing w:after="0"/>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15/207,029</w:t>
            </w:r>
          </w:p>
        </w:tc>
        <w:tc>
          <w:tcPr>
            <w:tcW w:w="14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3"/>
              </w:rPr>
              <w:t>7/11/2016</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w w:val="93"/>
              </w:rPr>
              <w:t>9,656,069</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5/23/2017</w:t>
            </w:r>
          </w:p>
        </w:tc>
        <w:tc>
          <w:tcPr>
            <w:tcW w:w="424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Non-invasive neurostimulation of a subject’s oral cavity while the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subject engages in an exercise in order to enhance the subject’s</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proficiency in the exercise</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15/283,894</w:t>
            </w:r>
          </w:p>
        </w:tc>
        <w:tc>
          <w:tcPr>
            <w:tcW w:w="144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3"/>
              </w:rPr>
              <w:t>10/3/2016</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1"/>
              </w:rPr>
              <w:t>10,293,163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5/21/2019</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Non-invasive neurostimulation of a subject’s oral cavity or skin while</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the subject engages in a physical or cognitive exercise in order to</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enhance the subject’s proficiency in the exercise</w:t>
            </w:r>
          </w:p>
        </w:tc>
        <w:tc>
          <w:tcPr>
            <w:tcW w:w="0" w:type="dxa"/>
            <w:vAlign w:val="bottom"/>
          </w:tcPr>
          <w:p>
            <w:pPr>
              <w:spacing w:after="0"/>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15/602,060</w:t>
            </w:r>
          </w:p>
        </w:tc>
        <w:tc>
          <w:tcPr>
            <w:tcW w:w="14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3"/>
              </w:rPr>
              <w:t>5/22/2017</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1"/>
              </w:rPr>
              <w:t>10,328,263</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6/25/2019</w:t>
            </w:r>
          </w:p>
        </w:tc>
        <w:tc>
          <w:tcPr>
            <w:tcW w:w="424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Non-invasive neurostimulation within a patient’s mouth or on a</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patient’s skin combined with an exercise for treatment of a disorder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affecting sleep patterns</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16/376,595</w:t>
            </w:r>
          </w:p>
        </w:tc>
        <w:tc>
          <w:tcPr>
            <w:tcW w:w="1440" w:type="dxa"/>
            <w:vAlign w:val="bottom"/>
            <w:gridSpan w:val="2"/>
            <w:shd w:val="clear" w:color="auto" w:fill="CCEEFF"/>
          </w:tcPr>
          <w:p>
            <w:pPr>
              <w:jc w:val="center"/>
              <w:ind w:left="68"/>
              <w:spacing w:after="0" w:line="130" w:lineRule="exact"/>
              <w:rPr>
                <w:sz w:val="20"/>
                <w:szCs w:val="20"/>
                <w:color w:val="auto"/>
              </w:rPr>
            </w:pPr>
            <w:r>
              <w:rPr>
                <w:rFonts w:ascii="Arial" w:cs="Arial" w:eastAsia="Arial" w:hAnsi="Arial"/>
                <w:sz w:val="14"/>
                <w:szCs w:val="14"/>
                <w:color w:val="auto"/>
                <w:w w:val="91"/>
              </w:rPr>
              <w:t>4/5/2019</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1"/>
              </w:rPr>
              <w:t>11,185,696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11/30/2021</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7"/>
              </w:rPr>
              <w:t>Non-invasive neurostimulation of a subject's oral cavity or skin while</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the subject engages in a physical or cognitive exercise in order to</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enhance a subject's proficiency in the exercise</w:t>
            </w:r>
          </w:p>
        </w:tc>
        <w:tc>
          <w:tcPr>
            <w:tcW w:w="0" w:type="dxa"/>
            <w:vAlign w:val="bottom"/>
          </w:tcPr>
          <w:p>
            <w:pPr>
              <w:spacing w:after="0"/>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16/450,915</w:t>
            </w:r>
          </w:p>
        </w:tc>
        <w:tc>
          <w:tcPr>
            <w:tcW w:w="1440" w:type="dxa"/>
            <w:vAlign w:val="bottom"/>
            <w:gridSpan w:val="2"/>
          </w:tcPr>
          <w:p>
            <w:pPr>
              <w:jc w:val="center"/>
              <w:ind w:left="68"/>
              <w:spacing w:after="0" w:line="130" w:lineRule="exact"/>
              <w:rPr>
                <w:sz w:val="20"/>
                <w:szCs w:val="20"/>
                <w:color w:val="auto"/>
              </w:rPr>
            </w:pPr>
            <w:r>
              <w:rPr>
                <w:rFonts w:ascii="Arial" w:cs="Arial" w:eastAsia="Arial" w:hAnsi="Arial"/>
                <w:sz w:val="14"/>
                <w:szCs w:val="14"/>
                <w:color w:val="auto"/>
                <w:w w:val="93"/>
              </w:rPr>
              <w:t>6/24/2019</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4"/>
                <w:szCs w:val="14"/>
                <w:color w:val="auto"/>
                <w:w w:val="92"/>
              </w:rPr>
              <w:t>Issued</w:t>
            </w:r>
          </w:p>
        </w:tc>
        <w:tc>
          <w:tcPr>
            <w:tcW w:w="86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1"/>
              </w:rPr>
              <w:t>11,285,325</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3"/>
              </w:rPr>
              <w:t>3/29/2022</w:t>
            </w:r>
          </w:p>
        </w:tc>
        <w:tc>
          <w:tcPr>
            <w:tcW w:w="424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7"/>
              </w:rPr>
              <w:t>Non-invasive neurostimulation of a subject's oral cavity or skin while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the subject engages in a physical or cognitive exercise in order to</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Arial" w:cs="Arial" w:eastAsia="Arial" w:hAnsi="Arial"/>
                <w:sz w:val="14"/>
                <w:szCs w:val="14"/>
                <w:color w:val="auto"/>
              </w:rPr>
              <w:t>enhance the subject's proficiency in the exercise</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17/704,051</w:t>
            </w:r>
          </w:p>
        </w:tc>
        <w:tc>
          <w:tcPr>
            <w:tcW w:w="14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3/25/2022</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Pending</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N/A</w:t>
            </w: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N/A</w:t>
            </w:r>
          </w:p>
        </w:tc>
        <w:tc>
          <w:tcPr>
            <w:tcW w:w="42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Non-invasive neurostimulation of a subject’s oral cavity or skin while</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the subject engages in a physical or cognitive exercise in order to</w:t>
            </w: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enhance the subject’s proficiency in the exercise</w:t>
            </w:r>
          </w:p>
        </w:tc>
        <w:tc>
          <w:tcPr>
            <w:tcW w:w="0" w:type="dxa"/>
            <w:vAlign w:val="bottom"/>
          </w:tcPr>
          <w:p>
            <w:pPr>
              <w:spacing w:after="0"/>
              <w:rPr>
                <w:sz w:val="1"/>
                <w:szCs w:val="1"/>
                <w:color w:val="auto"/>
              </w:rPr>
            </w:pPr>
          </w:p>
        </w:tc>
      </w:tr>
      <w:tr>
        <w:trPr>
          <w:trHeight w:val="148"/>
        </w:trPr>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61/019,061</w:t>
            </w:r>
          </w:p>
        </w:tc>
        <w:tc>
          <w:tcPr>
            <w:tcW w:w="14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1/4/2008</w:t>
            </w: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Expired</w:t>
            </w:r>
          </w:p>
        </w:tc>
        <w:tc>
          <w:tcPr>
            <w:tcW w:w="1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(Provisional)</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61/020,265</w:t>
            </w:r>
          </w:p>
        </w:tc>
        <w:tc>
          <w:tcPr>
            <w:tcW w:w="14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3"/>
              </w:rPr>
              <w:t>1/10/2008</w:t>
            </w: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Expired</w:t>
            </w:r>
          </w:p>
        </w:tc>
        <w:tc>
          <w:tcPr>
            <w:tcW w:w="1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N/A</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4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(Provisional)</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U.S. Patent Nos. 8,909,345; 9,020,612; 9,656,078; 9,597,501; 9,597,504; 9,656,069; 10,293,163; 10,328,263; 11,185,696; and 11,285,325, and U.S. Application No. 17/704,051 claim priority to U.S. Patent No. 8,849,407.</w:t>
      </w:r>
    </w:p>
    <w:p>
      <w:pPr>
        <w:spacing w:after="0" w:line="170"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8,909,345; 9,020,612; 9,656,078; 9,597,501; 9,597,504; 9,656,069; 10,293,163; 10,328,263; 11,185,696; and 11,285,325, U.S. Application No. 17/704,041,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95" w:lineRule="exact"/>
        <w:rPr>
          <w:sz w:val="20"/>
          <w:szCs w:val="20"/>
          <w:color w:val="auto"/>
        </w:rPr>
      </w:pPr>
    </w:p>
    <w:p>
      <w:pPr>
        <w:jc w:val="both"/>
        <w:ind w:left="60" w:right="219"/>
        <w:spacing w:after="0" w:line="287" w:lineRule="auto"/>
        <w:rPr>
          <w:sz w:val="20"/>
          <w:szCs w:val="20"/>
          <w:color w:val="auto"/>
        </w:rPr>
      </w:pPr>
      <w:r>
        <w:rPr>
          <w:rFonts w:ascii="Arial" w:cs="Arial" w:eastAsia="Arial" w:hAnsi="Arial"/>
          <w:sz w:val="16"/>
          <w:szCs w:val="16"/>
          <w:color w:val="auto"/>
        </w:rPr>
        <w:t>ANR holds an interest in the Patent Pending Rights pursuant to an exclusive license from the inventors. U.S. Patent Nos. 8,909,345; 9,020,612; 9,656,078; 9,597,501; 9,597,504; 9,656,069; 10,293,163; 10,328,263; 11,185,696; and 11,285,325, and U.S. Application No. 17/704,051 are included in the exclusive license as the exclusive license agreement covers (i)</w:t>
      </w:r>
    </w:p>
    <w:p>
      <w:pPr>
        <w:spacing w:after="0" w:line="2"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10,293,163; 10,328,263; 11,185,696 and 11,285,325, and U.S. Application No. 17/704,051 claim priority through such provisional application as well as through Provisional Application 61/020,265.</w:t>
      </w:r>
    </w:p>
    <w:p>
      <w:pPr>
        <w:spacing w:after="0" w:line="17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spacing w:after="0" w:line="182"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 Owned Intellectual Property</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As of February 15, 2023, we have filed 36 U.S. patent applications related to various technical and ornamental aspects of the PoNS device: 15 non-provisional patent applications that describe various technical features in the current version device and 21 design patent applications describing various ornamental designs. We are the sole assignee for these 36 U.S. patent filings. In addition to the first issued patent (U.S. Patent No. 9,072,889), the USPTO has issued 14 utility patents and 21 design patents.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In addition to our U.S. patents, we have been granted 21 foreign utility patents (nine in Australia, five in Russia, two in Canada, two in Israel, two in Europe (validated in France, Germany, Italy, UK and Spain) and one in Eurasia, or EA (validated in all eight Eurasian member-states), and 33 foreign design patents (three in Australia, nine in Canada, six in Russia, and fifteen registered community designs in Europe).</w:t>
      </w:r>
    </w:p>
    <w:p>
      <w:pPr>
        <w:spacing w:after="0" w:line="18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Further, we have 12 foreign utility patent applications that are currently pending: three in Europe, two in each of Australia, Canada and Russia and one in each of China, Israel, and the U.K., and one design patent application that is currently pending in Canada.</w:t>
      </w:r>
    </w:p>
    <w:p>
      <w:pPr>
        <w:spacing w:after="0" w:line="18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Currently, we own rights in five trademarks: PoNS, PoNS Therapy,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PoNS Therapy, Helius, Helius Medical, and Helius Medical Technologies marks.</w:t>
      </w:r>
    </w:p>
    <w:p>
      <w:pPr>
        <w:spacing w:after="0" w:line="187"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the Helius Medical mark in the U.S., and the PoNS Therapy mark in the U.S.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519"/>
        <w:spacing w:after="0" w:line="311" w:lineRule="auto"/>
        <w:rPr>
          <w:sz w:val="20"/>
          <w:szCs w:val="20"/>
          <w:color w:val="auto"/>
        </w:rPr>
      </w:pPr>
      <w:r>
        <w:rPr>
          <w:rFonts w:ascii="Arial" w:cs="Arial" w:eastAsia="Arial" w:hAnsi="Arial"/>
          <w:sz w:val="16"/>
          <w:szCs w:val="16"/>
          <w:color w:val="auto"/>
        </w:rPr>
        <w:t>Our products under development and our operations are subject to significant government regulation. In the U.S., our products are regulated as medical devices by the FDA and other federal, state, and local regulatory authorities. The following is a general description of the review and marketing authorization process of the FDA for medical devices.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FDA and other U.S. and foreign governmental agencies regulate, among other things, the following activities with respect to medical devices:</w:t>
      </w:r>
    </w:p>
    <w:p>
      <w:pPr>
        <w:spacing w:after="0" w:line="170"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 and safety;</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63"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the U.S., numerous laws and regulations govern all the processes by which medical devices are brought to market and marketed. These include the Food, Drug, and Cosmetic, or FD&amp;C Act and the FDA’s implementation of regulations, among others.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FDA Review, Clearance and Approval Processes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U.S. requires either FDA clearance of a 510(k) premarket notification, approval of a premarket approval, or PMA, or approval of a de novo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64"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68"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9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Our PoNS device is currently regulated as a Class II medical device for use in MS. However, if the FDA requires us to go through a lengthier, more rigorous examination for the PoNS device for balance and gait deficit in stroke, introducing the product for stroke could be delayed or canceled. For example, if the FDA decides that the de novo classification procedures are not the appropriate path to obtain marketing authorizations for the PoNS device in stroke,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 with respect to our PoNS device.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225"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device does not raise new questions of safety and effectiveness and is at least as safe and effective as the predicate device.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showing of substantial equivalence sometimes, but not always, requires clinical data.</w:t>
      </w:r>
    </w:p>
    <w:p>
      <w:pPr>
        <w:spacing w:after="0" w:line="211"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78" w:lineRule="exact"/>
        <w:rPr>
          <w:sz w:val="20"/>
          <w:szCs w:val="20"/>
          <w:color w:val="auto"/>
        </w:rPr>
      </w:pPr>
    </w:p>
    <w:p>
      <w:pPr>
        <w:ind w:left="60" w:right="939"/>
        <w:spacing w:after="0" w:line="291" w:lineRule="auto"/>
        <w:rPr>
          <w:sz w:val="20"/>
          <w:szCs w:val="20"/>
          <w:color w:val="auto"/>
        </w:rPr>
      </w:pPr>
      <w:r>
        <w:rPr>
          <w:rFonts w:ascii="Arial" w:cs="Arial" w:eastAsia="Arial" w:hAnsi="Arial"/>
          <w:sz w:val="16"/>
          <w:szCs w:val="16"/>
          <w:color w:val="auto"/>
        </w:rPr>
        <w:t>After a device receives 510(k) marketing clearance, any modification that could significantly affect its safety or effectiveness, or that would constitute a major change or modification in its intended use, will require a new</w:t>
      </w:r>
    </w:p>
    <w:p>
      <w:pPr>
        <w:ind w:left="60" w:right="179"/>
        <w:spacing w:after="0" w:line="269" w:lineRule="auto"/>
        <w:rPr>
          <w:sz w:val="20"/>
          <w:szCs w:val="20"/>
          <w:color w:val="auto"/>
        </w:rPr>
      </w:pPr>
      <w:r>
        <w:rPr>
          <w:rFonts w:ascii="Arial" w:cs="Arial" w:eastAsia="Arial" w:hAnsi="Arial"/>
          <w:sz w:val="17"/>
          <w:szCs w:val="17"/>
          <w:color w:val="auto"/>
        </w:rPr>
        <w:t>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225"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pathway by permitting manufacturers to request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classification directly without first submitting a 510(k) pre-market notification to the FDA and receiving a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substantially equivalent determination. Under FDASIA, the FDA was required to classify the device within 120 days following receipt of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If the manufacturer sought reclassification into Class II, the manufacturer was to include a draft proposal for special controls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71"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 xml:space="preserve">FDA granted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for the PoNS device for gait deficit in MS, which resulted in Class II classification. In order to be placed in Class II, the FDA required reasonable assurance of safety and effectiveness of the PoNS device. Under Class II, general controls (e.g., premarket notification) and special controls (e.g., specific performance testing) are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Obtaining FDA marketing authorization, de novo classification and clearance,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76"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78"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Pervasive and Continuing U.S. Food and Drug Administration and Healthcare Regulation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After a device is cleared or approved for marketing, numerous and pervasive regulatory requirements continue to apply.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include:</w:t>
      </w:r>
    </w:p>
    <w:p>
      <w:pPr>
        <w:spacing w:after="0" w:line="211"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establishment, registration and device listing with the FDA;</w:t>
      </w:r>
    </w:p>
    <w:p>
      <w:pPr>
        <w:spacing w:after="0" w:line="63" w:lineRule="exact"/>
        <w:rPr>
          <w:rFonts w:ascii="Arial" w:cs="Arial" w:eastAsia="Arial" w:hAnsi="Arial"/>
          <w:sz w:val="18"/>
          <w:szCs w:val="18"/>
          <w:color w:val="231F20"/>
        </w:rPr>
      </w:pPr>
    </w:p>
    <w:p>
      <w:pPr>
        <w:ind w:left="720" w:right="159" w:hanging="319"/>
        <w:spacing w:after="0" w:line="263"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1" w:lineRule="exact"/>
        <w:rPr>
          <w:rFonts w:ascii="Arial" w:cs="Arial" w:eastAsia="Arial" w:hAnsi="Arial"/>
          <w:sz w:val="18"/>
          <w:szCs w:val="18"/>
          <w:color w:val="231F20"/>
        </w:rPr>
      </w:pPr>
    </w:p>
    <w:p>
      <w:pPr>
        <w:ind w:left="720" w:right="19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labeling regulations and FDA prohibitions against the promotion of investigational products, or ‘‘off-label’’ uses of cleared or approved products;</w:t>
      </w:r>
    </w:p>
    <w:p>
      <w:pPr>
        <w:spacing w:after="0" w:line="8"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requirements related to promotional activities;</w:t>
      </w:r>
    </w:p>
    <w:p>
      <w:pPr>
        <w:spacing w:after="0" w:line="63" w:lineRule="exact"/>
        <w:rPr>
          <w:rFonts w:ascii="Arial" w:cs="Arial" w:eastAsia="Arial" w:hAnsi="Arial"/>
          <w:sz w:val="18"/>
          <w:szCs w:val="18"/>
          <w:color w:val="231F20"/>
        </w:rPr>
      </w:pPr>
    </w:p>
    <w:p>
      <w:pPr>
        <w:ind w:left="720" w:right="219" w:hanging="319"/>
        <w:spacing w:after="0" w:line="316" w:lineRule="auto"/>
        <w:tabs>
          <w:tab w:leader="none" w:pos="72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clearance or approval of product modifications to 510(k)-cleared devices that could significantly affect safety or effectiveness or that would constitute a major change in intended use of one of our cleared devices;</w:t>
      </w:r>
    </w:p>
    <w:p>
      <w:pPr>
        <w:spacing w:after="0" w:line="1" w:lineRule="exact"/>
        <w:rPr>
          <w:rFonts w:ascii="Arial" w:cs="Arial" w:eastAsia="Arial" w:hAnsi="Arial"/>
          <w:sz w:val="16"/>
          <w:szCs w:val="16"/>
          <w:color w:val="231F20"/>
        </w:rPr>
      </w:pPr>
    </w:p>
    <w:p>
      <w:pPr>
        <w:ind w:left="720" w:right="259" w:hanging="319"/>
        <w:spacing w:after="0" w:line="259"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4" w:lineRule="exact"/>
        <w:rPr>
          <w:rFonts w:ascii="Arial" w:cs="Arial" w:eastAsia="Arial" w:hAnsi="Arial"/>
          <w:sz w:val="18"/>
          <w:szCs w:val="18"/>
          <w:color w:val="231F20"/>
        </w:rPr>
      </w:pPr>
    </w:p>
    <w:p>
      <w:pPr>
        <w:ind w:left="720" w:right="419" w:hanging="319"/>
        <w:spacing w:after="0" w:line="263"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1" w:lineRule="exact"/>
        <w:rPr>
          <w:rFonts w:ascii="Arial" w:cs="Arial" w:eastAsia="Arial" w:hAnsi="Arial"/>
          <w:sz w:val="18"/>
          <w:szCs w:val="18"/>
          <w:color w:val="231F20"/>
        </w:rPr>
      </w:pPr>
    </w:p>
    <w:p>
      <w:pPr>
        <w:ind w:left="720" w:right="63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spacing w:after="0" w:line="8" w:lineRule="exact"/>
        <w:rPr>
          <w:rFonts w:ascii="Arial" w:cs="Arial" w:eastAsia="Arial" w:hAnsi="Arial"/>
          <w:sz w:val="18"/>
          <w:szCs w:val="18"/>
          <w:color w:val="231F20"/>
        </w:rPr>
      </w:pPr>
    </w:p>
    <w:p>
      <w:pPr>
        <w:ind w:left="720" w:right="439" w:hanging="319"/>
        <w:spacing w:after="0" w:line="342" w:lineRule="auto"/>
        <w:tabs>
          <w:tab w:leader="none" w:pos="72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post-market surveillance activities and regulations, which apply when deemed by the FDA to be necessary to protect the public health or to provide additional safety and effectiveness data for the device.</w:t>
      </w:r>
    </w:p>
    <w:p>
      <w:pPr>
        <w:spacing w:after="0" w:line="124"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85"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Healthcare providers, physicians, and third party payers play a primary role in the recommendation and use of our current products and for any future products for which payment is available under any federal health care program. Arrangements with third party payers, healthcare providers and physicians expose us to broadly applicable fraud and abuse and other healthcare laws and regulations that may constrain the business or financial arrangements and relationships through which we market, sell and distribute products. In the U.S.,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programs Anti-Kickback Statute, or AKS, and the federal Civil False Claims Act.</w:t>
      </w:r>
    </w:p>
    <w:p>
      <w:pPr>
        <w:spacing w:after="0" w:line="185"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The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187"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significant mandatory civil penalties for each separate false claim and the potential for exclusion from participation in federal healthcare programs.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AKS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 Conduct that violates the False Claims Act also may implicate various federal criminal statutes.</w:t>
      </w:r>
    </w:p>
    <w:p>
      <w:pPr>
        <w:spacing w:after="0" w:line="174"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72"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184"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untitled letters, warning letters, fines, injunctions, consent decrees and civil penalties;</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unanticipated expenditures to address or defend such actions</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customer notifications for repair, replacement, refunds;</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recall, detention or seizure of our products;</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operating restrictions or partial suspension or total shutdown of production;</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refusing or delaying our requests for 510(k) clearance or PMA approval of new products or modified products;</w:t>
      </w:r>
    </w:p>
    <w:p>
      <w:pPr>
        <w:spacing w:after="0" w:line="86" w:lineRule="exact"/>
        <w:rPr>
          <w:rFonts w:ascii="Arial" w:cs="Arial" w:eastAsia="Arial" w:hAnsi="Arial"/>
          <w:sz w:val="16"/>
          <w:szCs w:val="16"/>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operating restrictions;</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withdrawing 510(k) clearances or PMA approvals that have already been granted;</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refusal to grant export approval for our products; or</w:t>
      </w:r>
    </w:p>
    <w:p>
      <w:pPr>
        <w:spacing w:after="0" w:line="63"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criminal prosecution.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Canada</w:t>
      </w:r>
    </w:p>
    <w:p>
      <w:pPr>
        <w:spacing w:after="0" w:line="225"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color w:val="auto"/>
        </w:rPr>
        <w:t>After a medical device has been approved for commercial use in Canada, there are a number of Health Canada requirements that must be adhered to including but not limited to the following:</w:t>
      </w:r>
    </w:p>
    <w:p>
      <w:pPr>
        <w:spacing w:after="0" w:line="170"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license renewals;</w:t>
      </w:r>
    </w:p>
    <w:p>
      <w:pPr>
        <w:spacing w:after="0" w:line="63"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labeling regulations, which prohibit “misbranded” devices from entering the market, as well as prohibit on the promotion of products for unapproved or “off-label” use and impose other restrictions on labeling including truthfulness and accuracy;</w:t>
      </w:r>
    </w:p>
    <w:p>
      <w:pPr>
        <w:spacing w:after="0" w:line="21"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that would require license amendments;</w:t>
      </w:r>
    </w:p>
    <w:p>
      <w:pPr>
        <w:spacing w:after="0" w:line="63" w:lineRule="exact"/>
        <w:rPr>
          <w:rFonts w:ascii="Arial" w:cs="Arial" w:eastAsia="Arial" w:hAnsi="Arial"/>
          <w:sz w:val="18"/>
          <w:szCs w:val="18"/>
          <w:color w:val="auto"/>
        </w:rPr>
      </w:pPr>
    </w:p>
    <w:p>
      <w:pPr>
        <w:ind w:left="720" w:right="119" w:hanging="319"/>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3" w:lineRule="exact"/>
        <w:rPr>
          <w:rFonts w:ascii="Arial" w:cs="Arial" w:eastAsia="Arial" w:hAnsi="Arial"/>
          <w:sz w:val="17"/>
          <w:szCs w:val="17"/>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 xml:space="preserve">We submitted an application for a CE Mark of the PoNS device with our UK based notified body in December 2018. </w:t>
      </w:r>
      <w:r>
        <w:rPr>
          <w:rFonts w:ascii="Arial" w:cs="Arial" w:eastAsia="Arial" w:hAnsi="Arial"/>
          <w:sz w:val="16"/>
          <w:szCs w:val="16"/>
          <w:color w:val="231F20"/>
        </w:rPr>
        <w:t>In</w:t>
      </w:r>
      <w:r>
        <w:rPr>
          <w:rFonts w:ascii="Arial" w:cs="Arial" w:eastAsia="Arial" w:hAnsi="Arial"/>
          <w:sz w:val="16"/>
          <w:szCs w:val="16"/>
          <w:color w:val="auto"/>
        </w:rPr>
        <w:t xml:space="preserve"> </w:t>
      </w:r>
      <w:r>
        <w:rPr>
          <w:rFonts w:ascii="Arial" w:cs="Arial" w:eastAsia="Arial" w:hAnsi="Arial"/>
          <w:sz w:val="16"/>
          <w:szCs w:val="16"/>
          <w:color w:val="231F20"/>
        </w:rPr>
        <w:t xml:space="preserve">August 2019, we withdrew our </w:t>
      </w:r>
      <w:r>
        <w:rPr>
          <w:rFonts w:ascii="Arial" w:cs="Arial" w:eastAsia="Arial" w:hAnsi="Arial"/>
          <w:sz w:val="16"/>
          <w:szCs w:val="16"/>
          <w:color w:val="000000"/>
        </w:rPr>
        <w:t>application from the EU marketing process due to notified body activities being delayed by</w:t>
      </w:r>
      <w:r>
        <w:rPr>
          <w:rFonts w:ascii="Arial" w:cs="Arial" w:eastAsia="Arial" w:hAnsi="Arial"/>
          <w:sz w:val="16"/>
          <w:szCs w:val="16"/>
          <w:color w:val="231F20"/>
        </w:rPr>
        <w:t xml:space="preserve"> </w:t>
      </w:r>
      <w:r>
        <w:rPr>
          <w:rFonts w:ascii="Arial" w:cs="Arial" w:eastAsia="Arial" w:hAnsi="Arial"/>
          <w:sz w:val="16"/>
          <w:szCs w:val="16"/>
          <w:color w:val="000000"/>
        </w:rPr>
        <w:t>Brexit and the upcoming medical devices regulation changes. We have engaged G-MED NA as our registrar and will reconsider submitting to the EU when conditions stabilize. The successful completion of this review would result in marketing authorization for the sale of the PoNS device in the EU, which now excludes the UK. Some EU member states have additional notification requirements that we expect to satisfy before we launch our PoNS Therapy in those member states. Once the PoNS device is placed into the EU market, post market requirements apply including but not limited to:</w:t>
      </w:r>
    </w:p>
    <w:p>
      <w:pPr>
        <w:spacing w:after="0" w:line="166"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that the labeling promotes only approved use(s) of the device;</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may require license amendments;</w:t>
      </w:r>
    </w:p>
    <w:p>
      <w:pPr>
        <w:spacing w:after="0" w:line="63"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21"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indicated for short term use by healthcare professionals as an adjunct to a therapeutic exercise program to improve balance and gait. PoNS is not intended to be used alone without an exercise program.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Data Privacy and Security Laws; Breaches</w:t>
      </w:r>
    </w:p>
    <w:p>
      <w:pPr>
        <w:spacing w:after="0" w:line="229"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79" w:lineRule="exact"/>
        <w:rPr>
          <w:sz w:val="20"/>
          <w:szCs w:val="20"/>
          <w:color w:val="auto"/>
        </w:rPr>
      </w:pPr>
    </w:p>
    <w:p>
      <w:pPr>
        <w:ind w:left="60" w:right="239"/>
        <w:spacing w:after="0" w:line="286"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many of the more ambiguous provisions of the CCPA have yet to be fully interpreted and applied, and numerous amendments have been proposed and are working their way through legislature. Consequently, the CCPA currently presents many compliance questions that remain unresolved. The CCPA may increase our compliance costs and potential liability. In addition to the CCPA, numerous other states’ legislatures are considering similar laws that will require ongoing compliance efforts and investment.</w:t>
      </w:r>
    </w:p>
    <w:p>
      <w:pPr>
        <w:spacing w:after="0" w:line="17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History Highlights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Formation and Reincorporation</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 issuer in Canada and for us to complete a reverse take-over of 0995162 B.C. Ltd.</w:t>
      </w:r>
    </w:p>
    <w:p>
      <w:pPr>
        <w:spacing w:after="0" w:line="192"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On June 13, 2014, we acquired NeuroHabilitation Corporation (“NHC”) and on December 21, 2018, NHC changed its name to Helius Medical, Inc. HMI is our operating subsidiary in the United States.</w:t>
      </w:r>
    </w:p>
    <w:p>
      <w:pPr>
        <w:spacing w:after="0" w:line="17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On October 30, 2019, we acquired Heuro Canada, Inc. (“Heuro”), a company incorporated under the federal laws of Canada. Heuro is an indirect wholly owned subsidiary of HMC, a company incorporated under the federal laws of Canada. HMC is our operating subsidiary in Canada.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Form 10-K. Additionally, the SEC maintains a website that contains annual, quarterly, and current reports, proxy statements, and other information that issuers (including us) file electronically with the SEC. The SEC’s website address is http://www.sec.gov.</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As a neurotechnology company focused on neurological wellness through the development, licensing or acquisition of non-implantable technologies targeted at reducing symptoms of neurological disease or trauma, our human capital is important to the long-term success of our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People</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believe our diverse workforce is comprised of engaged individuals with appropriate qualifications and competencies to support our growth. Our senior management team has an average of over 25 years of experience in the health sciences industry with recognized leadership expertise in their functional areas.</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of December 31, 2022, we had 26 full-time employees, of which 24 are located in the United States and two are located in Canada. None of our employees were covered by collective bargaining agreements. We have not experienced any interruptions of operations due to disputes with our employees.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Talent Acquisition, Development and Retention</w:t>
      </w:r>
    </w:p>
    <w:p>
      <w:pPr>
        <w:spacing w:after="0" w:line="22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Hiring, developing, and retaining high-performing employees is important to our operations and we are focused on creating experiences that foster growth, performance and retention. Retaining and acquiring the right talent in this competitive environment, particularly at speed and scale, will continue to be a priority as we have obtained FDA de novo classification and clearance of the PoNS device. Our workforce reflects talent from diverse perspectives.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Benefits, Safety and Wellness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 addition to offering market competitive salaries and wages, we offer comprehensive health benefits to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b w:val="1"/>
          <w:bCs w:val="1"/>
          <w:i w:val="1"/>
          <w:iCs w:val="1"/>
          <w:color w:val="auto"/>
        </w:rPr>
        <w:t>An investment in our securities has a high degree of risk. Before you invest you should carefully consider the risks and uncertainties described below and the other information in this Form 10-K.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170"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We have incurred substantial net losses since our inception. For the years ended December 31, 2022 and 2021, we incurred a net loss of $14.1 million and $18.1 million, respectively, and used cash in operating activities of $14.3 million and $13.4 million, respectively. We have an accumulated deficit of $151.1 million as of December 31, 2022.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Although we have received a medical device license from Health Canada to market the PoNS device in Canada, marketing authorization from the FDA for the sale of our PoNS device in the U.S. and market authorization from the TGA in Australia, we expect to continue to incur substantial losses for the foreseeable future as we continue to research and develop and seek regulatory marketing authorization for our product candidate.</w:t>
      </w:r>
    </w:p>
    <w:p>
      <w:pPr>
        <w:spacing w:after="0" w:line="18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will require additional financing to carry out our plan of operations and if we are unable to obtain such financing, our business may fail.</w:t>
      </w:r>
    </w:p>
    <w:p>
      <w:pPr>
        <w:spacing w:after="0" w:line="170"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During the year ended December 31, 2022, we generated approximately $0.8 million in revenue from the commercial sales of products in the United States and Canada. Because we have generated limited revenues from commercialization, our operations to date have been principally financed through public and private offerings of our common stocks, warrants and convertible debt and exercises of options and warrants. There are a number of conditions that we must satisfy before we will be able to generate sufficient revenue to fund our operations, including but not limited to the recruitment of patients for treatment, and demonstration of effectiveness sufficient to generate commercial orders by customers for our product.</w:t>
      </w:r>
    </w:p>
    <w:p>
      <w:pPr>
        <w:spacing w:after="0" w:line="164" w:lineRule="exact"/>
        <w:rPr>
          <w:sz w:val="20"/>
          <w:szCs w:val="20"/>
          <w:color w:val="auto"/>
        </w:rPr>
      </w:pPr>
    </w:p>
    <w:p>
      <w:pPr>
        <w:jc w:val="both"/>
        <w:ind w:left="60" w:right="119"/>
        <w:spacing w:after="0" w:line="275" w:lineRule="auto"/>
        <w:rPr>
          <w:sz w:val="20"/>
          <w:szCs w:val="20"/>
          <w:color w:val="auto"/>
        </w:rPr>
      </w:pPr>
      <w:r>
        <w:rPr>
          <w:rFonts w:ascii="Arial" w:cs="Arial" w:eastAsia="Arial" w:hAnsi="Arial"/>
          <w:sz w:val="17"/>
          <w:szCs w:val="17"/>
          <w:color w:val="auto"/>
        </w:rPr>
        <w:t>These factors raise substantial doubt about our ability to continue as a going concern through at least 12 months from the date of this Form 10-K. While we had $14.5 million of cash as of December 31, 2022, we do not currently have sufficient resources to accomplish all of the above conditions necessary for us to generate sufficient revenues to achieve profitability, and we will require additional financing to fund our operations beyond 2023. There is no guarantee that such funding will be available at all or in sufficient amounts to satisfy our required expenditures.</w:t>
      </w:r>
    </w:p>
    <w:p>
      <w:pPr>
        <w:spacing w:after="0" w:line="1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171"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on terms unfavorable to us.</w:t>
      </w:r>
    </w:p>
    <w:p>
      <w:pPr>
        <w:spacing w:after="0" w:line="184"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Our operations to date have principally been financed by public and private offerings of our common stock warrants and convertible debt and exercises of warrants and options. In August 2022, we raised $18.0 million in gross proceeds from an equity financing. Until we can generate significant revenue from product sales, if ever, we expect to finance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operations through the sale of equity, debt financings, or other capital sources, including 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future revenue streams, research programs or product candidates, or otherwise grant licenses on terms that are not favorable to us. If we are unable to raise additional capital when needed, we may be required to delay, limit, reduce or terminate our product development or commercialization efforts for our product or our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74"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84"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In connection with our management’s assessment, our report from our independent registered public accounting firm for the fiscal year ended December 31, 2022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will be sufficient to fund our operations through 2023. We also expect our expenses to increase as we conduct trials of PoNS Therapy, such as the PoNSTEP, or if and as we decide to pursue further regulatory approvals, or maintain, expand and protect our intellectual property portfolio.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Development and Commercialization of our Product</w:t>
      </w:r>
    </w:p>
    <w:p>
      <w:pPr>
        <w:spacing w:after="0" w:line="229"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b w:val="1"/>
          <w:bCs w:val="1"/>
          <w:i w:val="1"/>
          <w:iCs w:val="1"/>
          <w:color w:val="auto"/>
        </w:rPr>
        <w:t>We currently only have one product which is approved in the U.S. only for treatment of gait deficit, for MS and otherwise only in Canada and Australia.</w:t>
      </w:r>
    </w:p>
    <w:p>
      <w:pPr>
        <w:spacing w:after="0" w:line="170"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currently have no products authorized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respect of Europe, we are developing the PoNS device for use in the neuromodulation market, but we cannot begin marketing and selling the device in Europe until we obtain applicable authorizations from the European Union (Notified Body).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or rejection of a regulatory application altogether.</w:t>
      </w:r>
    </w:p>
    <w:p>
      <w:pPr>
        <w:spacing w:after="0" w:line="166" w:lineRule="exact"/>
        <w:rPr>
          <w:sz w:val="20"/>
          <w:szCs w:val="20"/>
          <w:color w:val="auto"/>
        </w:rPr>
      </w:pPr>
    </w:p>
    <w:p>
      <w:pPr>
        <w:jc w:val="both"/>
        <w:ind w:left="60" w:right="499"/>
        <w:spacing w:after="0" w:line="311" w:lineRule="auto"/>
        <w:rPr>
          <w:sz w:val="20"/>
          <w:szCs w:val="20"/>
          <w:color w:val="auto"/>
        </w:rPr>
      </w:pPr>
      <w:r>
        <w:rPr>
          <w:rFonts w:ascii="Arial" w:cs="Arial" w:eastAsia="Arial" w:hAnsi="Arial"/>
          <w:sz w:val="16"/>
          <w:szCs w:val="16"/>
          <w:color w:val="auto"/>
        </w:rPr>
        <w:t>We plan to develop the PoNS device for other indications, or symptoms caused by neurological disorders, and will be required to commit our own resources to fund development of any other indications and each would require separate regulatory clearance or other marketing authorization in other territories. The costs of such development efforts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regulatory clearance or other marketing authorization could be substantial and would likely require additional funding, and each such indication would be subject to the same foregoing risks and uncertainties for FDA clearance/authorization.</w:t>
      </w:r>
    </w:p>
    <w:p>
      <w:pPr>
        <w:spacing w:after="0" w:line="12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Worldwide economic and social instability could adversely affect our revenue, financial condition, or results of operations.</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health of the global economy, and the credit markets and the financial services industry in particular, as well as the stability of the social fabric of our society, affects our business and operating results. For example, the credit and financial markets may be adversely affected by the current conflict between Russia and Ukraine and measures taken in response thereto. If the credit markets are not favorable, we may be unable to raise additional financing when needed or on favorable terms. Our customers may experience financial difficulties or be unable to borrow money to fund their operations, which may adversely impact their ability to purchase our products or to pay for our products on a timely basis, if at all. In addition, adverse economic conditions, such as recent supply chain disruptions and labor shortages and persistent inflation, have impacted, and may continue to adversely impact our suppliers’ ability to provide our manufacturer with materials and components, which may negatively impact our business. These economic conditions make it more difficult for us to accurately forecast and plan our future business activities.</w:t>
      </w:r>
    </w:p>
    <w:p>
      <w:pPr>
        <w:spacing w:after="0" w:line="185"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Worldwide economic and social instability could adversely affect our revenue, financial condition, or results of operations.</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health of the global economy, and the credit markets and the financial services industry in particular, as well as the stability of the social fabric of our society, affects our business and operating results. For example, the credit and financial markets may be adversely affected by the current conflict between Russia and Ukraine and measures taken in response thereto. If the credit markets are not favorable, we may be unable to raise additional financing when needed or on favorable terms. Our customers may experience financial difficulties or be unable to borrow money to fund their operations, which may adversely impact their ability to purchase our products or to pay for our products on a timely basis, if at all. In addition, adverse economic conditions, such as recent supply chain disruptions and labor shortages and persistent inflation, have impacted, and may continue to adversely impact our suppliers’ ability to provide our manufacturer with materials and components, which may negatively impact our business. These economic conditions make it more difficult for us to accurately forecast and plan our future business activities.</w:t>
      </w:r>
    </w:p>
    <w:p>
      <w:pPr>
        <w:spacing w:after="0" w:line="185" w:lineRule="exact"/>
        <w:rPr>
          <w:sz w:val="20"/>
          <w:szCs w:val="20"/>
          <w:color w:val="auto"/>
        </w:rPr>
      </w:pPr>
    </w:p>
    <w:p>
      <w:pPr>
        <w:ind w:left="60" w:right="119"/>
        <w:spacing w:after="0" w:line="340" w:lineRule="auto"/>
        <w:rPr>
          <w:sz w:val="20"/>
          <w:szCs w:val="20"/>
          <w:color w:val="auto"/>
        </w:rPr>
      </w:pPr>
      <w:r>
        <w:rPr>
          <w:rFonts w:ascii="Arial" w:cs="Arial" w:eastAsia="Arial" w:hAnsi="Arial"/>
          <w:sz w:val="15"/>
          <w:szCs w:val="15"/>
          <w:b w:val="1"/>
          <w:bCs w:val="1"/>
          <w:i w:val="1"/>
          <w:iCs w:val="1"/>
          <w:color w:val="auto"/>
        </w:rPr>
        <w:t>Our PoNS technology is a novel form of neurostimulation therapy, and the medical community tends not to adopt new therapies very rapidly. If physicians elect not to prescribe the PoNS Therapy, or if we cannot train physical therapists in the supervision of the use of the PoNS Therapy, we will be unable to generate significant revenue, if any.</w:t>
      </w:r>
    </w:p>
    <w:p>
      <w:pPr>
        <w:spacing w:after="0" w:line="131" w:lineRule="exact"/>
        <w:rPr>
          <w:sz w:val="20"/>
          <w:szCs w:val="20"/>
          <w:color w:val="auto"/>
        </w:rPr>
      </w:pPr>
    </w:p>
    <w:p>
      <w:pPr>
        <w:ind w:left="60" w:right="479"/>
        <w:spacing w:after="0" w:line="301" w:lineRule="auto"/>
        <w:rPr>
          <w:sz w:val="20"/>
          <w:szCs w:val="20"/>
          <w:color w:val="auto"/>
        </w:rPr>
      </w:pPr>
      <w:r>
        <w:rPr>
          <w:rFonts w:ascii="Arial" w:cs="Arial" w:eastAsia="Arial" w:hAnsi="Arial"/>
          <w:sz w:val="16"/>
          <w:szCs w:val="16"/>
          <w:color w:val="auto"/>
        </w:rPr>
        <w:t>Our continued deployment strategy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157"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or perceived lack of evidence supporting the beneficial characteristics of our technology;</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long-term data on the use of PoNS technology for therapy;</w:t>
      </w:r>
    </w:p>
    <w:p>
      <w:pPr>
        <w:spacing w:after="0" w:line="6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physicians’ perception that there are insufficient advantages of our product relative to currently available products or compared to supervised therapeutic exercise alone;</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effectively train physical therapists in the supervision of patients’ use of the therapy;</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our commercial infrastructure to successfully launch;</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hospitals may choose not to purchase our product;</w:t>
      </w:r>
    </w:p>
    <w:p>
      <w:pPr>
        <w:spacing w:after="0" w:line="63"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group purchasing organizations may choose not to contract for our product, thus limiting availability of our products to hospital purchasers;</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coverage or adequate payment from managed care plans and other third-party payers for our product;</w:t>
      </w:r>
    </w:p>
    <w:p>
      <w:pPr>
        <w:spacing w:after="0" w:line="74" w:lineRule="exact"/>
        <w:rPr>
          <w:rFonts w:ascii="Arial" w:cs="Arial" w:eastAsia="Arial" w:hAnsi="Arial"/>
          <w:sz w:val="17"/>
          <w:szCs w:val="17"/>
          <w:color w:val="auto"/>
        </w:rPr>
      </w:pP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Medicare, Medicaid or other third-party payers may limit or not permit reimbursement for our product;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or improvement of competitive products.</w:t>
      </w:r>
    </w:p>
    <w:p>
      <w:pPr>
        <w:spacing w:after="0" w:line="225"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There is limited market awareness of our product, and the neuromodulation market is new and uncertain.</w:t>
      </w:r>
    </w:p>
    <w:p>
      <w:pPr>
        <w:spacing w:after="0" w:line="237"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There is currently limited market awareness of our product. In order to succeed, we must, among other things, increase market awareness of our PoNS Therapy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161" w:lineRule="exact"/>
        <w:rPr>
          <w:sz w:val="20"/>
          <w:szCs w:val="20"/>
          <w:color w:val="auto"/>
        </w:rPr>
      </w:pPr>
    </w:p>
    <w:p>
      <w:pPr>
        <w:jc w:val="both"/>
        <w:ind w:left="60" w:right="359"/>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65" w:lineRule="exact"/>
        <w:rPr>
          <w:sz w:val="20"/>
          <w:szCs w:val="20"/>
          <w:color w:val="auto"/>
        </w:rPr>
      </w:pPr>
    </w:p>
    <w:p>
      <w:pPr>
        <w:ind w:left="60" w:right="279"/>
        <w:spacing w:after="0" w:line="254" w:lineRule="auto"/>
        <w:rPr>
          <w:sz w:val="20"/>
          <w:szCs w:val="20"/>
          <w:color w:val="auto"/>
        </w:rPr>
      </w:pPr>
      <w:r>
        <w:rPr>
          <w:rFonts w:ascii="Arial" w:cs="Arial" w:eastAsia="Arial" w:hAnsi="Arial"/>
          <w:sz w:val="18"/>
          <w:szCs w:val="18"/>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9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We are, and will continue to be, dependent in significant part on outside scientists and third-party research institutions for our research and development in order to be able to commercialize our product.</w:t>
      </w:r>
    </w:p>
    <w:p>
      <w:pPr>
        <w:spacing w:after="0" w:line="14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We currently have a limited number of employees and resources available to perform the research and development necessary to commercialize our PoNS Therapy and potential future product candidates. We therefore rely, and will continue to rely, on third-party research institutions, collaborators and consultants for this capability. Such third-party research institutions, collaborators and consultants may determine to cease providing services to us at any time, which would delay our product development and commercialization.</w:t>
      </w:r>
    </w:p>
    <w:p>
      <w:pPr>
        <w:spacing w:after="0" w:line="188"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170"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manufacturers have experienced and could continue to experience difficulties, including, but not limited to, those caused by the COVID-19 pandemic,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QSRs,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77"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18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In order to be successful, we must expand our product lines beyond our PoNS Therapy for gait deficit due to symptoms from MS or balance deficit due to mmTBI, but we may not be able to do so in a timely fashion and at expected costs, or at all.</w:t>
      </w:r>
    </w:p>
    <w:p>
      <w:pPr>
        <w:spacing w:after="0" w:line="184"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order to be successful, we will need to expand our product lines beyond our PoNS Therapy for gait deficit due to symptoms from MS or balance deficit due to mmTBI.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or the U.S. If we fail in bringing our product candidates to market, or experience delays in doing so, we will not generate revenues as planned and will need to curtail operations or seek additional financing earlier than otherwise anticipated.</w:t>
      </w:r>
    </w:p>
    <w:p>
      <w:pPr>
        <w:spacing w:after="0" w:line="166"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w:t>
      </w:r>
    </w:p>
    <w:p>
      <w:pPr>
        <w:spacing w:after="0" w:line="1" w:lineRule="exact"/>
        <w:rPr>
          <w:sz w:val="20"/>
          <w:szCs w:val="20"/>
          <w:color w:val="auto"/>
        </w:rPr>
      </w:pPr>
    </w:p>
    <w:p>
      <w:pPr>
        <w:ind w:left="60" w:right="119" w:hanging="10"/>
        <w:spacing w:after="0" w:line="270" w:lineRule="auto"/>
        <w:tabs>
          <w:tab w:leader="none" w:pos="3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our intellectual property protection is inadequate, competitors may gain access to our technology and undermine our competitive position.</w:t>
      </w:r>
    </w:p>
    <w:p>
      <w:pPr>
        <w:spacing w:after="0" w:line="170"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16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70"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8"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There are risks to our intellectual property based on our international business operations.</w:t>
      </w:r>
    </w:p>
    <w:p>
      <w:pPr>
        <w:spacing w:after="0" w:line="225"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65" w:lineRule="exact"/>
        <w:rPr>
          <w:sz w:val="20"/>
          <w:szCs w:val="20"/>
          <w:color w:val="auto"/>
        </w:rPr>
      </w:pPr>
    </w:p>
    <w:p>
      <w:pPr>
        <w:ind w:left="60" w:right="539"/>
        <w:spacing w:after="0" w:line="342" w:lineRule="auto"/>
        <w:rPr>
          <w:sz w:val="20"/>
          <w:szCs w:val="20"/>
          <w:color w:val="auto"/>
        </w:rPr>
      </w:pPr>
      <w:r>
        <w:rPr>
          <w:rFonts w:ascii="Arial" w:cs="Arial" w:eastAsia="Arial" w:hAnsi="Arial"/>
          <w:sz w:val="16"/>
          <w:szCs w:val="16"/>
          <w:color w:val="auto"/>
        </w:rPr>
        <w:t xml:space="preserve">Before we begin to label and market the PoNS Therapy for new uses in the U.S., we are required to obtain marketing authorization via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and clearance request for our product or approval of pre-market approval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 xml:space="preserve">application from the FDA, unless an exemption from pre-market review applies. We will also be required to comply with costly and more often time-consuming regulatory requirements by foreign regulatory authorities, including Europe, if we want to sell our products in such regions and countries. While we have marketing authorization for the PoNS Therapy in the U.S. for use as a short term treatment of gait deficit due to mild-to-moderate symptoms of MS and in Canada for sale as a class II, non-implantable, medical device for treatment of gait deficit due to symptoms from MS and balance deficit due to mmTBI in conjunction with supervised therapeutic exercise, and marketing authorization in Australia, we have not received regulatory authorization or approval in any other region or country for any indication. The process of obtaining regulatory authorizations or approvals, including completion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to market a medical device can be costly and time consuming, and we may not be able to successfully obtain pre-market reviews on a timely basis, if at all.</w:t>
      </w:r>
    </w:p>
    <w:p>
      <w:pPr>
        <w:spacing w:after="0" w:line="18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pacing w:after="0" w:line="182"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The FDA has substantial discretion in the de novo review process and may refuse to accept any future application(s)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w:t>
      </w:r>
    </w:p>
    <w:p>
      <w:pPr>
        <w:spacing w:after="0" w:line="171" w:lineRule="exact"/>
        <w:rPr>
          <w:sz w:val="20"/>
          <w:szCs w:val="20"/>
          <w:color w:val="auto"/>
        </w:rPr>
      </w:pPr>
    </w:p>
    <w:p>
      <w:pPr>
        <w:jc w:val="both"/>
        <w:ind w:left="60" w:right="439"/>
        <w:spacing w:after="0" w:line="311" w:lineRule="auto"/>
        <w:rPr>
          <w:sz w:val="20"/>
          <w:szCs w:val="20"/>
          <w:color w:val="auto"/>
        </w:rPr>
      </w:pPr>
      <w:r>
        <w:rPr>
          <w:rFonts w:ascii="Arial" w:cs="Arial" w:eastAsia="Arial" w:hAnsi="Arial"/>
          <w:sz w:val="16"/>
          <w:szCs w:val="16"/>
          <w:color w:val="auto"/>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spacing w:after="0" w:line="14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9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Obtaining and maintaining FDA marketing authorization will be costly, may result in time-consuming delays and will subject us to ongoing compliance costs and regulatory risk for non-compliance.</w:t>
      </w:r>
    </w:p>
    <w:p>
      <w:pPr>
        <w:spacing w:after="0" w:line="17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 xml:space="preserve">Even though we have obtained FDA market clearance for our product as a treatment for MS, obtaining FDA marketing authorization,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FDA can delay, limit or deny authorization of a device for many reasons, including:</w:t>
      </w:r>
    </w:p>
    <w:p>
      <w:pPr>
        <w:spacing w:after="0" w:line="225" w:lineRule="exact"/>
        <w:rPr>
          <w:sz w:val="20"/>
          <w:szCs w:val="20"/>
          <w:color w:val="auto"/>
        </w:rPr>
      </w:pPr>
    </w:p>
    <w:p>
      <w:pPr>
        <w:ind w:left="720" w:right="9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 candidate is safe and effective for its intended users;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3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authorization, where required; and</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left="60" w:right="179"/>
        <w:spacing w:after="0" w:line="279" w:lineRule="auto"/>
        <w:rPr>
          <w:sz w:val="20"/>
          <w:szCs w:val="20"/>
          <w:color w:val="auto"/>
        </w:rPr>
      </w:pPr>
      <w:r>
        <w:rPr>
          <w:rFonts w:ascii="Arial" w:cs="Arial" w:eastAsia="Arial" w:hAnsi="Arial"/>
          <w:sz w:val="17"/>
          <w:szCs w:val="17"/>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71"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 xml:space="preserve">Obtaining market authorization for our product as a treatment for additional indications will require a 510(k) clearance,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and clearance, or pre-market approval under which the FDA will likely place substantial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how our device is marketed or sold. Moreover,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185"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of repair, replacement, refunds, detention or seizure of our products;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or delaying requests for marketing authorization of new products or modified products;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marketing authorizations that have already been granted;</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124"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b w:val="1"/>
          <w:bCs w:val="1"/>
          <w:i w:val="1"/>
          <w:iCs w:val="1"/>
          <w:color w:val="auto"/>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spacing w:after="0" w:line="165" w:lineRule="exact"/>
        <w:rPr>
          <w:sz w:val="20"/>
          <w:szCs w:val="20"/>
          <w:color w:val="auto"/>
        </w:rPr>
      </w:pPr>
    </w:p>
    <w:p>
      <w:pPr>
        <w:ind w:left="60" w:right="279"/>
        <w:spacing w:after="0" w:line="271" w:lineRule="auto"/>
        <w:rPr>
          <w:sz w:val="20"/>
          <w:szCs w:val="20"/>
          <w:color w:val="auto"/>
        </w:rPr>
      </w:pPr>
      <w:r>
        <w:rPr>
          <w:rFonts w:ascii="Arial" w:cs="Arial" w:eastAsia="Arial" w:hAnsi="Arial"/>
          <w:sz w:val="17"/>
          <w:szCs w:val="17"/>
          <w:color w:val="auto"/>
        </w:rPr>
        <w:t xml:space="preserve">In order to commercialize our product candidate in the U.S. with respect to specified indications,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process, or is not exempt from premarket review by the FDA. In April 2019, the FDA declined our </w:t>
      </w:r>
      <w:r>
        <w:rPr>
          <w:rFonts w:ascii="Arial" w:cs="Arial" w:eastAsia="Arial" w:hAnsi="Arial"/>
          <w:sz w:val="17"/>
          <w:szCs w:val="17"/>
          <w:color w:val="231F20"/>
        </w:rPr>
        <w:t>request for</w:t>
      </w:r>
      <w:r>
        <w:rPr>
          <w:rFonts w:ascii="Arial" w:cs="Arial" w:eastAsia="Arial" w:hAnsi="Arial"/>
          <w:sz w:val="17"/>
          <w:szCs w:val="17"/>
          <w:color w:val="auto"/>
        </w:rPr>
        <w:t xml:space="preserve"> </w:t>
      </w:r>
      <w:r>
        <w:rPr>
          <w:rFonts w:ascii="Arial" w:cs="Arial" w:eastAsia="Arial" w:hAnsi="Arial"/>
          <w:sz w:val="17"/>
          <w:szCs w:val="17"/>
          <w:i w:val="1"/>
          <w:iCs w:val="1"/>
          <w:color w:val="231F20"/>
        </w:rPr>
        <w:t>de novo</w:t>
      </w:r>
      <w:r>
        <w:rPr>
          <w:rFonts w:ascii="Arial" w:cs="Arial" w:eastAsia="Arial" w:hAnsi="Arial"/>
          <w:sz w:val="17"/>
          <w:szCs w:val="17"/>
          <w:color w:val="auto"/>
        </w:rPr>
        <w:t xml:space="preserve"> </w:t>
      </w:r>
      <w:r>
        <w:rPr>
          <w:rFonts w:ascii="Arial" w:cs="Arial" w:eastAsia="Arial" w:hAnsi="Arial"/>
          <w:sz w:val="17"/>
          <w:szCs w:val="17"/>
          <w:color w:val="231F20"/>
        </w:rPr>
        <w:t>classification and clearance for mmTBI, in part due to insufficient clinical evidence regarding</w:t>
      </w:r>
      <w:r>
        <w:rPr>
          <w:rFonts w:ascii="Arial" w:cs="Arial" w:eastAsia="Arial" w:hAnsi="Arial"/>
          <w:sz w:val="17"/>
          <w:szCs w:val="17"/>
          <w:color w:val="auto"/>
        </w:rPr>
        <w:t xml:space="preserve"> </w:t>
      </w:r>
      <w:r>
        <w:rPr>
          <w:rFonts w:ascii="Arial" w:cs="Arial" w:eastAsia="Arial" w:hAnsi="Arial"/>
          <w:sz w:val="17"/>
          <w:szCs w:val="17"/>
          <w:color w:val="231F20"/>
        </w:rPr>
        <w:t xml:space="preserve">effectiveness of our product from mmTBI. Following a pre-submission meeting with the FDA, </w:t>
      </w:r>
      <w:r>
        <w:rPr>
          <w:rFonts w:ascii="Arial" w:cs="Arial" w:eastAsia="Arial" w:hAnsi="Arial"/>
          <w:sz w:val="17"/>
          <w:szCs w:val="17"/>
          <w:color w:val="000000"/>
        </w:rPr>
        <w:t>we are assessing the</w:t>
      </w:r>
      <w:r>
        <w:rPr>
          <w:rFonts w:ascii="Arial" w:cs="Arial" w:eastAsia="Arial" w:hAnsi="Arial"/>
          <w:sz w:val="17"/>
          <w:szCs w:val="17"/>
          <w:color w:val="231F20"/>
        </w:rPr>
        <w:t xml:space="preserve"> </w:t>
      </w:r>
      <w:r>
        <w:rPr>
          <w:rFonts w:ascii="Arial" w:cs="Arial" w:eastAsia="Arial" w:hAnsi="Arial"/>
          <w:sz w:val="17"/>
          <w:szCs w:val="17"/>
          <w:color w:val="000000"/>
        </w:rPr>
        <w:t>feasibility of a clinical program to advance the development of a study aimed to obtain clearance for gait and balance deficits in mmTBI if nondilutive financing to fund the program becomes available.</w:t>
      </w:r>
    </w:p>
    <w:p>
      <w:pPr>
        <w:spacing w:after="0" w:line="178"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satisfaction of the FDA, through well designed and properly conducted clinical trials, that our product candidate is safe, effective, and otherwise meet the appropriate standards required for marketing authorization for specified indications.</w:t>
      </w:r>
    </w:p>
    <w:p>
      <w:pPr>
        <w:spacing w:after="0" w:line="124"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8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are currently in the process of preparing to commence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6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 commercialization, which would harm our business, financial condition, and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substantially dependent on third parties to conduct our clinical trials.</w:t>
      </w:r>
    </w:p>
    <w:p>
      <w:pPr>
        <w:spacing w:after="0" w:line="225"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auto"/>
        </w:rPr>
        <w:t>Since we may conduct clinical trials to obtain FDA marketing authorization, we will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91"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7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may be required to suspend or discontinue clinical trials due to side effects or other safety risks that could preclude approval of our products.</w:t>
      </w:r>
    </w:p>
    <w:p>
      <w:pPr>
        <w:spacing w:after="0" w:line="170" w:lineRule="exact"/>
        <w:rPr>
          <w:sz w:val="20"/>
          <w:szCs w:val="20"/>
          <w:color w:val="auto"/>
        </w:rPr>
      </w:pPr>
    </w:p>
    <w:p>
      <w:pPr>
        <w:ind w:left="60" w:right="399"/>
        <w:spacing w:after="0" w:line="257" w:lineRule="auto"/>
        <w:rPr>
          <w:sz w:val="20"/>
          <w:szCs w:val="20"/>
          <w:color w:val="auto"/>
        </w:rPr>
      </w:pPr>
      <w:r>
        <w:rPr>
          <w:rFonts w:ascii="Arial" w:cs="Arial" w:eastAsia="Arial" w:hAnsi="Arial"/>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8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149"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We plan to submit an application to the U.S. Department of Health and Human Services for a reimbursement code so that the PoNS device is covered under Medicare and Medicaid. However,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16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suppliers are unable to obtain coverage or adequate reimbursement for our products, our product will not likely be widely used.</w:t>
      </w:r>
    </w:p>
    <w:p>
      <w:pPr>
        <w:spacing w:after="0" w:line="170"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On January 12, 2021, the CMS stated that it was finalizing a new Medicare coverage pathway, MCIT for FDA-designated breakthrough medical devices. The purpose of the MCIT rule was to provide national Medicare coverage as early as the same day as FDA market authorization for breakthrough devices and coverage would last for four years. Under its terms, manufacturers were to have been able to opt-in to MCIT and choose a start date for coverage anytime within two years from the date of FDA market authorization. In November 2021, the MCIT was rescinded and therefore we could not rely on MCIT for purposes of obtaining Medicare coverage for our product. Suppliers that purchase our product to distribute to patients for treatment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Suppliers are not likely to furnish our product and any future products if they do not receive adequate reimbursement for the procedures utilizing our products.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products face in the market and could have a material adverse effect on our business.</w:t>
      </w:r>
    </w:p>
    <w:p>
      <w:pPr>
        <w:spacing w:after="0" w:line="182"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healthcare industry in the U.S. has experienced a trend toward cost containment as government and private payers seek to control healthcare costs by paying service providers lower rates. While we believe that suppliers will be able to obtain coverage for procedures using our products, the level of payment available to them for such procedures may change over time. State and federal healthcare programs, such as Medicare and Medicaid, closely regulate program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suppliers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suppliers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suppliers could adversely affect our ability to market, sell our products, and negatively affect our financial performance.</w:t>
      </w:r>
    </w:p>
    <w:p>
      <w:pPr>
        <w:spacing w:after="0" w:line="171"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7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are subject to numerous healthcare laws that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w:t>
      </w:r>
    </w:p>
    <w:p>
      <w:pPr>
        <w:spacing w:after="0" w:line="188" w:lineRule="exact"/>
        <w:rPr>
          <w:sz w:val="20"/>
          <w:szCs w:val="20"/>
          <w:color w:val="auto"/>
        </w:rPr>
      </w:pPr>
    </w:p>
    <w:p>
      <w:pPr>
        <w:ind w:left="720" w:right="99" w:hanging="319"/>
        <w:spacing w:after="0" w:line="269"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medical device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63" w:lineRule="auto"/>
        <w:rPr>
          <w:sz w:val="20"/>
          <w:szCs w:val="20"/>
          <w:color w:val="auto"/>
        </w:rPr>
      </w:pPr>
      <w:r>
        <w:rPr>
          <w:rFonts w:ascii="Arial" w:cs="Arial" w:eastAsia="Arial" w:hAnsi="Arial"/>
          <w:sz w:val="18"/>
          <w:szCs w:val="18"/>
          <w:color w:val="auto"/>
        </w:rPr>
        <w:t>requirements of a particular statutory exception or regulatory safe harbor does not make the conduct per se illegal under the Anti-Kickback Statute, but the legality of the arrangement will be evaluated on a case by case basis based on the totality of the facts and circumstances.</w:t>
      </w:r>
    </w:p>
    <w:p>
      <w:pPr>
        <w:spacing w:after="0" w:line="22" w:lineRule="exact"/>
        <w:rPr>
          <w:sz w:val="20"/>
          <w:szCs w:val="20"/>
          <w:color w:val="auto"/>
        </w:rPr>
      </w:pPr>
    </w:p>
    <w:p>
      <w:pPr>
        <w:ind w:left="720" w:right="119" w:hanging="319"/>
        <w:spacing w:after="0" w:line="252"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civil False Claims Act qui tam actions, on behalf of the government and such individuals may share in amounts paid by the entity to the government in recovery or settlement. In addition,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37" w:lineRule="exact"/>
        <w:rPr>
          <w:rFonts w:ascii="Arial" w:cs="Arial" w:eastAsia="Arial" w:hAnsi="Arial"/>
          <w:sz w:val="18"/>
          <w:szCs w:val="18"/>
          <w:color w:val="auto"/>
        </w:rPr>
      </w:pPr>
    </w:p>
    <w:p>
      <w:pPr>
        <w:ind w:left="720" w:right="99" w:hanging="319"/>
        <w:spacing w:after="0" w:line="291"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HIPAA, among other things, imposes criminal and civil liability for knowingly and willfully executing a scheme to defraud any healthcare benefit program, including private third party payors,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4" w:lineRule="exact"/>
        <w:rPr>
          <w:rFonts w:ascii="Arial" w:cs="Arial" w:eastAsia="Arial" w:hAnsi="Arial"/>
          <w:sz w:val="16"/>
          <w:szCs w:val="16"/>
          <w:color w:val="auto"/>
        </w:rPr>
      </w:pPr>
    </w:p>
    <w:p>
      <w:pPr>
        <w:ind w:left="720" w:right="159" w:hanging="319"/>
        <w:spacing w:after="0" w:line="272"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p>
      <w:pPr>
        <w:spacing w:after="0" w:line="15" w:lineRule="exact"/>
        <w:rPr>
          <w:rFonts w:ascii="Arial" w:cs="Arial" w:eastAsia="Arial" w:hAnsi="Arial"/>
          <w:sz w:val="17"/>
          <w:szCs w:val="17"/>
          <w:color w:val="auto"/>
        </w:rPr>
      </w:pPr>
    </w:p>
    <w:p>
      <w:pPr>
        <w:ind w:left="720" w:right="199" w:hanging="31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any third party payors, including private insurers or patients.</w:t>
      </w:r>
    </w:p>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178"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87"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184"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84"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spacing w:after="0" w:line="15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84"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8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8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64" w:lineRule="exact"/>
        <w:rPr>
          <w:sz w:val="20"/>
          <w:szCs w:val="20"/>
          <w:color w:val="auto"/>
        </w:rPr>
      </w:pPr>
    </w:p>
    <w:p>
      <w:pPr>
        <w:ind w:left="60" w:right="239"/>
        <w:spacing w:after="0" w:line="287" w:lineRule="auto"/>
        <w:rPr>
          <w:sz w:val="20"/>
          <w:szCs w:val="20"/>
          <w:color w:val="auto"/>
        </w:rPr>
      </w:pPr>
      <w:r>
        <w:rPr>
          <w:rFonts w:ascii="Arial" w:cs="Arial" w:eastAsia="Arial" w:hAnsi="Arial"/>
          <w:sz w:val="16"/>
          <w:szCs w:val="16"/>
          <w:b w:val="1"/>
          <w:bCs w:val="1"/>
          <w:i w:val="1"/>
          <w:iCs w:val="1"/>
          <w:color w:val="auto"/>
        </w:rPr>
        <w:t>After commercialization, 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72"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imposition of civil monetary penalties, revocation of our device clearance or approval, seizure of our products or delay in clearance or approval of future products.</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w:t>
      </w:r>
    </w:p>
    <w:p>
      <w:pPr>
        <w:spacing w:after="0" w:line="187"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66"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184"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refusing or delaying our requests for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clearance, PMA approval, NDA, or BLA of new products or modified products;</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7"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24"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6" w:lineRule="auto"/>
        <w:rPr>
          <w:sz w:val="20"/>
          <w:szCs w:val="20"/>
          <w:color w:val="auto"/>
        </w:rPr>
      </w:pPr>
      <w:r>
        <w:rPr>
          <w:rFonts w:ascii="Arial" w:cs="Arial" w:eastAsia="Arial" w:hAnsi="Arial"/>
          <w:sz w:val="17"/>
          <w:szCs w:val="17"/>
          <w:color w:val="auto"/>
        </w:rPr>
        <w:t>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70"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We may find that the costs of carrying out our plan of operations are greater than we anticipate. We expect our expenses to increase over time in connection with our ongoing activities, particularly if and as we: expand our commercialization efforts of our PoNS device in the U.S. for MS; make improvements to our manufacturing process and product design; launch clinical trials for stroke and other 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build an effective distribution network for our product.</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currently have very few employees and we may either build internal capabilities or rely on distributors to sell our product. We cannot assure you that we will succeed in building an internal team or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resources with significant technical knowledge. In addition, the commissions we pay for product sales could increase over time, which would result in higher sales and marketing expenses. Furthermore, if we were to rely on distributors, the current and potential distributors may market and sell the products of our competitors. Even if the distributors market and sell our product, our competitors may be able, by offering higher commission payments or other incentives,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17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124"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In June 2016, a referendum was passed in the United Kingdom to leave the European Union, commonly referred to as “Brexit.” This decision created an uncertain political and economic environment in the United Kingdom and other European Union countries. The United Kingdom formally left the European Union on January 31, 2020 and the transition period provided for in the withdrawal agreement entered by the United Kingdom and the European Union ended on December 31, 2020. In December 2020, the United Kingdom and the European Union agreed on a trade and cooperation agreement that will apply provisionally after the end of the transition period until it is ratified by the parties to the agreement. On December 31, 2020, the United Kingdom passed legislation giving effect to the trade and cooperation agreement, with the European Union formally adopting the agreement in April 2021. The trade and cooperation agreement covers the general objectives and framework of the relationship between the United Kingdom and the European Union. Depending on the application of the terms of the trade and cooperation agreement, we could face new regulatory costs and challenges.</w:t>
      </w:r>
    </w:p>
    <w:p>
      <w:pPr>
        <w:spacing w:after="0" w:line="182"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85"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In December 2018, we submitted an application for a CE Mark, which, if approved, would allow us to market the PoNS device in the European Union.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6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As a result of the use of our product in clinical trials, and through the sale of our products, we may be liable for product liability claims and we may not carry sufficient product liability insurance.</w:t>
      </w:r>
    </w:p>
    <w:p>
      <w:pPr>
        <w:spacing w:after="0" w:line="170"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management’s time and attention. If we are sued for any injury allegedly caused by our future products, our liability could exceed our total assets and our ability to pay the liability.</w:t>
      </w:r>
    </w:p>
    <w:p>
      <w:pPr>
        <w:spacing w:after="0" w:line="170" w:lineRule="exact"/>
        <w:rPr>
          <w:sz w:val="20"/>
          <w:szCs w:val="20"/>
          <w:color w:val="auto"/>
        </w:rPr>
      </w:pPr>
    </w:p>
    <w:p>
      <w:pPr>
        <w:ind w:left="60" w:right="479"/>
        <w:spacing w:after="0" w:line="381" w:lineRule="auto"/>
        <w:rPr>
          <w:sz w:val="20"/>
          <w:szCs w:val="20"/>
          <w:color w:val="auto"/>
        </w:rPr>
      </w:pPr>
      <w:r>
        <w:rPr>
          <w:rFonts w:ascii="Arial" w:cs="Arial" w:eastAsia="Arial" w:hAnsi="Arial"/>
          <w:sz w:val="15"/>
          <w:szCs w:val="15"/>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00"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81"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184"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such as the material weakness we identified in October 2019, could affect the accuracy and timing of our financial reporting.</w:t>
      </w:r>
    </w:p>
    <w:p>
      <w:pPr>
        <w:spacing w:after="0" w:line="1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Several people who work for us on a part-time consulting basis may be subject to conflicts of interest.</w:t>
      </w:r>
    </w:p>
    <w:p>
      <w:pPr>
        <w:spacing w:after="0" w:line="22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8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cyber-security.</w:t>
      </w:r>
    </w:p>
    <w:p>
      <w:pPr>
        <w:spacing w:after="0" w:line="170"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in October 2019, we were the victim of a business email compromise fraud which resulted in our incurring a loss of approximately $0.1 million. If any such attack, intrusion or other event were to occur and cause interruptions in our operations,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security breach was to result in a loss of or damage to our data</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or applications, or inappropriate disclosure of confidential or proprietary information, we could incur material legal claims and liability, damage to our reputation, and the further development of the PoNS device or any future product candidate could be delayed. If a security breach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breaches or attacks.</w:t>
      </w:r>
    </w:p>
    <w:p>
      <w:pPr>
        <w:spacing w:after="0" w:line="192"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184" w:lineRule="exact"/>
        <w:rPr>
          <w:sz w:val="20"/>
          <w:szCs w:val="20"/>
          <w:color w:val="auto"/>
        </w:rPr>
      </w:pPr>
    </w:p>
    <w:p>
      <w:pPr>
        <w:ind w:left="60" w:right="399"/>
        <w:spacing w:after="0" w:line="272" w:lineRule="auto"/>
        <w:rPr>
          <w:sz w:val="20"/>
          <w:szCs w:val="20"/>
          <w:color w:val="auto"/>
        </w:rPr>
      </w:pPr>
      <w:r>
        <w:rPr>
          <w:rFonts w:ascii="Arial" w:cs="Arial" w:eastAsia="Arial" w:hAnsi="Arial"/>
          <w:sz w:val="17"/>
          <w:szCs w:val="17"/>
          <w:color w:val="auto"/>
        </w:rPr>
        <w:t>We operate, or intend to operate, in a number of tax jurisdictions globally, including in the U.S.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77" w:lineRule="exact"/>
        <w:rPr>
          <w:sz w:val="20"/>
          <w:szCs w:val="20"/>
          <w:color w:val="auto"/>
        </w:rPr>
      </w:pPr>
    </w:p>
    <w:p>
      <w:pPr>
        <w:ind w:left="60" w:right="219"/>
        <w:spacing w:after="0" w:line="289" w:lineRule="auto"/>
        <w:rPr>
          <w:sz w:val="20"/>
          <w:szCs w:val="20"/>
          <w:color w:val="auto"/>
        </w:rPr>
      </w:pPr>
      <w:r>
        <w:rPr>
          <w:rFonts w:ascii="Arial" w:cs="Arial" w:eastAsia="Arial" w:hAnsi="Arial"/>
          <w:sz w:val="16"/>
          <w:szCs w:val="16"/>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6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particular, on December 22, 2017, the Tax Cuts &amp; Jobs Act, or TCJA, was signed into law. That legislation, as modified by the Coronavirus Aid, Relief, and Economic Security Act, or CARES Act, significantly changed U.S. tax law by, among other things, lowering the U.S. federal corporate income tax rate from 35% to 21%, implementing a modified territorial tax system and imposing a transition tax on deemed repatriated earnings of foreign subsidiaries, or the Section 965 Transition Tax. Certain changes established by the TCJA increased our effective tax rate in prior years, including a new income inclusion item for global intangible low-taxed income, or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 new limitation of the deduction for NOLs to 80% of current year taxable income (other than as temporarily modified by the CARES Act), elimination of NOL carrybacks for NOLs arising after December 31, 2017 (other than as permitted under the CARES Act with respect to NOLs arising in 2018, 2019, and 2020) and the allowance of the indefinite carryforward of such NOLs, and increased bonus depreciation from 50% to 100% for certain qualified property.</w:t>
      </w:r>
    </w:p>
    <w:p>
      <w:pPr>
        <w:spacing w:after="0" w:line="168"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 The impact of these changes on holders of our securities is also uncertain and could be adverse.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We could be delisted from The Nasdaq Capital Market, which could seriously harm the liquidity of our stock and our ability to raise capital.</w:t>
      </w:r>
    </w:p>
    <w:p>
      <w:pPr>
        <w:spacing w:after="0" w:line="170"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Our common stock is listed on the Nasdaq Capital Market under the symbol “HSDT”. In order to maintain that listing, we must satisfy minimum financial and other requirements including, without limitation, the minimum stockholders equity requirement and the minimum bid price requirement. There can be no assurances that we will be successful in maintaining, or if we fall out of compliance, in regaining compliance with the continued listing requirements and maintaining the listing of our common stock on the Nasdaq Capital Market. Delisting from Nasdaq could adversely affect our ability to raise additional financing through the public or private sale of equity securities and we would incur additional costs under requirements of state “blue sky” laws in connection with any sales of our securities. Delisting could also have other negative results, including the potential loss of confidence by employees, the loss of institutional investor interest and fewer business development opportunities.</w:t>
      </w:r>
    </w:p>
    <w:p>
      <w:pPr>
        <w:spacing w:after="0" w:line="181"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w:t>
      </w:r>
    </w:p>
    <w:p>
      <w:pPr>
        <w:spacing w:after="0" w:line="17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In addition, if our common stock is delisted from the Nasdaq Capital Market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6"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On September 19, 2022, we received written notice (the “Notification Letter”) from The Nasdaq Stock Market LLC (“Nasdaq”) notifying us that the Company was not in compliance with the minimum bid price requirements set forth in Nasdaq Listing 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common stock for the 30 consecutive business days prior to the date of the Notification Letter, the Company did not meet the minimum closing bid price requirement. To regain compliance, the closing bid price of the Company’s common stock must be at least $1.00 per share for a minimum of 10 consecutive business days at any time prior to March 20, 2023. There can be no assurance that we will be able to regain compliance with the minimum bid price requirement and other Nasdaq listing criteria. If we fail to meet the applicable continued listing requirements for the Nasdaq Capital Market, Nasdaq may delist our common stock.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the Nasdaq Capital Market may be negatively impacted by this new Nasdaq rule.</w:t>
      </w:r>
    </w:p>
    <w:p>
      <w:pPr>
        <w:spacing w:after="0" w:line="190"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on The Nasdaq Capital Market may not continue to develop or be sustained.</w:t>
      </w:r>
    </w:p>
    <w:p>
      <w:pPr>
        <w:spacing w:after="0" w:line="170"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17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170"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Our common stock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6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8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4"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29"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vote and only for cause;</w:t>
      </w:r>
    </w:p>
    <w:p>
      <w:pPr>
        <w:spacing w:after="0" w:line="42"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are not be permitted to take actions by written consent;</w:t>
      </w:r>
    </w:p>
    <w:p>
      <w:pPr>
        <w:spacing w:after="0" w:line="7"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9" w:lineRule="exact"/>
        <w:rPr>
          <w:rFonts w:ascii="Arial" w:cs="Arial" w:eastAsia="Arial" w:hAnsi="Arial"/>
          <w:sz w:val="18"/>
          <w:szCs w:val="18"/>
          <w:color w:val="auto"/>
        </w:rPr>
      </w:pPr>
    </w:p>
    <w:p>
      <w:pPr>
        <w:ind w:left="720" w:right="139" w:hanging="319"/>
        <w:spacing w:after="0" w:line="26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4"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w:t>
      </w:r>
    </w:p>
    <w:p>
      <w:pPr>
        <w:spacing w:after="0" w:line="35" w:lineRule="exact"/>
        <w:rPr>
          <w:sz w:val="20"/>
          <w:szCs w:val="20"/>
          <w:color w:val="auto"/>
        </w:rPr>
      </w:pPr>
    </w:p>
    <w:p>
      <w:pPr>
        <w:jc w:val="both"/>
        <w:ind w:left="60" w:right="79" w:hanging="10"/>
        <w:spacing w:after="0" w:line="281" w:lineRule="auto"/>
        <w:tabs>
          <w:tab w:leader="none" w:pos="2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w:t>
      </w:r>
    </w:p>
    <w:p>
      <w:pPr>
        <w:spacing w:after="0" w:line="1" w:lineRule="exact"/>
        <w:rPr>
          <w:rFonts w:ascii="Arial" w:cs="Arial" w:eastAsia="Arial" w:hAnsi="Arial"/>
          <w:sz w:val="16"/>
          <w:szCs w:val="16"/>
          <w:color w:val="auto"/>
        </w:rPr>
      </w:pPr>
    </w:p>
    <w:p>
      <w:pPr>
        <w:ind w:left="60" w:right="99" w:hanging="10"/>
        <w:spacing w:after="0" w:line="283" w:lineRule="auto"/>
        <w:tabs>
          <w:tab w:leader="none" w:pos="3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183"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84"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paid any dividends and do not foresee paying dividends in the future.</w:t>
      </w:r>
    </w:p>
    <w:p>
      <w:pPr>
        <w:spacing w:after="0" w:line="225"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18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 decline in the price of our common stock could affect our ability to raise any required working capital and adversely affect our operations.</w:t>
      </w:r>
    </w:p>
    <w:p>
      <w:pPr>
        <w:spacing w:after="0" w:line="170"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public and private offerings of our common stock and warrants and exercises of options and warrants,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195"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5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 leases corporate office space in Newtown, Pennsylvania and Ewing, New Jersey under operating leases that expire in March 2025 and January 2024, respectively. The leases do not contain any options to extend. We believe our current facilities are adequate for our needs.</w:t>
      </w:r>
    </w:p>
    <w:p>
      <w:pPr>
        <w:spacing w:after="0" w:line="180"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spacing w:after="0" w:line="188"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40" w:right="79" w:hanging="109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traded on the Nasdaq under the symbol “HSDT”.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As of March 6, 2023, there were approximately 53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We have never paid any cash dividends on our common stock and have no current plans to pay any cash dividends. Our current policy is to retain any future earnings for use in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right="99" w:hanging="109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consolidated financial statements and related notes included elsewhere in this Form 10-K. Further, you should read the following discussion and analysis of our financial condition and results of operations together with “Item 1A. Risk Factors” included elsewhere in this Form 10-K for a discussion of important factors that could cause actual results to differ materially from the results described in or implied by the forward-looking statements contained in the following discussion and analysis. See also “Forward-Looking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70"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has marketing clearance in the U.S. for use in the U.S.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for use as a short term treatment (14 weeks) of chronic balance deficit due to mild-to-moderate traumatic brain injury, or mmTBI, and is to be used in conjunction with physical therapy, or PoNS TherapyTM; (ii) for use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of Independent Registered Public Accounting Firm for Fiscal 2022</w:t>
      </w:r>
    </w:p>
    <w:p>
      <w:pPr>
        <w:spacing w:after="0" w:line="225" w:lineRule="exact"/>
        <w:rPr>
          <w:sz w:val="20"/>
          <w:szCs w:val="20"/>
          <w:color w:val="auto"/>
        </w:rPr>
      </w:pPr>
    </w:p>
    <w:p>
      <w:pPr>
        <w:ind w:left="60" w:right="279"/>
        <w:spacing w:after="0" w:line="291" w:lineRule="auto"/>
        <w:rPr>
          <w:sz w:val="20"/>
          <w:szCs w:val="20"/>
          <w:color w:val="auto"/>
        </w:rPr>
      </w:pPr>
      <w:r>
        <w:rPr>
          <w:rFonts w:ascii="Arial" w:cs="Arial" w:eastAsia="Arial" w:hAnsi="Arial"/>
          <w:sz w:val="16"/>
          <w:szCs w:val="16"/>
          <w:color w:val="auto"/>
        </w:rPr>
        <w:t>In September 2022, the Audit Committee of the Board (i) engaged Baker Tilly US, LLP (“Baker Tilly”) to serve as the Company’s independent registered public accounting firm for the Company’s fiscal year ending December 31, 2022, and</w:t>
      </w:r>
    </w:p>
    <w:p>
      <w:pPr>
        <w:ind w:left="60" w:right="119" w:hanging="10"/>
        <w:spacing w:after="0" w:line="260" w:lineRule="auto"/>
        <w:tabs>
          <w:tab w:leader="none" w:pos="3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determined to dismiss BDO USA, LLP (“BDO”), the Company’s independent registered public accounting firm for the year ending December 31,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Updates</w:t>
      </w:r>
    </w:p>
    <w:p>
      <w:pPr>
        <w:spacing w:after="0" w:line="225"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We began accepting prescriptions for PoNS in the U.S. in the first quarter of 2022, and our first commercial sales began in April 2022. Presently, PoNS Therapy is not covered by Center for Medicare and Medicaid (“CMS”) or reimbursed by any third-party payors in the US.</w:t>
      </w:r>
    </w:p>
    <w:p>
      <w:pPr>
        <w:spacing w:after="0" w:line="18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In June 2022, the Company launched the Patient Therapy Access Program (“PTAP”) program, which will provide qualifying patients access to PoNS therapy at a significantly reduced price. To qualify for the PTAP pricing, the patient must provide a letter of medical necessity and consent to the release of their medical records for the last two years. Because of the significantly reduced price, the patient must also sign a document that prohibits him/her from submitting a reimbursement claim to third-party payers. PTAP participants will also be invited to join the Company’s registry program, which is designed to collect important health information to establish the value of PoNS on key therapeutic outcomes and will supplement the data collected through clinical trials and real-world data. The Company began processing orders under the PTAP program in June 2022, which is expected to run through June 2023.</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December 2022, we launched an e-commerce site in the US to make it easier for patients to obtain PoNS systems. Accessed via ponstherapy.com, the site is powered through a new partnership with UpScriptHealth, a leading telehealth company focused on making medications and devices available direct-to-consumer. UpScriptHealth’s platform provides for</w:t>
      </w:r>
    </w:p>
    <w:p>
      <w:pPr>
        <w:spacing w:after="0" w:line="2" w:lineRule="exact"/>
        <w:rPr>
          <w:sz w:val="20"/>
          <w:szCs w:val="20"/>
          <w:color w:val="auto"/>
        </w:rPr>
      </w:pPr>
    </w:p>
    <w:p>
      <w:pPr>
        <w:ind w:left="60" w:right="179" w:hanging="10"/>
        <w:spacing w:after="0" w:line="302" w:lineRule="auto"/>
        <w:tabs>
          <w:tab w:leader="none" w:pos="3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spacing w:after="0" w:line="15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move forward and collect additional clinical and real-world data. As such, through our ongoing PoNSTEP study and upcoming registry program, we plan to resubmit for unique HCPCS codes upon availability of a body of evidence that we consider adequate and sufficient to address CMS’s questions. We expect to meet again with CMS in June 2023.</w:t>
      </w:r>
    </w:p>
    <w:p>
      <w:pPr>
        <w:spacing w:after="0" w:line="168"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The Company will continue monitoring the development of CMS’s new pathway for coverage of innovative new devices, Transitional Coverage of Emerging Technology (“TCET”), which is replacing the repealed Medicare Coverage of Innovative Technologies (“MCIT”) rule. CMS is expected to share more about TCET with the public for comments in 2023. As we follow the evolution of TCET, we will continue to assess our evidence generation strategy to reach the greatest potential to gain CMS reimbursement benefits as a result of our Breakthrough designation in MS.</w:t>
      </w:r>
    </w:p>
    <w:p>
      <w:pPr>
        <w:spacing w:after="0" w:line="161"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78"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entered into the Exclusivity Agreement with HTC, whereby, subject to certain terms and conditions, we granted to HTC the exclusive right to provide the PoNS Therapy in the Fraser Valley and Vancouver metro regions of British Columbia, where HTC has operated a PoNS authorized clinic since February 2019. HTC is to purchase the PoNS devices for use in these regions exclusively from us and on terms no less favorable than the then-current standard terms and conditions. This Exclusivity Agreement replaces the previous Co-Promotion Agreement between the parties dated October 2019. This exclusivity right was granted for a value of CAD$273 thousand which is represented by the unamortized payment that we received from HTC under the Co-Promotion Agreement and has an initial term of five years, renewable by HTC for one additional five-year term upon sixty days’ written notice to us.</w:t>
      </w:r>
    </w:p>
    <w:p>
      <w:pPr>
        <w:spacing w:after="0" w:line="178"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As discussed further in Note 8 to our Consolidated Financial Statements, in August 2022, we closed on a public offering of our Class A common stock and warrants (“August 2022 Public Offering”) and received net proceeds of approximately $16.3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Trends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w:t>
      </w:r>
    </w:p>
    <w:p>
      <w:pPr>
        <w:spacing w:after="0" w:line="225"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Generally, worldwide economic conditions remain uncertain, particularly due to the effects of the COVID-19 pandemic and increased inflation. The general economic and capital market conditions both in the U.S. and worldwide, have been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spacing w:after="0" w:line="149"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The COVID-19 pandemic that began in late 2019 introduced significant volatility to the global economy, disrupted supply chains and had a widespread adverse effect on the financial markets. Additionally, our operating results could be materially impacted by changes in the overall macroeconomic environment and other economic factors.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Trends and Uncertainties</w:t>
      </w:r>
    </w:p>
    <w:p>
      <w:pPr>
        <w:spacing w:after="0" w:line="225"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Beginning in late 2021, production delays began to negatively impact the ability of our contract manufacturer to successfully ramp up production during 2022 to fulfill orders for both commercial sales and clinical trials, which has been exacerbated by both labor and supply chain shortages currently being experienced by many industries in the U.S.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14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In response to the aforementioned challenges and trends, we have supplemented our personnel including quality resources at our contract manufacturer. Additionally, we continue to actively recruit and source candidates to fill positions as we build out our team to support our anticipated growth.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our results of operations for the years ended December 31, 2022 and 2021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4"/>
                <w:szCs w:val="14"/>
                <w:color w:val="auto"/>
              </w:rPr>
            </w:pPr>
          </w:p>
        </w:tc>
        <w:tc>
          <w:tcPr>
            <w:tcW w:w="7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Canada</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sales,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derivative liability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Nonoperating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increase in total net product sales reflects the U.S. commercial launch of PoNS for MS in April 2022, partially offset by a decrease in product sales in Canada. The decrease in Canada product sales was primarily attributable to lower Canadian to U.S. dollar translation rates during 2022. Other revenue for the years ended December 31, 2022 and 2021 was comprised of license fee revenue related to the amortization of the up-front payment we received in connection with our Co-Promotion Agreement with HTC.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increase in cost of revenue was primarily attributable to overhead costs, including salaries and benefits of employees involved in management of the supply chain, and inventory-related cost of sales due to higher sales volume as well as other costs and adjustments.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The decrease in selling, general and administrative expenses was primarily due to a net decrease of $1.5 million in stock-based compensation expense, partially offset by increased compensation expenses related to personnel additions in late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2021 and early in 2022 to support the U.S. commercial launch. Refer to Note 9 for detailed information about stock-based compensation.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The decrease in research and development expenses was driven primarily by a decrease in product development expenses and clinical trial activities as we transitioned our focus from product development and clinical trials to U.S. commercialization activities in 2022, as well as a $0.5 million decrease in stock-based compensation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225"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Amortization expense is primarily comprised of the amortization of acquired finite-lived intangible assets. The decrease in amortization expense is the result of the customer relationships intangible asset becoming fully amortized during the first quarter of 2021 as well as lower Canadian to U.S. dollar translation rates during 2022. Refer to Note 6 to our Consolidated Financial Statements for additional information about the composition of intangible assets.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During the third quarter of 2022, we recorded a goodwill impairment charge of $0.8 million, reducing the goodwill balance to zero. The significant decline in the price of our common stock following the August 2022 Public Offering was considered a triggering event for testing whether goodwill was impaired. Management performed a quantitative assessment as of September 30, 2022 and determined that the carrying value of our single reporting unit exceeded the estimated fair value. Refer to Note 3 to our Consolidated Financial Statements for additional information.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We recorded $0.9 million of interest expense for the year ended December 31, 2022 in connection with the derivative liability classification of warrants issued in connection with the August 2022 Public Offering. Refer to Note 8 to our Consolidated Financial Statements for additional information. The interest expense was offset by $0.1 million of interest income earned on investments of excess cash in an unrestricted money market savings account and a certificate of deposit.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225"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As discussed in more detail in Note 8 to our Consolidated Financial Statements, the warrants issued in connection with the August 2022 Public Offering are being accounted for as a derivative liability instrument. The change in fair value of derivative liability for the year ended December 31, 2022 of $3.0 million is the result of the decrease in fair value from the date of issuance on August 9, 2022 and December 31, 2022, primarily due to a decrease in the Company’s stock price.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foreign exchange loss for the year ended December 31, 2022 was primarily due to lower Canadian to U.S. dollar exchange rates in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table summarizes our cash and cash equivalents and working capital as of December 31, 2022 and 2021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14,709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9,941</w:t>
            </w:r>
          </w:p>
        </w:tc>
      </w:tr>
    </w:tbl>
    <w:p>
      <w:pPr>
        <w:spacing w:after="0" w:line="18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Our available capital resources were primarily used to expand our U.S. commercialization efforts, fund manufacturing activities for the PoNS device, conduct clinical trials and for working capital and general corporate purposes. Our major sources of cash and cash equivalents have been proceeds from public and private offerings of our common stock and to a lesser extent, exercises of warrants.</w:t>
      </w:r>
    </w:p>
    <w:p>
      <w:pPr>
        <w:spacing w:after="0" w:line="187"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During the year ended December 31, 2022, in connection with the August 2022 Public Offering, we received gross proceeds of $18.0 million and paid $1.7 million of share issuance costs. Due to the derivative liability classification of warrants issued in connection with the August 2022 Public Offering, $0.9 million of the share issuance costs were recorded as interest expense. In addition, we received $0.6 million from the sale of common stock to Lincoln Park Capital Fund, LLC (“Lincoln Park”) pursuant to a purchase agreement (the “LPC Purchase Agreement”) and registration rights agreement with Lincoln Park. We do not intend to issue any additional shares under the LPC Purchase Agreement. Refer to Note 8 to our Consolidated Financial Statements for additional details about the stock issuances in 2022. There were no exercises of warrants or stock options during the year ended December 31, 2022.</w:t>
      </w:r>
    </w:p>
    <w:p>
      <w:pPr>
        <w:spacing w:after="0" w:line="178"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During the year ended December 31, 2021, in connection with two underwritten public offerings in February and November 2021, we received net proceeds of $9.6 million and $9.9 million, respectively. In addition, we received net proceeds of $0.6 million from the sale of common stock to Lincoln Park pursuant to the LPC Purchase Agreement. Refer to Note 8 to our Consolidated Financial Statements for additional details about the stock issuances in 2021. We received $1.3 million from the exercise of warrants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our cash flows for the year ended December 31, 2022 and 2021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7"/>
              </w:rPr>
              <w:t>Change</w:t>
            </w:r>
          </w:p>
        </w:tc>
        <w:tc>
          <w:tcPr>
            <w:tcW w:w="20" w:type="dxa"/>
            <w:vAlign w:val="bottom"/>
          </w:tcPr>
          <w:p>
            <w:pPr>
              <w:spacing w:after="0"/>
              <w:rPr>
                <w:sz w:val="12"/>
                <w:szCs w:val="12"/>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6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The higher level of cash used in operating activities in 2022 primarily resulted from decreases related to operating assets and liabilities. The $4.0 million decrease in net loss for the year ended December 31, 2022 as compared with the year ended December 31, 2021 was largely offset by an aggregate $3.5 million net decrease related to noncash adjustments.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Our investing activities are primarily related to the purchase of property and equipment. During the year ended December 31, 2022, net cash used in investing activities was net of $6 thousand in proceeds from the sale of furniture and equipment.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Net cash provided by financing activities are primarily related to the net proceeds from the equity offerings discussed above and in Note 8 to our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Our ability to generate product revenues sufficient to achieve profitability will depend heavily on the successful commercialization of PoNS Therapy in the U.S. Our net loss was $14.1 million and $18.1 million for the year ended December 31, 2022 and 2021, respectively. As of December 31, 2022, we had an accumulated deficit of $151.1 million. We expect to continue to incur significant expenses and operating losses for the foreseeable future. These and other factors indicate substantial doubt about our ability to continue as a going concern. Refer to Note 1 to our Consolidated Financial Statements for additional discussion about our going concern uncertainty.</w:t>
      </w:r>
    </w:p>
    <w:p>
      <w:pPr>
        <w:spacing w:after="0" w:line="17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including the net proceeds from the August 2022 Public Offering, will be sufficient to fund our operations through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9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accounting for warrants.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We recognize revenue when control of the promised goods is transferred to the customer in an amount that reflects the consideration to which we expect to be entitled in exchange for those products.</w:t>
      </w:r>
    </w:p>
    <w:p>
      <w:pPr>
        <w:spacing w:after="0" w:line="170" w:lineRule="exact"/>
        <w:rPr>
          <w:sz w:val="20"/>
          <w:szCs w:val="20"/>
          <w:color w:val="auto"/>
        </w:rPr>
      </w:pPr>
    </w:p>
    <w:p>
      <w:pPr>
        <w:jc w:val="both"/>
        <w:ind w:left="60" w:right="219"/>
        <w:spacing w:after="0" w:line="311" w:lineRule="auto"/>
        <w:rPr>
          <w:sz w:val="20"/>
          <w:szCs w:val="20"/>
          <w:color w:val="auto"/>
        </w:rPr>
      </w:pPr>
      <w:r>
        <w:rPr>
          <w:rFonts w:ascii="Arial" w:cs="Arial" w:eastAsia="Arial" w:hAnsi="Arial"/>
          <w:sz w:val="16"/>
          <w:szCs w:val="16"/>
          <w:color w:val="auto"/>
        </w:rPr>
        <w:t>We generate nearly all of our revenue from product sales directly to patients in the United States and to clinics in Canada. Revenue from product sales is recognized at a point in time when the performance obligation is satisfied upon delivery of the product. Taxes that we collect concurrent with revenue-producing activities are excluded from revenue.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We require customers in the United States to prepay the full product selling price, net of cash discount, prior to shipment. We record a contract liability for any customer prepayment received for which delivery had not yet occurred as of the end of the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We account for all stock-based payments and awards under the fair value-based method. We recognize our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We account for the granting of stock options using the fair value method whereby all awards are measured at fair value on the date of the grant. The fair value of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77"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evaluate our financial instruments and other contracts to determine if those contracts or embedded components of those contracts qualify as derivatives to be separately accounted for in accordance with ASC 815, Derivatives and Hedging. The result of this accounting treatment is that the fair value of the derivative is re-measured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spacing w:after="0" w:line="17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spacing w:after="0" w:line="188"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We use the Monte Carlo and Black-Scholes option-pricing models to value derivative financial instrument liabilities. This model uses Level 3 inputs in the fair value hierarchy established by ASC 820 - Fair Value Measurement.</w:t>
      </w:r>
    </w:p>
    <w:p>
      <w:pPr>
        <w:spacing w:after="0" w:line="14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As of December 31, 2022, our derivative financial instruments accounted for in accordance with ASC 815 were comprised of warrants issued in connection with August 2022 Public Offering.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for Warrants</w:t>
      </w:r>
    </w:p>
    <w:p>
      <w:pPr>
        <w:spacing w:after="0" w:line="22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We have issued and may continue to issue warrants to purchase shares of common stock through our public and private offerings. We account for such warrants in accordance with ASC 480 Distinguishing Liabilities from Equity,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The fair value of the warrants is estimated using the Black-Scholes option pricing model, based on the market value of the underlying common stock at the measurement dates, the contractual terms of the warrants, risk-free interest rates and expected volatility of the price of the underlying common stock. There are no expected dividends.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We account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We record a valuation allowance to reduce deferred tax assets to the amount that is believed more likely than not to be realized.</w:t>
      </w:r>
    </w:p>
    <w:p>
      <w:pPr>
        <w:spacing w:after="0" w:line="192"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We have adopted the provisions of ASC 740 Income Taxes regarding accounting for uncertainty in income taxes. We initially recognize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We consider many factors when evaluating and estimating its tax positions and tax benefits. These periodic adjustments may have a material impact on the consolidated statements of operations and comprehensive loss. When applicable, we classify penalties and interest associated with uncertain tax positions as a component of income tax expense in its consolidated statements of operations and comprehensive loss.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379"/>
        <w:spacing w:after="0" w:line="301" w:lineRule="auto"/>
        <w:rPr>
          <w:sz w:val="20"/>
          <w:szCs w:val="20"/>
          <w:color w:val="auto"/>
        </w:rPr>
      </w:pPr>
      <w:r>
        <w:rPr>
          <w:rFonts w:ascii="Arial" w:cs="Arial" w:eastAsia="Arial" w:hAnsi="Arial"/>
          <w:sz w:val="16"/>
          <w:szCs w:val="16"/>
          <w:color w:val="auto"/>
        </w:rPr>
        <w:t>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successful commercialization of the PoNS device in the U.S.</w:t>
      </w:r>
    </w:p>
    <w:p>
      <w:pPr>
        <w:spacing w:after="0" w:line="157" w:lineRule="exact"/>
        <w:rPr>
          <w:sz w:val="20"/>
          <w:szCs w:val="20"/>
          <w:color w:val="auto"/>
        </w:rPr>
      </w:pPr>
    </w:p>
    <w:p>
      <w:pPr>
        <w:ind w:left="60" w:right="259"/>
        <w:spacing w:after="0" w:line="272" w:lineRule="auto"/>
        <w:rPr>
          <w:sz w:val="20"/>
          <w:szCs w:val="20"/>
          <w:color w:val="auto"/>
        </w:rPr>
      </w:pPr>
      <w:r>
        <w:rPr>
          <w:rFonts w:ascii="Arial" w:cs="Arial" w:eastAsia="Arial" w:hAnsi="Arial"/>
          <w:sz w:val="17"/>
          <w:szCs w:val="17"/>
          <w:color w:val="auto"/>
        </w:rPr>
        <w:t>These factors raise substantial doubt about our ability to continue as a going concern through at least 12 months from the date of this Annual Report. While we had $14.5 million of cash as of December 31, 2022, we do not currently have sufficient resources to accomplish all of the above conditions necessary for us to generate sufficient revenues to achieve profitability, and we expect that we will require additional financing to continue to fund our operations. There is no guarantee that such funding will be available at all or in sufficient amounts to satisfy our required expenditures. In reviewing this filing, you should carefully consider this uncertainty, the risks described in the section entitled “Item 1A. Risk Factors” and other risks described throughout this Annual Report.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regarding recently issued accounting pronouncements is included in Note 2 to the Consolidated Financial Statements.</w:t>
      </w:r>
    </w:p>
    <w:p>
      <w:pPr>
        <w:spacing w:after="0" w:line="16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information required by this item is included in this Form 10-K beginning on page F-1 and is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right="659" w:hanging="109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As required by Rule 13a-15(b) under the Securities Exchange Act of 1934, as amended, or the Exchange Act, under the direction of the Chief Executive Officer and the Chief Financial Officer, we have evaluated our disclosure controls and procedures as defined in Rule 13a-15(e) or 15d-15(e) as of the end of the period covered by this Form 10-K. Based on this evaluation, our Chief Executive Officer and Chief Financial Officer have concluded that our disclosure controls and procedures were effective as of the end of the period covered by this Form 10-K.</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We are responsible for establishing and maintaining adequate internal controls over financial reporting. Our management assessed the effectiveness of our internal controls over financial reporting as of December 31, 2022.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2022, our internal control over financial reporting was effective.</w:t>
      </w:r>
    </w:p>
    <w:p>
      <w:pPr>
        <w:spacing w:after="0" w:line="16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This Form 10-K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Form 10-K.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We monitor our internal control over financial reporting on a continuous basis. There has not been any change in our internal control over financial reporting identified in connection with the evaluation required by Rule 13a-15(d) and 15d-15(d) under the Exchange Act that occurred during the quarter ended December 31, 2022 which has materially affected, or is reasonably likely to materially affect, our internal control over financial reporting.</w:t>
      </w:r>
    </w:p>
    <w:p>
      <w:pPr>
        <w:spacing w:after="0" w:line="167"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We will file a definitive Proxy Statement for our 2023 Annual Meeting of Stockholders (the “2023 Proxy Statement”) with the SEC, pursuant to Regulation 14A, not later than 120 days after the end of our fiscal year. Accordingly, certain information required by Part III has been omitted under General Instruction G(3) to Form 10-K. Only those sections of the 2022 Proxy Statement that specifically address the items set forth herein are incorporated by reference.</w:t>
      </w:r>
    </w:p>
    <w:p>
      <w:pPr>
        <w:spacing w:after="0" w:line="167"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information required by Item 10 is hereby incorporated by reference to the sections of the 2023 Proxy Statement under the captions “Information Regarding the Board of Directors and Corporate Governance,” “Proposal 1 - Election of Directors,” “Executive Officers”, and “Delinquent Section 16(a) Reports”.</w:t>
      </w:r>
    </w:p>
    <w:p>
      <w:pPr>
        <w:spacing w:after="0" w:line="180"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information required by Item 11 is hereby incorporated by reference to the sections of the 2023 Proxy Statement under the captions “Executive Compensation” and “Information Regarding the Board of Directors and Corporate Governance– Non-Employee Director Compensation.”</w:t>
      </w:r>
    </w:p>
    <w:p>
      <w:pPr>
        <w:spacing w:after="0" w:line="180" w:lineRule="exact"/>
        <w:rPr>
          <w:sz w:val="20"/>
          <w:szCs w:val="20"/>
          <w:color w:val="auto"/>
        </w:rPr>
      </w:pPr>
    </w:p>
    <w:p>
      <w:pPr>
        <w:ind w:left="1140" w:right="339" w:hanging="109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The information required by Item 12 is hereby incorporated by reference to the sections of the 2023 Proxy Statement under the captions “Security Ownership of Certain Beneficial Owners and Management" and "Executive Compensation.”</w:t>
      </w:r>
    </w:p>
    <w:p>
      <w:pPr>
        <w:spacing w:after="0" w:line="120" w:lineRule="exact"/>
        <w:rPr>
          <w:sz w:val="20"/>
          <w:szCs w:val="20"/>
          <w:color w:val="auto"/>
        </w:rPr>
      </w:pPr>
    </w:p>
    <w:p>
      <w:pPr>
        <w:ind w:left="1140" w:right="1259" w:hanging="109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information required by Item 13 is hereby incorporated by reference to the sections of the 2023 Proxy Statement under the captions “Certain Relationships and Related Transactions” and “Information Regarding the Board of Directors and Corporate Governance - Independence of the Board of Directors.”</w:t>
      </w:r>
    </w:p>
    <w:p>
      <w:pPr>
        <w:spacing w:after="0" w:line="180"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The information required by Item 14 is hereby incorporated by reference to the sections of the 2023 Proxy Statement under the caption “Proposal 2 - Ratification of Appointment of Independent Registered Public Accounting Firm.”</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documents are filed as part of this Form 10-K:</w:t>
      </w:r>
    </w:p>
    <w:p>
      <w:pPr>
        <w:spacing w:after="0" w:line="225" w:lineRule="exact"/>
        <w:rPr>
          <w:sz w:val="20"/>
          <w:szCs w:val="20"/>
          <w:color w:val="auto"/>
        </w:rPr>
      </w:pPr>
    </w:p>
    <w:p>
      <w:pPr>
        <w:ind w:left="600" w:hanging="44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Statements—See the Index to Consolidated Financial Statements on Page F-1.</w:t>
      </w:r>
    </w:p>
    <w:p>
      <w:pPr>
        <w:spacing w:after="0" w:line="225" w:lineRule="exact"/>
        <w:rPr>
          <w:rFonts w:ascii="Arial" w:cs="Arial" w:eastAsia="Arial" w:hAnsi="Arial"/>
          <w:sz w:val="18"/>
          <w:szCs w:val="18"/>
          <w:color w:val="auto"/>
        </w:rPr>
      </w:pPr>
    </w:p>
    <w:p>
      <w:pPr>
        <w:ind w:left="600" w:right="499" w:hanging="442"/>
        <w:spacing w:after="0" w:line="26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183" w:lineRule="exact"/>
        <w:rPr>
          <w:rFonts w:ascii="Arial" w:cs="Arial" w:eastAsia="Arial" w:hAnsi="Arial"/>
          <w:sz w:val="18"/>
          <w:szCs w:val="18"/>
          <w:color w:val="auto"/>
        </w:rPr>
      </w:pPr>
    </w:p>
    <w:p>
      <w:pPr>
        <w:ind w:left="600" w:hanging="44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9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90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38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Certificate of Conversion filed with the Delaware Secretary of State on July 18, 2018 (incorporated by</w:t>
              </w:r>
            </w:hyperlink>
          </w:p>
        </w:tc>
        <w:tc>
          <w:tcPr>
            <w:tcW w:w="520" w:type="dxa"/>
            <w:vAlign w:val="bottom"/>
            <w:tcBorders>
              <w:top w:val="single" w:sz="8" w:color="auto"/>
            </w:tcBorders>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reference to Exhibit 3.1 to the Form 10-Q filed August 9, 2018)</w:t>
              </w:r>
            </w:hyperlink>
          </w:p>
        </w:tc>
        <w:tc>
          <w:tcPr>
            <w:tcW w:w="33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Certificate of Incorporation, as corrected (incorporated by reference to Exhibit 3.1 to the Form 8-K filed</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October 30, 2018)</w:t>
              </w:r>
            </w:hyperlink>
          </w:p>
        </w:tc>
        <w:tc>
          <w:tcPr>
            <w:tcW w:w="65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6"/>
              </w:rPr>
            </w:pPr>
            <w:hyperlink r:id="rId81">
              <w:r>
                <w:rPr>
                  <w:rFonts w:ascii="Arial" w:cs="Arial" w:eastAsia="Arial" w:hAnsi="Arial"/>
                  <w:sz w:val="18"/>
                  <w:szCs w:val="18"/>
                  <w:color w:val="0000EE"/>
                  <w:w w:val="96"/>
                </w:rPr>
                <w:t>Certificate of Amendment to Certificate of Incorporation (incorporated by reference to Exhibit 3.1 to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Form 8-K filed on December 31, 2020)</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Bylaws as amended and restated (incorporated by reference to Exhibit 3.3 to the Form 10-Q filed August 9,</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2018)</w:t>
              </w:r>
            </w:hyperlink>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Form of Warrant (incorporated by reference to Exhibit 4.1 to the Form 8-K filed October 26,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7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Form of Warrant (incorporated by reference to Exhibit 4.1 to the Form S-1/A filed January 20, 2021)</w:t>
              </w:r>
            </w:hyperlink>
          </w:p>
        </w:tc>
        <w:tc>
          <w:tcPr>
            <w:tcW w:w="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Warrant Agency Agreement (incorporated by reference to Exhibit 4.2 to the Form S-1/A filed January 20,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2021)</w:t>
              </w:r>
            </w:hyperlink>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Description of Registrant’s Securities (incorporated by reference to Exhibit 4.7 to the Form 10-K filed March</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86">
              <w:r>
                <w:rPr>
                  <w:rFonts w:ascii="Arial" w:cs="Arial" w:eastAsia="Arial" w:hAnsi="Arial"/>
                  <w:sz w:val="18"/>
                  <w:szCs w:val="18"/>
                  <w:color w:val="0000EE"/>
                  <w:w w:val="86"/>
                </w:rPr>
                <w:t>14, 2021)</w:t>
              </w:r>
            </w:hyperlink>
          </w:p>
        </w:tc>
        <w:tc>
          <w:tcPr>
            <w:tcW w:w="6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78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Warrant Agency Agreement dated as of February 1, 2021 by and between Helius Medical Technologies, Inc.</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and American Stock Transfer &amp; Trust Company, LLC (incorporated by reference to Exhibit 4.2 to the Form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8-K filed February 1,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Form of Warrant to purchase shares of common stock (incorporated by reference to Exhibit 4.1 to the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8-K filed August 9, 2022)</w:t>
              </w:r>
            </w:hyperlink>
          </w:p>
        </w:tc>
        <w:tc>
          <w:tcPr>
            <w:tcW w:w="5860" w:type="dxa"/>
            <w:vAlign w:val="bottom"/>
            <w:tcBorders>
              <w:top w:val="single" w:sz="8" w:color="0000EE"/>
            </w:tcBorders>
            <w:gridSpan w:val="16"/>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Warrant Agency Agreement dated as of August 9, 2022 by and between Helius Medical Technologies,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and American Stock Transfer &amp; Trust Company, LLC (incorporated by reference to Exhibit 4.2 to the Form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8-K filed August 9, 2022)</w:t>
              </w:r>
            </w:hyperlink>
          </w:p>
        </w:tc>
        <w:tc>
          <w:tcPr>
            <w:tcW w:w="60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License Agreement between Advanced NeuroRehabilitation, LLC and Yuri Danilov, Mitchell Tyler, Kurt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Kaczmarek and John Klus, dated June 29, 2011 (incorporated by reference to Exhibit 10.8 to the Amendment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to Form S-1 filed with the SEC on September 23, 2014)</w:t>
              </w:r>
            </w:hyperlink>
          </w:p>
        </w:tc>
        <w:tc>
          <w:tcPr>
            <w:tcW w:w="384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7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Amended and Restated Patent Sub-License Agreement between Advanced NeuroRehabilitation, LLC and</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Helius Medical, Inc, having an effective date of January 22, 2013 (incorporated by reference to Exhibit 10.1</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to the Form S-1 filed with the SEC on July 14, 2014)</w:t>
              </w:r>
            </w:hyperlink>
          </w:p>
        </w:tc>
        <w:tc>
          <w:tcPr>
            <w:tcW w:w="40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79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Second Amended and Restated Patent Sub-License Agreement between Advanced NeuroRehabilitation, LLC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and Helius Medical, Inc, dated June 6, 2014, but having an effective date of January 22, 2013 (incorporated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by reference to Exhibit 10.7 to the Form S-1 filed with the SEC on July 14, 2014)</w:t>
              </w:r>
            </w:hyperlink>
          </w:p>
        </w:tc>
        <w:tc>
          <w:tcPr>
            <w:tcW w:w="20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75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Design and Manufacturing Consultant Agreement between Helius Medical, Inc and Clinvue, LLC, dated</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27"/>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January 30, 2013 (incorporated by reference to Exhibit 10.3 to the Form S-1 filed with the SEC on July 14,</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3">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78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Commercial Development-to-Supply Program between Helius Medical, Inc and Ximedica, dated October 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2013 (incorporated by reference to Exhibit 10.4 to the Form S-1 filed with the SEC on July 14, 2014)</w:t>
              </w:r>
            </w:hyperlink>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97">
        <w:r>
          <w:rPr>
            <w:rFonts w:ascii="Arial" w:cs="Arial" w:eastAsia="Arial" w:hAnsi="Arial"/>
            <w:sz w:val="16"/>
            <w:szCs w:val="16"/>
            <w:u w:val="single" w:color="auto"/>
            <w:color w:val="0000EE"/>
          </w:rPr>
          <w:t>Asset Purchase Agreement between the Company and A&amp;B (HK) Company Limited, dated as of October 9,</w:t>
        </w:r>
      </w:hyperlink>
    </w:p>
    <w:p>
      <w:pPr>
        <w:spacing w:after="0" w:line="21" w:lineRule="exact"/>
        <w:rPr>
          <w:sz w:val="20"/>
          <w:szCs w:val="20"/>
          <w:color w:val="auto"/>
        </w:rPr>
      </w:pPr>
    </w:p>
    <w:p>
      <w:pPr>
        <w:ind w:left="1040"/>
        <w:spacing w:after="0"/>
        <w:rPr>
          <w:rFonts w:ascii="Arial" w:cs="Arial" w:eastAsia="Arial" w:hAnsi="Arial"/>
          <w:sz w:val="17"/>
          <w:szCs w:val="17"/>
          <w:u w:val="single" w:color="auto"/>
          <w:color w:val="0000EE"/>
        </w:rPr>
      </w:pPr>
      <w:hyperlink r:id="rId97">
        <w:r>
          <w:rPr>
            <w:rFonts w:ascii="Arial" w:cs="Arial" w:eastAsia="Arial" w:hAnsi="Arial"/>
            <w:sz w:val="17"/>
            <w:szCs w:val="17"/>
            <w:u w:val="single" w:color="auto"/>
            <w:color w:val="0000EE"/>
          </w:rPr>
          <w:t>2015 (incorporated by reference to Exhibit 2.1 to the Form 8-K filed with the SEC on October 16, 2015)</w:t>
        </w:r>
      </w:hyperlink>
    </w:p>
    <w:p>
      <w:pPr>
        <w:spacing w:after="0" w:line="21" w:lineRule="exact"/>
        <w:rPr>
          <w:sz w:val="20"/>
          <w:szCs w:val="20"/>
          <w:color w:val="auto"/>
        </w:rPr>
      </w:pPr>
    </w:p>
    <w:p>
      <w:pPr>
        <w:ind w:left="1040" w:right="7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10.6.1</w:t>
      </w:r>
      <w:r>
        <w:rPr>
          <w:sz w:val="20"/>
          <w:szCs w:val="20"/>
          <w:color w:val="auto"/>
        </w:rPr>
        <w:tab/>
      </w:r>
      <w:hyperlink r:id="rId98">
        <w:r>
          <w:rPr>
            <w:rFonts w:ascii="Arial" w:cs="Arial" w:eastAsia="Arial" w:hAnsi="Arial"/>
            <w:sz w:val="18"/>
            <w:szCs w:val="18"/>
            <w:u w:val="single" w:color="auto"/>
            <w:color w:val="0000EE"/>
          </w:rPr>
          <w:t>Amendment to Asset Purchase Agreement between the Company and A&amp;B (HK) Company Limited, dated as</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of October 30, 2017 (incorporated by reference to Exhibit 10.1 to the Form 8-K filed with the SEC 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November 2, 2017)</w:t>
        </w:r>
      </w:hyperlink>
    </w:p>
    <w:p>
      <w:pPr>
        <w:spacing w:after="0" w:line="1" w:lineRule="exact"/>
        <w:rPr>
          <w:rFonts w:ascii="Arial" w:cs="Arial" w:eastAsia="Arial" w:hAnsi="Arial"/>
          <w:sz w:val="18"/>
          <w:szCs w:val="18"/>
          <w:u w:val="single" w:color="auto"/>
          <w:color w:val="0000EE"/>
        </w:rPr>
      </w:pPr>
    </w:p>
    <w:p>
      <w:pPr>
        <w:ind w:left="1040" w:right="13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10.6.2</w:t>
      </w:r>
      <w:r>
        <w:rPr>
          <w:sz w:val="20"/>
          <w:szCs w:val="20"/>
          <w:color w:val="auto"/>
        </w:rPr>
        <w:tab/>
      </w:r>
      <w:hyperlink r:id="rId99">
        <w:r>
          <w:rPr>
            <w:rFonts w:ascii="Arial" w:cs="Arial" w:eastAsia="Arial" w:hAnsi="Arial"/>
            <w:sz w:val="18"/>
            <w:szCs w:val="18"/>
            <w:u w:val="single" w:color="auto"/>
            <w:color w:val="0000EE"/>
          </w:rPr>
          <w:t>Supplemental Agreement to Asset Purchase Agreement dated October 9, 2015, between Helius Medical, Inc.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and A&amp;B (HK) Company Limited, dated as of August 15, 2018 (incorporated by reference to Exhibit 10.27</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to the Form 10-K filed March 14, 2019)</w:t>
        </w:r>
      </w:hyperlink>
    </w:p>
    <w:p>
      <w:pPr>
        <w:spacing w:after="0" w:line="1" w:lineRule="exact"/>
        <w:rPr>
          <w:rFonts w:ascii="Arial" w:cs="Arial" w:eastAsia="Arial" w:hAnsi="Arial"/>
          <w:sz w:val="18"/>
          <w:szCs w:val="18"/>
          <w:u w:val="single" w:color="auto"/>
          <w:color w:val="0000EE"/>
        </w:rPr>
      </w:pPr>
    </w:p>
    <w:p>
      <w:pPr>
        <w:ind w:left="1040" w:right="49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00">
        <w:r>
          <w:rPr>
            <w:rFonts w:ascii="Arial" w:cs="Arial" w:eastAsia="Arial" w:hAnsi="Arial"/>
            <w:sz w:val="18"/>
            <w:szCs w:val="18"/>
            <w:u w:val="single" w:color="auto"/>
            <w:color w:val="0000EE"/>
          </w:rPr>
          <w:t>Amended and Restated June 2014 Equity Incentive Plan (incorporated by reference to Exhibit 4.3 to the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Form 10-Q filed with the SEC on November 9, 2017)</w:t>
        </w:r>
      </w:hyperlink>
    </w:p>
    <w:p>
      <w:pPr>
        <w:spacing w:after="0" w:line="1" w:lineRule="exact"/>
        <w:rPr>
          <w:sz w:val="20"/>
          <w:szCs w:val="20"/>
          <w:color w:val="auto"/>
        </w:rPr>
      </w:pPr>
    </w:p>
    <w:p>
      <w:pPr>
        <w:ind w:left="1040" w:right="13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10.7.1†</w:t>
      </w:r>
      <w:r>
        <w:rPr>
          <w:sz w:val="20"/>
          <w:szCs w:val="20"/>
          <w:color w:val="auto"/>
        </w:rPr>
        <w:tab/>
      </w:r>
      <w:hyperlink r:id="rId101">
        <w:r>
          <w:rPr>
            <w:rFonts w:ascii="Arial" w:cs="Arial" w:eastAsia="Arial" w:hAnsi="Arial"/>
            <w:sz w:val="18"/>
            <w:szCs w:val="18"/>
            <w:u w:val="single" w:color="auto"/>
            <w:color w:val="0000EE"/>
          </w:rPr>
          <w:t>2014 Stock Incentive Plan Form of Option Grant Agreement (incorporated by reference to Exhibit 10.23.1 to</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the Transition Report on Form 10-K filed with the SEC on April 3, 2017)</w:t>
        </w:r>
      </w:hyperlink>
    </w:p>
    <w:p>
      <w:pPr>
        <w:spacing w:after="0" w:line="1" w:lineRule="exact"/>
        <w:rPr>
          <w:sz w:val="20"/>
          <w:szCs w:val="20"/>
          <w:color w:val="auto"/>
        </w:rPr>
      </w:pPr>
    </w:p>
    <w:p>
      <w:pPr>
        <w:ind w:left="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02">
        <w:r>
          <w:rPr>
            <w:rFonts w:ascii="Arial" w:cs="Arial" w:eastAsia="Arial" w:hAnsi="Arial"/>
            <w:sz w:val="16"/>
            <w:szCs w:val="16"/>
            <w:u w:val="single" w:color="auto"/>
            <w:color w:val="0000EE"/>
          </w:rPr>
          <w:t>2016 Omnibus Incentive Plan (incorporated by reference to Exhibit 10.25 to the Transition Report on Form</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10-K filed with the SEC on April 3, 2017)</w:t>
        </w:r>
      </w:hyperlink>
    </w:p>
    <w:p>
      <w:pPr>
        <w:spacing w:after="0" w:line="9" w:lineRule="exact"/>
        <w:rPr>
          <w:sz w:val="20"/>
          <w:szCs w:val="20"/>
          <w:color w:val="auto"/>
        </w:rPr>
      </w:pPr>
    </w:p>
    <w:p>
      <w:pPr>
        <w:ind w:left="1040" w:right="19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10.8.1†</w:t>
      </w:r>
      <w:r>
        <w:rPr>
          <w:sz w:val="20"/>
          <w:szCs w:val="20"/>
          <w:color w:val="auto"/>
        </w:rPr>
        <w:tab/>
      </w:r>
      <w:hyperlink r:id="rId103">
        <w:r>
          <w:rPr>
            <w:rFonts w:ascii="Arial" w:cs="Arial" w:eastAsia="Arial" w:hAnsi="Arial"/>
            <w:sz w:val="18"/>
            <w:szCs w:val="18"/>
            <w:u w:val="single" w:color="auto"/>
            <w:color w:val="0000EE"/>
          </w:rPr>
          <w:t>Amendment Number 1 to the 2016 Omnibus Incentive Plan (incorporated by reference to Exhibit 10.25.1 to</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the Transition Report on Form 10-K filed with the SEC on April 3, 2017)</w:t>
        </w:r>
      </w:hyperlink>
    </w:p>
    <w:p>
      <w:pPr>
        <w:spacing w:after="0" w:line="1" w:lineRule="exact"/>
        <w:rPr>
          <w:sz w:val="20"/>
          <w:szCs w:val="20"/>
          <w:color w:val="auto"/>
        </w:rPr>
      </w:pPr>
    </w:p>
    <w:p>
      <w:pPr>
        <w:ind w:left="1040" w:right="25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10.8.2†</w:t>
      </w:r>
      <w:r>
        <w:rPr>
          <w:sz w:val="20"/>
          <w:szCs w:val="20"/>
          <w:color w:val="auto"/>
        </w:rPr>
        <w:tab/>
      </w:r>
      <w:hyperlink r:id="rId104">
        <w:r>
          <w:rPr>
            <w:rFonts w:ascii="Arial" w:cs="Arial" w:eastAsia="Arial" w:hAnsi="Arial"/>
            <w:sz w:val="18"/>
            <w:szCs w:val="18"/>
            <w:u w:val="single" w:color="auto"/>
            <w:color w:val="0000EE"/>
          </w:rPr>
          <w:t>Amendment Number 2 to the 2016 Omnibus Incentive Plan (incorporated by reference to Exhibit 4.7 to the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Registration Statement on Form S-8 filed with the SEC on May 18, 2017)</w:t>
        </w:r>
      </w:hyperlink>
    </w:p>
    <w:p>
      <w:pPr>
        <w:spacing w:after="0" w:line="1" w:lineRule="exact"/>
        <w:rPr>
          <w:sz w:val="20"/>
          <w:szCs w:val="20"/>
          <w:color w:val="auto"/>
        </w:rPr>
      </w:pPr>
    </w:p>
    <w:p>
      <w:pPr>
        <w:ind w:left="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10.8.3†</w:t>
      </w:r>
      <w:r>
        <w:rPr>
          <w:sz w:val="20"/>
          <w:szCs w:val="20"/>
          <w:color w:val="auto"/>
        </w:rPr>
        <w:tab/>
      </w:r>
      <w:hyperlink r:id="rId105">
        <w:r>
          <w:rPr>
            <w:rFonts w:ascii="Arial" w:cs="Arial" w:eastAsia="Arial" w:hAnsi="Arial"/>
            <w:sz w:val="16"/>
            <w:szCs w:val="16"/>
            <w:u w:val="single" w:color="auto"/>
            <w:color w:val="0000EE"/>
          </w:rPr>
          <w:t>2016 Omnibus Incentive Plan Form of U.S. Option Grant Agreement (incorporated by reference to Exhibit</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4.8 to the Registration Statement on Form S-8 filed with the SEC on May 18, 2017)</w:t>
        </w:r>
      </w:hyperlink>
    </w:p>
    <w:p>
      <w:pPr>
        <w:spacing w:after="0" w:line="9" w:lineRule="exact"/>
        <w:rPr>
          <w:sz w:val="20"/>
          <w:szCs w:val="20"/>
          <w:color w:val="auto"/>
        </w:rPr>
      </w:pPr>
    </w:p>
    <w:p>
      <w:pPr>
        <w:ind w:left="1040" w:right="639" w:hanging="985"/>
        <w:spacing w:after="0" w:line="28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10.8.4†</w:t>
      </w:r>
      <w:r>
        <w:rPr>
          <w:sz w:val="20"/>
          <w:szCs w:val="20"/>
          <w:color w:val="auto"/>
        </w:rPr>
        <w:tab/>
      </w:r>
      <w:hyperlink r:id="rId106">
        <w:r>
          <w:rPr>
            <w:rFonts w:ascii="Arial" w:cs="Arial" w:eastAsia="Arial" w:hAnsi="Arial"/>
            <w:sz w:val="16"/>
            <w:szCs w:val="16"/>
            <w:u w:val="single" w:color="auto"/>
            <w:color w:val="0000EE"/>
          </w:rPr>
          <w:t>2016 Omnibus Incentive Plan Form of Canada Option Grant Agreement (incorporated by reference to</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Exhibit 4.9 to the Registration Statement on Form S-8 filed with the SEC on May 18, 2017)</w:t>
        </w:r>
      </w:hyperlink>
    </w:p>
    <w:p>
      <w:pPr>
        <w:spacing w:after="0" w:line="1" w:lineRule="exact"/>
        <w:rPr>
          <w:sz w:val="20"/>
          <w:szCs w:val="20"/>
          <w:color w:val="auto"/>
        </w:rPr>
      </w:pPr>
    </w:p>
    <w:p>
      <w:pPr>
        <w:ind w:left="1040" w:right="15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07">
        <w:r>
          <w:rPr>
            <w:rFonts w:ascii="Arial" w:cs="Arial" w:eastAsia="Arial" w:hAnsi="Arial"/>
            <w:sz w:val="18"/>
            <w:szCs w:val="18"/>
            <w:u w:val="single" w:color="auto"/>
            <w:color w:val="0000EE"/>
          </w:rPr>
          <w:t>2018 Omnibus Incentive Plan, as amended (incorporated by reference to Exhibit 10.2 to the Form 10-Q filed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November 8, 2018)</w:t>
        </w:r>
      </w:hyperlink>
    </w:p>
    <w:p>
      <w:pPr>
        <w:spacing w:after="0" w:line="1" w:lineRule="exact"/>
        <w:rPr>
          <w:sz w:val="20"/>
          <w:szCs w:val="20"/>
          <w:color w:val="auto"/>
        </w:rPr>
      </w:pPr>
    </w:p>
    <w:p>
      <w:pPr>
        <w:ind w:left="1040" w:right="9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10.9.1†</w:t>
      </w:r>
      <w:r>
        <w:rPr>
          <w:sz w:val="20"/>
          <w:szCs w:val="20"/>
          <w:color w:val="auto"/>
        </w:rPr>
        <w:tab/>
      </w:r>
      <w:hyperlink r:id="rId108">
        <w:r>
          <w:rPr>
            <w:rFonts w:ascii="Arial" w:cs="Arial" w:eastAsia="Arial" w:hAnsi="Arial"/>
            <w:sz w:val="18"/>
            <w:szCs w:val="18"/>
            <w:u w:val="single" w:color="auto"/>
            <w:color w:val="0000EE"/>
          </w:rPr>
          <w:t>2018 Omnibus Incentive Plan Form of Option Grant Agreement (incorporated by reference to Exhibit 10.3 to</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the Form 10-Q filed November 8, 2018)</w:t>
        </w:r>
      </w:hyperlink>
    </w:p>
    <w:p>
      <w:pPr>
        <w:spacing w:after="0" w:line="1" w:lineRule="exact"/>
        <w:rPr>
          <w:sz w:val="20"/>
          <w:szCs w:val="20"/>
          <w:color w:val="auto"/>
        </w:rPr>
      </w:pPr>
    </w:p>
    <w:p>
      <w:pPr>
        <w:ind w:left="1040" w:right="17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10.9.2†</w:t>
      </w:r>
      <w:r>
        <w:rPr>
          <w:sz w:val="20"/>
          <w:szCs w:val="20"/>
          <w:color w:val="auto"/>
        </w:rPr>
        <w:tab/>
      </w:r>
      <w:hyperlink r:id="rId109">
        <w:r>
          <w:rPr>
            <w:rFonts w:ascii="Arial" w:cs="Arial" w:eastAsia="Arial" w:hAnsi="Arial"/>
            <w:sz w:val="18"/>
            <w:szCs w:val="18"/>
            <w:u w:val="single" w:color="auto"/>
            <w:color w:val="0000EE"/>
          </w:rPr>
          <w:t>2018 Omnibus Incentive Plan Form of Restricted Stock Unit Grant Agreement (incorporated by reference to</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Exhibit 10.4 to the Form 10 Q filed November 8, 2018)</w:t>
        </w:r>
      </w:hyperlink>
    </w:p>
    <w:p>
      <w:pPr>
        <w:spacing w:after="0" w:line="1" w:lineRule="exact"/>
        <w:rPr>
          <w:sz w:val="20"/>
          <w:szCs w:val="20"/>
          <w:color w:val="auto"/>
        </w:rPr>
      </w:pPr>
    </w:p>
    <w:p>
      <w:pPr>
        <w:ind w:left="1040" w:right="37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10.9.3†</w:t>
      </w:r>
      <w:r>
        <w:rPr>
          <w:sz w:val="20"/>
          <w:szCs w:val="20"/>
          <w:color w:val="auto"/>
        </w:rPr>
        <w:tab/>
      </w:r>
      <w:hyperlink r:id="rId110">
        <w:r>
          <w:rPr>
            <w:rFonts w:ascii="Arial" w:cs="Arial" w:eastAsia="Arial" w:hAnsi="Arial"/>
            <w:sz w:val="18"/>
            <w:szCs w:val="18"/>
            <w:u w:val="single" w:color="auto"/>
            <w:color w:val="0000EE"/>
          </w:rPr>
          <w:t>2018 Omnibus Incentive Plan Form of Option Grant Agreement – 2020 Retention Grant (incorporated by</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reference to Exhibit 10.1 to the Form 8-K filed on October 7, 2020)</w:t>
        </w:r>
      </w:hyperlink>
    </w:p>
    <w:p>
      <w:pPr>
        <w:spacing w:after="0" w:line="1" w:lineRule="exact"/>
        <w:rPr>
          <w:sz w:val="20"/>
          <w:szCs w:val="20"/>
          <w:color w:val="auto"/>
        </w:rPr>
      </w:pPr>
    </w:p>
    <w:p>
      <w:pPr>
        <w:ind w:left="1040" w:right="15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10.9.4†</w:t>
      </w:r>
      <w:r>
        <w:rPr>
          <w:sz w:val="20"/>
          <w:szCs w:val="20"/>
          <w:color w:val="auto"/>
        </w:rPr>
        <w:tab/>
      </w:r>
      <w:hyperlink r:id="rId111">
        <w:r>
          <w:rPr>
            <w:rFonts w:ascii="Arial" w:cs="Arial" w:eastAsia="Arial" w:hAnsi="Arial"/>
            <w:sz w:val="18"/>
            <w:szCs w:val="18"/>
            <w:u w:val="single" w:color="auto"/>
            <w:color w:val="0000EE"/>
          </w:rPr>
          <w:t>2018 Omnibus Incentive Plan Form of Stock Grant Notice and Award Agreement (incorporated by reference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to Exhibit 10.1 to the Form 8-K filed on April 7, 2021)</w:t>
        </w:r>
      </w:hyperlink>
    </w:p>
    <w:p>
      <w:pPr>
        <w:spacing w:after="0" w:line="1" w:lineRule="exact"/>
        <w:rPr>
          <w:sz w:val="20"/>
          <w:szCs w:val="20"/>
          <w:color w:val="auto"/>
        </w:rPr>
      </w:pPr>
    </w:p>
    <w:p>
      <w:pPr>
        <w:ind w:left="1040" w:right="69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10.9.5†</w:t>
      </w:r>
      <w:r>
        <w:rPr>
          <w:sz w:val="20"/>
          <w:szCs w:val="20"/>
          <w:color w:val="auto"/>
        </w:rPr>
        <w:tab/>
      </w:r>
      <w:hyperlink r:id="rId112">
        <w:r>
          <w:rPr>
            <w:rFonts w:ascii="Arial" w:cs="Arial" w:eastAsia="Arial" w:hAnsi="Arial"/>
            <w:sz w:val="18"/>
            <w:szCs w:val="18"/>
            <w:u w:val="single" w:color="auto"/>
            <w:color w:val="0000EE"/>
          </w:rPr>
          <w:t>Amendment to the Helius Medical Technologies, Inc. 2018 Omnibus Incentive Plan (incorporated by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reference to Exhibit 10.1 to the Form 8-K filed on May 27, 2021)</w:t>
        </w:r>
      </w:hyperlink>
    </w:p>
    <w:p>
      <w:pPr>
        <w:spacing w:after="0" w:line="1" w:lineRule="exact"/>
        <w:rPr>
          <w:sz w:val="20"/>
          <w:szCs w:val="20"/>
          <w:color w:val="auto"/>
        </w:rPr>
      </w:pPr>
    </w:p>
    <w:p>
      <w:pPr>
        <w:ind w:left="1040" w:right="419" w:hanging="985"/>
        <w:spacing w:after="0" w:line="28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10.9.6†</w:t>
      </w:r>
      <w:r>
        <w:rPr>
          <w:sz w:val="20"/>
          <w:szCs w:val="20"/>
          <w:color w:val="auto"/>
        </w:rPr>
        <w:tab/>
      </w:r>
      <w:hyperlink r:id="rId113">
        <w:r>
          <w:rPr>
            <w:rFonts w:ascii="Arial" w:cs="Arial" w:eastAsia="Arial" w:hAnsi="Arial"/>
            <w:sz w:val="16"/>
            <w:szCs w:val="16"/>
            <w:u w:val="single" w:color="auto"/>
            <w:color w:val="0000EE"/>
          </w:rPr>
          <w:t>2018 Omnibus Incentive Plan Form of Option Grant Agreement – Initial Grants to Dane C. Andreeff and</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Jeffrey S. Mathiesen (incorporated by reference to Exhibit 10.3 to the Form 8-K filed on June 15, 2021)</w:t>
        </w:r>
      </w:hyperlink>
    </w:p>
    <w:p>
      <w:pPr>
        <w:spacing w:after="0" w:line="1" w:lineRule="exact"/>
        <w:rPr>
          <w:sz w:val="20"/>
          <w:szCs w:val="20"/>
          <w:color w:val="auto"/>
        </w:rPr>
      </w:pPr>
    </w:p>
    <w:p>
      <w:pPr>
        <w:ind w:left="1040" w:right="51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14">
        <w:r>
          <w:rPr>
            <w:rFonts w:ascii="Arial" w:cs="Arial" w:eastAsia="Arial" w:hAnsi="Arial"/>
            <w:sz w:val="18"/>
            <w:szCs w:val="18"/>
            <w:u w:val="single" w:color="auto"/>
            <w:color w:val="0000EE"/>
          </w:rPr>
          <w:t>Form of Indemnification Agreement (incorporated by reference to Exhibit 10.24 to the Form 10-K filed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March 10, 2021)</w:t>
        </w:r>
      </w:hyperlink>
    </w:p>
    <w:p>
      <w:pPr>
        <w:spacing w:after="0" w:line="1" w:lineRule="exact"/>
        <w:rPr>
          <w:sz w:val="20"/>
          <w:szCs w:val="20"/>
          <w:color w:val="auto"/>
        </w:rPr>
      </w:pPr>
    </w:p>
    <w:p>
      <w:pPr>
        <w:ind w:left="1040" w:right="29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5">
        <w:r>
          <w:rPr>
            <w:rFonts w:ascii="Arial" w:cs="Arial" w:eastAsia="Arial" w:hAnsi="Arial"/>
            <w:sz w:val="18"/>
            <w:szCs w:val="18"/>
            <w:u w:val="single" w:color="auto"/>
            <w:color w:val="0000EE"/>
          </w:rPr>
          <w:t>Non-employee Director Compensation Policy (incorporated by reference to Exhibit 10.7 to the Form 10-Q</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filed on May 17, 2021)</w:t>
        </w:r>
      </w:hyperlink>
    </w:p>
    <w:p>
      <w:pPr>
        <w:spacing w:after="0" w:line="1" w:lineRule="exact"/>
        <w:rPr>
          <w:sz w:val="20"/>
          <w:szCs w:val="20"/>
          <w:color w:val="auto"/>
        </w:rPr>
      </w:pPr>
    </w:p>
    <w:p>
      <w:pPr>
        <w:ind w:left="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16">
        <w:r>
          <w:rPr>
            <w:rFonts w:ascii="Arial" w:cs="Arial" w:eastAsia="Arial" w:hAnsi="Arial"/>
            <w:sz w:val="16"/>
            <w:szCs w:val="16"/>
            <w:u w:val="single" w:color="auto"/>
            <w:color w:val="0000EE"/>
          </w:rPr>
          <w:t>Employment Agreement between Helius Medical Technologies, Inc. and Dane C. Andreeff, dated June 14,</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2021 (incorporated by reference to Exhibit 10.1 to the Form 8-K filed on June 15, 2021)</w:t>
        </w:r>
      </w:hyperlink>
    </w:p>
    <w:p>
      <w:pPr>
        <w:spacing w:after="0" w:line="9" w:lineRule="exact"/>
        <w:rPr>
          <w:sz w:val="20"/>
          <w:szCs w:val="20"/>
          <w:color w:val="auto"/>
        </w:rPr>
      </w:pPr>
    </w:p>
    <w:p>
      <w:pPr>
        <w:ind w:left="6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17">
        <w:r>
          <w:rPr>
            <w:rFonts w:ascii="Arial" w:cs="Arial" w:eastAsia="Arial" w:hAnsi="Arial"/>
            <w:sz w:val="16"/>
            <w:szCs w:val="16"/>
            <w:u w:val="single" w:color="auto"/>
            <w:color w:val="0000EE"/>
          </w:rPr>
          <w:t>Employment Agreement between Helius Medical Technologies, Inc. and Jeffrey S. Mathiesen, dated June 14,</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2021 (incorporated by reference to Exhibit 10.2 to the Form 8-K filed on June 15, 2021)</w:t>
        </w:r>
      </w:hyperlink>
    </w:p>
    <w:p>
      <w:pPr>
        <w:spacing w:after="0" w:line="9" w:lineRule="exact"/>
        <w:rPr>
          <w:sz w:val="20"/>
          <w:szCs w:val="20"/>
          <w:color w:val="auto"/>
        </w:rPr>
      </w:pPr>
    </w:p>
    <w:p>
      <w:pPr>
        <w:ind w:left="1040" w:right="41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8">
        <w:r>
          <w:rPr>
            <w:rFonts w:ascii="Arial" w:cs="Arial" w:eastAsia="Arial" w:hAnsi="Arial"/>
            <w:sz w:val="18"/>
            <w:szCs w:val="18"/>
            <w:u w:val="single" w:color="auto"/>
            <w:color w:val="0000EE"/>
          </w:rPr>
          <w:t>Helius Medical Technologies, Inc. 2021 Inducement Plan (incorporated by reference to Exhibit 4.6 to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Form S-8 filed July 7, 2021)</w:t>
        </w:r>
      </w:hyperlink>
    </w:p>
    <w:p>
      <w:pPr>
        <w:spacing w:after="0" w:line="1" w:lineRule="exact"/>
        <w:rPr>
          <w:sz w:val="20"/>
          <w:szCs w:val="20"/>
          <w:color w:val="auto"/>
        </w:rPr>
      </w:pPr>
    </w:p>
    <w:p>
      <w:pPr>
        <w:ind w:left="1040" w:right="119" w:hanging="98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10.14.1†</w:t>
      </w:r>
      <w:r>
        <w:rPr>
          <w:sz w:val="20"/>
          <w:szCs w:val="20"/>
          <w:color w:val="auto"/>
        </w:rPr>
        <w:tab/>
      </w:r>
      <w:hyperlink r:id="rId119">
        <w:r>
          <w:rPr>
            <w:rFonts w:ascii="Arial" w:cs="Arial" w:eastAsia="Arial" w:hAnsi="Arial"/>
            <w:sz w:val="18"/>
            <w:szCs w:val="18"/>
            <w:u w:val="single" w:color="auto"/>
            <w:color w:val="0000EE"/>
          </w:rPr>
          <w:t>Form of Stock Option Grant Notice, Option Agreement and Notice of Exercise under the Helius Medical</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Technologies, Inc. 2021 Inducement Plan (incorporated by reference to Exhibit 4.5 to the Form S-8 filed July</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7, 2021)</w:t>
        </w:r>
      </w:hyperlink>
    </w:p>
    <w:p>
      <w:pPr>
        <w:spacing w:after="0" w:line="1" w:lineRule="exact"/>
        <w:rPr>
          <w:rFonts w:ascii="Arial" w:cs="Arial" w:eastAsia="Arial" w:hAnsi="Arial"/>
          <w:sz w:val="18"/>
          <w:szCs w:val="18"/>
          <w:u w:val="single" w:color="auto"/>
          <w:color w:val="0000EE"/>
        </w:rPr>
      </w:pPr>
    </w:p>
    <w:p>
      <w:pPr>
        <w:ind w:left="1040" w:right="199" w:hanging="985"/>
        <w:spacing w:after="0" w:line="323"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20">
        <w:r>
          <w:rPr>
            <w:rFonts w:ascii="Arial" w:cs="Arial" w:eastAsia="Arial" w:hAnsi="Arial"/>
            <w:sz w:val="16"/>
            <w:szCs w:val="16"/>
            <w:u w:val="single" w:color="auto"/>
            <w:color w:val="0000EE"/>
          </w:rPr>
          <w:t>Purchase Agreement between Helius Medical Technologies, Inc. and Lincoln Park Capital Fund, LLC dated</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September 1, 2021 (incorporated by reference to Exhibit 10.1 to the Form 8-K filed on September 2, 2021)</w:t>
        </w:r>
      </w:hyperlink>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90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9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10.16†</w:t>
            </w:r>
          </w:p>
        </w:tc>
        <w:tc>
          <w:tcPr>
            <w:tcW w:w="220" w:type="dxa"/>
            <w:vAlign w:val="bottom"/>
          </w:tcPr>
          <w:p>
            <w:pPr>
              <w:spacing w:after="0"/>
              <w:rPr>
                <w:sz w:val="15"/>
                <w:szCs w:val="15"/>
                <w:color w:val="auto"/>
              </w:rPr>
            </w:pPr>
          </w:p>
        </w:tc>
        <w:tc>
          <w:tcPr>
            <w:tcW w:w="7900" w:type="dxa"/>
            <w:vAlign w:val="bottom"/>
            <w:tcBorders>
              <w:top w:val="single" w:sz="8" w:color="auto"/>
              <w:bottom w:val="single" w:sz="8" w:color="0000EE"/>
            </w:tcBorders>
            <w:gridSpan w:val="14"/>
          </w:tcPr>
          <w:p>
            <w:pPr>
              <w:spacing w:after="0" w:line="182"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Employment Agreement between Helius Medical Technologies, Inc. and Antonella Favit-Van Pelt, dated July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7, 2021 (incorporated by reference to Exhibit 10.31 to the Form S-1 filed on September 3, 2021)</w:t>
              </w:r>
            </w:hyperlink>
          </w:p>
        </w:tc>
        <w:tc>
          <w:tcPr>
            <w:tcW w:w="9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10.17†</w:t>
            </w:r>
          </w:p>
        </w:tc>
        <w:tc>
          <w:tcPr>
            <w:tcW w:w="7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Helius Medical Technologies, Inc. 2022 Equity Incentive Plan (incorporated by reference to Exhibit 10.1 to</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1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the Form 8-K filed on February 18, 2022)</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10.17.1†</w:t>
            </w:r>
          </w:p>
        </w:tc>
        <w:tc>
          <w:tcPr>
            <w:tcW w:w="7900" w:type="dxa"/>
            <w:vAlign w:val="bottom"/>
            <w:gridSpan w:val="1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Helius Medical Technologies, Inc. 2022 Equity Incentive Plan Form of Stock Option Agreement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(incorporated by reference to Exhibit 10.3 to the Form 8-K filed on February 18, 2022)</w:t>
              </w:r>
            </w:hyperlink>
          </w:p>
        </w:tc>
        <w:tc>
          <w:tcPr>
            <w:tcW w:w="9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79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Letter from BDO USA, LLP (incorporated by reference to Exhibit 16.1 to the Form 8-K filed on September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5">
              <w:r>
                <w:rPr>
                  <w:rFonts w:ascii="Arial" w:cs="Arial" w:eastAsia="Arial" w:hAnsi="Arial"/>
                  <w:sz w:val="18"/>
                  <w:szCs w:val="18"/>
                  <w:color w:val="0000EE"/>
                  <w:w w:val="86"/>
                </w:rPr>
                <w:t>30, 2022)</w:t>
              </w:r>
            </w:hyperlink>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21.1*</w:t>
            </w:r>
          </w:p>
        </w:tc>
        <w:tc>
          <w:tcPr>
            <w:tcW w:w="220" w:type="dxa"/>
            <w:vAlign w:val="bottom"/>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Subsidiaries of Helius Medical Technologies, Inc.</w:t>
            </w: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35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Consent of Baker Tilly US, LLP</w:t>
            </w:r>
          </w:p>
        </w:tc>
        <w:tc>
          <w:tcPr>
            <w:tcW w:w="4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23.2*</w:t>
            </w:r>
          </w:p>
        </w:tc>
        <w:tc>
          <w:tcPr>
            <w:tcW w:w="220" w:type="dxa"/>
            <w:vAlign w:val="bottom"/>
          </w:tcPr>
          <w:p>
            <w:pPr>
              <w:spacing w:after="0"/>
              <w:rPr>
                <w:sz w:val="17"/>
                <w:szCs w:val="17"/>
                <w:color w:val="auto"/>
              </w:rPr>
            </w:pPr>
          </w:p>
        </w:tc>
        <w:tc>
          <w:tcPr>
            <w:tcW w:w="23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Consent of BDO USA, LLP</w:t>
            </w:r>
          </w:p>
        </w:tc>
        <w:tc>
          <w:tcPr>
            <w:tcW w:w="5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Rule 13a-14(a) and Rule 15d-14(a) as adopted pursuant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to Section 302 of the Sarbanes – Oxley Act of 2002</w:t>
            </w:r>
          </w:p>
        </w:tc>
        <w:tc>
          <w:tcPr>
            <w:tcW w:w="404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79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Certification of Chief Financial Officer pursuant to Rule 13a-14(a) and Rule 15d-14(a) as adopted pursuant to</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Section 302 of the Sarbanes – 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adopted pursuant to Section 906 of the Sarbanes – Oxley Act of 2002</w:t>
            </w:r>
          </w:p>
        </w:tc>
        <w:tc>
          <w:tcPr>
            <w:tcW w:w="2720" w:type="dxa"/>
            <w:vAlign w:val="bottom"/>
            <w:tcBorders>
              <w:top w:val="single" w:sz="8" w:color="0000EE"/>
            </w:tcBorders>
            <w:gridSpan w:val="3"/>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790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380" w:right="699" w:hanging="330"/>
        <w:spacing w:after="0" w:line="260"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Securities and Exchange Commission. Confidential treatment has been granted with respect to this omitted information.</w:t>
      </w:r>
    </w:p>
    <w:p>
      <w:pPr>
        <w:spacing w:after="0" w:line="18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40" w:type="dxa"/>
            <w:vAlign w:val="bottom"/>
            <w:gridSpan w:val="7"/>
          </w:tcPr>
          <w:p>
            <w:pPr>
              <w:ind w:left="2100"/>
              <w:spacing w:after="0"/>
              <w:rPr>
                <w:sz w:val="20"/>
                <w:szCs w:val="20"/>
                <w:color w:val="auto"/>
              </w:rPr>
            </w:pPr>
            <w:r>
              <w:rPr>
                <w:rFonts w:ascii="Arial" w:cs="Arial" w:eastAsia="Arial" w:hAnsi="Arial"/>
                <w:sz w:val="18"/>
                <w:szCs w:val="18"/>
                <w:b w:val="1"/>
                <w:bCs w:val="1"/>
                <w:color w:val="auto"/>
              </w:rPr>
              <w:t>INDEX TO CONSOLIDATED FINANCIAL STATEMENTS</w:t>
            </w:r>
          </w:p>
        </w:tc>
        <w:tc>
          <w:tcPr>
            <w:tcW w:w="620" w:type="dxa"/>
            <w:vAlign w:val="bottom"/>
          </w:tcPr>
          <w:p>
            <w:pPr>
              <w:spacing w:after="0"/>
              <w:rPr>
                <w:sz w:val="20"/>
                <w:szCs w:val="20"/>
                <w:color w:val="auto"/>
              </w:rPr>
            </w:pPr>
          </w:p>
        </w:tc>
      </w:tr>
      <w:tr>
        <w:trPr>
          <w:trHeight w:val="405"/>
        </w:trPr>
        <w:tc>
          <w:tcPr>
            <w:tcW w:w="81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(BAKER TILLY US, LLP;</w:t>
            </w:r>
          </w:p>
        </w:tc>
        <w:tc>
          <w:tcPr>
            <w:tcW w:w="620" w:type="dxa"/>
            <w:vAlign w:val="bottom"/>
          </w:tcPr>
          <w:p>
            <w:pPr>
              <w:spacing w:after="0"/>
              <w:rPr>
                <w:sz w:val="24"/>
                <w:szCs w:val="24"/>
                <w:color w:val="auto"/>
              </w:rPr>
            </w:pPr>
          </w:p>
        </w:tc>
      </w:tr>
      <w:tr>
        <w:trPr>
          <w:trHeight w:val="222"/>
        </w:trPr>
        <w:tc>
          <w:tcPr>
            <w:tcW w:w="5800" w:type="dxa"/>
            <w:vAlign w:val="bottom"/>
            <w:tcBorders>
              <w:top w:val="single" w:sz="8" w:color="0000EE"/>
            </w:tcBorders>
            <w:gridSpan w:val="5"/>
          </w:tcPr>
          <w:p>
            <w:pPr>
              <w:ind w:left="120"/>
              <w:spacing w:after="0"/>
              <w:rPr>
                <w:sz w:val="20"/>
                <w:szCs w:val="20"/>
                <w:color w:val="auto"/>
              </w:rPr>
            </w:pPr>
            <w:r>
              <w:rPr>
                <w:rFonts w:ascii="Arial" w:cs="Arial" w:eastAsia="Arial" w:hAnsi="Arial"/>
                <w:sz w:val="18"/>
                <w:szCs w:val="18"/>
                <w:color w:val="auto"/>
              </w:rPr>
              <w:t>MINNEAPOLIS, MN; PCAOB ID #23)</w:t>
            </w:r>
          </w:p>
        </w:tc>
        <w:tc>
          <w:tcPr>
            <w:tcW w:w="2340" w:type="dxa"/>
            <w:vAlign w:val="bottom"/>
            <w:gridSpan w:val="2"/>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88"/>
              </w:rPr>
              <w:t>F-1</w:t>
            </w:r>
          </w:p>
        </w:tc>
      </w:tr>
      <w:tr>
        <w:trPr>
          <w:trHeight w:val="190"/>
        </w:trPr>
        <w:tc>
          <w:tcPr>
            <w:tcW w:w="8140" w:type="dxa"/>
            <w:vAlign w:val="bottom"/>
            <w:gridSpan w:val="7"/>
          </w:tcPr>
          <w:p>
            <w:pPr>
              <w:spacing w:after="0" w:line="190"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(BDO USA, LLP;</w:t>
            </w:r>
          </w:p>
        </w:tc>
        <w:tc>
          <w:tcPr>
            <w:tcW w:w="620" w:type="dxa"/>
            <w:vAlign w:val="bottom"/>
          </w:tcPr>
          <w:p>
            <w:pPr>
              <w:spacing w:after="0"/>
              <w:rPr>
                <w:sz w:val="16"/>
                <w:szCs w:val="16"/>
                <w:color w:val="auto"/>
              </w:rPr>
            </w:pPr>
          </w:p>
        </w:tc>
      </w:tr>
      <w:tr>
        <w:trPr>
          <w:trHeight w:val="222"/>
        </w:trPr>
        <w:tc>
          <w:tcPr>
            <w:tcW w:w="5800" w:type="dxa"/>
            <w:vAlign w:val="bottom"/>
            <w:tcBorders>
              <w:top w:val="single" w:sz="8" w:color="0000EE"/>
            </w:tcBorders>
            <w:gridSpan w:val="5"/>
          </w:tcPr>
          <w:p>
            <w:pPr>
              <w:ind w:left="120"/>
              <w:spacing w:after="0"/>
              <w:rPr>
                <w:sz w:val="20"/>
                <w:szCs w:val="20"/>
                <w:color w:val="auto"/>
              </w:rPr>
            </w:pPr>
            <w:r>
              <w:rPr>
                <w:rFonts w:ascii="Arial" w:cs="Arial" w:eastAsia="Arial" w:hAnsi="Arial"/>
                <w:sz w:val="18"/>
                <w:szCs w:val="18"/>
                <w:color w:val="auto"/>
              </w:rPr>
              <w:t>PHILADELPHIA, PA; PCAOB ID #243)</w:t>
            </w:r>
          </w:p>
        </w:tc>
        <w:tc>
          <w:tcPr>
            <w:tcW w:w="2340" w:type="dxa"/>
            <w:vAlign w:val="bottom"/>
            <w:gridSpan w:val="2"/>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88"/>
              </w:rPr>
              <w:t>F-3</w:t>
            </w:r>
          </w:p>
        </w:tc>
      </w:tr>
      <w:tr>
        <w:trPr>
          <w:trHeight w:val="190"/>
        </w:trPr>
        <w:tc>
          <w:tcPr>
            <w:tcW w:w="8140" w:type="dxa"/>
            <w:vAlign w:val="bottom"/>
            <w:gridSpan w:val="7"/>
          </w:tcPr>
          <w:p>
            <w:pPr>
              <w:spacing w:after="0" w:line="190" w:lineRule="exact"/>
              <w:rPr>
                <w:sz w:val="20"/>
                <w:szCs w:val="20"/>
                <w:color w:val="auto"/>
              </w:rPr>
            </w:pPr>
            <w:r>
              <w:rPr>
                <w:rFonts w:ascii="Arial" w:cs="Arial" w:eastAsia="Arial" w:hAnsi="Arial"/>
                <w:sz w:val="18"/>
                <w:szCs w:val="18"/>
                <w:color w:val="0000EE"/>
              </w:rPr>
              <w:t>CONSOLIDATED BALANCE SHEETS</w:t>
            </w:r>
          </w:p>
        </w:tc>
        <w:tc>
          <w:tcPr>
            <w:tcW w:w="620" w:type="dxa"/>
            <w:vAlign w:val="bottom"/>
          </w:tcPr>
          <w:p>
            <w:pPr>
              <w:ind w:left="360"/>
              <w:spacing w:after="0" w:line="190" w:lineRule="exact"/>
              <w:rPr>
                <w:sz w:val="20"/>
                <w:szCs w:val="20"/>
                <w:color w:val="auto"/>
              </w:rPr>
            </w:pPr>
            <w:r>
              <w:rPr>
                <w:rFonts w:ascii="Arial" w:cs="Arial" w:eastAsia="Arial" w:hAnsi="Arial"/>
                <w:sz w:val="18"/>
                <w:szCs w:val="18"/>
                <w:color w:val="auto"/>
                <w:w w:val="88"/>
              </w:rPr>
              <w:t>F-4</w:t>
            </w:r>
          </w:p>
        </w:tc>
      </w:tr>
      <w:tr>
        <w:trPr>
          <w:trHeight w:val="20"/>
        </w:trPr>
        <w:tc>
          <w:tcPr>
            <w:tcW w:w="29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4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CONSOLIDATED STATEMENTS OF OPERATIONS AND COMPREHENSIVE LOSS</w:t>
            </w:r>
          </w:p>
        </w:tc>
        <w:tc>
          <w:tcPr>
            <w:tcW w:w="1700" w:type="dxa"/>
            <w:vAlign w:val="bottom"/>
          </w:tcPr>
          <w:p>
            <w:pPr>
              <w:spacing w:after="0"/>
              <w:rPr>
                <w:sz w:val="17"/>
                <w:szCs w:val="17"/>
                <w:color w:val="auto"/>
              </w:rPr>
            </w:pP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5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CONSOLIDATED STATEMENTS OF STOCKHOLDERS’ EQUITY</w:t>
            </w:r>
          </w:p>
        </w:tc>
        <w:tc>
          <w:tcPr>
            <w:tcW w:w="3080" w:type="dxa"/>
            <w:vAlign w:val="bottom"/>
            <w:gridSpan w:val="3"/>
          </w:tcPr>
          <w:p>
            <w:pPr>
              <w:spacing w:after="0"/>
              <w:rPr>
                <w:sz w:val="17"/>
                <w:szCs w:val="17"/>
                <w:color w:val="auto"/>
              </w:rPr>
            </w:pP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4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CONSOLIDATED STATEMENTS OF CASH FLOWS</w:t>
            </w:r>
          </w:p>
        </w:tc>
        <w:tc>
          <w:tcPr>
            <w:tcW w:w="4140" w:type="dxa"/>
            <w:vAlign w:val="bottom"/>
            <w:gridSpan w:val="5"/>
          </w:tcPr>
          <w:p>
            <w:pPr>
              <w:spacing w:after="0"/>
              <w:rPr>
                <w:sz w:val="17"/>
                <w:szCs w:val="17"/>
                <w:color w:val="auto"/>
              </w:rPr>
            </w:pP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8140" w:type="dxa"/>
            <w:vAlign w:val="bottom"/>
            <w:gridSpan w:val="7"/>
          </w:tcPr>
          <w:p>
            <w:pPr>
              <w:spacing w:after="0" w:line="196" w:lineRule="exact"/>
              <w:rPr>
                <w:sz w:val="20"/>
                <w:szCs w:val="20"/>
                <w:color w:val="auto"/>
              </w:rPr>
            </w:pPr>
            <w:r>
              <w:rPr>
                <w:rFonts w:ascii="Arial" w:cs="Arial" w:eastAsia="Arial" w:hAnsi="Arial"/>
                <w:sz w:val="18"/>
                <w:szCs w:val="18"/>
                <w:color w:val="0000EE"/>
              </w:rPr>
              <w:t>NOTES TO THE CONSOLIDATED FINANCIAL STATEMENTS</w:t>
            </w: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F-8</w:t>
            </w:r>
          </w:p>
        </w:tc>
      </w:tr>
      <w:tr>
        <w:trPr>
          <w:trHeight w:val="20"/>
        </w:trPr>
        <w:tc>
          <w:tcPr>
            <w:tcW w:w="2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Helius Medical Technologies,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have audited the accompanying consolidated balance sheet of Helius Medical Technologies, Inc. (the "Company") as of December 31, 2022, the related consolidated statements of operations and comprehensive loss, stockholders'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As discussed in Note 1 of the consolidated financial statements, the Company has recurring losses from operations, an accumulated deficit, expects to incur losses for the foreseeable future and requires additional working capital. These are the reasons that raise substantial doubt about their ability to continue as a going concern. Management’s plans in regard to these matters are also described in Note 1. The consolidated financial statements do not contain any adjustments that might result from the outcome of this uncertainty.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 Description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Classification and valuation of warrants</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As described in Note 8 to the financial statements, the Company completed an equity offering during the year which included the issuance of warrants. Management evaluated the classification of the warrants as either equity or liability presentation by reviewing the terms and conditions of the issued warrants and applying the applicable accounting guidance, including Accounting Standards Codification (ASC) 480, Distinguishing Liabilities from Equity and ASC 815, Derivatives and Hedging. Management concluded the warrants met the criteria for the classification as liabilities. Given the liability treatment, the Company is required to determine the fair value of the warrants at each reporting period.</w:t>
      </w:r>
    </w:p>
    <w:p>
      <w:pPr>
        <w:spacing w:after="0" w:line="19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Due to the complexity in the accounting guidance, the need for management judgment in applying the accounting guidance, and the fact that a slight change in terms can result in significant changes in both the initial accounting and subsequent accounting for the warrants, we identified the evaluation of the classification of the warrants issued during the year as a critical audit matter.</w:t>
      </w:r>
    </w:p>
    <w:p>
      <w:pPr>
        <w:spacing w:after="0" w:line="187" w:lineRule="exact"/>
        <w:rPr>
          <w:sz w:val="20"/>
          <w:szCs w:val="20"/>
          <w:color w:val="auto"/>
        </w:rPr>
      </w:pPr>
    </w:p>
    <w:p>
      <w:pPr>
        <w:ind w:left="700" w:right="239"/>
        <w:spacing w:after="0" w:line="311" w:lineRule="auto"/>
        <w:rPr>
          <w:sz w:val="20"/>
          <w:szCs w:val="20"/>
          <w:color w:val="auto"/>
        </w:rPr>
      </w:pPr>
      <w:r>
        <w:rPr>
          <w:rFonts w:ascii="Arial" w:cs="Arial" w:eastAsia="Arial" w:hAnsi="Arial"/>
          <w:sz w:val="16"/>
          <w:szCs w:val="16"/>
          <w:color w:val="auto"/>
        </w:rPr>
        <w:t>In addition, due to the complexities in determining the fair value, including use of complex valuation techniques and management judgment and estimation in determining assumptions and inputs into the valuation model, we identified the evaluation of the classification of the warrants issued during the year as a critical audit matter.</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1380" w:right="79" w:hanging="331"/>
        <w:spacing w:after="0" w:line="263"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obtained the Company’s accounting analysis for the equity offering during the year. We compared the terms described in the Company’s analysis to the terms of the respective agreements to determine the completeness and accuracy of the analysis performed.</w:t>
      </w:r>
    </w:p>
    <w:p>
      <w:pPr>
        <w:spacing w:after="0" w:line="21" w:lineRule="exact"/>
        <w:rPr>
          <w:rFonts w:ascii="Arial" w:cs="Arial" w:eastAsia="Arial" w:hAnsi="Arial"/>
          <w:sz w:val="18"/>
          <w:szCs w:val="18"/>
          <w:color w:val="auto"/>
        </w:rPr>
      </w:pPr>
    </w:p>
    <w:p>
      <w:pPr>
        <w:jc w:val="both"/>
        <w:ind w:left="1380" w:right="79" w:hanging="331"/>
        <w:spacing w:after="0" w:line="295" w:lineRule="auto"/>
        <w:tabs>
          <w:tab w:leader="none" w:pos="1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the assistance of firm personnel having expertise in the accounting for complex equity instruments, we performed a detailed examination of the warrant agreement for the equity offering, with a primary focus on the key terms and conditions and applying the Indexation Guidance. The warrants failed the Indexation Guidance given the impact of potential future changes to pricing/conversion rates unrelated to future equity issuances. We agreed with the conclusion to classify the warrants as a liability.</w:t>
      </w:r>
    </w:p>
    <w:p>
      <w:pPr>
        <w:spacing w:after="0" w:line="3" w:lineRule="exact"/>
        <w:rPr>
          <w:rFonts w:ascii="Arial" w:cs="Arial" w:eastAsia="Arial" w:hAnsi="Arial"/>
          <w:sz w:val="16"/>
          <w:szCs w:val="16"/>
          <w:color w:val="auto"/>
        </w:rPr>
      </w:pPr>
    </w:p>
    <w:p>
      <w:pPr>
        <w:ind w:left="1380" w:right="119" w:hanging="331"/>
        <w:spacing w:after="0" w:line="259"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assistance of firm personnel having expertise in the valuation of derivative instruments, we reviewed the Company’s valuation, including determining the impact of key provisions from the warrant agreement and tying out inputs into the valuation model. We performed an independent analysis validating the Company’s calculation.</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Newtown, Pennsylvania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We have audited the accompanying consolidated balance sheet of Helius Medical Technologies, Inc. (the “Company”) as of December 31, 2021, the related consolidated statements of operations and comprehensive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then ended</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$137.0 million as of December 31, 2021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from 2017 to 2022.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right-of-use asset, net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61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Preferred stock, $0.001 par value; 10,000,000 shares authorized; no shares issued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December 31, 2022 and December 31, 2021</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180" w:type="dxa"/>
            <w:vAlign w:val="bottom"/>
          </w:tcPr>
          <w:p>
            <w:pPr>
              <w:ind w:left="100"/>
              <w:spacing w:after="0" w:line="201" w:lineRule="exact"/>
              <w:rPr>
                <w:sz w:val="20"/>
                <w:szCs w:val="20"/>
                <w:color w:val="auto"/>
              </w:rPr>
            </w:pPr>
            <w:r>
              <w:rPr>
                <w:rFonts w:ascii="Arial" w:cs="Arial" w:eastAsia="Arial" w:hAnsi="Arial"/>
                <w:sz w:val="18"/>
                <w:szCs w:val="18"/>
                <w:color w:val="auto"/>
              </w:rPr>
              <w:t>Class A common stock, $0.001 par value; 150,000,000 shares authorized;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w w:val="90"/>
              </w:rPr>
              <w:t>28,207,330 and 3,780,674 shares issued and outstanding as of December 31, 2022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00"/>
              <w:spacing w:after="0"/>
              <w:rPr>
                <w:sz w:val="20"/>
                <w:szCs w:val="20"/>
                <w:color w:val="auto"/>
              </w:rPr>
            </w:pPr>
            <w:r>
              <w:rPr>
                <w:rFonts w:ascii="Arial" w:cs="Arial" w:eastAsia="Arial" w:hAnsi="Arial"/>
                <w:sz w:val="18"/>
                <w:szCs w:val="18"/>
                <w:color w:val="auto"/>
              </w:rPr>
              <w:t>and December 31, 2021, respectively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149,412</w:t>
            </w: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(151,107)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(137,035)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right="3999"/>
        <w:spacing w:after="0" w:line="290" w:lineRule="auto"/>
        <w:rPr>
          <w:sz w:val="20"/>
          <w:szCs w:val="20"/>
          <w:color w:val="auto"/>
        </w:rPr>
      </w:pPr>
      <w:r>
        <w:rPr>
          <w:rFonts w:ascii="Arial" w:cs="Arial" w:eastAsia="Arial" w:hAnsi="Arial"/>
          <w:sz w:val="17"/>
          <w:szCs w:val="17"/>
          <w:b w:val="1"/>
          <w:bCs w:val="1"/>
          <w:color w:val="auto"/>
        </w:rPr>
        <w:t xml:space="preserve">Consolidated Statements of Operations and Comprehensive Loss </w:t>
      </w:r>
      <w:r>
        <w:rPr>
          <w:rFonts w:ascii="Arial" w:cs="Arial" w:eastAsia="Arial" w:hAnsi="Arial"/>
          <w:sz w:val="17"/>
          <w:szCs w:val="17"/>
          <w:color w:val="auto"/>
        </w:rPr>
        <w:t>(in thousands, except share and per share amounts)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Product sales, net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778</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revenue</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Amortization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 impairment</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exchange (loss) gain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Nonoperating income (expense), net</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1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number of common shares outstanding</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13,497,159</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2,456,782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13,497,159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2,456,782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 except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7"/>
              </w:rPr>
              <w:t>Class A 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1,484,362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$ 123,872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(118,903)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2"/>
              </w:rPr>
              <w:t>Common stock issued under equity line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credit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public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2,129,967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warrants in public offering</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81,895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services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4,252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(18,132)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(18,132)</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3,780,674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$ 149,412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(137,035)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Class A 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33"/>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3,780,674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$ 149,412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(137,035)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under equity line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of credit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391,363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public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24,000,000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 issuance costs</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(14,072)</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as of December 31, 2022</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28,207,330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$ 159,618</w:t>
            </w:r>
          </w:p>
        </w:tc>
        <w:tc>
          <w:tcPr>
            <w:tcW w:w="140" w:type="dxa"/>
            <w:vAlign w:val="bottom"/>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 (151,107)</w:t>
            </w:r>
          </w:p>
        </w:tc>
        <w:tc>
          <w:tcPr>
            <w:tcW w:w="140" w:type="dxa"/>
            <w:vAlign w:val="bottom"/>
          </w:tcPr>
          <w:p>
            <w:pPr>
              <w:spacing w:after="0"/>
              <w:rPr>
                <w:sz w:val="18"/>
                <w:szCs w:val="18"/>
                <w:color w:val="auto"/>
              </w:rPr>
            </w:pPr>
          </w:p>
        </w:tc>
        <w:tc>
          <w:tcPr>
            <w:tcW w:w="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(14,072)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Change in fair value of derivative liability</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Common stock issued for services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exchange loss (gain)</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Depreciation expense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expense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Goodwill impairment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(reversal) for doubtful accounts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Provision for (reversal of) inventory reserve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operating lease expense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Loss from disposal of property and equipment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receivables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Inventory, net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 and other current assets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Operating lease liability</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Accrued and other current liabilities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Internally developed software</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issuances of common stock and warrants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 issuance costs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and stock options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50"/>
        </w:trPr>
        <w:tc>
          <w:tcPr>
            <w:tcW w:w="6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Cash paid for interest (share issuance costs allocated to derivative liability)</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927</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transactions: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Right-of-use assets obtained in exchange for new lease liabilities</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share issuance costs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Share issuance costs included in accounts payable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Helius Medical Technologies, Inc. (together with its wholly owned subsidiaries the “Company”) conducts operations in the United States and Canada. The Company’s product, known as the Portable Neuromodulation Stimulator (“PoNS®”) has been commercially available in Canada since March 2019. The Company began accepting prescriptions for its PoNS product in the United States in the first quarter of 2022, and the first commercial sales began in April 2022. PoNS is authorized for sale as a Class IIa medical device in Australia. The Company is working to establish a distribution partner for Australia but has not yet had any commercial sales of PoNS in Australia.</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December 31, 2022, the Company had cash and cash equivalents of $14.5 million. For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2022, the Company had an operating loss of $15.5 million, and as of December 31, 2022, its accumulated deficit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$151.1 million. For the year ended December 31, 2022, the Company had $0.8 million of net revenue from the commercial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sale of products. The Company expects to continue to incur operating losses and net cash outflows until such time as 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generates a level of revenue to support its cost structure. There is no assurance that the Company will achieve profitable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and, if achieved, whether it will be sustained on a continued basis. These factors indicate substantial doubt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about the Company’s ability to continue as a going concern within one year after the date the financial statements are filed.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consolidated financial statements have been prepared on the basis of continuity of operations, realization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assets and satisfaction of liabilities in the ordinary course of business; no adjustments have been made relating to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recoverability and classification of recorded asset amounts and classification of liabilities that might be necessary should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not continue as a going concern.</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spacing w:after="0" w:line="172" w:lineRule="exact"/>
        <w:rPr>
          <w:sz w:val="20"/>
          <w:szCs w:val="20"/>
          <w:color w:val="auto"/>
        </w:rPr>
      </w:pPr>
    </w:p>
    <w:p>
      <w:pPr>
        <w:ind w:left="60" w:right="4919" w:hanging="10"/>
        <w:spacing w:after="0" w:line="503" w:lineRule="auto"/>
        <w:tabs>
          <w:tab w:leader="none" w:pos="70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Principles of Consolidation</w:t>
      </w:r>
    </w:p>
    <w:p>
      <w:pPr>
        <w:ind w:left="60" w:right="359"/>
        <w:spacing w:after="0" w:line="342" w:lineRule="auto"/>
        <w:rPr>
          <w:sz w:val="20"/>
          <w:szCs w:val="20"/>
          <w:color w:val="auto"/>
        </w:rPr>
      </w:pPr>
      <w:r>
        <w:rPr>
          <w:rFonts w:ascii="Arial" w:cs="Arial" w:eastAsia="Arial" w:hAnsi="Arial"/>
          <w:sz w:val="16"/>
          <w:szCs w:val="16"/>
          <w:color w:val="auto"/>
        </w:rPr>
        <w:t>The accompanying consolidated financial statements reflect the operations of Helius Medical Technologies, Inc. and its wholly owned subsidiaries. All intercompany balances and transactions have been eliminated in consolidation.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319"/>
        <w:spacing w:after="0" w:line="255"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liability classified warrants and deferred income tax asset valuation allowance. Financial statements include estimates, which, by their nature, are uncertain. Actual results could differ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Generally, worldwide economic conditions remain uncertain, particularly due to the effects of the COVID-19 pandemic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92"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The COVID-19 pandemic that began in late 2019 introduced significant volatility to the global economy, disrupted supply chains and had a widespread adverse effect on the financial markets. Additionally, the Company’s operating results could be materially impacted by changes in the overall macroeconomic environment and other economic factors. Changes in economic conditions, supply chain constraints, logistics challenges, labor shortages,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Although the Company may take measures to mitigate these impacts, if these measures are not effective, the Company’s business, financial condition, results of operations, and liquidity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local currency, or CAD$, is the functional currency of the Company’s foreign operating subsidiary, Helius Medical Technologies (Canada), Inc. All assets and liabilities are translated into United States dollars at the rate of exchange in effect at the balance sheet date. Income and expense items are translated at the weighted-average exchange rate prevailing during the period. The effects of foreign currency translation adjustments are deferred and reported in stockholders' equity as a component of “Accumulated Other Comprehensive Loss.” The effects of foreign currency transactions denominated in a currency other than an entity's functional currency are included in “Foreign Exchange (Loss) Gain” in the Consolidated Statements of Operations and Comprehensive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Revenue is recognized when control of the promised goods is transferred to the customer in an amount that reflects the consideration to which the Company expects to be entitled in exchange for those products.</w:t>
      </w:r>
    </w:p>
    <w:p>
      <w:pPr>
        <w:spacing w:after="0" w:line="170" w:lineRule="exact"/>
        <w:rPr>
          <w:sz w:val="20"/>
          <w:szCs w:val="20"/>
          <w:color w:val="auto"/>
        </w:rPr>
      </w:pPr>
    </w:p>
    <w:p>
      <w:pPr>
        <w:jc w:val="both"/>
        <w:ind w:left="60" w:right="239"/>
        <w:spacing w:after="0" w:line="259" w:lineRule="auto"/>
        <w:rPr>
          <w:sz w:val="20"/>
          <w:szCs w:val="20"/>
          <w:color w:val="auto"/>
        </w:rPr>
      </w:pPr>
      <w:r>
        <w:rPr>
          <w:rFonts w:ascii="Arial" w:cs="Arial" w:eastAsia="Arial" w:hAnsi="Arial"/>
          <w:sz w:val="18"/>
          <w:szCs w:val="18"/>
          <w:color w:val="auto"/>
        </w:rPr>
        <w:t>The Company generates nearly all of its revenue from product sales directly to patients in the United States and to clinics in Canada. Revenue from product sales is recognized at a point in time when the performance obligation is satisfied upon delivery of the product. Taxes that the Company collects concurrent with revenue-producing activities are excluded from revenue.</w:t>
      </w:r>
    </w:p>
    <w:p>
      <w:pPr>
        <w:spacing w:after="0" w:line="18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 requires customers in the United States to prepay the full product selling price, net of cash discount, prior to shipment. The Company records a contract liability for any customer prepayment received for which delivery had not yet occurred as of the end of the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color w:val="auto"/>
        </w:rPr>
        <w:t>The Company deposits its cash and cash equivalents in demand commercial checking and money market savings or certificates of deposit at high-quality credit institutions. At times, such deposits may be in excess of federally insured limits. The Company has not experienced any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considers highly liquid investments with original maturities of three months or less to be cash equivalents.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equivalents are valued at cost, which approximates fair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Accounts receivable arise from product sales in Canada and generally require payment within 30 days. The Company provides reserves against accounts receivable for estimated losses that may result from a customer’s inability to pay based on a combination of factors, such as the aging of accounts receivable, the customer’s financial strength and payment history. Amounts determined to be uncollectible are charged or written off against the reserve.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Inventories are stated at the lower of cost (average cost method) or net realizable value. The Company establishes inventory reserves for obsolescence based upon specific identification of expired or unusable units with a corresponding provision included in cost of revenue.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Property and equipment are recorded at cost. Depreciation is calculated for financial reporting purposes on the straight-line method over the estimated useful lives of the related assets, which are seven years for furniture and fixtures, 15 years for equipment and three to five years for computer software and hardware. Depreciation expense is recorded in selling, general and administrative expenses. Expenditures for repairs and maintenance, which do not improve or extend the expected useful life of the assets, are expensed as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Management reviews the carrying amounts of definite-lived intangible assets and long-lived tangible assets whenever events or circumstances indicate that the carrying amounts of an asset may not be recoverable. For purposes of assessing recoverability, definite-lived intangible assets and long-lived tangible assets are each deemed to be one asset group. The carrying amount of the asset group is compared to the estimated undiscounted future cash flows associated with it. If the sum of the expected future net cash flows is less than the carrying value of the asset group being evaluated, an impairment loss is calculated as the amount by which the carrying value of the asset group exceeds its estimated fair value.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The Company has operating leases for its corporate offices.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 The Company's incremental borrowing rate is determined based on the estimated rate of interest for collateralized borrowing over a similar term as the associated lease. The Company’s lease arrangements do not have any lease and non-lease components.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measures and recognizes compensation expense for all stock-based awards based on estimated fair values. Stock-based awards consist of stock options and restricted stock units. Stock-based compensation expense is measured at the grant date based on the fair value of the award and is recognized as expense over the requisite service period (vesting period) on a straight-line basis. Forfeitures are not estimated, but instead stock-based compensation expense is adjusted upon an actual forfeiture of a stock option. Upon exercise of stock options or vesting of restricted stock units, the Company issues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for deferred income tax assets is recorded when it is more likely than not that some portion or all of the deferred income tax assets will not be realized.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costs are charged to expense when incurred.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reportable segment related to the sale of PoNS Devices in the United States and Canada.</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Company does not engage in hedging activities. The Company evaluates its financial instruments and other contracts to determine if those contracts or embedded components of those contracts qualify as derivatives to be separately accounted for. The result of this accounting treatment is that the fair value of the derivative is re-measured at each balance sheet date and recorded as a liability or asset and the change in fair value is recorded in the Consolidated Statements of Operations and Comprehensive Loss. Refer to Note 8 for details about the derivative liability recorded during the year ended December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Basic and Diluted Loss per Share</w:t>
      </w:r>
    </w:p>
    <w:p>
      <w:pPr>
        <w:spacing w:after="0" w:line="229"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Basic loss per share is computed by dividing net loss by the weighted-average number of common shares outstanding during the period. Diluted loss per share is based on the weighted-average common shares outstanding during the period plus dilutive potential common shares calculated using the treasury stock method. Such potentially dilutive shares are excluded when the effect would be to reduce a net loss per share.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amended the guidance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credit losses on financial instruments. The guidance was effective for Smaller Reporting Companies for fiscal years beginning after December 15, 2022, including interim periods within those fiscal years. The adoption of this guidance on January 1, 2023 did not have a material impact on the Company's Consolidated Financial Statements.</w:t>
      </w:r>
    </w:p>
    <w:p>
      <w:pPr>
        <w:spacing w:after="0" w:line="157"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IMPAIRMENT</w:t>
      </w:r>
    </w:p>
    <w:p>
      <w:pPr>
        <w:spacing w:after="0" w:line="229"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In September 2022, the Company recorded an impairment charge of $757 thousand for the full write-down of the goodwill recorded in connection with its acquisition of Heuro Canada, Inc. (“Heuro”). The significant decline in the price of the Company’s Class A common stock (“common stock”) following the Company’s registered public offering in August 2022 was considered a triggering event for testing whether goodwill was impaired. The Company elected to perform a quantitative impairment test as of September 30, 2022 for its one identified reporting unit, and determined that the carrying value exceeded the estimated fair value based on the closing price of the Company’s common stock on the Nasdaq Capital 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selected captions in the Consolidated Balance Sheets are as follows: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Accounts receivable are net of allowance for doubtful accounts of less than $1 thousand and $355 thousand as of December 31, 2022 and 2021, respectively. During the year ended December 31, 2022, $334 thousand of past due accounts receivable from a customer that had been fully reserved prior to 2021 were determined by the Company to be uncollectible and were charged off against the allowance for doubtful accounts.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net (in thousands)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Inventory, gross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reserve</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632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6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During the year ended December 31, 2022, existing reserves of $175 thousand were charged against work-in-process inventory.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 and other current assets (in thousands)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Inventory related</w:t>
            </w: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1,216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 and equipment, net (in thousands)</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hardware</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Accrued and other current liabilities (in thousands)</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restart"/>
          </w:tcPr>
          <w:p>
            <w:pPr>
              <w:ind w:left="20"/>
              <w:spacing w:after="0"/>
              <w:rPr>
                <w:sz w:val="20"/>
                <w:szCs w:val="20"/>
                <w:color w:val="auto"/>
              </w:rPr>
            </w:pPr>
            <w:r>
              <w:rPr>
                <w:rFonts w:ascii="Arial" w:cs="Arial" w:eastAsia="Arial" w:hAnsi="Arial"/>
                <w:sz w:val="18"/>
                <w:szCs w:val="18"/>
                <w:color w:val="auto"/>
              </w:rPr>
              <w:t>Insurance payable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Employees benefits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Franchise tax</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Severance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Total accrued and other current liabilities</w:t>
            </w:r>
          </w:p>
        </w:tc>
        <w:tc>
          <w:tcPr>
            <w:tcW w:w="56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Collaborative Arrangement</w:t>
      </w:r>
    </w:p>
    <w:p>
      <w:pPr>
        <w:spacing w:after="0" w:line="22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In October 2019, the Company received an up-front payment of CAD$360 thousand in connection with a Clinical Research and Co-Promotion Agreement with Health Tech Connex Inc. (“HTC”) (the “Co-Promotion Agreement”). Under the Co-Promotion Agreement, subject to certain terms and conditions, the Company granted to HTC the exclusive right to provide the PoNS Therapy in the Fraser Valley and Vancouver metro regions of British Columbia, where HTC has operated a PoNS authorized clinic since February 2019. This exclusivity right had an initial term of ten years. License revenue was recognized ratably over the ten-year term through the first three months of 2022, at which time the Company and HTC commenced negotiations to enter into a new exclusive distribution agreement.</w:t>
      </w:r>
    </w:p>
    <w:p>
      <w:pPr>
        <w:spacing w:after="0" w:line="177"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On March 3, 2023, the Company entered into an Exclusive Distribution Agreement (“Exclusivity Agreement”) with HTC, whereby, subject to certain terms and conditions, the Company granted to HTC the exclusive right to provide the PoNS Therapy in the Fraser Valley and Vancouver metro regions of British Columbia. HTC is to purchase the PoNS devices for use in these regions exclusively from the Company and on terms no less favorable than the then-current standard terms and conditions, This exclusivity right was granted for a value of CAD$273 thousand which is represented by the unamortized payment that we received from HTC under the Co-Promotion Agreement and has an initial term of five years, renewable by HTC for one additional five-year term upon sixty days’ written notice to us.</w:t>
      </w:r>
    </w:p>
    <w:p>
      <w:pPr>
        <w:spacing w:after="0" w:line="177"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Deferred revenue as of both December 31, 2022 and 2021 included approximately $200 thousand of license fees not yet recognized under the Co-Promotion Agreement. License fee revenue recognized is included in other revenue in the Consolidated Statements of Operations and Comprehensive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Noncash Consideration in Acquisition</w:t>
      </w:r>
    </w:p>
    <w:p>
      <w:pPr>
        <w:spacing w:after="0" w:line="22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Deferred revenue for the remaining noncash consideration to be transferred in connection with the Company’s acquisition of Heuro Canada, Inc. (“Heuro”) in October 2019 was approximately $100 thousand as of December 31, 2021. During the year ended December 31, 2022, the remaining 16 PoNS devices were transferred and the remaining $100 thousand of deferred revenue was recognized in Product Sales in the Consolidated Statements of Operations and Comprehensive Loss. During the year ended December 31, 2021, there were 18 PoNS devices transferred which resulted in the recognition of $100 thousand of deferred revenue in Product Sales in the Consolidated Statements of Operations and Comprehensive Loss.</w:t>
      </w:r>
    </w:p>
    <w:p>
      <w:pPr>
        <w:spacing w:after="0" w:line="191"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Company has two operating leases for office space with lease terms that commenced in January 2022 and February 2022 and expire in March 2025 and January 2024, respectively. The leases do not contain any options to extend. Operating lease costs for the current and prior leases for the years ended December 31, 2022 and 2021 were $56 thousand and $63 thousand,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operating lease liabilities at December 31, 2022 were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9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9"/>
              </w:rPr>
              <w:t>2023</w:t>
            </w:r>
          </w:p>
        </w:tc>
        <w:tc>
          <w:tcPr>
            <w:tcW w:w="50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960" w:type="dxa"/>
            <w:vAlign w:val="bottom"/>
          </w:tcPr>
          <w:p>
            <w:pPr>
              <w:jc w:val="right"/>
              <w:ind w:right="2490"/>
              <w:spacing w:after="0"/>
              <w:rPr>
                <w:sz w:val="20"/>
                <w:szCs w:val="20"/>
                <w:color w:val="auto"/>
              </w:rPr>
            </w:pPr>
            <w:r>
              <w:rPr>
                <w:rFonts w:ascii="Arial" w:cs="Arial" w:eastAsia="Arial" w:hAnsi="Arial"/>
                <w:sz w:val="18"/>
                <w:szCs w:val="18"/>
                <w:color w:val="auto"/>
                <w:w w:val="89"/>
              </w:rPr>
              <w:t>2024</w:t>
            </w:r>
          </w:p>
        </w:tc>
        <w:tc>
          <w:tcPr>
            <w:tcW w:w="4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9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9"/>
              </w:rPr>
              <w:t>2025</w:t>
            </w:r>
          </w:p>
        </w:tc>
        <w:tc>
          <w:tcPr>
            <w:tcW w:w="4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Total lease payments</w:t>
            </w:r>
          </w:p>
        </w:tc>
        <w:tc>
          <w:tcPr>
            <w:tcW w:w="4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imputed interest</w:t>
            </w:r>
          </w:p>
        </w:tc>
        <w:tc>
          <w:tcPr>
            <w:tcW w:w="4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Total lease liabilities</w:t>
            </w:r>
          </w:p>
        </w:tc>
        <w:tc>
          <w:tcPr>
            <w:tcW w:w="456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60" w:type="dxa"/>
            <w:vAlign w:val="bottom"/>
            <w:gridSpan w:val="2"/>
          </w:tcPr>
          <w:p>
            <w:pPr>
              <w:jc w:val="right"/>
              <w:ind w:right="3370"/>
              <w:spacing w:after="0"/>
              <w:rPr>
                <w:sz w:val="20"/>
                <w:szCs w:val="20"/>
                <w:color w:val="auto"/>
              </w:rPr>
            </w:pPr>
            <w:r>
              <w:rPr>
                <w:rFonts w:ascii="Arial" w:cs="Arial" w:eastAsia="Arial" w:hAnsi="Arial"/>
                <w:sz w:val="18"/>
                <w:szCs w:val="18"/>
                <w:color w:val="auto"/>
              </w:rPr>
              <w:t>F-13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provides information on the lease terms and discount rates for the two operating leases as of December 31, 2022:</w:t>
      </w:r>
    </w:p>
    <w:p>
      <w:pPr>
        <w:spacing w:after="0" w:line="198"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97"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Useful Life</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5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56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vMerge w:val="continue"/>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vMerge w:val="continue"/>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600" w:type="dxa"/>
            <w:vAlign w:val="bottom"/>
            <w:gridSpan w:val="2"/>
            <w:vMerge w:val="continue"/>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620" w:type="dxa"/>
            <w:vAlign w:val="bottom"/>
            <w:gridSpan w:val="2"/>
            <w:vMerge w:val="continue"/>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proprietary software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Reacquired rights</w:t>
            </w:r>
          </w:p>
        </w:tc>
        <w:tc>
          <w:tcPr>
            <w:tcW w:w="72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$ 701</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$ 740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39"/>
        <w:spacing w:after="0" w:line="277" w:lineRule="auto"/>
        <w:rPr>
          <w:sz w:val="20"/>
          <w:szCs w:val="20"/>
          <w:color w:val="auto"/>
        </w:rPr>
      </w:pPr>
      <w:r>
        <w:rPr>
          <w:rFonts w:ascii="Arial" w:cs="Arial" w:eastAsia="Arial" w:hAnsi="Arial"/>
          <w:sz w:val="18"/>
          <w:szCs w:val="18"/>
          <w:color w:val="auto"/>
        </w:rPr>
        <w:t>The acquired proprietary software and reacquired rights intangible assets were recorded in connection with the Company’s acquisition of Heuro.</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w w:val="92"/>
              </w:rPr>
              <w:t>Estimated amortization expense for each of the years ending December 31 is as follows (in thousands):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7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76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Consolidated Financial Statements include financial instruments for which the fair market value of such instruments may differ from amounts reflected on a historical cost basis. Financial instruments of the Company consist of cash equivalents, which were comprised of deposits of excess cash in an unrestricted money market savings account and a certificate of deposit as of December 31, 2022. The Company did not have any cash equivalents as of December 31, 2021. The carrying value of cash equivalents generally approximates fair value due to their short-term nature.</w:t>
      </w:r>
    </w:p>
    <w:p>
      <w:pPr>
        <w:spacing w:after="0" w:line="161"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The Company’s derivative liability as of December 31, 2022 is comprised of warrants issued in connection with the registered public offering completed in August 2022 discussed in Note 8. The derivative liability is classified as Level 3 within the fair value hierarchy and is required to be recorded at fair value on a recurring basis. See Note 8 for further information on the fair value of the derivative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 may issue common stock in connection with underwritten public offerings, registered direct public offerings or other financing transactions. Such issuances of common stock may include the issuance or sale of warrants to purchase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August 2022 Issuance of Common Stock and Warrants</w:t>
      </w:r>
    </w:p>
    <w:p>
      <w:pPr>
        <w:spacing w:after="0" w:line="225"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On August 9, 2022, the Company closed on a registered public offering consisting of 18,560,000 shares of common stock, pre-funded warrants to purchase 5,440,000 shares of common stock and accompanying warrants to purchase an aggregate of 36,000,000 shares of common stock (“Public Warrants”) at a combined offering price of $0.75 per share and accompanying Public Warrants, or $0.749 per pre-funded warrant and accompanying Public Warrants (“August 2022 Public Offering”). The pre-funded warrants had an exercise price of $0.001 per share and were all exercised on the closing date. As a result, an aggregate of 24,000,000 shares were issued on the closing date for gross proceeds of $18 million. In connection with the August 2022 Public Offering, the Company paid $1.7 million of share issuance costs, which consisted of placement agent fees and expenses and other offering costs.</w:t>
      </w:r>
    </w:p>
    <w:p>
      <w:pPr>
        <w:spacing w:after="0" w:line="17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Company performed an analysis of the provisions of the Public Warrants and concluded that the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As a result of the derivative liability classification of the Public Warrants, the gross proceeds were first allocated to the fair value of the Public Warrants as of August 9, 2022 of $9.9 million and the remaining $8.1 million in gross proceeds were allocated to stockholders’ equity. The share issuance costs associated with the August 2022 Public Offering were allocated between the issuance of common stock and Public Warrants on a pro rata basis with the allocation of the gross proceeds, which resulted in $0.8 million of share issuance costs being recorded as a reduction of additional paid-in capital and $0.9 million of share issuance costs being recorded in interest expense on the Consolidated Statements of Operations and Comprehensive Loss.</w:t>
      </w:r>
    </w:p>
    <w:p>
      <w:pPr>
        <w:spacing w:after="0" w:line="185"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The fair value of the derivative liability as of the issuance date on August 9 and December 31, 2022 was $9.9 million and $6.9 million, respectively. The change in the fair value of the derivative liability was recognized as a component of nonoperating income (expense) in the Company’s Consolidated Statements of Operations and Comprehensive Loss.</w:t>
      </w:r>
    </w:p>
    <w:p>
      <w:pPr>
        <w:spacing w:after="0" w:line="14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fair value of the Public Warrants as of December 31, 2022 was determined using both a Monte Carlo simulation model, which uses multiple input variables to determine the probability of the occurrence of a price reset or a fundamental transaction and the Black-Scholes option pricing model. The fair value of the Public Warrants as of the issuance date of August 9, 2022 was calculated using the Black-Scholes option pricing model, as the occurrence of a price reset with regard to the exercise price or pricing disruption with regard to a fundamental transaction were not deemed to be the operative factors contemplated upon issuance of the Public Warrants.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August 9,</w:t>
            </w:r>
          </w:p>
        </w:tc>
      </w:tr>
      <w:tr>
        <w:trPr>
          <w:trHeight w:val="171"/>
        </w:trPr>
        <w:tc>
          <w:tcPr>
            <w:tcW w:w="6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term (in years)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80.90 %</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78.27 %</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4.04 %</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225" w:lineRule="exact"/>
        <w:rPr>
          <w:sz w:val="20"/>
          <w:szCs w:val="20"/>
          <w:color w:val="auto"/>
        </w:rPr>
      </w:pPr>
    </w:p>
    <w:p>
      <w:pPr>
        <w:jc w:val="both"/>
        <w:ind w:left="60" w:right="119"/>
        <w:spacing w:after="0" w:line="308" w:lineRule="auto"/>
        <w:rPr>
          <w:sz w:val="20"/>
          <w:szCs w:val="20"/>
          <w:color w:val="auto"/>
        </w:rPr>
      </w:pPr>
      <w:r>
        <w:rPr>
          <w:rFonts w:ascii="Arial" w:cs="Arial" w:eastAsia="Arial" w:hAnsi="Arial"/>
          <w:sz w:val="17"/>
          <w:szCs w:val="17"/>
          <w:color w:val="auto"/>
        </w:rPr>
        <w:t>During the years ended December 31, 2022 and 2021, the Company issued 391,363 shares and 40,000 shares, respectively, at an average price per share of $1.65 and $14.42, respectively, to Lincoln Park Capital Fund, LLC</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(“Lincoln Park”) pursuant to a purchase agreement (the “LPC Purchase Agreement”) and registration rights agreement with Lincoln Park entered into on September 1, 2021. In addition, in connection with the execution of the LPC Purchase Agreement, the Company issued 31,958 shares of common stock to Lincoln Park as consideration for Lincoln Park’s commitment to purchase shares of the Company’s common stock. The $0.5 million fair value of the common stock was recorded as share issuance costs.</w:t>
      </w:r>
    </w:p>
    <w:p>
      <w:pPr>
        <w:spacing w:after="0" w:line="18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Lincoln Park has no right to require the Company to sell any shares of common stock to Lincoln Park, but Lincoln Park is obligated to make purchases as the Company directs, subject to the provisions of the LPC Purchase Agreement and applicable rules of the Nasdaq Capital Market. The Company does not intend to issue any additional shares under the LPC Purchase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November 2021 Issuance of Common Stock</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On November 12, 2021, in an underwritten public offering (the “November 2021 Offering”), the Company issued 1,385,031 shares of common stock at a purchase price of $8.00 per share. Net proceeds from the November 2021 Offering after underwriter’s discounts and commission and offering expenses were approximately $9.9 million. Affiliates of an officer and director participated in the November 2021 Offering on the same terms and conditions as all other purchasers.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February 2021 Issuance of Common Stock and Warrants</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were approximately $9.6 million. Affiliates of an officer and director participated in the February 2021 Offering on the same terms and conditions as all other purchasers.</w:t>
      </w:r>
    </w:p>
    <w:p>
      <w:pPr>
        <w:spacing w:after="0" w:line="178"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Company has determined that warrants issued in connection with the February 2021 Offering should be classified as equity as partial cash settlement under certain circumstances, charges of transfer taxes and fees and provisions related to market volatility did not preclude equity classification. The relative fair value of these warrants at issuance was approximately $2.6 million and was included in additional paid-in capital.</w:t>
      </w:r>
    </w:p>
    <w:p>
      <w:pPr>
        <w:spacing w:after="0" w:line="187"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fair value of the warrants as of the issuance date of February 1, 2021 was calculated using the Black-Scholes option pricing model. The following table summarizes the weighted average assumptions used in estimating the fair value of the warrants: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February 1, 2021</w:t>
            </w:r>
          </w:p>
        </w:tc>
        <w:tc>
          <w:tcPr>
            <w:tcW w:w="160" w:type="dxa"/>
            <w:vAlign w:val="bottom"/>
            <w:tcBorders>
              <w:bottom w:val="single" w:sz="8" w:color="CCEEFF"/>
            </w:tcBorders>
          </w:tcPr>
          <w:p>
            <w:pPr>
              <w:spacing w:after="0"/>
              <w:rPr>
                <w:sz w:val="14"/>
                <w:szCs w:val="14"/>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8"/>
                <w:szCs w:val="18"/>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term (in years)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liability classified Public Warrants have an exercise price of $0.75 per share, are exercisable upon issuance and will expire five years following the date of issuance. No Public Warrants were exercised or cancelled during the period from the date of issuance through December 31, 2022.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Company has outstanding equity-classified warrants to purchase 593,924 shares of common stock at a weighted average exercise price of $16.32, with expiration dates ranging from March 2025 to February 2026. During the year ended December 31, 2022, no warrants were exercised or cancelled.</w:t>
      </w:r>
    </w:p>
    <w:p>
      <w:pPr>
        <w:spacing w:after="0" w:line="207"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The Helius Medical Technologies, Inc. 2022 Equity Incentive Plan (“2022 Plan”) provides for the grant of incentive stock options (“ISOs”), nonstatutory stock options (“NSOs”), stock appreciation rights, restricted stock awards, restricted stock unit awards, performance awards and other forms of awards to employees, directors and consultants. The maximum number of shares of common stock that may be issued on the exercise of ISOs under the 2022 Plan is 11,212,720. Options to purchase shares of the Company’s common stock granted under the 2022 Plan are awarded at a price equal to the fair market value at the date of grant based upon the closing price on that date. Options granted under the 2022 Plan generally vest over periods of between one to three years and expire no later than ten years from the date of grant. Effective with the stockholder approval of the 2022 Plan on May 23, 2022, the Company ceased granting awards under the 2018 Omnibus Incentive Plan (as amended, the “2018 Plan”). However, outstanding stock options granted prior to the effective date of the 2022 Plan are still governed by the 2018 Plan or the respective predecessor incentive plan under which they were granted.</w:t>
      </w:r>
    </w:p>
    <w:p>
      <w:pPr>
        <w:spacing w:after="0" w:line="168"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2022 Plan contains an automatic increase provision which provides for an annual increase to the maximum number of authorized shares on January 1 of each year beginning on January 1, 2023 through January 1, 2027, to an amount equal to</w:t>
      </w:r>
    </w:p>
    <w:p>
      <w:pPr>
        <w:jc w:val="both"/>
        <w:ind w:left="60" w:right="299" w:hanging="10"/>
        <w:spacing w:after="0" w:line="295" w:lineRule="auto"/>
        <w:tabs>
          <w:tab w:leader="none" w:pos="2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 of the fully diluted number of shares of common stock outstanding on December 31 of the fiscal year before the date of each automatic increase, or (ii) a lesser number of shares determined by the board of directors prior to the date of the increase. As of January 1, 2023, the number of shares authorized for issuance increased from the initial 1,121,272 to 13,215,973 and there were 12,129,388 shares of common stock available for issuance under the 2022 Plan.</w:t>
      </w:r>
    </w:p>
    <w:p>
      <w:pPr>
        <w:spacing w:after="0" w:line="161" w:lineRule="exact"/>
        <w:rPr>
          <w:sz w:val="20"/>
          <w:szCs w:val="20"/>
          <w:color w:val="auto"/>
        </w:rPr>
      </w:pPr>
    </w:p>
    <w:p>
      <w:pPr>
        <w:ind w:left="60" w:right="79"/>
        <w:spacing w:after="0" w:line="219" w:lineRule="exact"/>
        <w:rPr>
          <w:sz w:val="20"/>
          <w:szCs w:val="20"/>
          <w:color w:val="auto"/>
        </w:rPr>
      </w:pPr>
      <w:r>
        <w:rPr>
          <w:rFonts w:ascii="Arial" w:cs="Arial" w:eastAsia="Arial" w:hAnsi="Arial"/>
          <w:sz w:val="17"/>
          <w:szCs w:val="17"/>
          <w:color w:val="auto"/>
        </w:rPr>
        <w:t>The Company also maintains the Helius Medical Technologies, Inc. 2021 Inducement Plan (as amended, the “Inducement Plan”) which permits the grant of non-statutory stock options, stock appreciation rights, restricted stock, restricted stock units, performance stock and cash awards and other share</w:t>
      </w:r>
      <w:r>
        <w:rPr>
          <w:rFonts w:ascii="MS PGothic" w:cs="MS PGothic" w:eastAsia="MS PGothic" w:hAnsi="MS PGothic"/>
          <w:sz w:val="17"/>
          <w:szCs w:val="17"/>
          <w:color w:val="auto"/>
        </w:rPr>
        <w:t>‑</w:t>
      </w:r>
      <w:r>
        <w:rPr>
          <w:rFonts w:ascii="Arial" w:cs="Arial" w:eastAsia="Arial" w:hAnsi="Arial"/>
          <w:sz w:val="17"/>
          <w:szCs w:val="17"/>
          <w:color w:val="auto"/>
        </w:rPr>
        <w:t>based awards The Inducement Plan is used exclusively for grants of awards to individuals who were not previously employees or directors of the Company. Options granted under the Inducement Plan generally vest over four years and expire after ten years. The exercise price of each option is equal to the fair market value of the common stock at the date of grant.</w:t>
      </w:r>
    </w:p>
    <w:p>
      <w:pPr>
        <w:spacing w:after="0" w:line="202"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The Inducement Plan was approved by the Company’s board of directors without stockholder approval on July 2, 2022 pursuant to Rule 5635(c)(4) of the Nasdaq Listing Rules. On December 15, 2022, the Company’s board of directors approved an amendment to the Inducement Plan to increase the number of shares authorized for issuance from the initial 100,000 to 600,000. As of December 31, 2022, there were 472,500 shares of common stock available for issuance under the Inducement Plan.</w:t>
      </w:r>
    </w:p>
    <w:p>
      <w:pPr>
        <w:spacing w:after="0" w:line="18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valuation model that uses the assumptions noted in the following tables. The risk-free interest rate is estimated using the United States Treasury yield curve and is based on the expected term of the award. Due to the Company’s short trading history and higher volatility relative to its peers, expected volatility is based on an average of a peer group of companies with trading histories of at least ten years. The expected term of stock option awards granted is estimated based on the “simplified” method described in the SEC Staff Accounting Bulletin, Topic 14: Share-Based Payment.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Black-Scholes option pricing model was used with the following weighted-average assumptions for options granted during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6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74.91 %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78.03</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The fair value of restricted stock units granted during the years ended December 31, 2022 and 2021 was based on the closing price of the Company’s common stock on the Nasdaq Capital Market on the day of the grant.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 activity during the year ended December 31, 2022 was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8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645,170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87.48</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1,189,889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December 31, 2022</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8.56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598,841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nonvested restricted stock unit activity during the year ended December 31, 2022:</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2021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24,196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(18,491)</w:t>
            </w: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2022</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Total stock-based compensation expense was as follows (in thousands):</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7"/>
          </w:tcPr>
          <w:p>
            <w:pPr>
              <w:jc w:val="right"/>
              <w:ind w:right="368"/>
              <w:spacing w:after="0"/>
              <w:rPr>
                <w:sz w:val="20"/>
                <w:szCs w:val="20"/>
                <w:color w:val="auto"/>
              </w:rPr>
            </w:pPr>
            <w:r>
              <w:rPr>
                <w:rFonts w:ascii="Arial" w:cs="Arial" w:eastAsia="Arial" w:hAnsi="Arial"/>
                <w:sz w:val="14"/>
                <w:szCs w:val="14"/>
                <w:b w:val="1"/>
                <w:bCs w:val="1"/>
                <w:color w:val="auto"/>
              </w:rPr>
              <w:t>Years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760" w:type="dxa"/>
            <w:vAlign w:val="bottom"/>
            <w:gridSpan w:val="5"/>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3,552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6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4,252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Stock-based compensation expense for the year ended December 31, 2022 included $1.2 million of expense associated with the vesting of performance-based stock options upon the achievement of the performance criteria when the public offering in August 2022 was completed. Stock-based compensation expense for the year ended December 31, 2021 included $0.5 million of expense related to the accelerated vesting of stock options in connection with the departure of the Company’s former chief operating officer in July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As of December 31, 2022, the total remaining unrecognized compensation expense related to nonvested stock options and restricted stock units was $1.9 million which will be amortized over weighted-average remaining requisite service period of 2.4 years.</w:t>
      </w:r>
    </w:p>
    <w:p>
      <w:pPr>
        <w:spacing w:after="0" w:line="180" w:lineRule="exact"/>
        <w:rPr>
          <w:sz w:val="20"/>
          <w:szCs w:val="20"/>
          <w:color w:val="auto"/>
        </w:rPr>
      </w:pPr>
    </w:p>
    <w:p>
      <w:pPr>
        <w:ind w:left="700" w:hanging="650"/>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LOSS PER SHARE</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table below presents the computation of basic and diluted loss per share (in thousands, except share and per share information):</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1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 available to common stockholders - basic</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Weighted average common shares outstanding - basic</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13,497,159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2,456,782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per share - basic</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line="216" w:lineRule="exact"/>
              <w:rPr>
                <w:sz w:val="20"/>
                <w:szCs w:val="20"/>
                <w:color w:val="auto"/>
              </w:rPr>
            </w:pPr>
            <w:r>
              <w:rPr>
                <w:rFonts w:ascii="Arial" w:cs="Arial" w:eastAsia="Arial" w:hAnsi="Arial"/>
                <w:sz w:val="18"/>
                <w:szCs w:val="18"/>
                <w:color w:val="auto"/>
              </w:rPr>
              <w:t xml:space="preserve">Net loss available to common stockholders - diluted </w:t>
            </w:r>
            <w:r>
              <w:rPr>
                <w:rFonts w:ascii="Arial" w:cs="Arial" w:eastAsia="Arial" w:hAnsi="Arial"/>
                <w:sz w:val="21"/>
                <w:szCs w:val="21"/>
                <w:color w:val="auto"/>
                <w:vertAlign w:val="superscript"/>
              </w:rPr>
              <w:t>(1)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line="216" w:lineRule="exact"/>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21"/>
                <w:szCs w:val="21"/>
                <w:color w:val="auto"/>
                <w:vertAlign w:val="superscript"/>
              </w:rPr>
              <w:t>(1)</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13,497,159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2,456,782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Loss per share - diluted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right="239" w:hanging="330"/>
        <w:spacing w:after="0" w:line="230" w:lineRule="auto"/>
        <w:tabs>
          <w:tab w:leader="none" w:pos="3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color w:val="auto"/>
        </w:rPr>
        <w:t>For the year ended December 31, 2022, no adjustment was made to the numerator and no incremental shares were added to the denominator for the Public Warrants being accounted for as a derivative liability, as the Public Warrants were out-of-the-money. Refer to Note 8 for additional information about the Public Warrants.</w:t>
      </w:r>
    </w:p>
    <w:p>
      <w:pPr>
        <w:spacing w:after="0" w:line="203"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following outstanding securities, presented based on amounts outstanding as of the end of each period, were not included in the computation of diluted loss per share for the periods indicated, as they would have been anti-dilutive due to the net loss in each period.</w:t>
      </w:r>
    </w:p>
    <w:p>
      <w:pPr>
        <w:spacing w:after="0" w:line="189"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-3175</wp:posOffset>
            </wp:positionV>
            <wp:extent cx="1337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1,189,889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669,117</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8,064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36,593,924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593,924</w:t>
            </w:r>
          </w:p>
        </w:tc>
      </w:tr>
    </w:tbl>
    <w:p>
      <w:pPr>
        <w:spacing w:after="0" w:line="211"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Company's loss before provision for income taxes was generated from operations in the United States and outside of the United States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0" w:type="dxa"/>
            <w:vAlign w:val="bottom"/>
            <w:gridSpan w:val="6"/>
          </w:tcPr>
          <w:p>
            <w:pPr>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20" w:type="dxa"/>
            <w:vAlign w:val="bottom"/>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2"/>
                <w:szCs w:val="12"/>
                <w:color w:val="auto"/>
              </w:rPr>
            </w:pPr>
          </w:p>
        </w:tc>
      </w:tr>
      <w:tr>
        <w:trPr>
          <w:trHeight w:val="209"/>
        </w:trPr>
        <w:tc>
          <w:tcPr>
            <w:tcW w:w="9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16,589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w:t>
            </w:r>
          </w:p>
        </w:tc>
        <w:tc>
          <w:tcPr>
            <w:tcW w:w="3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14,072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18,132</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20" w:type="dxa"/>
            <w:vAlign w:val="bottom"/>
            <w:gridSpan w:val="2"/>
          </w:tcPr>
          <w:p>
            <w:pPr>
              <w:ind w:left="136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A reconciliation of the United States federal statutory income tax rate to the Company's effective income tax rate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gridSpan w:val="10"/>
          </w:tcPr>
          <w:p>
            <w:pPr>
              <w:ind w:left="16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United States federal statutory rate</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Derivative liability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 income taxed at foreign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w w:val="92"/>
              </w:rPr>
              <w:t>The components of deferred tax assets and liabilities are as follows (in thousands):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29,130</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 carryforwards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foreign currency losses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Inventory reserve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Unrealized foreign currency gains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Valuation allowance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(33,771)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(31,222)</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Net operating loss carryforwards and the related carryforward expiration periods as of December 31, 2022 are summarized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Carryforward</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Expiration</w:t>
            </w: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federal net operating losses</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2033-2037</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United States federal net operating losses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68,000</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Indefinite</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state net operating losses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2034-2042</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United States state net operating losses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Indefinite</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 federal net operating losses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2034-2042</w:t>
            </w:r>
          </w:p>
        </w:tc>
        <w:tc>
          <w:tcPr>
            <w:tcW w:w="20" w:type="dxa"/>
            <w:vAlign w:val="bottom"/>
          </w:tcPr>
          <w:p>
            <w:pPr>
              <w:spacing w:after="0"/>
              <w:rPr>
                <w:sz w:val="18"/>
                <w:szCs w:val="18"/>
                <w:color w:val="auto"/>
              </w:rPr>
            </w:pPr>
          </w:p>
        </w:tc>
      </w:tr>
      <w:tr>
        <w:trPr>
          <w:trHeight w:val="648"/>
        </w:trPr>
        <w:tc>
          <w:tcPr>
            <w:tcW w:w="3640" w:type="dxa"/>
            <w:vAlign w:val="bottom"/>
          </w:tcPr>
          <w:p>
            <w:pPr>
              <w:spacing w:after="0"/>
              <w:rPr>
                <w:sz w:val="24"/>
                <w:szCs w:val="24"/>
                <w:color w:val="auto"/>
              </w:rPr>
            </w:pPr>
          </w:p>
        </w:tc>
        <w:tc>
          <w:tcPr>
            <w:tcW w:w="3040" w:type="dxa"/>
            <w:vAlign w:val="bottom"/>
            <w:gridSpan w:val="2"/>
          </w:tcPr>
          <w:p>
            <w:pPr>
              <w:jc w:val="right"/>
              <w:ind w:right="1967"/>
              <w:spacing w:after="0"/>
              <w:rPr>
                <w:sz w:val="20"/>
                <w:szCs w:val="20"/>
                <w:color w:val="auto"/>
              </w:rPr>
            </w:pPr>
            <w:r>
              <w:rPr>
                <w:rFonts w:ascii="Arial" w:cs="Arial" w:eastAsia="Arial" w:hAnsi="Arial"/>
                <w:sz w:val="18"/>
                <w:szCs w:val="18"/>
                <w:color w:val="auto"/>
              </w:rPr>
              <w:t>F-20</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6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The gross tax credit carryforwards and the related carryforward expiration periods as of December 31, 2022 are summarized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Carryforward</w:t>
            </w:r>
          </w:p>
        </w:tc>
        <w:tc>
          <w:tcPr>
            <w:tcW w:w="1120" w:type="dxa"/>
            <w:vAlign w:val="bottom"/>
          </w:tcPr>
          <w:p>
            <w:pPr>
              <w:spacing w:after="0"/>
              <w:rPr>
                <w:sz w:val="14"/>
                <w:szCs w:val="14"/>
                <w:color w:val="auto"/>
              </w:rPr>
            </w:pPr>
          </w:p>
        </w:tc>
      </w:t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federal research expenditure tax credits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2035-2042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Canada federal research expenditure tax credits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2034-2037</w:t>
            </w:r>
          </w:p>
        </w:tc>
      </w:tr>
    </w:tbl>
    <w:p>
      <w:pPr>
        <w:spacing w:after="0" w:line="187"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substantially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Although a formal Section 382 analysis has not yet been completed, the Company believes it is possible ownership changes have occurred. The annual limitation may result in the expiration of United States net operating losses and credits before utilization; however, due to the valuation allowance against deferred tax assets as of December 31, 2022, the net effect of any limitation will have no impact on results of operations.</w:t>
      </w:r>
    </w:p>
    <w:p>
      <w:pPr>
        <w:spacing w:after="0" w:line="172"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accounting guidance related to uncertain tax positions prescribes a recognition threshold and measurement attribute for recognition and measurement of a tax position taken or expected to be taken in a tax return. It also provides guidance on de-recognition, classification, interest and penalties, accounting in interim periods, disclosure and transition. As of both December 31, 2022 and 2021, the Company does not have an accrual relating to uncertain tax positions. It is not anticipated that unrecognized tax benefits would significantly increase or decrease within 12 months of the reporting date.</w:t>
      </w:r>
    </w:p>
    <w:p>
      <w:pPr>
        <w:spacing w:after="0" w:line="161" w:lineRule="exact"/>
        <w:rPr>
          <w:sz w:val="20"/>
          <w:szCs w:val="20"/>
          <w:color w:val="auto"/>
        </w:rPr>
      </w:pPr>
    </w:p>
    <w:p>
      <w:pPr>
        <w:ind w:left="60" w:right="539"/>
        <w:spacing w:after="0" w:line="311" w:lineRule="auto"/>
        <w:rPr>
          <w:sz w:val="20"/>
          <w:szCs w:val="20"/>
          <w:color w:val="auto"/>
        </w:rPr>
      </w:pPr>
      <w:r>
        <w:rPr>
          <w:rFonts w:ascii="Arial" w:cs="Arial" w:eastAsia="Arial" w:hAnsi="Arial"/>
          <w:sz w:val="16"/>
          <w:szCs w:val="16"/>
          <w:color w:val="auto"/>
        </w:rPr>
        <w:t>The Company files income tax returns in the United States and Canada. The Company’s tax returns are subject to tax examinations by United States federal and state tax authorities, or examinations by foreign tax authorities until the expiration of the respective statutes of limitation. The Company currently has no tax years under examination.</w:t>
      </w:r>
    </w:p>
    <w:p>
      <w:pPr>
        <w:spacing w:after="0" w:line="145"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ind w:left="60" w:right="299"/>
        <w:spacing w:after="0" w:line="272" w:lineRule="auto"/>
        <w:rPr>
          <w:sz w:val="20"/>
          <w:szCs w:val="20"/>
          <w:color w:val="auto"/>
        </w:rPr>
      </w:pPr>
      <w:r>
        <w:rPr>
          <w:rFonts w:ascii="Arial" w:cs="Arial" w:eastAsia="Arial" w:hAnsi="Arial"/>
          <w:sz w:val="17"/>
          <w:szCs w:val="17"/>
          <w:color w:val="auto"/>
        </w:rPr>
        <w:t>The Company’s employees in the United States are eligible to participate in the Helius Medical Inc. Savings Plan, as amended, a safe harbor 401(k) plan (“401(k) Plan”). The 401(k) Plan allows eligible employees to make contributions through payroll deductions up to IRS limits. Effective January 1, 2022, the Company matches the first 3% of the participant's annual eligible compensation contributed to the plan on a dollar-for-dollar basis. The Company matches the next 2% of the participant's annual eligible compensation to the plan on a 50% basis. Pursuant to the 401(k) safe harbor provisions, the Company’s matching contributions are 100% vested. For the year ended December 31, 2022, the Company’s defined contribution plan expense was $143 thousand.</w:t>
      </w:r>
    </w:p>
    <w:p>
      <w:pPr>
        <w:spacing w:after="0" w:line="173"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The Company is obligated under a license agreement with Advanced NeuroRehabilitation, LLC (“ANR”) to pay a 4% royalty on net revenue collected from the sale of devices covered by ANR’s patent pending technology, claims and knowhow. For the years ended December 31, 2022 and 2021, the Company recorded approximately $31 thousand and $20 thousand, respectively, in Royalty Expenses in the Consolidated Statements of Operations and Comprehensive Loss.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ENTERPRISE-WIDE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revenue disaggregated by geographic area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09"/>
        </w:trPr>
        <w:tc>
          <w:tcPr>
            <w:tcW w:w="6860" w:type="dxa"/>
            <w:vAlign w:val="bottom"/>
          </w:tcPr>
          <w:p>
            <w:pPr>
              <w:ind w:left="220"/>
              <w:spacing w:after="0"/>
              <w:rPr>
                <w:sz w:val="20"/>
                <w:szCs w:val="20"/>
                <w:color w:val="auto"/>
              </w:rPr>
            </w:pPr>
            <w:r>
              <w:rPr>
                <w:rFonts w:ascii="Arial" w:cs="Arial" w:eastAsia="Arial" w:hAnsi="Arial"/>
                <w:sz w:val="18"/>
                <w:szCs w:val="18"/>
                <w:color w:val="auto"/>
              </w:rPr>
              <w:t>Total product sales,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68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499"/>
        <w:spacing w:after="0" w:line="311" w:lineRule="auto"/>
        <w:rPr>
          <w:sz w:val="20"/>
          <w:szCs w:val="20"/>
          <w:color w:val="auto"/>
        </w:rPr>
      </w:pPr>
      <w:r>
        <w:rPr>
          <w:rFonts w:ascii="Arial" w:cs="Arial" w:eastAsia="Arial" w:hAnsi="Arial"/>
          <w:sz w:val="16"/>
          <w:szCs w:val="16"/>
          <w:color w:val="auto"/>
        </w:rPr>
        <w:t>A single customer accounted for 35% and 32% of net product sales for the years ended December 31, 2022 and 2021, respectively, and 89% and 3% of accounts receivable, net as of December 31, 2022 and 2021, respectively. One other customer accounted for 0% and 40% of accounts receivable, net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880" w:type="dxa"/>
            <w:vAlign w:val="bottom"/>
            <w:gridSpan w:val="2"/>
          </w:tcPr>
          <w:p>
            <w:pPr>
              <w:ind w:left="144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Dated: March 9, 2023</w:t>
            </w:r>
          </w:p>
        </w:tc>
        <w:tc>
          <w:tcPr>
            <w:tcW w:w="5880" w:type="dxa"/>
            <w:vAlign w:val="bottom"/>
            <w:gridSpan w:val="2"/>
          </w:tcPr>
          <w:p>
            <w:pPr>
              <w:ind w:left="1440"/>
              <w:spacing w:after="0"/>
              <w:rPr>
                <w:sz w:val="20"/>
                <w:szCs w:val="20"/>
                <w:color w:val="auto"/>
              </w:rPr>
            </w:pPr>
            <w:r>
              <w:rPr>
                <w:rFonts w:ascii="Arial" w:cs="Arial" w:eastAsia="Arial" w:hAnsi="Arial"/>
                <w:sz w:val="18"/>
                <w:szCs w:val="18"/>
                <w:color w:val="auto"/>
              </w:rPr>
              <w:t>By: /s/ Dane C. Andreeff</w:t>
            </w:r>
          </w:p>
        </w:tc>
      </w:tr>
      <w:tr>
        <w:trPr>
          <w:trHeight w:val="195"/>
        </w:trPr>
        <w:tc>
          <w:tcPr>
            <w:tcW w:w="3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By /s/ Dane C. Andreeff</w:t>
            </w:r>
          </w:p>
        </w:tc>
        <w:tc>
          <w:tcPr>
            <w:tcW w:w="1780" w:type="dxa"/>
            <w:vAlign w:val="bottom"/>
          </w:tcPr>
          <w:p>
            <w:pPr>
              <w:ind w:left="280"/>
              <w:spacing w:after="0"/>
              <w:rPr>
                <w:sz w:val="20"/>
                <w:szCs w:val="20"/>
                <w:color w:val="auto"/>
              </w:rPr>
            </w:pPr>
            <w:r>
              <w:rPr>
                <w:rFonts w:ascii="Arial" w:cs="Arial" w:eastAsia="Arial" w:hAnsi="Arial"/>
                <w:sz w:val="18"/>
                <w:szCs w:val="18"/>
                <w:color w:val="auto"/>
                <w:w w:val="90"/>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c>
          <w:tcPr>
            <w:tcW w:w="178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8"/>
              </w:rPr>
              <w:t>President, Chief Executive Officer (Principal Executive</w:t>
            </w:r>
          </w:p>
        </w:tc>
        <w:tc>
          <w:tcPr>
            <w:tcW w:w="17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Officer) and Director</w:t>
            </w:r>
          </w:p>
        </w:tc>
        <w:tc>
          <w:tcPr>
            <w:tcW w:w="178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By /s/ Jeffrey S. Mathiesen</w:t>
            </w:r>
          </w:p>
        </w:tc>
        <w:tc>
          <w:tcPr>
            <w:tcW w:w="1780" w:type="dxa"/>
            <w:vAlign w:val="bottom"/>
          </w:tcPr>
          <w:p>
            <w:pPr>
              <w:ind w:left="280"/>
              <w:spacing w:after="0"/>
              <w:rPr>
                <w:sz w:val="20"/>
                <w:szCs w:val="20"/>
                <w:color w:val="auto"/>
              </w:rPr>
            </w:pPr>
            <w:r>
              <w:rPr>
                <w:rFonts w:ascii="Arial" w:cs="Arial" w:eastAsia="Arial" w:hAnsi="Arial"/>
                <w:sz w:val="18"/>
                <w:szCs w:val="18"/>
                <w:color w:val="auto"/>
                <w:w w:val="90"/>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S. Mathiesen</w:t>
            </w:r>
          </w:p>
        </w:tc>
        <w:tc>
          <w:tcPr>
            <w:tcW w:w="178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Officer and</w:t>
            </w:r>
          </w:p>
        </w:tc>
        <w:tc>
          <w:tcPr>
            <w:tcW w:w="1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Principal Accounting Officer), Treasurer, Secretary and</w:t>
            </w:r>
          </w:p>
        </w:tc>
        <w:tc>
          <w:tcPr>
            <w:tcW w:w="17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By /s/ Paul Buckman</w:t>
            </w:r>
          </w:p>
        </w:tc>
        <w:tc>
          <w:tcPr>
            <w:tcW w:w="1780" w:type="dxa"/>
            <w:vAlign w:val="bottom"/>
          </w:tcPr>
          <w:p>
            <w:pPr>
              <w:ind w:left="280"/>
              <w:spacing w:after="0"/>
              <w:rPr>
                <w:sz w:val="20"/>
                <w:szCs w:val="20"/>
                <w:color w:val="auto"/>
              </w:rPr>
            </w:pPr>
            <w:r>
              <w:rPr>
                <w:rFonts w:ascii="Arial" w:cs="Arial" w:eastAsia="Arial" w:hAnsi="Arial"/>
                <w:sz w:val="18"/>
                <w:szCs w:val="18"/>
                <w:color w:val="auto"/>
                <w:w w:val="93"/>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Buckman</w:t>
            </w:r>
          </w:p>
        </w:tc>
        <w:tc>
          <w:tcPr>
            <w:tcW w:w="1780" w:type="dxa"/>
            <w:vAlign w:val="bottom"/>
          </w:tcPr>
          <w:p>
            <w:pPr>
              <w:spacing w:after="0"/>
              <w:rPr>
                <w:sz w:val="16"/>
                <w:szCs w:val="16"/>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By /s/ Blane Walter</w:t>
            </w:r>
          </w:p>
        </w:tc>
        <w:tc>
          <w:tcPr>
            <w:tcW w:w="1780" w:type="dxa"/>
            <w:vAlign w:val="bottom"/>
          </w:tcPr>
          <w:p>
            <w:pPr>
              <w:ind w:left="280"/>
              <w:spacing w:after="0"/>
              <w:rPr>
                <w:sz w:val="20"/>
                <w:szCs w:val="20"/>
                <w:color w:val="auto"/>
              </w:rPr>
            </w:pPr>
            <w:r>
              <w:rPr>
                <w:rFonts w:ascii="Arial" w:cs="Arial" w:eastAsia="Arial" w:hAnsi="Arial"/>
                <w:sz w:val="18"/>
                <w:szCs w:val="18"/>
                <w:color w:val="auto"/>
                <w:w w:val="90"/>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Blane Walter</w:t>
            </w:r>
          </w:p>
        </w:tc>
        <w:tc>
          <w:tcPr>
            <w:tcW w:w="1780" w:type="dxa"/>
            <w:vAlign w:val="bottom"/>
          </w:tcPr>
          <w:p>
            <w:pPr>
              <w:spacing w:after="0"/>
              <w:rPr>
                <w:sz w:val="16"/>
                <w:szCs w:val="16"/>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By /s/ Sherrie Perkins</w:t>
            </w:r>
          </w:p>
        </w:tc>
        <w:tc>
          <w:tcPr>
            <w:tcW w:w="1780" w:type="dxa"/>
            <w:vAlign w:val="bottom"/>
          </w:tcPr>
          <w:p>
            <w:pPr>
              <w:ind w:left="280"/>
              <w:spacing w:after="0"/>
              <w:rPr>
                <w:sz w:val="20"/>
                <w:szCs w:val="20"/>
                <w:color w:val="auto"/>
              </w:rPr>
            </w:pPr>
            <w:r>
              <w:rPr>
                <w:rFonts w:ascii="Arial" w:cs="Arial" w:eastAsia="Arial" w:hAnsi="Arial"/>
                <w:sz w:val="18"/>
                <w:szCs w:val="18"/>
                <w:color w:val="auto"/>
                <w:w w:val="90"/>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Sherrie Perkins</w:t>
            </w:r>
          </w:p>
        </w:tc>
        <w:tc>
          <w:tcPr>
            <w:tcW w:w="1780" w:type="dxa"/>
            <w:vAlign w:val="bottom"/>
          </w:tcPr>
          <w:p>
            <w:pPr>
              <w:spacing w:after="0"/>
              <w:rPr>
                <w:sz w:val="16"/>
                <w:szCs w:val="16"/>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By /s/ Edward M. Straw</w:t>
            </w:r>
          </w:p>
        </w:tc>
        <w:tc>
          <w:tcPr>
            <w:tcW w:w="1780" w:type="dxa"/>
            <w:vAlign w:val="bottom"/>
          </w:tcPr>
          <w:p>
            <w:pPr>
              <w:ind w:left="280"/>
              <w:spacing w:after="0"/>
              <w:rPr>
                <w:sz w:val="20"/>
                <w:szCs w:val="20"/>
                <w:color w:val="auto"/>
              </w:rPr>
            </w:pPr>
            <w:r>
              <w:rPr>
                <w:rFonts w:ascii="Arial" w:cs="Arial" w:eastAsia="Arial" w:hAnsi="Arial"/>
                <w:sz w:val="18"/>
                <w:szCs w:val="18"/>
                <w:color w:val="auto"/>
                <w:w w:val="90"/>
              </w:rPr>
              <w:t>Date: March 9, 2023</w:t>
            </w:r>
          </w:p>
        </w:tc>
      </w:tr>
      <w:tr>
        <w:trPr>
          <w:trHeight w:val="195"/>
        </w:trPr>
        <w:tc>
          <w:tcPr>
            <w:tcW w:w="2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Edward M. Straw</w:t>
            </w:r>
          </w:p>
        </w:tc>
        <w:tc>
          <w:tcPr>
            <w:tcW w:w="1780" w:type="dxa"/>
            <w:vAlign w:val="bottom"/>
          </w:tcPr>
          <w:p>
            <w:pPr>
              <w:spacing w:after="0"/>
              <w:rPr>
                <w:sz w:val="16"/>
                <w:szCs w:val="16"/>
                <w:color w:val="auto"/>
              </w:rPr>
            </w:pPr>
          </w:p>
        </w:tc>
      </w:tr>
      <w:tr>
        <w:trPr>
          <w:trHeight w:val="230"/>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300" w:type="dxa"/>
            <w:vAlign w:val="bottom"/>
          </w:tcPr>
          <w:p>
            <w:pPr>
              <w:ind w:left="1100"/>
              <w:spacing w:after="0"/>
              <w:rPr>
                <w:sz w:val="20"/>
                <w:szCs w:val="20"/>
                <w:color w:val="auto"/>
              </w:rPr>
            </w:pPr>
            <w:r>
              <w:rPr>
                <w:rFonts w:ascii="Arial" w:cs="Arial" w:eastAsia="Arial" w:hAnsi="Arial"/>
                <w:sz w:val="18"/>
                <w:szCs w:val="18"/>
                <w:b w:val="1"/>
                <w:bCs w:val="1"/>
                <w:color w:val="auto"/>
              </w:rPr>
              <w:t>SUBSIDIARIES OF HELIUS MEDICAL TECHNOLOGIES, INC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Helius Medical,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Helius Medical Technologies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Helius NeuroRehab,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Helius Canada Acquisition Ltd.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30"/>
        </w:trPr>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Heuro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777"/>
        </w:trPr>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S-1 (No. 333-248824, 333-250974, 333-259334 and 333-266107) and Form S-8 (No. 333-204155, 333-218095, 333-229724, 333-256680, 333-257749, 333-265324 and 333-269305) of Helius Medical Technologies, Inc. of our report dated March 9, 2023, relating to the consolidated financial statements, which includes an explanatory paragraph relating to the Company’s ability to continue as a going concern and appearing within this annual report on Form 10-K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11"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We hereby consent to the incorporation by reference in the Registration Statements on Form S-1 (No. 333-248824, 333-250974, 333-259334 and 333-266107) and Form S-8 (No. 333-204155, 333-218095, 333-229724, 333-256680, 333-257749, 333-265324 and 333-269305) of Helius Medical Technologies, Inc., of our report dated March 14, 2022, relating to the consolidated financial statements of Helius Medical Technologies, Inc., which appears in this Annual Report on Form 10-K.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225"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880" w:right="80" w:hanging="440"/>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80" w:right="120" w:hanging="440"/>
        <w:spacing w:after="0" w:line="311" w:lineRule="auto"/>
        <w:tabs>
          <w:tab w:leader="none" w:pos="8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440" w:right="12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225"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225"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880" w:right="80" w:hanging="440"/>
        <w:spacing w:after="0" w:line="263"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80" w:right="120" w:hanging="440"/>
        <w:spacing w:after="0" w:line="311" w:lineRule="auto"/>
        <w:tabs>
          <w:tab w:leader="none" w:pos="8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440" w:right="120" w:hanging="432"/>
        <w:spacing w:after="0" w:line="263"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S. Mathiesen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connection with the Annual Report on Form 10-K of Helius Medical Technologies, Inc. (the “Company”) for the year ended December 31, 2022 as filed with the Securities and Exchange Commission on the date hereof (the “Report”), Dane C. Andreeff, as Chief Executive Officer of the Company, and Jeffrey S. Mathiesen, as Chief Financial Officer of the Company, each hereby certifies, pursuant to 18 U.S.C. Section 1350, as adopted pursuant to Section 906 of the Sarbanes-Oxley Act of 2002, that, to the best of their knowledge:</w:t>
      </w:r>
    </w:p>
    <w:p>
      <w:pPr>
        <w:spacing w:after="0" w:line="157"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right="80" w:hanging="432"/>
        <w:spacing w:after="0" w:line="277"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S. Mathiesen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endash "/>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lowerLetter"/>
      <w:start w:val="5"/>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Roman"/>
      <w:start w:val="1"/>
    </w:lvl>
  </w:abstractNum>
  <w:abstractNum w:abstractNumId="30">
    <w:nsid w:val="725A06FB"/>
    <w:multiLevelType w:val="hybridMultilevel"/>
    <w:lvl w:ilvl="0">
      <w:lvlJc w:val="left"/>
      <w:lvlText w:val="(%1)"/>
      <w:numFmt w:val="lowerRoman"/>
      <w:start w:val="4"/>
    </w:lvl>
  </w:abstractNum>
  <w:abstractNum w:abstractNumId="31">
    <w:nsid w:val="2CD89A32"/>
    <w:multiLevelType w:val="hybridMultilevel"/>
    <w:lvl w:ilvl="0">
      <w:lvlJc w:val="left"/>
      <w:lvlText w:val="(%1)"/>
      <w:numFmt w:val="lowerRoman"/>
      <w:start w:val="2"/>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decimal"/>
      <w:start w:val="3"/>
    </w:lvl>
  </w:abstractNum>
  <w:abstractNum w:abstractNumId="41">
    <w:nsid w:val="579478FE"/>
    <w:multiLevelType w:val="hybridMultilevel"/>
    <w:lvl w:ilvl="0">
      <w:lvlJc w:val="left"/>
      <w:lvlText w:val="%1."/>
      <w:numFmt w:val="decimal"/>
      <w:start w:val="4"/>
    </w:lvl>
  </w:abstractNum>
  <w:abstractNum w:abstractNumId="42">
    <w:nsid w:val="749ABB43"/>
    <w:multiLevelType w:val="hybridMultilevel"/>
    <w:lvl w:ilvl="0">
      <w:lvlJc w:val="left"/>
      <w:lvlText w:val="%1."/>
      <w:numFmt w:val="decimal"/>
      <w:start w:val="5"/>
    </w:lvl>
  </w:abstractNum>
  <w:abstractNum w:abstractNumId="43">
    <w:nsid w:val="3DC240FB"/>
    <w:multiLevelType w:val="hybridMultilevel"/>
    <w:lvl w:ilvl="0">
      <w:lvlJc w:val="left"/>
      <w:lvlText w:val="%1."/>
      <w:numFmt w:val="decimal"/>
      <w:start w:val="6"/>
    </w:lvl>
  </w:abstractNum>
  <w:abstractNum w:abstractNumId="44">
    <w:nsid w:val="1BA026FA"/>
    <w:multiLevelType w:val="hybridMultilevel"/>
    <w:lvl w:ilvl="0">
      <w:lvlJc w:val="left"/>
      <w:lvlText w:val="%1."/>
      <w:numFmt w:val="decimal"/>
      <w:start w:val="7"/>
    </w:lvl>
  </w:abstractNum>
  <w:abstractNum w:abstractNumId="45">
    <w:nsid w:val="79A1DEAA"/>
    <w:multiLevelType w:val="hybridMultilevel"/>
    <w:lvl w:ilvl="0">
      <w:lvlJc w:val="left"/>
      <w:lvlText w:val="%1."/>
      <w:numFmt w:val="decimal"/>
      <w:start w:val="8"/>
    </w:lvl>
  </w:abstractNum>
  <w:abstractNum w:abstractNumId="46">
    <w:nsid w:val="75C6C33A"/>
    <w:multiLevelType w:val="hybridMultilevel"/>
    <w:lvl w:ilvl="0">
      <w:lvlJc w:val="left"/>
      <w:lvlText w:val="%1."/>
      <w:numFmt w:val="decimal"/>
      <w:start w:val="9"/>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decimal"/>
      <w:start w:val="10"/>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1"/>
    </w:lvl>
  </w:abstractNum>
  <w:abstractNum w:abstractNumId="51">
    <w:nsid w:val="4F4EF005"/>
    <w:multiLevelType w:val="hybridMultilevel"/>
    <w:lvl w:ilvl="0">
      <w:lvlJc w:val="left"/>
      <w:lvlText w:val="%1."/>
      <w:numFmt w:val="decimal"/>
      <w:start w:val="12"/>
    </w:lvl>
  </w:abstractNum>
  <w:abstractNum w:abstractNumId="52">
    <w:nsid w:val="23F9C13C"/>
    <w:multiLevelType w:val="hybridMultilevel"/>
    <w:lvl w:ilvl="0">
      <w:lvlJc w:val="left"/>
      <w:lvlText w:val="%1."/>
      <w:numFmt w:val="decimal"/>
      <w:start w:val="13"/>
    </w:lvl>
  </w:abstractNum>
  <w:abstractNum w:abstractNumId="53">
    <w:nsid w:val="649BB77C"/>
    <w:multiLevelType w:val="hybridMultilevel"/>
    <w:lvl w:ilvl="0">
      <w:lvlJc w:val="left"/>
      <w:lvlText w:val="%1."/>
      <w:numFmt w:val="decimal"/>
      <w:start w:val="14"/>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121"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79" Type="http://schemas.openxmlformats.org/officeDocument/2006/relationships/hyperlink" Target="https://www.sec.gov/Archives/edgar/data/1610853/000156459018020736/hsdt-ex31_66.htm" TargetMode="External"/><Relationship Id="rId80" Type="http://schemas.openxmlformats.org/officeDocument/2006/relationships/hyperlink" Target="https://www.sec.gov/Archives/edgar/data/1610853/000119312518312155/d646047dex31.htm" TargetMode="External"/><Relationship Id="rId81" Type="http://schemas.openxmlformats.org/officeDocument/2006/relationships/hyperlink" Target="https://www.sec.gov/Archives/edgar/data/1610853/000156459020058917/hsdt-ex31_7.htm" TargetMode="External"/><Relationship Id="rId82" Type="http://schemas.openxmlformats.org/officeDocument/2006/relationships/hyperlink" Target="https://www.sec.gov/Archives/edgar/data/1610853/000156459018020736/hsdt-ex33_68.htm" TargetMode="External"/><Relationship Id="rId83" Type="http://schemas.openxmlformats.org/officeDocument/2006/relationships/hyperlink" Target="https://www.sec.gov/Archives/edgar/data/1610853/000156459020047638/hsdt-ex41_7.htm" TargetMode="External"/><Relationship Id="rId84" Type="http://schemas.openxmlformats.org/officeDocument/2006/relationships/hyperlink" Target="https://www.sec.gov/Archives/edgar/data/1610853/000119312521011714/d15508dex41.htm" TargetMode="External"/><Relationship Id="rId85" Type="http://schemas.openxmlformats.org/officeDocument/2006/relationships/hyperlink" Target="https://www.sec.gov/Archives/edgar/data/1610853/000119312521011714/d15508dex42.htm" TargetMode="External"/><Relationship Id="rId86" Type="http://schemas.openxmlformats.org/officeDocument/2006/relationships/hyperlink" Target="https://www.sec.gov/Archives/edgar/data/1610853/000156459021012121/hsdt-ex47_10.htm" TargetMode="External"/><Relationship Id="rId87" Type="http://schemas.openxmlformats.org/officeDocument/2006/relationships/hyperlink" Target="https://www.sec.gov/Archives/edgar/data/1610853/000156459021003612/hsdt-ex42_9.htm" TargetMode="External"/><Relationship Id="rId88" Type="http://schemas.openxmlformats.org/officeDocument/2006/relationships/hyperlink" Target="https://www.sec.gov/Archives/edgar/data/1610853/000110465922087978/tm2222911d1_ex4-1.htm" TargetMode="External"/><Relationship Id="rId89" Type="http://schemas.openxmlformats.org/officeDocument/2006/relationships/hyperlink" Target="https://www.sec.gov/Archives/edgar/data/1610853/000110465922087978/tm2222911d1_ex4-2.htm" TargetMode="External"/><Relationship Id="rId90" Type="http://schemas.openxmlformats.org/officeDocument/2006/relationships/hyperlink" Target="https://www.sec.gov/Archives/edgar/data/1610853/000106299314005608/exhibit10-8.htm" TargetMode="External"/><Relationship Id="rId91" Type="http://schemas.openxmlformats.org/officeDocument/2006/relationships/hyperlink" Target="https://www.sec.gov/Archives/edgar/data/1610853/000118374014000218/fs1ex10-1.htm" TargetMode="External"/><Relationship Id="rId92" Type="http://schemas.openxmlformats.org/officeDocument/2006/relationships/hyperlink" Target="https://www.sec.gov/Archives/edgar/data/1610853/000118374014000218/fs1ex10-7.htm" TargetMode="External"/><Relationship Id="rId93" Type="http://schemas.openxmlformats.org/officeDocument/2006/relationships/hyperlink" Target="https://www.sec.gov/Archives/edgar/data/1610853/000118374014000218/fs1ex10-3.htm" TargetMode="External"/><Relationship Id="rId94" Type="http://schemas.openxmlformats.org/officeDocument/2006/relationships/hyperlink" Target="https://www.sec.gov/Archives/edgar/data/1610853/000118374014000218/fs1ex10-4.htm" TargetMode="External"/><Relationship Id="rId97" Type="http://schemas.openxmlformats.org/officeDocument/2006/relationships/hyperlink" Target="https://www.sec.gov/Archives/edgar/data/1610853/000106299315005471/exhibit2-1.htm" TargetMode="External"/><Relationship Id="rId98" Type="http://schemas.openxmlformats.org/officeDocument/2006/relationships/hyperlink" Target="https://www.sec.gov/Archives/edgar/data/1610853/000156459017021203/hsdt-ex101_6.htm" TargetMode="External"/><Relationship Id="rId99" Type="http://schemas.openxmlformats.org/officeDocument/2006/relationships/hyperlink" Target="https://www.sec.gov/Archives/edgar/data/1610853/000156459019007839/hsdt-ex1027_291.htm" TargetMode="External"/><Relationship Id="rId100" Type="http://schemas.openxmlformats.org/officeDocument/2006/relationships/hyperlink" Target="https://www.sec.gov/Archives/edgar/data/1610853/000156459017023191/hsdt-ex43_70.htm" TargetMode="External"/><Relationship Id="rId101" Type="http://schemas.openxmlformats.org/officeDocument/2006/relationships/hyperlink" Target="https://www.sec.gov/Archives/edgar/data/1610853/000156459017005926/hsdt-ex10231_989.htm" TargetMode="External"/><Relationship Id="rId102" Type="http://schemas.openxmlformats.org/officeDocument/2006/relationships/hyperlink" Target="https://www.sec.gov/Archives/edgar/data/1610853/000156459017005926/hsdt-ex1025_990.htm" TargetMode="External"/><Relationship Id="rId103" Type="http://schemas.openxmlformats.org/officeDocument/2006/relationships/hyperlink" Target="https://www.sec.gov/Archives/edgar/data/1610853/000156459017005926/hsdt-ex10251_1221.htm" TargetMode="External"/><Relationship Id="rId104" Type="http://schemas.openxmlformats.org/officeDocument/2006/relationships/hyperlink" Target="https://www.sec.gov/Archives/edgar/data/1610853/000119312517175405/d382247dex47.htm" TargetMode="External"/><Relationship Id="rId105" Type="http://schemas.openxmlformats.org/officeDocument/2006/relationships/hyperlink" Target="https://www.sec.gov/Archives/edgar/data/1610853/000119312517175405/d382247dex48.htm" TargetMode="External"/><Relationship Id="rId106" Type="http://schemas.openxmlformats.org/officeDocument/2006/relationships/hyperlink" Target="https://www.sec.gov/Archives/edgar/data/1610853/000119312517175405/d382247dex49.htm" TargetMode="External"/><Relationship Id="rId107" Type="http://schemas.openxmlformats.org/officeDocument/2006/relationships/hyperlink" Target="https://www.sec.gov/Archives/edgar/data/1610853/000156459018028537/hsdt-ex102_17.htm" TargetMode="External"/><Relationship Id="rId108" Type="http://schemas.openxmlformats.org/officeDocument/2006/relationships/hyperlink" Target="https://www.sec.gov/Archives/edgar/data/1610853/000156459018028537/hsdt-ex103_18.htm" TargetMode="External"/><Relationship Id="rId109" Type="http://schemas.openxmlformats.org/officeDocument/2006/relationships/hyperlink" Target="https://www.sec.gov/Archives/edgar/data/1610853/000156459018028537/hsdt-ex104_19.htm" TargetMode="External"/><Relationship Id="rId110" Type="http://schemas.openxmlformats.org/officeDocument/2006/relationships/hyperlink" Target="https://www.sec.gov/Archives/edgar/data/1610853/000156459020046019/hsdt-ex101_7.htm" TargetMode="External"/><Relationship Id="rId111" Type="http://schemas.openxmlformats.org/officeDocument/2006/relationships/hyperlink" Target="https://www.sec.gov/Archives/edgar/data/1610853/000156459021018009/hsdt-ex101_8.htm" TargetMode="External"/><Relationship Id="rId112" Type="http://schemas.openxmlformats.org/officeDocument/2006/relationships/hyperlink" Target="https://www.sec.gov/Archives/edgar/data/1610853/000156459021030425/hsdt-ex101_8.htm" TargetMode="External"/><Relationship Id="rId113" Type="http://schemas.openxmlformats.org/officeDocument/2006/relationships/hyperlink" Target="https://www.sec.gov/Archives/edgar/data/1610853/000156459021032871/hsdt-ex103_7.htm" TargetMode="External"/><Relationship Id="rId114" Type="http://schemas.openxmlformats.org/officeDocument/2006/relationships/hyperlink" Target="https://www.sec.gov/Archives/edgar/data/1610853/000156459021012121/hsdt-ex1024_291.htm" TargetMode="External"/><Relationship Id="rId115" Type="http://schemas.openxmlformats.org/officeDocument/2006/relationships/hyperlink" Target="https://www.sec.gov/Archives/edgar/data/1610853/000156459021028404/hsdt-ex107_84.htm" TargetMode="External"/><Relationship Id="rId116" Type="http://schemas.openxmlformats.org/officeDocument/2006/relationships/hyperlink" Target="https://www.sec.gov/Archives/edgar/data/1610853/000156459021032871/hsdt-ex101_9.htm" TargetMode="External"/><Relationship Id="rId117" Type="http://schemas.openxmlformats.org/officeDocument/2006/relationships/hyperlink" Target="https://www.sec.gov/Archives/edgar/data/1610853/000156459021032871/hsdt-ex102_8.htm" TargetMode="External"/><Relationship Id="rId118" Type="http://schemas.openxmlformats.org/officeDocument/2006/relationships/hyperlink" Target="https://www.sec.gov/Archives/edgar/data/1610853/000119312521209963/d164802dex46.htm" TargetMode="External"/><Relationship Id="rId119" Type="http://schemas.openxmlformats.org/officeDocument/2006/relationships/hyperlink" Target="https://www.sec.gov/Archives/edgar/data/1610853/000119312521209963/d164802dex45.htm" TargetMode="External"/><Relationship Id="rId120" Type="http://schemas.openxmlformats.org/officeDocument/2006/relationships/hyperlink" Target="https://www.sec.gov/Archives/edgar/data/1610853/000119312521263745/d169384dex101.htm" TargetMode="External"/><Relationship Id="rId122" Type="http://schemas.openxmlformats.org/officeDocument/2006/relationships/hyperlink" Target="https://www.sec.gov/Archives/edgar/data/1610853/000119312521265642/d184071dex1031.htm" TargetMode="External"/><Relationship Id="rId123" Type="http://schemas.openxmlformats.org/officeDocument/2006/relationships/hyperlink" Target="https://www.sec.gov/Archives/edgar/data/1610853/000156459022005702/hsdt-ex101_8.htm" TargetMode="External"/><Relationship Id="rId124" Type="http://schemas.openxmlformats.org/officeDocument/2006/relationships/hyperlink" Target="https://www.sec.gov/Archives/edgar/data/1610853/000156459022005702/hsdt-ex103_9.htm" TargetMode="External"/><Relationship Id="rId125" Type="http://schemas.openxmlformats.org/officeDocument/2006/relationships/hyperlink" Target="https://www.sec.gov/Archives/edgar/data/1610853/000155837022014753/tmb-20220926xex16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2023-03-09T20:29:47Z</dcterms:created>
  <dcterms:modified xsi:type="dcterms:W3CDTF">2023-03-09T20:29:47Z</dcterms:modified>
</cp:coreProperties>
</file>